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5843B6C6" wp14:editId="38C7AE8F">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BF7" w:rsidRPr="00DD6E53" w:rsidRDefault="00B06BF7" w:rsidP="00E05D08">
                            <w:pPr>
                              <w:pStyle w:val="HTitle1"/>
                            </w:pPr>
                            <w:r>
                              <w:t xml:space="preserve">Orientações </w:t>
                            </w:r>
                          </w:p>
                          <w:p w:rsidR="00B06BF7" w:rsidRPr="00DD6E53" w:rsidRDefault="00B06BF7" w:rsidP="00C947BA">
                            <w:pPr>
                              <w:pStyle w:val="HTitle2"/>
                              <w:jc w:val="left"/>
                            </w:pPr>
                            <w:bookmarkStart w:id="1" w:name="_Hlk501355929"/>
                            <w:r>
                              <w:t xml:space="preserve">Avaliação da Inovação nos </w:t>
                            </w:r>
                            <w:r>
                              <w:br/>
                              <w:t>Programas de Desenvolvimento Rural 2014-2020</w:t>
                            </w:r>
                            <w:bookmarkEnd w:id="1"/>
                            <w:r>
                              <w:t xml:space="preserve"> </w:t>
                            </w:r>
                          </w:p>
                          <w:p w:rsidR="00B06BF7" w:rsidRPr="00DD6E53" w:rsidRDefault="00B06BF7" w:rsidP="00E05D08">
                            <w:pPr>
                              <w:rPr>
                                <w:color w:val="6F6F6F"/>
                                <w:sz w:val="28"/>
                                <w:szCs w:val="28"/>
                              </w:rPr>
                            </w:pPr>
                          </w:p>
                          <w:p w:rsidR="00B06BF7" w:rsidRDefault="00B06BF7" w:rsidP="00E05D08">
                            <w:pPr>
                              <w:pStyle w:val="HTitle3"/>
                            </w:pPr>
                            <w:r>
                              <w:t xml:space="preserve">Dezembro de 2017 </w:t>
                            </w:r>
                          </w:p>
                          <w:p w:rsidR="00B06BF7" w:rsidRDefault="00B06BF7" w:rsidP="00E05D08">
                            <w:pPr>
                              <w:pStyle w:val="HTitle3"/>
                            </w:pPr>
                          </w:p>
                          <w:p w:rsidR="00B06BF7" w:rsidRDefault="00B06BF7" w:rsidP="00E05D08">
                            <w:pPr>
                              <w:pStyle w:val="HTitle3"/>
                            </w:pPr>
                          </w:p>
                          <w:p w:rsidR="00B06BF7" w:rsidRDefault="00B06BF7" w:rsidP="00E05D08">
                            <w:pPr>
                              <w:pStyle w:val="HTitle3"/>
                            </w:pPr>
                          </w:p>
                          <w:p w:rsidR="00B06BF7" w:rsidRPr="00912430" w:rsidRDefault="00B06BF7" w:rsidP="00912430">
                            <w:pPr>
                              <w:rPr>
                                <w:color w:val="auto"/>
                                <w:sz w:val="18"/>
                                <w:szCs w:val="18"/>
                              </w:rPr>
                            </w:pPr>
                            <w:r>
                              <w:rPr>
                                <w:i/>
                                <w:sz w:val="18"/>
                                <w:szCs w:val="18"/>
                              </w:rPr>
                              <w:t xml:space="preserve">O presente documento contém a tradução da versão de dezembro de 2017 das «Orientações: Avaliação da inovação nos programas de desenvolvimento rural 2014-2020». Esta tradução visa tornar as orientações mais úteis e acessíveis a todas as partes interessadas. Deve utilizar-se a versão em inglês como referência definitiva do texto. A versão em língua inglesa encontra-se disponível no </w:t>
                            </w:r>
                            <w:hyperlink r:id="rId8" w:tgtFrame="_blank" w:history="1">
                              <w:r>
                                <w:rPr>
                                  <w:rStyle w:val="Hyperlink"/>
                                  <w:i/>
                                  <w:sz w:val="18"/>
                                  <w:szCs w:val="18"/>
                                </w:rPr>
                                <w:t>seguinte endereço</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6C6"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B06BF7" w:rsidRPr="00DD6E53" w:rsidRDefault="00B06BF7" w:rsidP="00E05D08">
                      <w:pPr>
                        <w:pStyle w:val="HTitle1"/>
                      </w:pPr>
                      <w:r>
                        <w:t xml:space="preserve">Orientações </w:t>
                      </w:r>
                    </w:p>
                    <w:p w:rsidR="00B06BF7" w:rsidRPr="00DD6E53" w:rsidRDefault="00B06BF7" w:rsidP="00C947BA">
                      <w:pPr>
                        <w:pStyle w:val="HTitle2"/>
                        <w:jc w:val="left"/>
                      </w:pPr>
                      <w:bookmarkStart w:id="2" w:name="_Hlk501355929"/>
                      <w:r>
                        <w:t xml:space="preserve">Avaliação da Inovação nos </w:t>
                      </w:r>
                      <w:r>
                        <w:br/>
                        <w:t>Programas de Desenvolvimento Rural 2014-2020</w:t>
                      </w:r>
                      <w:bookmarkEnd w:id="2"/>
                      <w:r>
                        <w:t xml:space="preserve"> </w:t>
                      </w:r>
                    </w:p>
                    <w:p w:rsidR="00B06BF7" w:rsidRPr="00DD6E53" w:rsidRDefault="00B06BF7" w:rsidP="00E05D08">
                      <w:pPr>
                        <w:rPr>
                          <w:color w:val="6F6F6F"/>
                          <w:sz w:val="28"/>
                          <w:szCs w:val="28"/>
                        </w:rPr>
                      </w:pPr>
                    </w:p>
                    <w:p w:rsidR="00B06BF7" w:rsidRDefault="00B06BF7" w:rsidP="00E05D08">
                      <w:pPr>
                        <w:pStyle w:val="HTitle3"/>
                      </w:pPr>
                      <w:r>
                        <w:t xml:space="preserve">Dezembro de 2017 </w:t>
                      </w:r>
                    </w:p>
                    <w:p w:rsidR="00B06BF7" w:rsidRDefault="00B06BF7" w:rsidP="00E05D08">
                      <w:pPr>
                        <w:pStyle w:val="HTitle3"/>
                      </w:pPr>
                    </w:p>
                    <w:p w:rsidR="00B06BF7" w:rsidRDefault="00B06BF7" w:rsidP="00E05D08">
                      <w:pPr>
                        <w:pStyle w:val="HTitle3"/>
                      </w:pPr>
                    </w:p>
                    <w:p w:rsidR="00B06BF7" w:rsidRDefault="00B06BF7" w:rsidP="00E05D08">
                      <w:pPr>
                        <w:pStyle w:val="HTitle3"/>
                      </w:pPr>
                    </w:p>
                    <w:p w:rsidR="00B06BF7" w:rsidRPr="00912430" w:rsidRDefault="00B06BF7" w:rsidP="00912430">
                      <w:pPr>
                        <w:rPr>
                          <w:color w:val="auto"/>
                          <w:sz w:val="18"/>
                          <w:szCs w:val="18"/>
                        </w:rPr>
                      </w:pPr>
                      <w:r>
                        <w:rPr>
                          <w:i/>
                          <w:sz w:val="18"/>
                          <w:szCs w:val="18"/>
                        </w:rPr>
                        <w:t xml:space="preserve">O presente documento contém a tradução da versão de dezembro de 2017 das «Orientações: Avaliação da inovação nos programas de desenvolvimento rural 2014-2020». Esta tradução visa tornar as orientações mais úteis e acessíveis a todas as partes interessadas. Deve utilizar-se a versão em inglês como referência definitiva do texto. A versão em língua inglesa encontra-se disponível no </w:t>
                      </w:r>
                      <w:hyperlink r:id="rId9" w:tgtFrame="_blank" w:history="1">
                        <w:r>
                          <w:rPr>
                            <w:rStyle w:val="Hyperlink"/>
                            <w:i/>
                            <w:sz w:val="18"/>
                            <w:szCs w:val="18"/>
                          </w:rPr>
                          <w:t>seguinte endereço</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B06BF7" w:rsidRPr="007F1B7F" w:rsidRDefault="00B06BF7" w:rsidP="00E05D08">
                            <w:pPr>
                              <w:pStyle w:val="Normal12PTcouleurgris"/>
                              <w:rPr>
                                <w:sz w:val="18"/>
                              </w:rPr>
                            </w:pPr>
                            <w:r>
                              <w:rPr>
                                <w:sz w:val="18"/>
                              </w:rPr>
                              <w:t>Declaração de direitos de autor</w:t>
                            </w:r>
                          </w:p>
                          <w:p w:rsidR="00B06BF7" w:rsidRPr="007F1B7F" w:rsidRDefault="00B06BF7" w:rsidP="00E05D08">
                            <w:pPr>
                              <w:pStyle w:val="Normal12PTcouleurgris"/>
                              <w:rPr>
                                <w:sz w:val="18"/>
                              </w:rPr>
                            </w:pPr>
                            <w:r>
                              <w:rPr>
                                <w:sz w:val="18"/>
                              </w:rPr>
                              <w:t>© União Europeia, 2017</w:t>
                            </w:r>
                          </w:p>
                          <w:p w:rsidR="00B06BF7" w:rsidRPr="007F1B7F" w:rsidRDefault="00B06BF7" w:rsidP="00E05D08">
                            <w:pPr>
                              <w:pStyle w:val="Normal12PTcouleurgris"/>
                              <w:rPr>
                                <w:sz w:val="18"/>
                              </w:rPr>
                            </w:pPr>
                            <w:r>
                              <w:rPr>
                                <w:sz w:val="18"/>
                              </w:rPr>
                              <w:t>Reprodução autorizada mediante indicação da fonte.</w:t>
                            </w:r>
                          </w:p>
                          <w:p w:rsidR="00B06BF7" w:rsidRPr="0002668A" w:rsidRDefault="00B06BF7" w:rsidP="00E05D08">
                            <w:pPr>
                              <w:pStyle w:val="Normal12PTcouleurgris"/>
                              <w:rPr>
                                <w:sz w:val="18"/>
                              </w:rPr>
                            </w:pPr>
                            <w:r w:rsidRPr="00472181">
                              <w:rPr>
                                <w:bCs/>
                                <w:sz w:val="18"/>
                                <w:u w:val="single"/>
                              </w:rPr>
                              <w:t>Citação recomendada</w:t>
                            </w:r>
                            <w:r>
                              <w:rPr>
                                <w:bCs/>
                                <w:sz w:val="18"/>
                              </w:rPr>
                              <w:t>:</w:t>
                            </w:r>
                            <w:r>
                              <w:rPr>
                                <w:sz w:val="18"/>
                              </w:rPr>
                              <w:t xml:space="preserve"> </w:t>
                            </w:r>
                          </w:p>
                          <w:p w:rsidR="00B06BF7" w:rsidRPr="0002668A" w:rsidRDefault="00B06BF7" w:rsidP="00E05D08">
                            <w:pPr>
                              <w:pStyle w:val="Normal12PTcouleurgris"/>
                              <w:rPr>
                                <w:sz w:val="18"/>
                              </w:rPr>
                            </w:pPr>
                            <w:r>
                              <w:rPr>
                                <w:sz w:val="18"/>
                              </w:rPr>
                              <w:t>COMISSÃO EUROPEIA — Direção-Geral da Agricultura e do Desenvolvimento Rural — Unidade C.4 (2017): Orientações: Avaliação da inovação nos programas de desenvolvimento rural 2014-2020.</w:t>
                            </w:r>
                          </w:p>
                          <w:p w:rsidR="00B06BF7" w:rsidRPr="0002668A" w:rsidRDefault="00B06BF7" w:rsidP="00E05D08">
                            <w:pPr>
                              <w:pStyle w:val="Normal12PTcouleurgris"/>
                              <w:rPr>
                                <w:bCs/>
                                <w:sz w:val="18"/>
                                <w:u w:val="single"/>
                              </w:rPr>
                            </w:pPr>
                            <w:r>
                              <w:rPr>
                                <w:bCs/>
                                <w:sz w:val="18"/>
                                <w:u w:val="single"/>
                              </w:rPr>
                              <w:t>Declaração de exoneração de responsabilidade:</w:t>
                            </w:r>
                          </w:p>
                          <w:p w:rsidR="00B06BF7" w:rsidRPr="0002668A" w:rsidRDefault="00B06BF7" w:rsidP="00E05D08">
                            <w:pPr>
                              <w:pStyle w:val="Normal12PTcouleurgris"/>
                              <w:rPr>
                                <w:sz w:val="18"/>
                              </w:rPr>
                            </w:pPr>
                            <w:r>
                              <w:rPr>
                                <w:sz w:val="18"/>
                              </w:rPr>
                              <w:t>As informações e as opiniões expressas no presente relatório são as dos autores e não refletem necessariamente a posição oficial da Comissão. A Comissão Europeia não garante a precisão dos dados contidos no presente relatório. Nem a Comissão nem qualquer pessoa agindo em seu nome pode ser considerada responsável pelo uso que possa ser dado às informações constantes da presente publicação.</w:t>
                            </w:r>
                          </w:p>
                          <w:p w:rsidR="00B06BF7" w:rsidRPr="000B1DDA" w:rsidRDefault="00B06BF7" w:rsidP="00E05D08">
                            <w:pPr>
                              <w:pStyle w:val="Normal12PTcouleurgris"/>
                            </w:pPr>
                          </w:p>
                          <w:p w:rsidR="00B06BF7" w:rsidRPr="004D4D87" w:rsidRDefault="00B06BF7"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06BF7" w:rsidRPr="00E05D08" w:rsidRDefault="00B06BF7" w:rsidP="00E05D08">
                            <w:pPr>
                              <w:pStyle w:val="Normal12PTcouleurgris"/>
                              <w:rPr>
                                <w:color w:val="BFBFBF"/>
                              </w:rPr>
                            </w:pPr>
                          </w:p>
                          <w:p w:rsidR="00B06BF7" w:rsidRPr="007F1B7F" w:rsidRDefault="00B06BF7" w:rsidP="00E05D08">
                            <w:pPr>
                              <w:pStyle w:val="Normal12PTcouleurgris"/>
                              <w:rPr>
                                <w:sz w:val="18"/>
                              </w:rPr>
                            </w:pPr>
                            <w:r>
                              <w:rPr>
                                <w:sz w:val="18"/>
                              </w:rPr>
                              <w:t>O Serviço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Agricultura e Desenvolvimento Rural da Comissão Europeia (CE). A fim de melhorar a avaliação da política de desenvolvimento rural da UE, o Serviço de Assistência na Avaliação presta apoio a todas as partes interessadas na avaliação, nomeadamente à DG Agricultura e Desenvolvimento Rural, às autoridades nacionais e às autoridades de gestão dos PDR, e aos avaliadores, através da conceção e da divulgação de metodologias e instrumentos adequados; da recolha e do intercâmbio de boas práticas; do desenvolvimento de capacidades e da comunicação com os membros da rede sobre questões relacionadas com a avaliação.</w:t>
                            </w:r>
                          </w:p>
                          <w:p w:rsidR="00B06BF7" w:rsidRPr="007F1B7F" w:rsidRDefault="00B06BF7" w:rsidP="00E05D08">
                            <w:pPr>
                              <w:pStyle w:val="Normal12PTcouleurgris"/>
                              <w:rPr>
                                <w:sz w:val="18"/>
                              </w:rPr>
                            </w:pPr>
                            <w:r>
                              <w:rPr>
                                <w:sz w:val="18"/>
                              </w:rPr>
                              <w:t>Encontram-se disponíveis na Internet, no servidor Europa (http://enrd.ec.europa.eu), mais informações sobre as atividades do Serviço Europeu de Assistência na Avaliação para o Desenvolvimento Rural.</w:t>
                            </w:r>
                          </w:p>
                          <w:p w:rsidR="00B06BF7" w:rsidRPr="00811EF1" w:rsidRDefault="00B06BF7"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B06BF7" w:rsidRPr="007F1B7F" w:rsidRDefault="00B06BF7" w:rsidP="00E05D08">
                      <w:pPr>
                        <w:pStyle w:val="Normal12PTcouleurgris"/>
                        <w:rPr>
                          <w:sz w:val="18"/>
                        </w:rPr>
                      </w:pPr>
                      <w:r>
                        <w:rPr>
                          <w:sz w:val="18"/>
                        </w:rPr>
                        <w:t>Declaração de direitos de autor</w:t>
                      </w:r>
                    </w:p>
                    <w:p w:rsidR="00B06BF7" w:rsidRPr="007F1B7F" w:rsidRDefault="00B06BF7" w:rsidP="00E05D08">
                      <w:pPr>
                        <w:pStyle w:val="Normal12PTcouleurgris"/>
                        <w:rPr>
                          <w:sz w:val="18"/>
                        </w:rPr>
                      </w:pPr>
                      <w:r>
                        <w:rPr>
                          <w:sz w:val="18"/>
                        </w:rPr>
                        <w:t>© União Europeia, 2017</w:t>
                      </w:r>
                    </w:p>
                    <w:p w:rsidR="00B06BF7" w:rsidRPr="007F1B7F" w:rsidRDefault="00B06BF7" w:rsidP="00E05D08">
                      <w:pPr>
                        <w:pStyle w:val="Normal12PTcouleurgris"/>
                        <w:rPr>
                          <w:sz w:val="18"/>
                        </w:rPr>
                      </w:pPr>
                      <w:r>
                        <w:rPr>
                          <w:sz w:val="18"/>
                        </w:rPr>
                        <w:t>Reprodução autorizada mediante indicação da fonte.</w:t>
                      </w:r>
                    </w:p>
                    <w:p w:rsidR="00B06BF7" w:rsidRPr="0002668A" w:rsidRDefault="00B06BF7" w:rsidP="00E05D08">
                      <w:pPr>
                        <w:pStyle w:val="Normal12PTcouleurgris"/>
                        <w:rPr>
                          <w:sz w:val="18"/>
                        </w:rPr>
                      </w:pPr>
                      <w:r w:rsidRPr="00472181">
                        <w:rPr>
                          <w:bCs/>
                          <w:sz w:val="18"/>
                          <w:u w:val="single"/>
                        </w:rPr>
                        <w:t>Citação recomendada</w:t>
                      </w:r>
                      <w:r>
                        <w:rPr>
                          <w:bCs/>
                          <w:sz w:val="18"/>
                        </w:rPr>
                        <w:t>:</w:t>
                      </w:r>
                      <w:r>
                        <w:rPr>
                          <w:sz w:val="18"/>
                        </w:rPr>
                        <w:t xml:space="preserve"> </w:t>
                      </w:r>
                    </w:p>
                    <w:p w:rsidR="00B06BF7" w:rsidRPr="0002668A" w:rsidRDefault="00B06BF7" w:rsidP="00E05D08">
                      <w:pPr>
                        <w:pStyle w:val="Normal12PTcouleurgris"/>
                        <w:rPr>
                          <w:sz w:val="18"/>
                        </w:rPr>
                      </w:pPr>
                      <w:r>
                        <w:rPr>
                          <w:sz w:val="18"/>
                        </w:rPr>
                        <w:t>COMISSÃO EUROPEIA — Direção-Geral da Agricultura e do Desenvolvimento Rural — Unidade C.4 (2017): Orientações: Avaliação da inovação nos programas de desenvolvimento rural 2014-2020.</w:t>
                      </w:r>
                    </w:p>
                    <w:p w:rsidR="00B06BF7" w:rsidRPr="0002668A" w:rsidRDefault="00B06BF7" w:rsidP="00E05D08">
                      <w:pPr>
                        <w:pStyle w:val="Normal12PTcouleurgris"/>
                        <w:rPr>
                          <w:bCs/>
                          <w:sz w:val="18"/>
                          <w:u w:val="single"/>
                        </w:rPr>
                      </w:pPr>
                      <w:r>
                        <w:rPr>
                          <w:bCs/>
                          <w:sz w:val="18"/>
                          <w:u w:val="single"/>
                        </w:rPr>
                        <w:t>Declaração de exoneração de responsabilidade:</w:t>
                      </w:r>
                    </w:p>
                    <w:p w:rsidR="00B06BF7" w:rsidRPr="0002668A" w:rsidRDefault="00B06BF7" w:rsidP="00E05D08">
                      <w:pPr>
                        <w:pStyle w:val="Normal12PTcouleurgris"/>
                        <w:rPr>
                          <w:sz w:val="18"/>
                        </w:rPr>
                      </w:pPr>
                      <w:r>
                        <w:rPr>
                          <w:sz w:val="18"/>
                        </w:rPr>
                        <w:t>As informações e as opiniões expressas no presente relatório são as dos autores e não refletem necessariamente a posição oficial da Comissão. A Comissão Europeia não garante a precisão dos dados contidos no presente relatório. Nem a Comissão nem qualquer pessoa agindo em seu nome pode ser considerada responsável pelo uso que possa ser dado às informações constantes da presente publicação.</w:t>
                      </w:r>
                    </w:p>
                    <w:p w:rsidR="00B06BF7" w:rsidRPr="000B1DDA" w:rsidRDefault="00B06BF7" w:rsidP="00E05D08">
                      <w:pPr>
                        <w:pStyle w:val="Normal12PTcouleurgris"/>
                      </w:pPr>
                    </w:p>
                    <w:p w:rsidR="00B06BF7" w:rsidRPr="004D4D87" w:rsidRDefault="00B06BF7"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06BF7" w:rsidRPr="00E05D08" w:rsidRDefault="00B06BF7" w:rsidP="00E05D08">
                      <w:pPr>
                        <w:pStyle w:val="Normal12PTcouleurgris"/>
                        <w:rPr>
                          <w:color w:val="BFBFBF"/>
                        </w:rPr>
                      </w:pPr>
                    </w:p>
                    <w:p w:rsidR="00B06BF7" w:rsidRPr="007F1B7F" w:rsidRDefault="00B06BF7" w:rsidP="00E05D08">
                      <w:pPr>
                        <w:pStyle w:val="Normal12PTcouleurgris"/>
                        <w:rPr>
                          <w:sz w:val="18"/>
                        </w:rPr>
                      </w:pPr>
                      <w:r>
                        <w:rPr>
                          <w:sz w:val="18"/>
                        </w:rPr>
                        <w:t>O Serviço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Agricultura e Desenvolvimento Rural da Comissão Europeia (CE). A fim de melhorar a avaliação da política de desenvolvimento rural da UE, o Serviço de Assistência na Avaliação presta apoio a todas as partes interessadas na avaliação, nomeadamente à DG Agricultura e Desenvolvimento Rural, às autoridades nacionais e às autoridades de gestão dos PDR, e aos avaliadores, através da conceção e da divulgação de metodologias e instrumentos adequados; da recolha e do intercâmbio de boas práticas; do desenvolvimento de capacidades e da comunicação com os membros da rede sobre questões relacionadas com a avaliação.</w:t>
                      </w:r>
                    </w:p>
                    <w:p w:rsidR="00B06BF7" w:rsidRPr="007F1B7F" w:rsidRDefault="00B06BF7" w:rsidP="00E05D08">
                      <w:pPr>
                        <w:pStyle w:val="Normal12PTcouleurgris"/>
                        <w:rPr>
                          <w:sz w:val="18"/>
                        </w:rPr>
                      </w:pPr>
                      <w:r>
                        <w:rPr>
                          <w:sz w:val="18"/>
                        </w:rPr>
                        <w:t>Encontram-se disponíveis na Internet, no servidor Europa (http://enrd.ec.europa.eu), mais informações sobre as atividades do Serviço Europeu de Assistência na Avaliação para o Desenvolvimento Rural.</w:t>
                      </w:r>
                    </w:p>
                    <w:p w:rsidR="00B06BF7" w:rsidRPr="00811EF1" w:rsidRDefault="00B06BF7"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BF7" w:rsidRPr="002D3552" w:rsidRDefault="00B06BF7" w:rsidP="00E05D08">
                            <w:pPr>
                              <w:pStyle w:val="HTitle1"/>
                            </w:pPr>
                            <w:r>
                              <w:t xml:space="preserve">Orientações </w:t>
                            </w:r>
                          </w:p>
                          <w:p w:rsidR="00B06BF7" w:rsidRPr="00DD6E53" w:rsidRDefault="00B06BF7" w:rsidP="00C947BA">
                            <w:pPr>
                              <w:pStyle w:val="HTitle2"/>
                              <w:jc w:val="left"/>
                            </w:pPr>
                            <w:r>
                              <w:t xml:space="preserve">Avaliação da Inovação nos </w:t>
                            </w:r>
                            <w:r>
                              <w:br/>
                              <w:t xml:space="preserve">Programas de Desenvolvimento Rural 2014-2020 </w:t>
                            </w:r>
                          </w:p>
                          <w:p w:rsidR="00B06BF7" w:rsidRPr="00DD6E53" w:rsidRDefault="00B06BF7" w:rsidP="00E05D08">
                            <w:pPr>
                              <w:rPr>
                                <w:color w:val="6F6F6F"/>
                                <w:sz w:val="28"/>
                                <w:szCs w:val="28"/>
                              </w:rPr>
                            </w:pPr>
                          </w:p>
                          <w:p w:rsidR="00B06BF7" w:rsidRDefault="00B06BF7" w:rsidP="00E05D08">
                            <w:pPr>
                              <w:pStyle w:val="HTitle3"/>
                            </w:pPr>
                            <w:r>
                              <w:t xml:space="preserve">Dezembro de 2017 </w:t>
                            </w:r>
                          </w:p>
                          <w:p w:rsidR="00B06BF7" w:rsidRPr="00BE49CF" w:rsidRDefault="00B06BF7"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B06BF7" w:rsidRPr="002D3552" w:rsidRDefault="00B06BF7" w:rsidP="00E05D08">
                      <w:pPr>
                        <w:pStyle w:val="HTitle1"/>
                      </w:pPr>
                      <w:r>
                        <w:t xml:space="preserve">Orientações </w:t>
                      </w:r>
                    </w:p>
                    <w:p w:rsidR="00B06BF7" w:rsidRPr="00DD6E53" w:rsidRDefault="00B06BF7" w:rsidP="00C947BA">
                      <w:pPr>
                        <w:pStyle w:val="HTitle2"/>
                        <w:jc w:val="left"/>
                      </w:pPr>
                      <w:r>
                        <w:t xml:space="preserve">Avaliação da Inovação nos </w:t>
                      </w:r>
                      <w:r>
                        <w:br/>
                        <w:t xml:space="preserve">Programas de Desenvolvimento Rural 2014-2020 </w:t>
                      </w:r>
                    </w:p>
                    <w:p w:rsidR="00B06BF7" w:rsidRPr="00DD6E53" w:rsidRDefault="00B06BF7" w:rsidP="00E05D08">
                      <w:pPr>
                        <w:rPr>
                          <w:color w:val="6F6F6F"/>
                          <w:sz w:val="28"/>
                          <w:szCs w:val="28"/>
                        </w:rPr>
                      </w:pPr>
                    </w:p>
                    <w:p w:rsidR="00B06BF7" w:rsidRDefault="00B06BF7" w:rsidP="00E05D08">
                      <w:pPr>
                        <w:pStyle w:val="HTitle3"/>
                      </w:pPr>
                      <w:r>
                        <w:t xml:space="preserve">Dezembro de 2017 </w:t>
                      </w:r>
                    </w:p>
                    <w:p w:rsidR="00B06BF7" w:rsidRPr="00BE49CF" w:rsidRDefault="00B06BF7"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22388F"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ÍNDICE</w:t>
      </w:r>
    </w:p>
    <w:p w:rsidR="0088770F" w:rsidRDefault="0088770F" w:rsidP="0088770F">
      <w:pPr>
        <w:pStyle w:val="TOC1"/>
        <w:tabs>
          <w:tab w:val="right" w:leader="dot" w:pos="9040"/>
        </w:tabs>
        <w:rPr>
          <w:rFonts w:asciiTheme="minorHAnsi" w:eastAsiaTheme="minorEastAsia" w:hAnsiTheme="minorHAnsi"/>
          <w:b w:val="0"/>
          <w:caps w:val="0"/>
          <w:noProof/>
          <w:color w:val="auto"/>
          <w:sz w:val="22"/>
          <w:lang w:eastAsia="pt-PT"/>
        </w:rPr>
      </w:pPr>
      <w:r>
        <w:rPr>
          <w:rFonts w:ascii="Helvetica LT Pro" w:eastAsia="Times New Roman" w:hAnsi="Helvetica LT Pro" w:cs="Times New Roman"/>
          <w:b w:val="0"/>
          <w:color w:val="000000" w:themeColor="text1"/>
          <w:szCs w:val="20"/>
        </w:rPr>
        <w:fldChar w:fldCharType="begin"/>
      </w:r>
      <w:r>
        <w:rPr>
          <w:rFonts w:ascii="Helvetica LT Pro" w:eastAsia="Times New Roman" w:hAnsi="Helvetica LT Pro" w:cs="Times New Roman"/>
          <w:b w:val="0"/>
          <w:color w:val="000000" w:themeColor="text1"/>
          <w:szCs w:val="20"/>
        </w:rPr>
        <w:instrText xml:space="preserve"> TOC \o "1-3" \h \z \u </w:instrText>
      </w:r>
      <w:r>
        <w:rPr>
          <w:rFonts w:ascii="Helvetica LT Pro" w:eastAsia="Times New Roman" w:hAnsi="Helvetica LT Pro" w:cs="Times New Roman"/>
          <w:b w:val="0"/>
          <w:color w:val="000000" w:themeColor="text1"/>
          <w:szCs w:val="20"/>
        </w:rPr>
        <w:fldChar w:fldCharType="separate"/>
      </w:r>
    </w:p>
    <w:p w:rsidR="0088770F" w:rsidRDefault="00B06BF7">
      <w:pPr>
        <w:pStyle w:val="TOC1"/>
        <w:tabs>
          <w:tab w:val="right" w:leader="dot" w:pos="9040"/>
        </w:tabs>
        <w:rPr>
          <w:rFonts w:asciiTheme="minorHAnsi" w:eastAsiaTheme="minorEastAsia" w:hAnsiTheme="minorHAnsi"/>
          <w:b w:val="0"/>
          <w:caps w:val="0"/>
          <w:noProof/>
          <w:color w:val="auto"/>
          <w:sz w:val="22"/>
          <w:lang w:eastAsia="pt-PT"/>
        </w:rPr>
      </w:pPr>
      <w:hyperlink w:anchor="_Toc508372654" w:history="1">
        <w:r w:rsidR="0088770F" w:rsidRPr="00AA12CE">
          <w:rPr>
            <w:rStyle w:val="Hyperlink"/>
            <w:noProof/>
          </w:rPr>
          <w:t>1.</w:t>
        </w:r>
        <w:r w:rsidR="0088770F">
          <w:rPr>
            <w:rFonts w:asciiTheme="minorHAnsi" w:eastAsiaTheme="minorEastAsia" w:hAnsiTheme="minorHAnsi"/>
            <w:b w:val="0"/>
            <w:caps w:val="0"/>
            <w:noProof/>
            <w:color w:val="auto"/>
            <w:sz w:val="22"/>
            <w:lang w:eastAsia="pt-PT"/>
          </w:rPr>
          <w:tab/>
        </w:r>
        <w:r w:rsidR="0088770F" w:rsidRPr="00AA12CE">
          <w:rPr>
            <w:rStyle w:val="Hyperlink"/>
            <w:noProof/>
          </w:rPr>
          <w:t>QUADRO CONCEPTUAL</w:t>
        </w:r>
        <w:r w:rsidR="0088770F">
          <w:rPr>
            <w:noProof/>
            <w:webHidden/>
          </w:rPr>
          <w:tab/>
        </w:r>
        <w:r w:rsidR="0088770F">
          <w:rPr>
            <w:noProof/>
            <w:webHidden/>
          </w:rPr>
          <w:fldChar w:fldCharType="begin"/>
        </w:r>
        <w:r w:rsidR="0088770F">
          <w:rPr>
            <w:noProof/>
            <w:webHidden/>
          </w:rPr>
          <w:instrText xml:space="preserve"> PAGEREF _Toc508372654 \h </w:instrText>
        </w:r>
        <w:r w:rsidR="0088770F">
          <w:rPr>
            <w:noProof/>
            <w:webHidden/>
          </w:rPr>
        </w:r>
        <w:r w:rsidR="0088770F">
          <w:rPr>
            <w:noProof/>
            <w:webHidden/>
          </w:rPr>
          <w:fldChar w:fldCharType="separate"/>
        </w:r>
        <w:r w:rsidR="004C029E">
          <w:rPr>
            <w:noProof/>
            <w:webHidden/>
          </w:rPr>
          <w:t>3</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55" w:history="1">
        <w:r w:rsidR="0088770F" w:rsidRPr="00AA12CE">
          <w:rPr>
            <w:rStyle w:val="Hyperlink"/>
            <w:noProof/>
          </w:rPr>
          <w:t>1.1</w:t>
        </w:r>
        <w:r w:rsidR="0088770F">
          <w:rPr>
            <w:rFonts w:asciiTheme="minorHAnsi" w:eastAsiaTheme="minorEastAsia" w:hAnsiTheme="minorHAnsi"/>
            <w:noProof/>
            <w:color w:val="auto"/>
            <w:sz w:val="22"/>
            <w:lang w:eastAsia="pt-PT"/>
          </w:rPr>
          <w:tab/>
        </w:r>
        <w:r w:rsidR="0088770F" w:rsidRPr="00AA12CE">
          <w:rPr>
            <w:rStyle w:val="Hyperlink"/>
            <w:noProof/>
          </w:rPr>
          <w:t>Inovação e Desenvolvimento Rural</w:t>
        </w:r>
        <w:r w:rsidR="0088770F">
          <w:rPr>
            <w:noProof/>
            <w:webHidden/>
          </w:rPr>
          <w:tab/>
        </w:r>
        <w:r w:rsidR="0088770F">
          <w:rPr>
            <w:noProof/>
            <w:webHidden/>
          </w:rPr>
          <w:fldChar w:fldCharType="begin"/>
        </w:r>
        <w:r w:rsidR="0088770F">
          <w:rPr>
            <w:noProof/>
            <w:webHidden/>
          </w:rPr>
          <w:instrText xml:space="preserve"> PAGEREF _Toc508372655 \h </w:instrText>
        </w:r>
        <w:r w:rsidR="0088770F">
          <w:rPr>
            <w:noProof/>
            <w:webHidden/>
          </w:rPr>
        </w:r>
        <w:r w:rsidR="0088770F">
          <w:rPr>
            <w:noProof/>
            <w:webHidden/>
          </w:rPr>
          <w:fldChar w:fldCharType="separate"/>
        </w:r>
        <w:r w:rsidR="004C029E">
          <w:rPr>
            <w:noProof/>
            <w:webHidden/>
          </w:rPr>
          <w:t>3</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56" w:history="1">
        <w:r w:rsidR="0088770F" w:rsidRPr="00AA12CE">
          <w:rPr>
            <w:rStyle w:val="Hyperlink"/>
            <w:noProof/>
          </w:rPr>
          <w:t>1.2</w:t>
        </w:r>
        <w:r w:rsidR="0088770F">
          <w:rPr>
            <w:rFonts w:asciiTheme="minorHAnsi" w:eastAsiaTheme="minorEastAsia" w:hAnsiTheme="minorHAnsi"/>
            <w:noProof/>
            <w:color w:val="auto"/>
            <w:sz w:val="22"/>
            <w:lang w:eastAsia="pt-PT"/>
          </w:rPr>
          <w:tab/>
        </w:r>
        <w:r w:rsidR="0088770F" w:rsidRPr="00AA12CE">
          <w:rPr>
            <w:rStyle w:val="Hyperlink"/>
            <w:noProof/>
          </w:rPr>
          <w:t>O quadro político da UE</w:t>
        </w:r>
        <w:r w:rsidR="0088770F">
          <w:rPr>
            <w:noProof/>
            <w:webHidden/>
          </w:rPr>
          <w:tab/>
        </w:r>
        <w:r w:rsidR="0088770F">
          <w:rPr>
            <w:noProof/>
            <w:webHidden/>
          </w:rPr>
          <w:fldChar w:fldCharType="begin"/>
        </w:r>
        <w:r w:rsidR="0088770F">
          <w:rPr>
            <w:noProof/>
            <w:webHidden/>
          </w:rPr>
          <w:instrText xml:space="preserve"> PAGEREF _Toc508372656 \h </w:instrText>
        </w:r>
        <w:r w:rsidR="0088770F">
          <w:rPr>
            <w:noProof/>
            <w:webHidden/>
          </w:rPr>
        </w:r>
        <w:r w:rsidR="0088770F">
          <w:rPr>
            <w:noProof/>
            <w:webHidden/>
          </w:rPr>
          <w:fldChar w:fldCharType="separate"/>
        </w:r>
        <w:r w:rsidR="004C029E">
          <w:rPr>
            <w:noProof/>
            <w:webHidden/>
          </w:rPr>
          <w:t>11</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57" w:history="1">
        <w:r w:rsidR="0088770F" w:rsidRPr="00AA12CE">
          <w:rPr>
            <w:rStyle w:val="Hyperlink"/>
            <w:noProof/>
          </w:rPr>
          <w:t>1.2.1</w:t>
        </w:r>
        <w:r w:rsidR="0088770F">
          <w:rPr>
            <w:rFonts w:asciiTheme="minorHAnsi" w:eastAsiaTheme="minorEastAsia" w:hAnsiTheme="minorHAnsi"/>
            <w:noProof/>
            <w:color w:val="auto"/>
            <w:sz w:val="22"/>
            <w:lang w:eastAsia="pt-PT"/>
          </w:rPr>
          <w:tab/>
        </w:r>
        <w:r w:rsidR="0088770F" w:rsidRPr="00AA12CE">
          <w:rPr>
            <w:rStyle w:val="Hyperlink"/>
            <w:noProof/>
          </w:rPr>
          <w:t>O quadro político para a inovação na UE e a Política de Desenvolvimento Rural</w:t>
        </w:r>
        <w:r w:rsidR="0088770F">
          <w:rPr>
            <w:noProof/>
            <w:webHidden/>
          </w:rPr>
          <w:tab/>
        </w:r>
        <w:r w:rsidR="0088770F">
          <w:rPr>
            <w:noProof/>
            <w:webHidden/>
          </w:rPr>
          <w:fldChar w:fldCharType="begin"/>
        </w:r>
        <w:r w:rsidR="0088770F">
          <w:rPr>
            <w:noProof/>
            <w:webHidden/>
          </w:rPr>
          <w:instrText xml:space="preserve"> PAGEREF _Toc508372657 \h </w:instrText>
        </w:r>
        <w:r w:rsidR="0088770F">
          <w:rPr>
            <w:noProof/>
            <w:webHidden/>
          </w:rPr>
        </w:r>
        <w:r w:rsidR="0088770F">
          <w:rPr>
            <w:noProof/>
            <w:webHidden/>
          </w:rPr>
          <w:fldChar w:fldCharType="separate"/>
        </w:r>
        <w:r w:rsidR="004C029E">
          <w:rPr>
            <w:noProof/>
            <w:webHidden/>
          </w:rPr>
          <w:t>11</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58" w:history="1">
        <w:r w:rsidR="0088770F" w:rsidRPr="00AA12CE">
          <w:rPr>
            <w:rStyle w:val="Hyperlink"/>
            <w:noProof/>
          </w:rPr>
          <w:t>1.2.2</w:t>
        </w:r>
        <w:r w:rsidR="0088770F">
          <w:rPr>
            <w:rFonts w:asciiTheme="minorHAnsi" w:eastAsiaTheme="minorEastAsia" w:hAnsiTheme="minorHAnsi"/>
            <w:noProof/>
            <w:color w:val="auto"/>
            <w:sz w:val="22"/>
            <w:lang w:eastAsia="pt-PT"/>
          </w:rPr>
          <w:tab/>
        </w:r>
        <w:r w:rsidR="0088770F" w:rsidRPr="00AA12CE">
          <w:rPr>
            <w:rStyle w:val="Hyperlink"/>
            <w:noProof/>
          </w:rPr>
          <w:t>Os elementos de avaliação comuns para a inovação</w:t>
        </w:r>
        <w:r w:rsidR="0088770F">
          <w:rPr>
            <w:noProof/>
            <w:webHidden/>
          </w:rPr>
          <w:tab/>
        </w:r>
        <w:r w:rsidR="0088770F">
          <w:rPr>
            <w:noProof/>
            <w:webHidden/>
          </w:rPr>
          <w:fldChar w:fldCharType="begin"/>
        </w:r>
        <w:r w:rsidR="0088770F">
          <w:rPr>
            <w:noProof/>
            <w:webHidden/>
          </w:rPr>
          <w:instrText xml:space="preserve"> PAGEREF _Toc508372658 \h </w:instrText>
        </w:r>
        <w:r w:rsidR="0088770F">
          <w:rPr>
            <w:noProof/>
            <w:webHidden/>
          </w:rPr>
        </w:r>
        <w:r w:rsidR="0088770F">
          <w:rPr>
            <w:noProof/>
            <w:webHidden/>
          </w:rPr>
          <w:fldChar w:fldCharType="separate"/>
        </w:r>
        <w:r w:rsidR="004C029E">
          <w:rPr>
            <w:noProof/>
            <w:webHidden/>
          </w:rPr>
          <w:t>14</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59" w:history="1">
        <w:r w:rsidR="0088770F" w:rsidRPr="00AA12CE">
          <w:rPr>
            <w:rStyle w:val="Hyperlink"/>
            <w:noProof/>
          </w:rPr>
          <w:t>1.3</w:t>
        </w:r>
        <w:r w:rsidR="0088770F">
          <w:rPr>
            <w:rFonts w:asciiTheme="minorHAnsi" w:eastAsiaTheme="minorEastAsia" w:hAnsiTheme="minorHAnsi"/>
            <w:noProof/>
            <w:color w:val="auto"/>
            <w:sz w:val="22"/>
            <w:lang w:eastAsia="pt-PT"/>
          </w:rPr>
          <w:tab/>
        </w:r>
        <w:r w:rsidR="0088770F" w:rsidRPr="00AA12CE">
          <w:rPr>
            <w:rStyle w:val="Hyperlink"/>
            <w:noProof/>
          </w:rPr>
          <w:t>Desafios em matéria de avaliação da inovação</w:t>
        </w:r>
        <w:r w:rsidR="0088770F">
          <w:rPr>
            <w:noProof/>
            <w:webHidden/>
          </w:rPr>
          <w:tab/>
        </w:r>
        <w:r w:rsidR="0088770F">
          <w:rPr>
            <w:noProof/>
            <w:webHidden/>
          </w:rPr>
          <w:fldChar w:fldCharType="begin"/>
        </w:r>
        <w:r w:rsidR="0088770F">
          <w:rPr>
            <w:noProof/>
            <w:webHidden/>
          </w:rPr>
          <w:instrText xml:space="preserve"> PAGEREF _Toc508372659 \h </w:instrText>
        </w:r>
        <w:r w:rsidR="0088770F">
          <w:rPr>
            <w:noProof/>
            <w:webHidden/>
          </w:rPr>
        </w:r>
        <w:r w:rsidR="0088770F">
          <w:rPr>
            <w:noProof/>
            <w:webHidden/>
          </w:rPr>
          <w:fldChar w:fldCharType="separate"/>
        </w:r>
        <w:r w:rsidR="004C029E">
          <w:rPr>
            <w:noProof/>
            <w:webHidden/>
          </w:rPr>
          <w:t>16</w:t>
        </w:r>
        <w:r w:rsidR="0088770F">
          <w:rPr>
            <w:noProof/>
            <w:webHidden/>
          </w:rPr>
          <w:fldChar w:fldCharType="end"/>
        </w:r>
      </w:hyperlink>
    </w:p>
    <w:p w:rsidR="0088770F" w:rsidRDefault="00B06BF7">
      <w:pPr>
        <w:pStyle w:val="TOC1"/>
        <w:tabs>
          <w:tab w:val="right" w:leader="dot" w:pos="9040"/>
        </w:tabs>
        <w:rPr>
          <w:rFonts w:asciiTheme="minorHAnsi" w:eastAsiaTheme="minorEastAsia" w:hAnsiTheme="minorHAnsi"/>
          <w:b w:val="0"/>
          <w:caps w:val="0"/>
          <w:noProof/>
          <w:color w:val="auto"/>
          <w:sz w:val="22"/>
          <w:lang w:eastAsia="pt-PT"/>
        </w:rPr>
      </w:pPr>
      <w:hyperlink w:anchor="_Toc508372660" w:history="1">
        <w:r w:rsidR="0088770F" w:rsidRPr="00AA12CE">
          <w:rPr>
            <w:rStyle w:val="Hyperlink"/>
            <w:noProof/>
          </w:rPr>
          <w:t>2.</w:t>
        </w:r>
        <w:r w:rsidR="0088770F">
          <w:rPr>
            <w:rFonts w:asciiTheme="minorHAnsi" w:eastAsiaTheme="minorEastAsia" w:hAnsiTheme="minorHAnsi"/>
            <w:b w:val="0"/>
            <w:caps w:val="0"/>
            <w:noProof/>
            <w:color w:val="auto"/>
            <w:sz w:val="22"/>
            <w:lang w:eastAsia="pt-PT"/>
          </w:rPr>
          <w:tab/>
        </w:r>
        <w:r w:rsidR="0088770F" w:rsidRPr="00AA12CE">
          <w:rPr>
            <w:rStyle w:val="Hyperlink"/>
            <w:noProof/>
          </w:rPr>
          <w:t>Como avaliar a inovação nos PDR</w:t>
        </w:r>
        <w:r w:rsidR="0088770F">
          <w:rPr>
            <w:noProof/>
            <w:webHidden/>
          </w:rPr>
          <w:tab/>
        </w:r>
        <w:r w:rsidR="0088770F">
          <w:rPr>
            <w:noProof/>
            <w:webHidden/>
          </w:rPr>
          <w:fldChar w:fldCharType="begin"/>
        </w:r>
        <w:r w:rsidR="0088770F">
          <w:rPr>
            <w:noProof/>
            <w:webHidden/>
          </w:rPr>
          <w:instrText xml:space="preserve"> PAGEREF _Toc508372660 \h </w:instrText>
        </w:r>
        <w:r w:rsidR="0088770F">
          <w:rPr>
            <w:noProof/>
            <w:webHidden/>
          </w:rPr>
        </w:r>
        <w:r w:rsidR="0088770F">
          <w:rPr>
            <w:noProof/>
            <w:webHidden/>
          </w:rPr>
          <w:fldChar w:fldCharType="separate"/>
        </w:r>
        <w:r w:rsidR="004C029E">
          <w:rPr>
            <w:noProof/>
            <w:webHidden/>
          </w:rPr>
          <w:t>18</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61" w:history="1">
        <w:r w:rsidR="0088770F" w:rsidRPr="00AA12CE">
          <w:rPr>
            <w:rStyle w:val="Hyperlink"/>
            <w:noProof/>
          </w:rPr>
          <w:t>2.1</w:t>
        </w:r>
        <w:r w:rsidR="0088770F">
          <w:rPr>
            <w:rFonts w:asciiTheme="minorHAnsi" w:eastAsiaTheme="minorEastAsia" w:hAnsiTheme="minorHAnsi"/>
            <w:noProof/>
            <w:color w:val="auto"/>
            <w:sz w:val="22"/>
            <w:lang w:eastAsia="pt-PT"/>
          </w:rPr>
          <w:tab/>
        </w:r>
        <w:r w:rsidR="0088770F" w:rsidRPr="00AA12CE">
          <w:rPr>
            <w:rStyle w:val="Hyperlink"/>
            <w:noProof/>
          </w:rPr>
          <w:t>Abordagem proposta para avaliar a inovação nos PDR 2014-2020 (visão geral)</w:t>
        </w:r>
        <w:r w:rsidR="0088770F">
          <w:rPr>
            <w:noProof/>
            <w:webHidden/>
          </w:rPr>
          <w:tab/>
        </w:r>
        <w:r w:rsidR="0088770F">
          <w:rPr>
            <w:noProof/>
            <w:webHidden/>
          </w:rPr>
          <w:fldChar w:fldCharType="begin"/>
        </w:r>
        <w:r w:rsidR="0088770F">
          <w:rPr>
            <w:noProof/>
            <w:webHidden/>
          </w:rPr>
          <w:instrText xml:space="preserve"> PAGEREF _Toc508372661 \h </w:instrText>
        </w:r>
        <w:r w:rsidR="0088770F">
          <w:rPr>
            <w:noProof/>
            <w:webHidden/>
          </w:rPr>
        </w:r>
        <w:r w:rsidR="0088770F">
          <w:rPr>
            <w:noProof/>
            <w:webHidden/>
          </w:rPr>
          <w:fldChar w:fldCharType="separate"/>
        </w:r>
        <w:r w:rsidR="004C029E">
          <w:rPr>
            <w:noProof/>
            <w:webHidden/>
          </w:rPr>
          <w:t>18</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62" w:history="1">
        <w:r w:rsidR="0088770F" w:rsidRPr="00AA12CE">
          <w:rPr>
            <w:rStyle w:val="Hyperlink"/>
            <w:noProof/>
          </w:rPr>
          <w:t>2.2</w:t>
        </w:r>
        <w:r w:rsidR="0088770F">
          <w:rPr>
            <w:rFonts w:asciiTheme="minorHAnsi" w:eastAsiaTheme="minorEastAsia" w:hAnsiTheme="minorHAnsi"/>
            <w:noProof/>
            <w:color w:val="auto"/>
            <w:sz w:val="22"/>
            <w:lang w:eastAsia="pt-PT"/>
          </w:rPr>
          <w:tab/>
        </w:r>
        <w:r w:rsidR="0088770F" w:rsidRPr="00AA12CE">
          <w:rPr>
            <w:rStyle w:val="Hyperlink"/>
            <w:noProof/>
          </w:rPr>
          <w:t>Análise do potencial de inovação das medidas/submedidas do PDR (recomendado)</w:t>
        </w:r>
        <w:r w:rsidR="0088770F">
          <w:rPr>
            <w:noProof/>
            <w:webHidden/>
          </w:rPr>
          <w:tab/>
        </w:r>
        <w:r w:rsidR="0088770F">
          <w:rPr>
            <w:noProof/>
            <w:webHidden/>
          </w:rPr>
          <w:fldChar w:fldCharType="begin"/>
        </w:r>
        <w:r w:rsidR="0088770F">
          <w:rPr>
            <w:noProof/>
            <w:webHidden/>
          </w:rPr>
          <w:instrText xml:space="preserve"> PAGEREF _Toc508372662 \h </w:instrText>
        </w:r>
        <w:r w:rsidR="0088770F">
          <w:rPr>
            <w:noProof/>
            <w:webHidden/>
          </w:rPr>
        </w:r>
        <w:r w:rsidR="0088770F">
          <w:rPr>
            <w:noProof/>
            <w:webHidden/>
          </w:rPr>
          <w:fldChar w:fldCharType="separate"/>
        </w:r>
        <w:r w:rsidR="004C029E">
          <w:rPr>
            <w:noProof/>
            <w:webHidden/>
          </w:rPr>
          <w:t>21</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63" w:history="1">
        <w:r w:rsidR="0088770F" w:rsidRPr="00AA12CE">
          <w:rPr>
            <w:rStyle w:val="Hyperlink"/>
            <w:noProof/>
          </w:rPr>
          <w:t>2.3</w:t>
        </w:r>
        <w:r w:rsidR="0088770F">
          <w:rPr>
            <w:rFonts w:asciiTheme="minorHAnsi" w:eastAsiaTheme="minorEastAsia" w:hAnsiTheme="minorHAnsi"/>
            <w:noProof/>
            <w:color w:val="auto"/>
            <w:sz w:val="22"/>
            <w:lang w:eastAsia="pt-PT"/>
          </w:rPr>
          <w:tab/>
        </w:r>
        <w:r w:rsidR="0088770F" w:rsidRPr="00AA12CE">
          <w:rPr>
            <w:rStyle w:val="Hyperlink"/>
            <w:noProof/>
          </w:rPr>
          <w:t>Complementar os elementos de avaliação comuns para a inovação (recomendado)</w:t>
        </w:r>
        <w:r w:rsidR="0088770F">
          <w:rPr>
            <w:noProof/>
            <w:webHidden/>
          </w:rPr>
          <w:tab/>
        </w:r>
        <w:r w:rsidR="0088770F">
          <w:rPr>
            <w:noProof/>
            <w:webHidden/>
          </w:rPr>
          <w:fldChar w:fldCharType="begin"/>
        </w:r>
        <w:r w:rsidR="0088770F">
          <w:rPr>
            <w:noProof/>
            <w:webHidden/>
          </w:rPr>
          <w:instrText xml:space="preserve"> PAGEREF _Toc508372663 \h </w:instrText>
        </w:r>
        <w:r w:rsidR="0088770F">
          <w:rPr>
            <w:noProof/>
            <w:webHidden/>
          </w:rPr>
        </w:r>
        <w:r w:rsidR="0088770F">
          <w:rPr>
            <w:noProof/>
            <w:webHidden/>
          </w:rPr>
          <w:fldChar w:fldCharType="separate"/>
        </w:r>
        <w:r w:rsidR="004C029E">
          <w:rPr>
            <w:noProof/>
            <w:webHidden/>
          </w:rPr>
          <w:t>25</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64" w:history="1">
        <w:r w:rsidR="0088770F" w:rsidRPr="00AA12CE">
          <w:rPr>
            <w:rStyle w:val="Hyperlink"/>
            <w:noProof/>
            <w:snapToGrid w:val="0"/>
          </w:rPr>
          <w:t>2.4</w:t>
        </w:r>
        <w:r w:rsidR="0088770F">
          <w:rPr>
            <w:rFonts w:asciiTheme="minorHAnsi" w:eastAsiaTheme="minorEastAsia" w:hAnsiTheme="minorHAnsi"/>
            <w:noProof/>
            <w:color w:val="auto"/>
            <w:sz w:val="22"/>
            <w:lang w:eastAsia="pt-PT"/>
          </w:rPr>
          <w:tab/>
        </w:r>
        <w:r w:rsidR="0088770F" w:rsidRPr="00AA12CE">
          <w:rPr>
            <w:rStyle w:val="Hyperlink"/>
            <w:noProof/>
          </w:rPr>
          <w:t>Responder às questões de avaliação comuns pertinentes (obrigatório)</w:t>
        </w:r>
        <w:r w:rsidR="0088770F">
          <w:rPr>
            <w:noProof/>
            <w:webHidden/>
          </w:rPr>
          <w:tab/>
        </w:r>
        <w:r w:rsidR="0088770F">
          <w:rPr>
            <w:noProof/>
            <w:webHidden/>
          </w:rPr>
          <w:fldChar w:fldCharType="begin"/>
        </w:r>
        <w:r w:rsidR="0088770F">
          <w:rPr>
            <w:noProof/>
            <w:webHidden/>
          </w:rPr>
          <w:instrText xml:space="preserve"> PAGEREF _Toc508372664 \h </w:instrText>
        </w:r>
        <w:r w:rsidR="0088770F">
          <w:rPr>
            <w:noProof/>
            <w:webHidden/>
          </w:rPr>
        </w:r>
        <w:r w:rsidR="0088770F">
          <w:rPr>
            <w:noProof/>
            <w:webHidden/>
          </w:rPr>
          <w:fldChar w:fldCharType="separate"/>
        </w:r>
        <w:r w:rsidR="004C029E">
          <w:rPr>
            <w:noProof/>
            <w:webHidden/>
          </w:rPr>
          <w:t>26</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65" w:history="1">
        <w:r w:rsidR="0088770F" w:rsidRPr="00AA12CE">
          <w:rPr>
            <w:rStyle w:val="Hyperlink"/>
            <w:noProof/>
          </w:rPr>
          <w:t>2.4.1</w:t>
        </w:r>
        <w:r w:rsidR="0088770F">
          <w:rPr>
            <w:rFonts w:asciiTheme="minorHAnsi" w:eastAsiaTheme="minorEastAsia" w:hAnsiTheme="minorHAnsi"/>
            <w:noProof/>
            <w:color w:val="auto"/>
            <w:sz w:val="22"/>
            <w:lang w:eastAsia="pt-PT"/>
          </w:rPr>
          <w:tab/>
        </w:r>
        <w:r w:rsidR="0088770F" w:rsidRPr="00AA12CE">
          <w:rPr>
            <w:rStyle w:val="Hyperlink"/>
            <w:noProof/>
          </w:rPr>
          <w:t>QAC n.º 1: «Até que ponto as intervenções do PDR apoiaram a inovação, a cooperação e o desenvolvimento da base de conhecimentos nas zonas rurais?»</w:t>
        </w:r>
        <w:r w:rsidR="0088770F">
          <w:rPr>
            <w:noProof/>
            <w:webHidden/>
          </w:rPr>
          <w:tab/>
        </w:r>
        <w:r w:rsidR="0088770F">
          <w:rPr>
            <w:noProof/>
            <w:webHidden/>
          </w:rPr>
          <w:fldChar w:fldCharType="begin"/>
        </w:r>
        <w:r w:rsidR="0088770F">
          <w:rPr>
            <w:noProof/>
            <w:webHidden/>
          </w:rPr>
          <w:instrText xml:space="preserve"> PAGEREF _Toc508372665 \h </w:instrText>
        </w:r>
        <w:r w:rsidR="0088770F">
          <w:rPr>
            <w:noProof/>
            <w:webHidden/>
          </w:rPr>
        </w:r>
        <w:r w:rsidR="0088770F">
          <w:rPr>
            <w:noProof/>
            <w:webHidden/>
          </w:rPr>
          <w:fldChar w:fldCharType="separate"/>
        </w:r>
        <w:r w:rsidR="004C029E">
          <w:rPr>
            <w:noProof/>
            <w:webHidden/>
          </w:rPr>
          <w:t>27</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66" w:history="1">
        <w:r w:rsidR="0088770F" w:rsidRPr="00AA12CE">
          <w:rPr>
            <w:rStyle w:val="Hyperlink"/>
            <w:noProof/>
          </w:rPr>
          <w:t>2.4.2</w:t>
        </w:r>
        <w:r w:rsidR="0088770F">
          <w:rPr>
            <w:rFonts w:asciiTheme="minorHAnsi" w:eastAsiaTheme="minorEastAsia" w:hAnsiTheme="minorHAnsi"/>
            <w:noProof/>
            <w:color w:val="auto"/>
            <w:sz w:val="22"/>
            <w:lang w:eastAsia="pt-PT"/>
          </w:rPr>
          <w:tab/>
        </w:r>
        <w:r w:rsidR="0088770F" w:rsidRPr="00AA12CE">
          <w:rPr>
            <w:rStyle w:val="Hyperlink"/>
            <w:noProof/>
          </w:rPr>
          <w:t>QAC n.º 2: «Até que ponto as intervenções do PDR apoiaram o reforço das ligações entre a agricultura, a produção alimentar e a silvicultura e a investigação e a inovação, inclusive na perspetiva de uma melhor gestão e desempenho ambientais?»</w:t>
        </w:r>
        <w:r w:rsidR="0088770F">
          <w:rPr>
            <w:noProof/>
            <w:webHidden/>
          </w:rPr>
          <w:tab/>
        </w:r>
        <w:r w:rsidR="0088770F">
          <w:rPr>
            <w:noProof/>
            <w:webHidden/>
          </w:rPr>
          <w:fldChar w:fldCharType="begin"/>
        </w:r>
        <w:r w:rsidR="0088770F">
          <w:rPr>
            <w:noProof/>
            <w:webHidden/>
          </w:rPr>
          <w:instrText xml:space="preserve"> PAGEREF _Toc508372666 \h </w:instrText>
        </w:r>
        <w:r w:rsidR="0088770F">
          <w:rPr>
            <w:noProof/>
            <w:webHidden/>
          </w:rPr>
        </w:r>
        <w:r w:rsidR="0088770F">
          <w:rPr>
            <w:noProof/>
            <w:webHidden/>
          </w:rPr>
          <w:fldChar w:fldCharType="separate"/>
        </w:r>
        <w:r w:rsidR="004C029E">
          <w:rPr>
            <w:noProof/>
            <w:webHidden/>
          </w:rPr>
          <w:t>36</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67" w:history="1">
        <w:r w:rsidR="0088770F" w:rsidRPr="00AA12CE">
          <w:rPr>
            <w:rStyle w:val="Hyperlink"/>
            <w:noProof/>
          </w:rPr>
          <w:t>2.4.3</w:t>
        </w:r>
        <w:r w:rsidR="0088770F">
          <w:rPr>
            <w:rFonts w:asciiTheme="minorHAnsi" w:eastAsiaTheme="minorEastAsia" w:hAnsiTheme="minorHAnsi"/>
            <w:noProof/>
            <w:color w:val="auto"/>
            <w:sz w:val="22"/>
            <w:lang w:eastAsia="pt-PT"/>
          </w:rPr>
          <w:tab/>
        </w:r>
        <w:r w:rsidR="0088770F" w:rsidRPr="00AA12CE">
          <w:rPr>
            <w:rStyle w:val="Hyperlink"/>
            <w:noProof/>
          </w:rPr>
          <w:t>QAC n.º 21: «Até que ponto a rede rural nacional contribuiu para a realização dos objetivos fixados no artigo 54.º, n.º 2, do Regulamento (UE) n.º 1305/2013?».</w:t>
        </w:r>
        <w:r w:rsidR="0088770F">
          <w:rPr>
            <w:noProof/>
            <w:webHidden/>
          </w:rPr>
          <w:tab/>
        </w:r>
        <w:r w:rsidR="0088770F">
          <w:rPr>
            <w:noProof/>
            <w:webHidden/>
          </w:rPr>
          <w:fldChar w:fldCharType="begin"/>
        </w:r>
        <w:r w:rsidR="0088770F">
          <w:rPr>
            <w:noProof/>
            <w:webHidden/>
          </w:rPr>
          <w:instrText xml:space="preserve"> PAGEREF _Toc508372667 \h </w:instrText>
        </w:r>
        <w:r w:rsidR="0088770F">
          <w:rPr>
            <w:noProof/>
            <w:webHidden/>
          </w:rPr>
        </w:r>
        <w:r w:rsidR="0088770F">
          <w:rPr>
            <w:noProof/>
            <w:webHidden/>
          </w:rPr>
          <w:fldChar w:fldCharType="separate"/>
        </w:r>
        <w:r w:rsidR="004C029E">
          <w:rPr>
            <w:noProof/>
            <w:webHidden/>
          </w:rPr>
          <w:t>44</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68" w:history="1">
        <w:r w:rsidR="0088770F" w:rsidRPr="00AA12CE">
          <w:rPr>
            <w:rStyle w:val="Hyperlink"/>
            <w:noProof/>
          </w:rPr>
          <w:t>2.4.4</w:t>
        </w:r>
        <w:r w:rsidR="0088770F">
          <w:rPr>
            <w:rFonts w:asciiTheme="minorHAnsi" w:eastAsiaTheme="minorEastAsia" w:hAnsiTheme="minorHAnsi"/>
            <w:noProof/>
            <w:color w:val="auto"/>
            <w:sz w:val="22"/>
            <w:lang w:eastAsia="pt-PT"/>
          </w:rPr>
          <w:tab/>
        </w:r>
        <w:r w:rsidR="0088770F" w:rsidRPr="00AA12CE">
          <w:rPr>
            <w:rStyle w:val="Hyperlink"/>
            <w:noProof/>
          </w:rPr>
          <w:t>QAC n.º 23: «Até que ponto o PDR contribuiu para a realização do grande objetivo da Estratégia UE 2020 de investimento de 3 % do PIB da UE em investigação, desenvolvimento e inovação?»</w:t>
        </w:r>
        <w:r w:rsidR="0088770F">
          <w:rPr>
            <w:noProof/>
            <w:webHidden/>
          </w:rPr>
          <w:tab/>
        </w:r>
        <w:r w:rsidR="0088770F">
          <w:rPr>
            <w:noProof/>
            <w:webHidden/>
          </w:rPr>
          <w:fldChar w:fldCharType="begin"/>
        </w:r>
        <w:r w:rsidR="0088770F">
          <w:rPr>
            <w:noProof/>
            <w:webHidden/>
          </w:rPr>
          <w:instrText xml:space="preserve"> PAGEREF _Toc508372668 \h </w:instrText>
        </w:r>
        <w:r w:rsidR="0088770F">
          <w:rPr>
            <w:noProof/>
            <w:webHidden/>
          </w:rPr>
        </w:r>
        <w:r w:rsidR="0088770F">
          <w:rPr>
            <w:noProof/>
            <w:webHidden/>
          </w:rPr>
          <w:fldChar w:fldCharType="separate"/>
        </w:r>
        <w:r w:rsidR="004C029E">
          <w:rPr>
            <w:noProof/>
            <w:webHidden/>
          </w:rPr>
          <w:t>55</w:t>
        </w:r>
        <w:r w:rsidR="0088770F">
          <w:rPr>
            <w:noProof/>
            <w:webHidden/>
          </w:rPr>
          <w:fldChar w:fldCharType="end"/>
        </w:r>
      </w:hyperlink>
    </w:p>
    <w:p w:rsidR="0088770F" w:rsidRDefault="00B06BF7">
      <w:pPr>
        <w:pStyle w:val="TOC3"/>
        <w:tabs>
          <w:tab w:val="right" w:leader="dot" w:pos="9040"/>
        </w:tabs>
        <w:rPr>
          <w:rFonts w:asciiTheme="minorHAnsi" w:eastAsiaTheme="minorEastAsia" w:hAnsiTheme="minorHAnsi"/>
          <w:noProof/>
          <w:color w:val="auto"/>
          <w:sz w:val="22"/>
          <w:lang w:eastAsia="pt-PT"/>
        </w:rPr>
      </w:pPr>
      <w:hyperlink w:anchor="_Toc508372669" w:history="1">
        <w:r w:rsidR="0088770F" w:rsidRPr="00AA12CE">
          <w:rPr>
            <w:rStyle w:val="Hyperlink"/>
            <w:noProof/>
          </w:rPr>
          <w:t>2.4.5</w:t>
        </w:r>
        <w:r w:rsidR="0088770F">
          <w:rPr>
            <w:rFonts w:asciiTheme="minorHAnsi" w:eastAsiaTheme="minorEastAsia" w:hAnsiTheme="minorHAnsi"/>
            <w:noProof/>
            <w:color w:val="auto"/>
            <w:sz w:val="22"/>
            <w:lang w:eastAsia="pt-PT"/>
          </w:rPr>
          <w:tab/>
        </w:r>
        <w:r w:rsidR="0088770F" w:rsidRPr="00AA12CE">
          <w:rPr>
            <w:rStyle w:val="Hyperlink"/>
            <w:noProof/>
          </w:rPr>
          <w:t>QAC n.º 30: «Até que ponto as ações do PDR contribuíram para fomentar a inovação?»</w:t>
        </w:r>
        <w:r w:rsidR="0088770F">
          <w:rPr>
            <w:noProof/>
            <w:webHidden/>
          </w:rPr>
          <w:tab/>
        </w:r>
        <w:r w:rsidR="0088770F">
          <w:rPr>
            <w:noProof/>
            <w:webHidden/>
          </w:rPr>
          <w:fldChar w:fldCharType="begin"/>
        </w:r>
        <w:r w:rsidR="0088770F">
          <w:rPr>
            <w:noProof/>
            <w:webHidden/>
          </w:rPr>
          <w:instrText xml:space="preserve"> PAGEREF _Toc508372669 \h </w:instrText>
        </w:r>
        <w:r w:rsidR="0088770F">
          <w:rPr>
            <w:noProof/>
            <w:webHidden/>
          </w:rPr>
        </w:r>
        <w:r w:rsidR="0088770F">
          <w:rPr>
            <w:noProof/>
            <w:webHidden/>
          </w:rPr>
          <w:fldChar w:fldCharType="separate"/>
        </w:r>
        <w:r w:rsidR="004C029E">
          <w:rPr>
            <w:noProof/>
            <w:webHidden/>
          </w:rPr>
          <w:t>61</w:t>
        </w:r>
        <w:r w:rsidR="0088770F">
          <w:rPr>
            <w:noProof/>
            <w:webHidden/>
          </w:rPr>
          <w:fldChar w:fldCharType="end"/>
        </w:r>
      </w:hyperlink>
    </w:p>
    <w:p w:rsidR="0088770F" w:rsidRDefault="00B06BF7">
      <w:pPr>
        <w:pStyle w:val="TOC1"/>
        <w:tabs>
          <w:tab w:val="right" w:leader="dot" w:pos="9040"/>
        </w:tabs>
        <w:rPr>
          <w:rFonts w:asciiTheme="minorHAnsi" w:eastAsiaTheme="minorEastAsia" w:hAnsiTheme="minorHAnsi"/>
          <w:b w:val="0"/>
          <w:caps w:val="0"/>
          <w:noProof/>
          <w:color w:val="auto"/>
          <w:sz w:val="22"/>
          <w:lang w:eastAsia="pt-PT"/>
        </w:rPr>
      </w:pPr>
      <w:hyperlink w:anchor="_Toc508372670" w:history="1">
        <w:r w:rsidR="0088770F" w:rsidRPr="00AA12CE">
          <w:rPr>
            <w:rStyle w:val="Hyperlink"/>
            <w:noProof/>
          </w:rPr>
          <w:t>3.</w:t>
        </w:r>
        <w:r w:rsidR="0088770F">
          <w:rPr>
            <w:rFonts w:asciiTheme="minorHAnsi" w:eastAsiaTheme="minorEastAsia" w:hAnsiTheme="minorHAnsi"/>
            <w:b w:val="0"/>
            <w:caps w:val="0"/>
            <w:noProof/>
            <w:color w:val="auto"/>
            <w:sz w:val="22"/>
            <w:lang w:eastAsia="pt-PT"/>
          </w:rPr>
          <w:tab/>
        </w:r>
        <w:r w:rsidR="0088770F" w:rsidRPr="00AA12CE">
          <w:rPr>
            <w:rStyle w:val="Hyperlink"/>
            <w:noProof/>
          </w:rPr>
          <w:t>ANEXOS</w:t>
        </w:r>
        <w:r w:rsidR="0088770F">
          <w:rPr>
            <w:noProof/>
            <w:webHidden/>
          </w:rPr>
          <w:tab/>
        </w:r>
        <w:r w:rsidR="0088770F">
          <w:rPr>
            <w:noProof/>
            <w:webHidden/>
          </w:rPr>
          <w:fldChar w:fldCharType="begin"/>
        </w:r>
        <w:r w:rsidR="0088770F">
          <w:rPr>
            <w:noProof/>
            <w:webHidden/>
          </w:rPr>
          <w:instrText xml:space="preserve"> PAGEREF _Toc508372670 \h </w:instrText>
        </w:r>
        <w:r w:rsidR="0088770F">
          <w:rPr>
            <w:noProof/>
            <w:webHidden/>
          </w:rPr>
        </w:r>
        <w:r w:rsidR="0088770F">
          <w:rPr>
            <w:noProof/>
            <w:webHidden/>
          </w:rPr>
          <w:fldChar w:fldCharType="separate"/>
        </w:r>
        <w:r w:rsidR="004C029E">
          <w:rPr>
            <w:noProof/>
            <w:webHidden/>
          </w:rPr>
          <w:t>73</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71" w:history="1">
        <w:r w:rsidR="0088770F" w:rsidRPr="00AA12CE">
          <w:rPr>
            <w:rStyle w:val="Hyperlink"/>
            <w:noProof/>
          </w:rPr>
          <w:t>3.1</w:t>
        </w:r>
        <w:r w:rsidR="0088770F">
          <w:rPr>
            <w:rFonts w:asciiTheme="minorHAnsi" w:eastAsiaTheme="minorEastAsia" w:hAnsiTheme="minorHAnsi"/>
            <w:noProof/>
            <w:color w:val="auto"/>
            <w:sz w:val="22"/>
            <w:lang w:eastAsia="pt-PT"/>
          </w:rPr>
          <w:tab/>
        </w:r>
        <w:r w:rsidR="0088770F" w:rsidRPr="00AA12CE">
          <w:rPr>
            <w:rStyle w:val="Hyperlink"/>
            <w:noProof/>
          </w:rPr>
          <w:t>Glossário</w:t>
        </w:r>
        <w:r w:rsidR="0088770F">
          <w:rPr>
            <w:noProof/>
            <w:webHidden/>
          </w:rPr>
          <w:tab/>
        </w:r>
        <w:r w:rsidR="0088770F">
          <w:rPr>
            <w:noProof/>
            <w:webHidden/>
          </w:rPr>
          <w:fldChar w:fldCharType="begin"/>
        </w:r>
        <w:r w:rsidR="0088770F">
          <w:rPr>
            <w:noProof/>
            <w:webHidden/>
          </w:rPr>
          <w:instrText xml:space="preserve"> PAGEREF _Toc508372671 \h </w:instrText>
        </w:r>
        <w:r w:rsidR="0088770F">
          <w:rPr>
            <w:noProof/>
            <w:webHidden/>
          </w:rPr>
        </w:r>
        <w:r w:rsidR="0088770F">
          <w:rPr>
            <w:noProof/>
            <w:webHidden/>
          </w:rPr>
          <w:fldChar w:fldCharType="separate"/>
        </w:r>
        <w:r w:rsidR="004C029E">
          <w:rPr>
            <w:noProof/>
            <w:webHidden/>
          </w:rPr>
          <w:t>73</w:t>
        </w:r>
        <w:r w:rsidR="0088770F">
          <w:rPr>
            <w:noProof/>
            <w:webHidden/>
          </w:rPr>
          <w:fldChar w:fldCharType="end"/>
        </w:r>
      </w:hyperlink>
    </w:p>
    <w:p w:rsidR="0088770F" w:rsidRDefault="00B06BF7">
      <w:pPr>
        <w:pStyle w:val="TOC2"/>
        <w:tabs>
          <w:tab w:val="right" w:leader="dot" w:pos="9040"/>
        </w:tabs>
        <w:rPr>
          <w:rFonts w:asciiTheme="minorHAnsi" w:eastAsiaTheme="minorEastAsia" w:hAnsiTheme="minorHAnsi"/>
          <w:noProof/>
          <w:color w:val="auto"/>
          <w:sz w:val="22"/>
          <w:lang w:eastAsia="pt-PT"/>
        </w:rPr>
      </w:pPr>
      <w:hyperlink w:anchor="_Toc508372672" w:history="1">
        <w:r w:rsidR="0088770F" w:rsidRPr="00AA12CE">
          <w:rPr>
            <w:rStyle w:val="Hyperlink"/>
            <w:noProof/>
          </w:rPr>
          <w:t>3.2</w:t>
        </w:r>
        <w:r w:rsidR="0088770F">
          <w:rPr>
            <w:rFonts w:asciiTheme="minorHAnsi" w:eastAsiaTheme="minorEastAsia" w:hAnsiTheme="minorHAnsi"/>
            <w:noProof/>
            <w:color w:val="auto"/>
            <w:sz w:val="22"/>
            <w:lang w:eastAsia="pt-PT"/>
          </w:rPr>
          <w:tab/>
        </w:r>
        <w:r w:rsidR="0088770F" w:rsidRPr="00AA12CE">
          <w:rPr>
            <w:rStyle w:val="Hyperlink"/>
            <w:noProof/>
          </w:rPr>
          <w:t>Identificar o potencial de inovação do PDR: passo a passo</w:t>
        </w:r>
        <w:r w:rsidR="0088770F">
          <w:rPr>
            <w:noProof/>
            <w:webHidden/>
          </w:rPr>
          <w:tab/>
        </w:r>
        <w:r w:rsidR="0088770F">
          <w:rPr>
            <w:noProof/>
            <w:webHidden/>
          </w:rPr>
          <w:fldChar w:fldCharType="begin"/>
        </w:r>
        <w:r w:rsidR="0088770F">
          <w:rPr>
            <w:noProof/>
            <w:webHidden/>
          </w:rPr>
          <w:instrText xml:space="preserve"> PAGEREF _Toc508372672 \h </w:instrText>
        </w:r>
        <w:r w:rsidR="0088770F">
          <w:rPr>
            <w:noProof/>
            <w:webHidden/>
          </w:rPr>
        </w:r>
        <w:r w:rsidR="0088770F">
          <w:rPr>
            <w:noProof/>
            <w:webHidden/>
          </w:rPr>
          <w:fldChar w:fldCharType="separate"/>
        </w:r>
        <w:r w:rsidR="004C029E">
          <w:rPr>
            <w:noProof/>
            <w:webHidden/>
          </w:rPr>
          <w:t>75</w:t>
        </w:r>
        <w:r w:rsidR="0088770F">
          <w:rPr>
            <w:noProof/>
            <w:webHidden/>
          </w:rPr>
          <w:fldChar w:fldCharType="end"/>
        </w:r>
      </w:hyperlink>
    </w:p>
    <w:p w:rsidR="00501827" w:rsidRDefault="0088770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b/>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bookmarkStart w:id="3" w:name="_Toc508372652"/>
      <w:r>
        <w:rPr>
          <w:b/>
          <w:bCs/>
          <w:caps/>
          <w:color w:val="F07E31"/>
          <w:szCs w:val="32"/>
        </w:rPr>
        <w:lastRenderedPageBreak/>
        <w:t>Quadros e figuras</w:t>
      </w:r>
      <w:bookmarkEnd w:id="3"/>
    </w:p>
    <w:p w:rsidR="002F11D9" w:rsidRDefault="00E05D08">
      <w:pPr>
        <w:pStyle w:val="TOC2"/>
        <w:tabs>
          <w:tab w:val="left" w:pos="1100"/>
          <w:tab w:val="right" w:leader="dot" w:pos="9323"/>
        </w:tabs>
        <w:rPr>
          <w:rFonts w:asciiTheme="minorHAnsi" w:eastAsiaTheme="minorEastAsia" w:hAnsiTheme="minorHAnsi"/>
          <w:b/>
          <w:noProof/>
          <w:color w:val="auto"/>
          <w:sz w:val="22"/>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3284463" w:history="1">
        <w:r w:rsidR="007416D0">
          <w:rPr>
            <w:rStyle w:val="Hyperlink"/>
            <w:noProof/>
            <w14:scene3d>
              <w14:camera w14:prst="orthographicFront"/>
              <w14:lightRig w14:rig="threePt" w14:dir="t">
                <w14:rot w14:lat="0" w14:lon="0" w14:rev="0"/>
              </w14:lightRig>
            </w14:scene3d>
          </w:rPr>
          <w:t>Quadro</w:t>
        </w:r>
        <w:r>
          <w:rPr>
            <w:rStyle w:val="Hyperlink"/>
            <w:noProof/>
            <w14:scene3d>
              <w14:camera w14:prst="orthographicFront"/>
              <w14:lightRig w14:rig="threePt" w14:dir="t">
                <w14:rot w14:lat="0" w14:lon="0" w14:rev="0"/>
              </w14:lightRig>
            </w14:scene3d>
          </w:rPr>
          <w:t xml:space="preserve"> 1.</w:t>
        </w:r>
        <w:r>
          <w:rPr>
            <w:rFonts w:asciiTheme="minorHAnsi" w:eastAsiaTheme="minorEastAsia" w:hAnsiTheme="minorHAnsi"/>
            <w:b/>
            <w:noProof/>
            <w:color w:val="auto"/>
            <w:sz w:val="22"/>
          </w:rPr>
          <w:tab/>
        </w:r>
        <w:r w:rsidR="007416D0" w:rsidRPr="007416D0">
          <w:rPr>
            <w:rStyle w:val="Hyperlink"/>
            <w:noProof/>
          </w:rPr>
          <w:t>Elementos de avaliação e fontes de informação em relação à QAC n.º 1</w:t>
        </w:r>
        <w:r>
          <w:rPr>
            <w:noProof/>
            <w:webHidden/>
          </w:rPr>
          <w:tab/>
        </w:r>
        <w:r>
          <w:rPr>
            <w:noProof/>
            <w:webHidden/>
          </w:rPr>
          <w:fldChar w:fldCharType="begin"/>
        </w:r>
        <w:r>
          <w:rPr>
            <w:noProof/>
            <w:webHidden/>
          </w:rPr>
          <w:instrText xml:space="preserve"> PAGEREF _Toc503284463 \h </w:instrText>
        </w:r>
        <w:r>
          <w:rPr>
            <w:noProof/>
            <w:webHidden/>
          </w:rPr>
        </w:r>
        <w:r>
          <w:rPr>
            <w:noProof/>
            <w:webHidden/>
          </w:rPr>
          <w:fldChar w:fldCharType="separate"/>
        </w:r>
        <w:r w:rsidR="004C029E">
          <w:rPr>
            <w:noProof/>
            <w:webHidden/>
          </w:rPr>
          <w:t>31</w:t>
        </w:r>
        <w:r>
          <w:rPr>
            <w:noProof/>
            <w:webHidden/>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4" w:history="1">
        <w:r w:rsidR="007416D0">
          <w:rPr>
            <w:rStyle w:val="Hyperlink"/>
            <w:noProof/>
            <w14:scene3d>
              <w14:camera w14:prst="orthographicFront"/>
              <w14:lightRig w14:rig="threePt" w14:dir="t">
                <w14:rot w14:lat="0" w14:lon="0" w14:rev="0"/>
              </w14:lightRig>
            </w14:scene3d>
          </w:rPr>
          <w:t>Quadro</w:t>
        </w:r>
        <w:r w:rsidR="007416D0" w:rsidRPr="007416D0">
          <w:rPr>
            <w:rStyle w:val="Hyperlink"/>
            <w:noProof/>
            <w14:scene3d>
              <w14:camera w14:prst="orthographicFront"/>
              <w14:lightRig w14:rig="threePt" w14:dir="t">
                <w14:rot w14:lat="0" w14:lon="0" w14:rev="0"/>
              </w14:lightRig>
            </w14:scene3d>
          </w:rPr>
          <w:t xml:space="preserve"> 2.</w:t>
        </w:r>
        <w:r w:rsidR="007416D0" w:rsidRPr="007416D0">
          <w:rPr>
            <w:rStyle w:val="Hyperlink"/>
            <w:noProof/>
            <w14:scene3d>
              <w14:camera w14:prst="orthographicFront"/>
              <w14:lightRig w14:rig="threePt" w14:dir="t">
                <w14:rot w14:lat="0" w14:lon="0" w14:rev="0"/>
              </w14:lightRig>
            </w14:scene3d>
          </w:rPr>
          <w:tab/>
          <w:t>Métodos recomendados para a QAC n.º 1</w:t>
        </w:r>
        <w:r w:rsidR="0051700B">
          <w:rPr>
            <w:noProof/>
            <w:webHidden/>
          </w:rPr>
          <w:tab/>
        </w:r>
        <w:r w:rsidR="0051700B">
          <w:rPr>
            <w:noProof/>
            <w:webHidden/>
          </w:rPr>
          <w:fldChar w:fldCharType="begin"/>
        </w:r>
        <w:r w:rsidR="0051700B">
          <w:rPr>
            <w:noProof/>
            <w:webHidden/>
          </w:rPr>
          <w:instrText xml:space="preserve"> PAGEREF _Toc503284464 \h </w:instrText>
        </w:r>
        <w:r w:rsidR="0051700B">
          <w:rPr>
            <w:noProof/>
            <w:webHidden/>
          </w:rPr>
        </w:r>
        <w:r w:rsidR="0051700B">
          <w:rPr>
            <w:noProof/>
            <w:webHidden/>
          </w:rPr>
          <w:fldChar w:fldCharType="separate"/>
        </w:r>
        <w:r w:rsidR="004C029E">
          <w:rPr>
            <w:noProof/>
            <w:webHidden/>
          </w:rPr>
          <w:t>33</w:t>
        </w:r>
        <w:r w:rsidR="0051700B">
          <w:rPr>
            <w:noProof/>
            <w:webHidden/>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5" w:history="1">
        <w:r w:rsidR="007416D0">
          <w:rPr>
            <w:rStyle w:val="Hyperlink"/>
            <w:noProof/>
            <w14:scene3d>
              <w14:camera w14:prst="orthographicFront"/>
              <w14:lightRig w14:rig="threePt" w14:dir="t">
                <w14:rot w14:lat="0" w14:lon="0" w14:rev="0"/>
              </w14:lightRig>
            </w14:scene3d>
          </w:rPr>
          <w:t>Quadro</w:t>
        </w:r>
        <w:r w:rsidR="007416D0" w:rsidRPr="007416D0">
          <w:rPr>
            <w:rStyle w:val="Hyperlink"/>
            <w:noProof/>
            <w14:scene3d>
              <w14:camera w14:prst="orthographicFront"/>
              <w14:lightRig w14:rig="threePt" w14:dir="t">
                <w14:rot w14:lat="0" w14:lon="0" w14:rev="0"/>
              </w14:lightRig>
            </w14:scene3d>
          </w:rPr>
          <w:t xml:space="preserve"> 3.</w:t>
        </w:r>
        <w:r w:rsidR="007416D0" w:rsidRPr="007416D0">
          <w:rPr>
            <w:rStyle w:val="Hyperlink"/>
            <w:noProof/>
            <w14:scene3d>
              <w14:camera w14:prst="orthographicFront"/>
              <w14:lightRig w14:rig="threePt" w14:dir="t">
                <w14:rot w14:lat="0" w14:lon="0" w14:rev="0"/>
              </w14:lightRig>
            </w14:scene3d>
          </w:rPr>
          <w:tab/>
          <w:t>Critérios de apreciação, indicadores e necessidades de dados e fontes</w:t>
        </w:r>
        <w:r w:rsidR="0051700B">
          <w:rPr>
            <w:noProof/>
            <w:webHidden/>
          </w:rPr>
          <w:tab/>
        </w:r>
        <w:r w:rsidR="0051700B">
          <w:rPr>
            <w:noProof/>
            <w:webHidden/>
          </w:rPr>
          <w:fldChar w:fldCharType="begin"/>
        </w:r>
        <w:r w:rsidR="0051700B">
          <w:rPr>
            <w:noProof/>
            <w:webHidden/>
          </w:rPr>
          <w:instrText xml:space="preserve"> PAGEREF _Toc503284465 \h </w:instrText>
        </w:r>
        <w:r w:rsidR="0051700B">
          <w:rPr>
            <w:noProof/>
            <w:webHidden/>
          </w:rPr>
        </w:r>
        <w:r w:rsidR="0051700B">
          <w:rPr>
            <w:noProof/>
            <w:webHidden/>
          </w:rPr>
          <w:fldChar w:fldCharType="separate"/>
        </w:r>
        <w:r w:rsidR="004C029E">
          <w:rPr>
            <w:noProof/>
            <w:webHidden/>
          </w:rPr>
          <w:t>40</w:t>
        </w:r>
        <w:r w:rsidR="0051700B">
          <w:rPr>
            <w:noProof/>
            <w:webHidden/>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6" w:history="1">
        <w:r w:rsidR="007416D0">
          <w:rPr>
            <w:rStyle w:val="Hyperlink"/>
            <w:noProof/>
            <w14:scene3d>
              <w14:camera w14:prst="orthographicFront"/>
              <w14:lightRig w14:rig="threePt" w14:dir="t">
                <w14:rot w14:lat="0" w14:lon="0" w14:rev="0"/>
              </w14:lightRig>
            </w14:scene3d>
          </w:rPr>
          <w:t>Quadro</w:t>
        </w:r>
        <w:r w:rsidR="0051700B">
          <w:rPr>
            <w:rStyle w:val="Hyperlink"/>
            <w:noProof/>
            <w14:scene3d>
              <w14:camera w14:prst="orthographicFront"/>
              <w14:lightRig w14:rig="threePt" w14:dir="t">
                <w14:rot w14:lat="0" w14:lon="0" w14:rev="0"/>
              </w14:lightRig>
            </w14:scene3d>
          </w:rPr>
          <w:t xml:space="preserve"> 4.</w:t>
        </w:r>
        <w:r w:rsidR="0051700B">
          <w:rPr>
            <w:rFonts w:asciiTheme="minorHAnsi" w:eastAsiaTheme="minorEastAsia" w:hAnsiTheme="minorHAnsi"/>
            <w:b/>
            <w:noProof/>
            <w:color w:val="auto"/>
            <w:sz w:val="22"/>
          </w:rPr>
          <w:tab/>
        </w:r>
        <w:r w:rsidR="004E1E1F" w:rsidRPr="004E1E1F">
          <w:rPr>
            <w:rStyle w:val="Hyperlink"/>
            <w:noProof/>
          </w:rPr>
          <w:t>Métodos recomendados para a QAC n.º 2</w:t>
        </w:r>
        <w:r w:rsidR="0051700B">
          <w:rPr>
            <w:noProof/>
            <w:webHidden/>
          </w:rPr>
          <w:tab/>
        </w:r>
        <w:r w:rsidR="0051700B">
          <w:rPr>
            <w:noProof/>
            <w:webHidden/>
          </w:rPr>
          <w:fldChar w:fldCharType="begin"/>
        </w:r>
        <w:r w:rsidR="0051700B">
          <w:rPr>
            <w:noProof/>
            <w:webHidden/>
          </w:rPr>
          <w:instrText xml:space="preserve"> PAGEREF _Toc503284466 \h </w:instrText>
        </w:r>
        <w:r w:rsidR="0051700B">
          <w:rPr>
            <w:noProof/>
            <w:webHidden/>
          </w:rPr>
        </w:r>
        <w:r w:rsidR="0051700B">
          <w:rPr>
            <w:noProof/>
            <w:webHidden/>
          </w:rPr>
          <w:fldChar w:fldCharType="separate"/>
        </w:r>
        <w:r w:rsidR="004C029E">
          <w:rPr>
            <w:noProof/>
            <w:webHidden/>
          </w:rPr>
          <w:t>42</w:t>
        </w:r>
        <w:r w:rsidR="0051700B">
          <w:rPr>
            <w:noProof/>
            <w:webHidden/>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7" w:history="1">
        <w:r w:rsidR="007416D0" w:rsidRPr="004E1E1F">
          <w:rPr>
            <w:rStyle w:val="Hyperlink"/>
            <w:noProof/>
            <w:sz w:val="20"/>
          </w:rPr>
          <w:t>Quadro</w:t>
        </w:r>
        <w:r w:rsidR="0051700B" w:rsidRPr="004E1E1F">
          <w:rPr>
            <w:rStyle w:val="Hyperlink"/>
            <w:noProof/>
            <w14:scene3d>
              <w14:camera w14:prst="orthographicFront"/>
              <w14:lightRig w14:rig="threePt" w14:dir="t">
                <w14:rot w14:lat="0" w14:lon="0" w14:rev="0"/>
              </w14:lightRig>
            </w14:scene3d>
          </w:rPr>
          <w:t xml:space="preserve"> 5.</w:t>
        </w:r>
        <w:r w:rsidR="0051700B" w:rsidRPr="004E1E1F">
          <w:rPr>
            <w:rStyle w:val="Hyperlink"/>
            <w:rFonts w:asciiTheme="minorHAnsi" w:eastAsiaTheme="minorEastAsia" w:hAnsiTheme="minorHAnsi"/>
            <w:b/>
            <w:noProof/>
            <w:sz w:val="22"/>
          </w:rPr>
          <w:tab/>
        </w:r>
        <w:r w:rsidR="004E1E1F" w:rsidRPr="004E1E1F">
          <w:rPr>
            <w:rStyle w:val="Hyperlink"/>
            <w:noProof/>
          </w:rPr>
          <w:t>Critérios de apreciação, indicadores e dados propostos para responder à QAC n.º 21</w:t>
        </w:r>
        <w:r w:rsidR="0051700B" w:rsidRPr="004E1E1F">
          <w:rPr>
            <w:rStyle w:val="Hyperlink"/>
            <w:noProof/>
            <w:webHidden/>
            <w:sz w:val="20"/>
          </w:rPr>
          <w:tab/>
        </w:r>
        <w:r w:rsidR="00D40512">
          <w:rPr>
            <w:rStyle w:val="Hyperlink"/>
            <w:noProof/>
            <w:webHidden/>
            <w:sz w:val="20"/>
          </w:rPr>
          <w:t>49</w:t>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8" w:history="1">
        <w:r w:rsidR="007416D0" w:rsidRPr="004E1E1F">
          <w:rPr>
            <w:rStyle w:val="Hyperlink"/>
            <w:noProof/>
            <w14:scene3d>
              <w14:camera w14:prst="orthographicFront"/>
              <w14:lightRig w14:rig="threePt" w14:dir="t">
                <w14:rot w14:lat="0" w14:lon="0" w14:rev="0"/>
              </w14:lightRig>
            </w14:scene3d>
          </w:rPr>
          <w:t>Quadro</w:t>
        </w:r>
        <w:r w:rsidR="0051700B" w:rsidRPr="004E1E1F">
          <w:rPr>
            <w:rStyle w:val="Hyperlink"/>
            <w:noProof/>
            <w14:scene3d>
              <w14:camera w14:prst="orthographicFront"/>
              <w14:lightRig w14:rig="threePt" w14:dir="t">
                <w14:rot w14:lat="0" w14:lon="0" w14:rev="0"/>
              </w14:lightRig>
            </w14:scene3d>
          </w:rPr>
          <w:t xml:space="preserve"> 6.</w:t>
        </w:r>
        <w:r w:rsidR="0051700B" w:rsidRPr="004E1E1F">
          <w:rPr>
            <w:rStyle w:val="Hyperlink"/>
            <w:rFonts w:asciiTheme="minorHAnsi" w:eastAsiaTheme="minorEastAsia" w:hAnsiTheme="minorHAnsi"/>
            <w:b/>
            <w:noProof/>
            <w:sz w:val="22"/>
          </w:rPr>
          <w:tab/>
        </w:r>
        <w:r w:rsidR="004E1E1F" w:rsidRPr="004E1E1F">
          <w:rPr>
            <w:rStyle w:val="Hyperlink"/>
            <w:noProof/>
          </w:rPr>
          <w:t>Métodos recomendados para a QAC n.º 21</w:t>
        </w:r>
        <w:r w:rsidR="0051700B" w:rsidRPr="004E1E1F">
          <w:rPr>
            <w:rStyle w:val="Hyperlink"/>
            <w:noProof/>
            <w:webHidden/>
            <w:sz w:val="20"/>
          </w:rPr>
          <w:tab/>
        </w:r>
        <w:r w:rsidR="0051700B" w:rsidRPr="004E1E1F">
          <w:rPr>
            <w:rStyle w:val="Hyperlink"/>
            <w:noProof/>
            <w:webHidden/>
            <w:sz w:val="20"/>
          </w:rPr>
          <w:fldChar w:fldCharType="begin"/>
        </w:r>
        <w:r w:rsidR="0051700B" w:rsidRPr="004E1E1F">
          <w:rPr>
            <w:rStyle w:val="Hyperlink"/>
            <w:noProof/>
            <w:webHidden/>
            <w:sz w:val="20"/>
          </w:rPr>
          <w:instrText xml:space="preserve"> PAGEREF _Toc503284468 \h </w:instrText>
        </w:r>
        <w:r w:rsidR="0051700B" w:rsidRPr="004E1E1F">
          <w:rPr>
            <w:rStyle w:val="Hyperlink"/>
            <w:noProof/>
            <w:webHidden/>
            <w:sz w:val="20"/>
          </w:rPr>
        </w:r>
        <w:r w:rsidR="0051700B" w:rsidRPr="004E1E1F">
          <w:rPr>
            <w:rStyle w:val="Hyperlink"/>
            <w:noProof/>
            <w:webHidden/>
            <w:sz w:val="20"/>
          </w:rPr>
          <w:fldChar w:fldCharType="separate"/>
        </w:r>
        <w:r w:rsidR="004C029E">
          <w:rPr>
            <w:rStyle w:val="Hyperlink"/>
            <w:noProof/>
            <w:webHidden/>
            <w:sz w:val="20"/>
          </w:rPr>
          <w:t>53</w:t>
        </w:r>
        <w:r w:rsidR="0051700B" w:rsidRPr="004E1E1F">
          <w:rPr>
            <w:rStyle w:val="Hyperlink"/>
            <w:noProof/>
            <w:webHidden/>
            <w:sz w:val="20"/>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69" w:history="1">
        <w:r w:rsidR="007416D0" w:rsidRPr="004E1E1F">
          <w:rPr>
            <w:rStyle w:val="Hyperlink"/>
            <w:noProof/>
            <w14:scene3d>
              <w14:camera w14:prst="orthographicFront"/>
              <w14:lightRig w14:rig="threePt" w14:dir="t">
                <w14:rot w14:lat="0" w14:lon="0" w14:rev="0"/>
              </w14:lightRig>
            </w14:scene3d>
          </w:rPr>
          <w:t>Quadro</w:t>
        </w:r>
        <w:r w:rsidR="0051700B" w:rsidRPr="004E1E1F">
          <w:rPr>
            <w:rStyle w:val="Hyperlink"/>
            <w:noProof/>
            <w14:scene3d>
              <w14:camera w14:prst="orthographicFront"/>
              <w14:lightRig w14:rig="threePt" w14:dir="t">
                <w14:rot w14:lat="0" w14:lon="0" w14:rev="0"/>
              </w14:lightRig>
            </w14:scene3d>
          </w:rPr>
          <w:t xml:space="preserve"> 7.</w:t>
        </w:r>
        <w:r w:rsidR="0051700B" w:rsidRPr="004E1E1F">
          <w:rPr>
            <w:rStyle w:val="Hyperlink"/>
            <w:rFonts w:asciiTheme="minorHAnsi" w:eastAsiaTheme="minorEastAsia" w:hAnsiTheme="minorHAnsi"/>
            <w:b/>
            <w:noProof/>
            <w:sz w:val="22"/>
          </w:rPr>
          <w:tab/>
        </w:r>
        <w:r w:rsidR="004E1E1F" w:rsidRPr="004E1E1F">
          <w:rPr>
            <w:rStyle w:val="Hyperlink"/>
            <w:noProof/>
          </w:rPr>
          <w:t>Critérios de apreciação, indicadores e dados necessários para responder à QAC n.º 23</w:t>
        </w:r>
        <w:r w:rsidR="0051700B" w:rsidRPr="004E1E1F">
          <w:rPr>
            <w:rStyle w:val="Hyperlink"/>
            <w:noProof/>
          </w:rPr>
          <w:t>3</w:t>
        </w:r>
        <w:r w:rsidR="0051700B" w:rsidRPr="004E1E1F">
          <w:rPr>
            <w:rStyle w:val="Hyperlink"/>
            <w:noProof/>
            <w:webHidden/>
            <w:sz w:val="20"/>
          </w:rPr>
          <w:tab/>
        </w:r>
        <w:r w:rsidR="0051700B" w:rsidRPr="004E1E1F">
          <w:rPr>
            <w:rStyle w:val="Hyperlink"/>
            <w:noProof/>
            <w:webHidden/>
            <w:sz w:val="20"/>
          </w:rPr>
          <w:fldChar w:fldCharType="begin"/>
        </w:r>
        <w:r w:rsidR="0051700B" w:rsidRPr="004E1E1F">
          <w:rPr>
            <w:rStyle w:val="Hyperlink"/>
            <w:noProof/>
            <w:webHidden/>
            <w:sz w:val="20"/>
          </w:rPr>
          <w:instrText xml:space="preserve"> PAGEREF _Toc503284469 \h </w:instrText>
        </w:r>
        <w:r w:rsidR="0051700B" w:rsidRPr="004E1E1F">
          <w:rPr>
            <w:rStyle w:val="Hyperlink"/>
            <w:noProof/>
            <w:webHidden/>
            <w:sz w:val="20"/>
          </w:rPr>
        </w:r>
        <w:r w:rsidR="0051700B" w:rsidRPr="004E1E1F">
          <w:rPr>
            <w:rStyle w:val="Hyperlink"/>
            <w:noProof/>
            <w:webHidden/>
            <w:sz w:val="20"/>
          </w:rPr>
          <w:fldChar w:fldCharType="separate"/>
        </w:r>
        <w:r w:rsidR="004C029E">
          <w:rPr>
            <w:rStyle w:val="Hyperlink"/>
            <w:noProof/>
            <w:webHidden/>
            <w:sz w:val="20"/>
          </w:rPr>
          <w:t>58</w:t>
        </w:r>
        <w:r w:rsidR="0051700B" w:rsidRPr="004E1E1F">
          <w:rPr>
            <w:rStyle w:val="Hyperlink"/>
            <w:noProof/>
            <w:webHidden/>
            <w:sz w:val="20"/>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70" w:history="1">
        <w:r w:rsidR="007416D0">
          <w:rPr>
            <w:rStyle w:val="Hyperlink"/>
            <w:noProof/>
            <w14:scene3d>
              <w14:camera w14:prst="orthographicFront"/>
              <w14:lightRig w14:rig="threePt" w14:dir="t">
                <w14:rot w14:lat="0" w14:lon="0" w14:rev="0"/>
              </w14:lightRig>
            </w14:scene3d>
          </w:rPr>
          <w:t>Quadro</w:t>
        </w:r>
        <w:r w:rsidR="0051700B">
          <w:rPr>
            <w:rStyle w:val="Hyperlink"/>
            <w:noProof/>
            <w14:scene3d>
              <w14:camera w14:prst="orthographicFront"/>
              <w14:lightRig w14:rig="threePt" w14:dir="t">
                <w14:rot w14:lat="0" w14:lon="0" w14:rev="0"/>
              </w14:lightRig>
            </w14:scene3d>
          </w:rPr>
          <w:t xml:space="preserve"> 8.</w:t>
        </w:r>
        <w:r w:rsidR="0051700B">
          <w:rPr>
            <w:rFonts w:asciiTheme="minorHAnsi" w:eastAsiaTheme="minorEastAsia" w:hAnsiTheme="minorHAnsi"/>
            <w:b/>
            <w:noProof/>
            <w:color w:val="auto"/>
            <w:sz w:val="22"/>
          </w:rPr>
          <w:tab/>
        </w:r>
        <w:r w:rsidR="004E1E1F" w:rsidRPr="004E1E1F">
          <w:rPr>
            <w:rStyle w:val="Hyperlink"/>
            <w:noProof/>
          </w:rPr>
          <w:t>Exemplo de valores previstos e reais dos indicadores comuns e adicionais</w:t>
        </w:r>
        <w:r w:rsidR="0051700B">
          <w:rPr>
            <w:noProof/>
            <w:webHidden/>
          </w:rPr>
          <w:tab/>
        </w:r>
        <w:r w:rsidR="0051700B">
          <w:rPr>
            <w:noProof/>
            <w:webHidden/>
          </w:rPr>
          <w:fldChar w:fldCharType="begin"/>
        </w:r>
        <w:r w:rsidR="0051700B">
          <w:rPr>
            <w:noProof/>
            <w:webHidden/>
          </w:rPr>
          <w:instrText xml:space="preserve"> PAGEREF _Toc503284470 \h </w:instrText>
        </w:r>
        <w:r w:rsidR="0051700B">
          <w:rPr>
            <w:noProof/>
            <w:webHidden/>
          </w:rPr>
        </w:r>
        <w:r w:rsidR="0051700B">
          <w:rPr>
            <w:noProof/>
            <w:webHidden/>
          </w:rPr>
          <w:fldChar w:fldCharType="separate"/>
        </w:r>
        <w:r w:rsidR="004C029E">
          <w:rPr>
            <w:noProof/>
            <w:webHidden/>
          </w:rPr>
          <w:t>60</w:t>
        </w:r>
        <w:r w:rsidR="0051700B">
          <w:rPr>
            <w:noProof/>
            <w:webHidden/>
          </w:rPr>
          <w:fldChar w:fldCharType="end"/>
        </w:r>
      </w:hyperlink>
    </w:p>
    <w:p w:rsidR="002F11D9" w:rsidRDefault="00B06BF7">
      <w:pPr>
        <w:pStyle w:val="TOC2"/>
        <w:tabs>
          <w:tab w:val="left" w:pos="1100"/>
          <w:tab w:val="right" w:leader="dot" w:pos="9323"/>
        </w:tabs>
        <w:rPr>
          <w:rFonts w:asciiTheme="minorHAnsi" w:eastAsiaTheme="minorEastAsia" w:hAnsiTheme="minorHAnsi"/>
          <w:b/>
          <w:noProof/>
          <w:color w:val="auto"/>
          <w:sz w:val="22"/>
        </w:rPr>
      </w:pPr>
      <w:hyperlink w:anchor="_Toc503284471" w:history="1">
        <w:r w:rsidR="007416D0" w:rsidRPr="004E1E1F">
          <w:rPr>
            <w:rStyle w:val="Hyperlink"/>
            <w:noProof/>
            <w14:scene3d>
              <w14:camera w14:prst="orthographicFront"/>
              <w14:lightRig w14:rig="threePt" w14:dir="t">
                <w14:rot w14:lat="0" w14:lon="0" w14:rev="0"/>
              </w14:lightRig>
            </w14:scene3d>
          </w:rPr>
          <w:t>Quadro</w:t>
        </w:r>
        <w:r w:rsidR="0051700B" w:rsidRPr="004E1E1F">
          <w:rPr>
            <w:rStyle w:val="Hyperlink"/>
            <w:noProof/>
            <w14:scene3d>
              <w14:camera w14:prst="orthographicFront"/>
              <w14:lightRig w14:rig="threePt" w14:dir="t">
                <w14:rot w14:lat="0" w14:lon="0" w14:rev="0"/>
              </w14:lightRig>
            </w14:scene3d>
          </w:rPr>
          <w:t xml:space="preserve"> 9.</w:t>
        </w:r>
        <w:r w:rsidR="0051700B" w:rsidRPr="004E1E1F">
          <w:rPr>
            <w:rStyle w:val="Hyperlink"/>
            <w:rFonts w:asciiTheme="minorHAnsi" w:eastAsiaTheme="minorEastAsia" w:hAnsiTheme="minorHAnsi"/>
            <w:b/>
            <w:noProof/>
            <w:sz w:val="22"/>
          </w:rPr>
          <w:tab/>
        </w:r>
        <w:r w:rsidR="004E1E1F" w:rsidRPr="004E1E1F">
          <w:rPr>
            <w:rStyle w:val="Hyperlink"/>
            <w:noProof/>
          </w:rPr>
          <w:t>Elementos de avaliação associados à QAC n.º 30</w:t>
        </w:r>
        <w:r w:rsidR="0051700B" w:rsidRPr="004E1E1F">
          <w:rPr>
            <w:rStyle w:val="Hyperlink"/>
            <w:noProof/>
            <w:webHidden/>
            <w:sz w:val="20"/>
          </w:rPr>
          <w:tab/>
        </w:r>
        <w:r w:rsidR="0051700B" w:rsidRPr="004E1E1F">
          <w:rPr>
            <w:rStyle w:val="Hyperlink"/>
            <w:noProof/>
            <w:webHidden/>
            <w:sz w:val="20"/>
          </w:rPr>
          <w:fldChar w:fldCharType="begin"/>
        </w:r>
        <w:r w:rsidR="0051700B" w:rsidRPr="004E1E1F">
          <w:rPr>
            <w:rStyle w:val="Hyperlink"/>
            <w:noProof/>
            <w:webHidden/>
            <w:sz w:val="20"/>
          </w:rPr>
          <w:instrText xml:space="preserve"> PAGEREF _Toc503284471 \h </w:instrText>
        </w:r>
        <w:r w:rsidR="0051700B" w:rsidRPr="004E1E1F">
          <w:rPr>
            <w:rStyle w:val="Hyperlink"/>
            <w:noProof/>
            <w:webHidden/>
            <w:sz w:val="20"/>
          </w:rPr>
        </w:r>
        <w:r w:rsidR="0051700B" w:rsidRPr="004E1E1F">
          <w:rPr>
            <w:rStyle w:val="Hyperlink"/>
            <w:noProof/>
            <w:webHidden/>
            <w:sz w:val="20"/>
          </w:rPr>
          <w:fldChar w:fldCharType="separate"/>
        </w:r>
        <w:r w:rsidR="004C029E">
          <w:rPr>
            <w:rStyle w:val="Hyperlink"/>
            <w:noProof/>
            <w:webHidden/>
            <w:sz w:val="20"/>
          </w:rPr>
          <w:t>65</w:t>
        </w:r>
        <w:r w:rsidR="0051700B" w:rsidRPr="004E1E1F">
          <w:rPr>
            <w:rStyle w:val="Hyperlink"/>
            <w:noProof/>
            <w:webHidden/>
            <w:sz w:val="20"/>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8D178A" w:rsidRDefault="002F11D9" w:rsidP="008518F2">
      <w:pPr>
        <w:pStyle w:val="TOC4"/>
        <w:tabs>
          <w:tab w:val="left" w:pos="1276"/>
          <w:tab w:val="right" w:leader="dot" w:pos="9323"/>
        </w:tabs>
        <w:rPr>
          <w:rFonts w:asciiTheme="minorHAnsi" w:eastAsiaTheme="minorEastAsia" w:hAnsiTheme="minorHAnsi"/>
          <w:color w:val="auto"/>
          <w:sz w:val="22"/>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3284754" w:history="1">
        <w:r w:rsidRPr="00402C8C">
          <w:rPr>
            <w:rStyle w:val="Hyperlink"/>
          </w:rPr>
          <w:t>Figur</w:t>
        </w:r>
        <w:r w:rsidR="007416D0" w:rsidRPr="00402C8C">
          <w:rPr>
            <w:rStyle w:val="Hyperlink"/>
          </w:rPr>
          <w:t>a</w:t>
        </w:r>
        <w:r w:rsidRPr="00402C8C">
          <w:rPr>
            <w:rStyle w:val="Hyperlink"/>
          </w:rPr>
          <w:t xml:space="preserve"> 1.</w:t>
        </w:r>
        <w:r w:rsidRPr="00402C8C">
          <w:rPr>
            <w:rStyle w:val="Hyperlink"/>
            <w:rFonts w:asciiTheme="minorHAnsi" w:eastAsiaTheme="minorEastAsia" w:hAnsiTheme="minorHAnsi"/>
            <w:sz w:val="22"/>
          </w:rPr>
          <w:tab/>
        </w:r>
        <w:r w:rsidR="00402C8C" w:rsidRPr="00402C8C">
          <w:rPr>
            <w:rStyle w:val="Hyperlink"/>
          </w:rPr>
          <w:t>Imagem simplificada da forma como os PDR fomentam a inovação</w:t>
        </w:r>
        <w:r w:rsidRPr="00402C8C">
          <w:rPr>
            <w:rStyle w:val="Hyperlink"/>
            <w:webHidden/>
            <w:sz w:val="20"/>
          </w:rPr>
          <w:tab/>
        </w:r>
        <w:r w:rsidRPr="00402C8C">
          <w:rPr>
            <w:rStyle w:val="Hyperlink"/>
            <w:webHidden/>
            <w:sz w:val="20"/>
          </w:rPr>
          <w:fldChar w:fldCharType="begin"/>
        </w:r>
        <w:r w:rsidRPr="00402C8C">
          <w:rPr>
            <w:rStyle w:val="Hyperlink"/>
            <w:webHidden/>
            <w:sz w:val="20"/>
          </w:rPr>
          <w:instrText xml:space="preserve"> PAGEREF _Toc503284754 \h </w:instrText>
        </w:r>
        <w:r w:rsidRPr="00402C8C">
          <w:rPr>
            <w:rStyle w:val="Hyperlink"/>
            <w:webHidden/>
            <w:sz w:val="20"/>
          </w:rPr>
        </w:r>
        <w:r w:rsidRPr="00402C8C">
          <w:rPr>
            <w:rStyle w:val="Hyperlink"/>
            <w:webHidden/>
            <w:sz w:val="20"/>
          </w:rPr>
          <w:fldChar w:fldCharType="separate"/>
        </w:r>
        <w:r w:rsidR="004C029E">
          <w:rPr>
            <w:rStyle w:val="Hyperlink"/>
            <w:webHidden/>
            <w:sz w:val="20"/>
          </w:rPr>
          <w:t>4</w:t>
        </w:r>
        <w:r w:rsidRPr="00402C8C">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55" w:history="1">
        <w:r w:rsidR="0051700B" w:rsidRPr="00402C8C">
          <w:rPr>
            <w:rStyle w:val="Hyperlink"/>
          </w:rPr>
          <w:t>Figur</w:t>
        </w:r>
        <w:r w:rsidR="007416D0" w:rsidRPr="00402C8C">
          <w:rPr>
            <w:rStyle w:val="Hyperlink"/>
          </w:rPr>
          <w:t>a</w:t>
        </w:r>
        <w:r w:rsidR="0051700B" w:rsidRPr="00402C8C">
          <w:rPr>
            <w:rStyle w:val="Hyperlink"/>
          </w:rPr>
          <w:t xml:space="preserve"> 2.</w:t>
        </w:r>
        <w:r w:rsidR="0051700B" w:rsidRPr="00402C8C">
          <w:rPr>
            <w:rStyle w:val="Hyperlink"/>
            <w:rFonts w:asciiTheme="minorHAnsi" w:eastAsiaTheme="minorEastAsia" w:hAnsiTheme="minorHAnsi"/>
            <w:sz w:val="22"/>
          </w:rPr>
          <w:tab/>
        </w:r>
        <w:r w:rsidR="00402C8C" w:rsidRPr="00402C8C">
          <w:rPr>
            <w:rStyle w:val="Hyperlink"/>
          </w:rPr>
          <w:t>O quadro político para a inovação na UE e a Política de Desenvolvimento Rural</w:t>
        </w:r>
        <w:r w:rsidR="0051700B" w:rsidRPr="00402C8C">
          <w:rPr>
            <w:rStyle w:val="Hyperlink"/>
            <w:webHidden/>
            <w:sz w:val="20"/>
          </w:rPr>
          <w:tab/>
        </w:r>
        <w:r w:rsidR="0051700B" w:rsidRPr="00402C8C">
          <w:rPr>
            <w:rStyle w:val="Hyperlink"/>
            <w:webHidden/>
            <w:sz w:val="20"/>
          </w:rPr>
          <w:fldChar w:fldCharType="begin"/>
        </w:r>
        <w:r w:rsidR="0051700B" w:rsidRPr="00402C8C">
          <w:rPr>
            <w:rStyle w:val="Hyperlink"/>
            <w:webHidden/>
            <w:sz w:val="20"/>
          </w:rPr>
          <w:instrText xml:space="preserve"> PAGEREF _Toc503284755 \h </w:instrText>
        </w:r>
        <w:r w:rsidR="0051700B" w:rsidRPr="00402C8C">
          <w:rPr>
            <w:rStyle w:val="Hyperlink"/>
            <w:webHidden/>
            <w:sz w:val="20"/>
          </w:rPr>
        </w:r>
        <w:r w:rsidR="0051700B" w:rsidRPr="00402C8C">
          <w:rPr>
            <w:rStyle w:val="Hyperlink"/>
            <w:webHidden/>
            <w:sz w:val="20"/>
          </w:rPr>
          <w:fldChar w:fldCharType="separate"/>
        </w:r>
        <w:r w:rsidR="004C029E">
          <w:rPr>
            <w:rStyle w:val="Hyperlink"/>
            <w:webHidden/>
            <w:sz w:val="20"/>
          </w:rPr>
          <w:t>11</w:t>
        </w:r>
        <w:r w:rsidR="0051700B" w:rsidRPr="00402C8C">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56" w:history="1">
        <w:r w:rsidR="007416D0" w:rsidRPr="00D615F0">
          <w:rPr>
            <w:rStyle w:val="Hyperlink"/>
          </w:rPr>
          <w:t>Figura</w:t>
        </w:r>
        <w:r w:rsidR="0051700B" w:rsidRPr="00D615F0">
          <w:rPr>
            <w:rStyle w:val="Hyperlink"/>
          </w:rPr>
          <w:t xml:space="preserve"> 3.</w:t>
        </w:r>
        <w:r w:rsidR="0051700B" w:rsidRPr="00D615F0">
          <w:rPr>
            <w:rStyle w:val="Hyperlink"/>
            <w:rFonts w:asciiTheme="minorHAnsi" w:eastAsiaTheme="minorEastAsia" w:hAnsiTheme="minorHAnsi"/>
            <w:sz w:val="22"/>
          </w:rPr>
          <w:tab/>
        </w:r>
        <w:r w:rsidR="00D615F0" w:rsidRPr="00D615F0">
          <w:rPr>
            <w:rStyle w:val="Hyperlink"/>
          </w:rPr>
          <w:t>Os elementos de avaliação comuns para a avaliação da inovação</w:t>
        </w:r>
        <w:r w:rsidR="0051700B" w:rsidRPr="00D615F0">
          <w:rPr>
            <w:rStyle w:val="Hyperlink"/>
            <w:webHidden/>
            <w:sz w:val="20"/>
          </w:rPr>
          <w:tab/>
        </w:r>
        <w:r w:rsidR="0051700B" w:rsidRPr="00D615F0">
          <w:rPr>
            <w:rStyle w:val="Hyperlink"/>
            <w:webHidden/>
            <w:sz w:val="20"/>
          </w:rPr>
          <w:fldChar w:fldCharType="begin"/>
        </w:r>
        <w:r w:rsidR="0051700B" w:rsidRPr="00D615F0">
          <w:rPr>
            <w:rStyle w:val="Hyperlink"/>
            <w:webHidden/>
            <w:sz w:val="20"/>
          </w:rPr>
          <w:instrText xml:space="preserve"> PAGEREF _Toc503284756 \h </w:instrText>
        </w:r>
        <w:r w:rsidR="0051700B" w:rsidRPr="00D615F0">
          <w:rPr>
            <w:rStyle w:val="Hyperlink"/>
            <w:webHidden/>
            <w:sz w:val="20"/>
          </w:rPr>
        </w:r>
        <w:r w:rsidR="0051700B" w:rsidRPr="00D615F0">
          <w:rPr>
            <w:rStyle w:val="Hyperlink"/>
            <w:webHidden/>
            <w:sz w:val="20"/>
          </w:rPr>
          <w:fldChar w:fldCharType="separate"/>
        </w:r>
        <w:r w:rsidR="004C029E">
          <w:rPr>
            <w:rStyle w:val="Hyperlink"/>
            <w:webHidden/>
            <w:sz w:val="20"/>
          </w:rPr>
          <w:t>15</w:t>
        </w:r>
        <w:r w:rsidR="0051700B" w:rsidRPr="00D615F0">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57" w:history="1">
        <w:r w:rsidR="007416D0" w:rsidRPr="00D615F0">
          <w:rPr>
            <w:rStyle w:val="Hyperlink"/>
          </w:rPr>
          <w:t>Figura</w:t>
        </w:r>
        <w:r w:rsidR="0051700B" w:rsidRPr="00D615F0">
          <w:rPr>
            <w:rStyle w:val="Hyperlink"/>
          </w:rPr>
          <w:t xml:space="preserve"> 4.</w:t>
        </w:r>
        <w:r w:rsidR="0051700B" w:rsidRPr="00D615F0">
          <w:rPr>
            <w:rStyle w:val="Hyperlink"/>
            <w:rFonts w:asciiTheme="minorHAnsi" w:eastAsiaTheme="minorEastAsia" w:hAnsiTheme="minorHAnsi"/>
            <w:sz w:val="22"/>
          </w:rPr>
          <w:tab/>
        </w:r>
        <w:r w:rsidR="00D615F0" w:rsidRPr="00D615F0">
          <w:rPr>
            <w:rStyle w:val="Hyperlink"/>
          </w:rPr>
          <w:t>Gerir a avaliação da inovação nos PDR 2014-2020</w:t>
        </w:r>
        <w:r w:rsidR="0051700B" w:rsidRPr="00D615F0">
          <w:rPr>
            <w:rStyle w:val="Hyperlink"/>
            <w:webHidden/>
            <w:sz w:val="20"/>
          </w:rPr>
          <w:tab/>
        </w:r>
        <w:r w:rsidR="0051700B" w:rsidRPr="00D615F0">
          <w:rPr>
            <w:rStyle w:val="Hyperlink"/>
            <w:webHidden/>
            <w:sz w:val="20"/>
          </w:rPr>
          <w:fldChar w:fldCharType="begin"/>
        </w:r>
        <w:r w:rsidR="0051700B" w:rsidRPr="00D615F0">
          <w:rPr>
            <w:rStyle w:val="Hyperlink"/>
            <w:webHidden/>
            <w:sz w:val="20"/>
          </w:rPr>
          <w:instrText xml:space="preserve"> PAGEREF _Toc503284757 \h </w:instrText>
        </w:r>
        <w:r w:rsidR="0051700B" w:rsidRPr="00D615F0">
          <w:rPr>
            <w:rStyle w:val="Hyperlink"/>
            <w:webHidden/>
            <w:sz w:val="20"/>
          </w:rPr>
        </w:r>
        <w:r w:rsidR="0051700B" w:rsidRPr="00D615F0">
          <w:rPr>
            <w:rStyle w:val="Hyperlink"/>
            <w:webHidden/>
            <w:sz w:val="20"/>
          </w:rPr>
          <w:fldChar w:fldCharType="separate"/>
        </w:r>
        <w:r w:rsidR="004C029E">
          <w:rPr>
            <w:rStyle w:val="Hyperlink"/>
            <w:webHidden/>
            <w:sz w:val="20"/>
          </w:rPr>
          <w:t>18</w:t>
        </w:r>
        <w:r w:rsidR="0051700B" w:rsidRPr="00D615F0">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58" w:history="1">
        <w:r w:rsidR="0051700B" w:rsidRPr="00D615F0">
          <w:rPr>
            <w:rStyle w:val="Hyperlink"/>
          </w:rPr>
          <w:t>Figur</w:t>
        </w:r>
        <w:r w:rsidR="007416D0" w:rsidRPr="00D615F0">
          <w:rPr>
            <w:rStyle w:val="Hyperlink"/>
          </w:rPr>
          <w:t xml:space="preserve">a </w:t>
        </w:r>
        <w:r w:rsidR="0051700B" w:rsidRPr="00D615F0">
          <w:rPr>
            <w:rStyle w:val="Hyperlink"/>
          </w:rPr>
          <w:t>5.</w:t>
        </w:r>
        <w:r w:rsidR="0051700B" w:rsidRPr="00D615F0">
          <w:rPr>
            <w:rStyle w:val="Hyperlink"/>
            <w:rFonts w:asciiTheme="minorHAnsi" w:eastAsiaTheme="minorEastAsia" w:hAnsiTheme="minorHAnsi"/>
            <w:sz w:val="22"/>
          </w:rPr>
          <w:tab/>
        </w:r>
        <w:r w:rsidR="00D615F0" w:rsidRPr="00D615F0">
          <w:rPr>
            <w:rStyle w:val="Hyperlink"/>
            <w:rFonts w:eastAsia="Calibri"/>
          </w:rPr>
          <w:t>Requisitos de comunicação relativos à inovação</w:t>
        </w:r>
        <w:r w:rsidR="0051700B" w:rsidRPr="00D615F0">
          <w:rPr>
            <w:rStyle w:val="Hyperlink"/>
            <w:webHidden/>
            <w:sz w:val="20"/>
          </w:rPr>
          <w:tab/>
        </w:r>
        <w:r w:rsidR="0051700B" w:rsidRPr="00D615F0">
          <w:rPr>
            <w:rStyle w:val="Hyperlink"/>
            <w:webHidden/>
            <w:sz w:val="20"/>
          </w:rPr>
          <w:fldChar w:fldCharType="begin"/>
        </w:r>
        <w:r w:rsidR="0051700B" w:rsidRPr="00D615F0">
          <w:rPr>
            <w:rStyle w:val="Hyperlink"/>
            <w:webHidden/>
            <w:sz w:val="20"/>
          </w:rPr>
          <w:instrText xml:space="preserve"> PAGEREF _Toc503284758 \h </w:instrText>
        </w:r>
        <w:r w:rsidR="0051700B" w:rsidRPr="00D615F0">
          <w:rPr>
            <w:rStyle w:val="Hyperlink"/>
            <w:webHidden/>
            <w:sz w:val="20"/>
          </w:rPr>
        </w:r>
        <w:r w:rsidR="0051700B" w:rsidRPr="00D615F0">
          <w:rPr>
            <w:rStyle w:val="Hyperlink"/>
            <w:webHidden/>
            <w:sz w:val="20"/>
          </w:rPr>
          <w:fldChar w:fldCharType="separate"/>
        </w:r>
        <w:r w:rsidR="004C029E">
          <w:rPr>
            <w:rStyle w:val="Hyperlink"/>
            <w:webHidden/>
            <w:sz w:val="20"/>
          </w:rPr>
          <w:t>19</w:t>
        </w:r>
        <w:r w:rsidR="0051700B" w:rsidRPr="00D615F0">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59" w:history="1">
        <w:r w:rsidR="0051700B" w:rsidRPr="00D615F0">
          <w:rPr>
            <w:rStyle w:val="Hyperlink"/>
          </w:rPr>
          <w:t>Figur</w:t>
        </w:r>
        <w:r w:rsidR="007416D0" w:rsidRPr="00D615F0">
          <w:rPr>
            <w:rStyle w:val="Hyperlink"/>
          </w:rPr>
          <w:t>a</w:t>
        </w:r>
        <w:r w:rsidR="0051700B" w:rsidRPr="00D615F0">
          <w:rPr>
            <w:rStyle w:val="Hyperlink"/>
          </w:rPr>
          <w:t xml:space="preserve"> 6.</w:t>
        </w:r>
        <w:r w:rsidR="0051700B" w:rsidRPr="00D615F0">
          <w:rPr>
            <w:rStyle w:val="Hyperlink"/>
            <w:rFonts w:asciiTheme="minorHAnsi" w:eastAsiaTheme="minorEastAsia" w:hAnsiTheme="minorHAnsi"/>
            <w:sz w:val="22"/>
          </w:rPr>
          <w:tab/>
        </w:r>
        <w:r w:rsidR="00D615F0" w:rsidRPr="00D615F0">
          <w:rPr>
            <w:rStyle w:val="Hyperlink"/>
          </w:rPr>
          <w:t>Abordagem da avaliação da inovação nos PDR</w:t>
        </w:r>
        <w:r w:rsidR="0051700B" w:rsidRPr="00D615F0">
          <w:rPr>
            <w:rStyle w:val="Hyperlink"/>
            <w:webHidden/>
            <w:sz w:val="20"/>
          </w:rPr>
          <w:tab/>
        </w:r>
        <w:r w:rsidR="0051700B" w:rsidRPr="00D615F0">
          <w:rPr>
            <w:rStyle w:val="Hyperlink"/>
            <w:webHidden/>
            <w:sz w:val="20"/>
          </w:rPr>
          <w:fldChar w:fldCharType="begin"/>
        </w:r>
        <w:r w:rsidR="0051700B" w:rsidRPr="00D615F0">
          <w:rPr>
            <w:rStyle w:val="Hyperlink"/>
            <w:webHidden/>
            <w:sz w:val="20"/>
          </w:rPr>
          <w:instrText xml:space="preserve"> PAGEREF _Toc503284759 \h </w:instrText>
        </w:r>
        <w:r w:rsidR="0051700B" w:rsidRPr="00D615F0">
          <w:rPr>
            <w:rStyle w:val="Hyperlink"/>
            <w:webHidden/>
            <w:sz w:val="20"/>
          </w:rPr>
        </w:r>
        <w:r w:rsidR="0051700B" w:rsidRPr="00D615F0">
          <w:rPr>
            <w:rStyle w:val="Hyperlink"/>
            <w:webHidden/>
            <w:sz w:val="20"/>
          </w:rPr>
          <w:fldChar w:fldCharType="separate"/>
        </w:r>
        <w:r w:rsidR="004C029E">
          <w:rPr>
            <w:rStyle w:val="Hyperlink"/>
            <w:webHidden/>
            <w:sz w:val="20"/>
          </w:rPr>
          <w:t>21</w:t>
        </w:r>
        <w:r w:rsidR="0051700B" w:rsidRPr="00D615F0">
          <w:rPr>
            <w:rStyle w:val="Hyperlink"/>
            <w:webHidden/>
            <w:sz w:val="20"/>
          </w:rPr>
          <w:fldChar w:fldCharType="end"/>
        </w:r>
      </w:hyperlink>
    </w:p>
    <w:p w:rsidR="008D178A" w:rsidRDefault="00B06BF7" w:rsidP="00D40512">
      <w:pPr>
        <w:pStyle w:val="TOC4"/>
        <w:tabs>
          <w:tab w:val="left" w:pos="1276"/>
          <w:tab w:val="right" w:leader="dot" w:pos="9323"/>
        </w:tabs>
        <w:ind w:left="1272" w:hanging="1272"/>
        <w:rPr>
          <w:rFonts w:asciiTheme="minorHAnsi" w:eastAsiaTheme="minorEastAsia" w:hAnsiTheme="minorHAnsi"/>
          <w:color w:val="auto"/>
          <w:sz w:val="22"/>
        </w:rPr>
      </w:pPr>
      <w:hyperlink w:anchor="_Toc503284760" w:history="1">
        <w:r w:rsidR="0051700B" w:rsidRPr="00D615F0">
          <w:rPr>
            <w:rStyle w:val="Hyperlink"/>
          </w:rPr>
          <w:t>Figur</w:t>
        </w:r>
        <w:r w:rsidR="007416D0" w:rsidRPr="00D615F0">
          <w:rPr>
            <w:rStyle w:val="Hyperlink"/>
          </w:rPr>
          <w:t>a</w:t>
        </w:r>
        <w:r w:rsidR="0051700B" w:rsidRPr="00D615F0">
          <w:rPr>
            <w:rStyle w:val="Hyperlink"/>
          </w:rPr>
          <w:t xml:space="preserve"> 7.</w:t>
        </w:r>
        <w:r w:rsidR="0051700B" w:rsidRPr="00D615F0">
          <w:rPr>
            <w:rStyle w:val="Hyperlink"/>
            <w:rFonts w:asciiTheme="minorHAnsi" w:eastAsiaTheme="minorEastAsia" w:hAnsiTheme="minorHAnsi"/>
            <w:sz w:val="22"/>
          </w:rPr>
          <w:tab/>
        </w:r>
        <w:r w:rsidR="00D615F0" w:rsidRPr="00D615F0">
          <w:rPr>
            <w:rStyle w:val="Hyperlink"/>
          </w:rPr>
          <w:t>Etapas da análise das medidas/submedidas do PDR em termos do seu potencial de</w:t>
        </w:r>
        <w:r w:rsidR="00D40512">
          <w:rPr>
            <w:rStyle w:val="Hyperlink"/>
          </w:rPr>
          <w:br/>
        </w:r>
        <w:r w:rsidR="00D615F0" w:rsidRPr="00D615F0">
          <w:rPr>
            <w:rStyle w:val="Hyperlink"/>
          </w:rPr>
          <w:t>inovação</w:t>
        </w:r>
        <w:bookmarkStart w:id="4" w:name="_GoBack"/>
        <w:bookmarkEnd w:id="4"/>
        <w:r w:rsidR="00D615F0">
          <w:rPr>
            <w:rStyle w:val="Hyperlink"/>
            <w:webHidden/>
            <w:sz w:val="20"/>
          </w:rPr>
          <w:tab/>
        </w:r>
        <w:r w:rsidR="0051700B" w:rsidRPr="00D615F0">
          <w:rPr>
            <w:rStyle w:val="Hyperlink"/>
            <w:webHidden/>
            <w:sz w:val="20"/>
          </w:rPr>
          <w:fldChar w:fldCharType="begin"/>
        </w:r>
        <w:r w:rsidR="0051700B" w:rsidRPr="00D615F0">
          <w:rPr>
            <w:rStyle w:val="Hyperlink"/>
            <w:webHidden/>
            <w:sz w:val="20"/>
          </w:rPr>
          <w:instrText xml:space="preserve"> PAGEREF _Toc503284760 \h </w:instrText>
        </w:r>
        <w:r w:rsidR="0051700B" w:rsidRPr="00D615F0">
          <w:rPr>
            <w:rStyle w:val="Hyperlink"/>
            <w:webHidden/>
            <w:sz w:val="20"/>
          </w:rPr>
        </w:r>
        <w:r w:rsidR="0051700B" w:rsidRPr="00D615F0">
          <w:rPr>
            <w:rStyle w:val="Hyperlink"/>
            <w:webHidden/>
            <w:sz w:val="20"/>
          </w:rPr>
          <w:fldChar w:fldCharType="separate"/>
        </w:r>
        <w:r w:rsidR="004C029E">
          <w:rPr>
            <w:rStyle w:val="Hyperlink"/>
            <w:webHidden/>
            <w:sz w:val="20"/>
          </w:rPr>
          <w:t>22</w:t>
        </w:r>
        <w:r w:rsidR="0051700B" w:rsidRPr="00D615F0">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61" w:history="1">
        <w:r w:rsidR="0051700B" w:rsidRPr="007968A6">
          <w:rPr>
            <w:rStyle w:val="Hyperlink"/>
          </w:rPr>
          <w:t>Figur</w:t>
        </w:r>
        <w:r w:rsidR="007416D0" w:rsidRPr="007968A6">
          <w:rPr>
            <w:rStyle w:val="Hyperlink"/>
          </w:rPr>
          <w:t>a</w:t>
        </w:r>
        <w:r w:rsidR="0051700B" w:rsidRPr="007968A6">
          <w:rPr>
            <w:rStyle w:val="Hyperlink"/>
          </w:rPr>
          <w:t xml:space="preserve"> 8.</w:t>
        </w:r>
        <w:r w:rsidR="0051700B" w:rsidRPr="007968A6">
          <w:rPr>
            <w:rStyle w:val="Hyperlink"/>
            <w:rFonts w:asciiTheme="minorHAnsi" w:eastAsiaTheme="minorEastAsia" w:hAnsiTheme="minorHAnsi"/>
            <w:sz w:val="22"/>
          </w:rPr>
          <w:tab/>
        </w:r>
        <w:r w:rsidR="007968A6" w:rsidRPr="007968A6">
          <w:rPr>
            <w:rStyle w:val="Hyperlink"/>
          </w:rPr>
          <w:t>Exemplo de uma lógica de intervenção associada à QAC n.º 1</w:t>
        </w:r>
        <w:r w:rsidR="0051700B" w:rsidRPr="007968A6">
          <w:rPr>
            <w:rStyle w:val="Hyperlink"/>
            <w:webHidden/>
            <w:sz w:val="20"/>
          </w:rPr>
          <w:tab/>
        </w:r>
        <w:r w:rsidR="0051700B" w:rsidRPr="007968A6">
          <w:rPr>
            <w:rStyle w:val="Hyperlink"/>
            <w:webHidden/>
            <w:sz w:val="20"/>
          </w:rPr>
          <w:fldChar w:fldCharType="begin"/>
        </w:r>
        <w:r w:rsidR="0051700B" w:rsidRPr="007968A6">
          <w:rPr>
            <w:rStyle w:val="Hyperlink"/>
            <w:webHidden/>
            <w:sz w:val="20"/>
          </w:rPr>
          <w:instrText xml:space="preserve"> PAGEREF _Toc503284761 \h </w:instrText>
        </w:r>
        <w:r w:rsidR="0051700B" w:rsidRPr="007968A6">
          <w:rPr>
            <w:rStyle w:val="Hyperlink"/>
            <w:webHidden/>
            <w:sz w:val="20"/>
          </w:rPr>
        </w:r>
        <w:r w:rsidR="0051700B" w:rsidRPr="007968A6">
          <w:rPr>
            <w:rStyle w:val="Hyperlink"/>
            <w:webHidden/>
            <w:sz w:val="20"/>
          </w:rPr>
          <w:fldChar w:fldCharType="separate"/>
        </w:r>
        <w:r w:rsidR="004C029E">
          <w:rPr>
            <w:rStyle w:val="Hyperlink"/>
            <w:webHidden/>
            <w:sz w:val="20"/>
          </w:rPr>
          <w:t>30</w:t>
        </w:r>
        <w:r w:rsidR="0051700B" w:rsidRPr="007968A6">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62" w:history="1">
        <w:r w:rsidR="0051700B" w:rsidRPr="00433405">
          <w:rPr>
            <w:rStyle w:val="Hyperlink"/>
          </w:rPr>
          <w:t>Figur</w:t>
        </w:r>
        <w:r w:rsidR="007416D0" w:rsidRPr="00433405">
          <w:rPr>
            <w:rStyle w:val="Hyperlink"/>
          </w:rPr>
          <w:t>a</w:t>
        </w:r>
        <w:r w:rsidR="0051700B" w:rsidRPr="00433405">
          <w:rPr>
            <w:rStyle w:val="Hyperlink"/>
          </w:rPr>
          <w:t xml:space="preserve"> 9.</w:t>
        </w:r>
        <w:r w:rsidR="0051700B" w:rsidRPr="00433405">
          <w:rPr>
            <w:rStyle w:val="Hyperlink"/>
            <w:rFonts w:asciiTheme="minorHAnsi" w:eastAsiaTheme="minorEastAsia" w:hAnsiTheme="minorHAnsi"/>
            <w:sz w:val="22"/>
          </w:rPr>
          <w:tab/>
        </w:r>
        <w:r w:rsidR="00433405" w:rsidRPr="00433405">
          <w:rPr>
            <w:rStyle w:val="Hyperlink"/>
          </w:rPr>
          <w:t>Exemplo de potencial de inovação de cada submedida de M16</w:t>
        </w:r>
        <w:r w:rsidR="0051700B" w:rsidRPr="00433405">
          <w:rPr>
            <w:rStyle w:val="Hyperlink"/>
            <w:webHidden/>
            <w:sz w:val="20"/>
          </w:rPr>
          <w:tab/>
        </w:r>
        <w:r w:rsidR="0051700B" w:rsidRPr="00433405">
          <w:rPr>
            <w:rStyle w:val="Hyperlink"/>
            <w:webHidden/>
            <w:sz w:val="20"/>
          </w:rPr>
          <w:fldChar w:fldCharType="begin"/>
        </w:r>
        <w:r w:rsidR="0051700B" w:rsidRPr="00433405">
          <w:rPr>
            <w:rStyle w:val="Hyperlink"/>
            <w:webHidden/>
            <w:sz w:val="20"/>
          </w:rPr>
          <w:instrText xml:space="preserve"> PAGEREF _Toc503284762 \h </w:instrText>
        </w:r>
        <w:r w:rsidR="0051700B" w:rsidRPr="00433405">
          <w:rPr>
            <w:rStyle w:val="Hyperlink"/>
            <w:webHidden/>
            <w:sz w:val="20"/>
          </w:rPr>
        </w:r>
        <w:r w:rsidR="0051700B" w:rsidRPr="00433405">
          <w:rPr>
            <w:rStyle w:val="Hyperlink"/>
            <w:webHidden/>
            <w:sz w:val="20"/>
          </w:rPr>
          <w:fldChar w:fldCharType="separate"/>
        </w:r>
        <w:r w:rsidR="004C029E">
          <w:rPr>
            <w:rStyle w:val="Hyperlink"/>
            <w:webHidden/>
            <w:sz w:val="20"/>
          </w:rPr>
          <w:t>38</w:t>
        </w:r>
        <w:r w:rsidR="0051700B" w:rsidRPr="00433405">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63" w:history="1">
        <w:r w:rsidR="0051700B" w:rsidRPr="00433405">
          <w:rPr>
            <w:rStyle w:val="Hyperlink"/>
          </w:rPr>
          <w:t>Figur</w:t>
        </w:r>
        <w:r w:rsidR="007416D0" w:rsidRPr="00433405">
          <w:rPr>
            <w:rStyle w:val="Hyperlink"/>
          </w:rPr>
          <w:t>a</w:t>
        </w:r>
        <w:r w:rsidR="0051700B" w:rsidRPr="00433405">
          <w:rPr>
            <w:rStyle w:val="Hyperlink"/>
          </w:rPr>
          <w:t xml:space="preserve"> 10.</w:t>
        </w:r>
        <w:r w:rsidR="0051700B" w:rsidRPr="00433405">
          <w:rPr>
            <w:rStyle w:val="Hyperlink"/>
            <w:rFonts w:asciiTheme="minorHAnsi" w:eastAsiaTheme="minorEastAsia" w:hAnsiTheme="minorHAnsi"/>
            <w:sz w:val="22"/>
          </w:rPr>
          <w:tab/>
        </w:r>
        <w:r w:rsidR="00433405" w:rsidRPr="00433405">
          <w:rPr>
            <w:rStyle w:val="Hyperlink"/>
          </w:rPr>
          <w:t>Lógica de intervenção da RRN relativamente à inovação</w:t>
        </w:r>
        <w:r w:rsidR="0051700B" w:rsidRPr="00433405">
          <w:rPr>
            <w:rStyle w:val="Hyperlink"/>
            <w:webHidden/>
            <w:sz w:val="20"/>
          </w:rPr>
          <w:tab/>
        </w:r>
        <w:r w:rsidR="0051700B" w:rsidRPr="00433405">
          <w:rPr>
            <w:rStyle w:val="Hyperlink"/>
            <w:webHidden/>
            <w:sz w:val="20"/>
          </w:rPr>
          <w:fldChar w:fldCharType="begin"/>
        </w:r>
        <w:r w:rsidR="0051700B" w:rsidRPr="00433405">
          <w:rPr>
            <w:rStyle w:val="Hyperlink"/>
            <w:webHidden/>
            <w:sz w:val="20"/>
          </w:rPr>
          <w:instrText xml:space="preserve"> PAGEREF _Toc503284763 \h </w:instrText>
        </w:r>
        <w:r w:rsidR="0051700B" w:rsidRPr="00433405">
          <w:rPr>
            <w:rStyle w:val="Hyperlink"/>
            <w:webHidden/>
            <w:sz w:val="20"/>
          </w:rPr>
        </w:r>
        <w:r w:rsidR="0051700B" w:rsidRPr="00433405">
          <w:rPr>
            <w:rStyle w:val="Hyperlink"/>
            <w:webHidden/>
            <w:sz w:val="20"/>
          </w:rPr>
          <w:fldChar w:fldCharType="separate"/>
        </w:r>
        <w:r w:rsidR="004C029E">
          <w:rPr>
            <w:rStyle w:val="Hyperlink"/>
            <w:webHidden/>
            <w:sz w:val="20"/>
          </w:rPr>
          <w:t>48</w:t>
        </w:r>
        <w:r w:rsidR="0051700B" w:rsidRPr="00433405">
          <w:rPr>
            <w:rStyle w:val="Hyperlink"/>
            <w:webHidden/>
            <w:sz w:val="20"/>
          </w:rPr>
          <w:fldChar w:fldCharType="end"/>
        </w:r>
      </w:hyperlink>
    </w:p>
    <w:p w:rsidR="008D178A" w:rsidRDefault="00B06BF7" w:rsidP="008518F2">
      <w:pPr>
        <w:pStyle w:val="TOC4"/>
        <w:tabs>
          <w:tab w:val="left" w:pos="1276"/>
          <w:tab w:val="right" w:leader="dot" w:pos="9323"/>
        </w:tabs>
        <w:rPr>
          <w:rFonts w:asciiTheme="minorHAnsi" w:eastAsiaTheme="minorEastAsia" w:hAnsiTheme="minorHAnsi"/>
          <w:color w:val="auto"/>
          <w:sz w:val="22"/>
        </w:rPr>
      </w:pPr>
      <w:hyperlink w:anchor="_Toc503284764" w:history="1">
        <w:r w:rsidR="0051700B" w:rsidRPr="00433405">
          <w:rPr>
            <w:rStyle w:val="Hyperlink"/>
          </w:rPr>
          <w:t>Figur</w:t>
        </w:r>
        <w:r w:rsidR="007416D0" w:rsidRPr="00433405">
          <w:rPr>
            <w:rStyle w:val="Hyperlink"/>
          </w:rPr>
          <w:t>a</w:t>
        </w:r>
        <w:r w:rsidR="0051700B" w:rsidRPr="00433405">
          <w:rPr>
            <w:rStyle w:val="Hyperlink"/>
          </w:rPr>
          <w:t xml:space="preserve"> 11.</w:t>
        </w:r>
        <w:r w:rsidR="0051700B" w:rsidRPr="00433405">
          <w:rPr>
            <w:rStyle w:val="Hyperlink"/>
            <w:rFonts w:asciiTheme="minorHAnsi" w:eastAsiaTheme="minorEastAsia" w:hAnsiTheme="minorHAnsi"/>
            <w:sz w:val="22"/>
          </w:rPr>
          <w:tab/>
        </w:r>
        <w:r w:rsidR="00433405" w:rsidRPr="00433405">
          <w:rPr>
            <w:rStyle w:val="Hyperlink"/>
          </w:rPr>
          <w:t>Exemplo da lógica de intervenção para a QAC n.º 30</w:t>
        </w:r>
        <w:r w:rsidR="0051700B" w:rsidRPr="00433405">
          <w:rPr>
            <w:rStyle w:val="Hyperlink"/>
            <w:webHidden/>
            <w:sz w:val="20"/>
          </w:rPr>
          <w:tab/>
        </w:r>
        <w:r w:rsidR="0051700B" w:rsidRPr="00433405">
          <w:rPr>
            <w:rStyle w:val="Hyperlink"/>
            <w:webHidden/>
            <w:sz w:val="20"/>
          </w:rPr>
          <w:fldChar w:fldCharType="begin"/>
        </w:r>
        <w:r w:rsidR="0051700B" w:rsidRPr="00433405">
          <w:rPr>
            <w:rStyle w:val="Hyperlink"/>
            <w:webHidden/>
            <w:sz w:val="20"/>
          </w:rPr>
          <w:instrText xml:space="preserve"> PAGEREF _Toc503284764 \h </w:instrText>
        </w:r>
        <w:r w:rsidR="0051700B" w:rsidRPr="00433405">
          <w:rPr>
            <w:rStyle w:val="Hyperlink"/>
            <w:webHidden/>
            <w:sz w:val="20"/>
          </w:rPr>
        </w:r>
        <w:r w:rsidR="0051700B" w:rsidRPr="00433405">
          <w:rPr>
            <w:rStyle w:val="Hyperlink"/>
            <w:webHidden/>
            <w:sz w:val="20"/>
          </w:rPr>
          <w:fldChar w:fldCharType="separate"/>
        </w:r>
        <w:r w:rsidR="004C029E">
          <w:rPr>
            <w:rStyle w:val="Hyperlink"/>
            <w:webHidden/>
            <w:sz w:val="20"/>
          </w:rPr>
          <w:t>63</w:t>
        </w:r>
        <w:r w:rsidR="0051700B" w:rsidRPr="00433405">
          <w:rPr>
            <w:rStyle w:val="Hyperlink"/>
            <w:webHidden/>
            <w:sz w:val="20"/>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bookmarkStart w:id="6" w:name="_Toc508372653"/>
      <w:r>
        <w:rPr>
          <w:rFonts w:ascii="Helvetica" w:hAnsi="Helvetica"/>
          <w:b/>
          <w:bCs/>
          <w:caps/>
          <w:color w:val="F07E31"/>
          <w:sz w:val="24"/>
          <w:szCs w:val="24"/>
        </w:rPr>
        <w:lastRenderedPageBreak/>
        <w:t>Agradecimentos</w:t>
      </w:r>
      <w:bookmarkEnd w:id="6"/>
    </w:p>
    <w:p w:rsidR="00E05D08" w:rsidRPr="00E05D08" w:rsidRDefault="00E05D08" w:rsidP="00E05D08">
      <w:pPr>
        <w:spacing w:after="120" w:line="280" w:lineRule="atLeast"/>
        <w:mirrorIndents/>
        <w:rPr>
          <w:rFonts w:eastAsia="Times New Roman" w:cs="Times New Roman"/>
          <w:i/>
          <w:szCs w:val="20"/>
        </w:rPr>
      </w:pPr>
      <w:r>
        <w:rPr>
          <w:i/>
          <w:szCs w:val="20"/>
        </w:rPr>
        <w:t xml:space="preserve">As orientações foram elaboradas por uma equipa de peritos do Serviço Europeu de Assistência na Avaliação para o Desenvolvimento Rural, incluindo Boru Douthwaite, Marili Parissaki, Andreas Resch, Jela Tvrdonova, Valérie Dumont, Matteo Metta, Myles Stiffler e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Vários peritos representaram funções de avaliadores dos pares (Anna Maria Augustyn, Simona Cristiano, Anikó Juhász, Bill Slee) ou contribuíram com os seus conhecimentos em matéria de práticas de avaliação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A coerência das presentes orientações com os domínios de intervenção da UE foi assegurada por representantes da DG Agricultura e Desenvolvimento Rural.</w:t>
      </w:r>
    </w:p>
    <w:p w:rsidR="00E05D08" w:rsidRPr="00E05D08" w:rsidRDefault="00E05D08" w:rsidP="00E05D08">
      <w:pPr>
        <w:spacing w:after="120" w:line="280" w:lineRule="atLeast"/>
        <w:mirrorIndents/>
        <w:rPr>
          <w:rFonts w:eastAsia="Times New Roman" w:cs="Times New Roman"/>
          <w:i/>
          <w:szCs w:val="20"/>
        </w:rPr>
      </w:pPr>
      <w:r>
        <w:rPr>
          <w:i/>
          <w:szCs w:val="20"/>
        </w:rPr>
        <w:t>As versões preliminares das orientações foram sujeitas a observações por representantes dos Estados-Membros durante a reunião do painel de consulta de 22 de março de 2017 e durante a 11.</w:t>
      </w:r>
      <w:r w:rsidR="003C4BA9">
        <w:rPr>
          <w:i/>
          <w:szCs w:val="20"/>
        </w:rPr>
        <w:t>ª</w:t>
      </w:r>
      <w:r>
        <w:rPr>
          <w:i/>
          <w:szCs w:val="20"/>
        </w:rPr>
        <w:t xml:space="preserve"> reunião do Grupo de Peritos sobre Acompanhamento e Avaliação da PAC de 10 de maio de 2017.  </w:t>
      </w:r>
    </w:p>
    <w:p w:rsidR="00E05D08" w:rsidRPr="00E05D08" w:rsidRDefault="00E05D08" w:rsidP="00E05D08">
      <w:pPr>
        <w:spacing w:after="120" w:line="280" w:lineRule="atLeast"/>
        <w:mirrorIndents/>
        <w:rPr>
          <w:rFonts w:eastAsia="Times New Roman" w:cs="Times New Roman"/>
          <w:i/>
          <w:szCs w:val="20"/>
        </w:rPr>
      </w:pPr>
      <w:r>
        <w:rPr>
          <w:i/>
          <w:szCs w:val="20"/>
        </w:rPr>
        <w:t>O Ponto de Contacto da REDR e o Serviço de Orientação da PEI foram igualmente convidados a pronunciarem-se sobre as orientações.</w:t>
      </w:r>
    </w:p>
    <w:p w:rsidR="00E05D08" w:rsidRPr="00E05D08" w:rsidRDefault="00E05D08" w:rsidP="00E05D08">
      <w:pPr>
        <w:spacing w:after="0" w:line="240" w:lineRule="auto"/>
        <w:rPr>
          <w:rFonts w:eastAsia="Times New Roman" w:cs="Times New Roman"/>
          <w:szCs w:val="20"/>
        </w:rPr>
      </w:pPr>
      <w:r>
        <w:br w:type="page"/>
      </w:r>
    </w:p>
    <w:p w:rsidR="00E05D08" w:rsidRPr="00A04B6A" w:rsidRDefault="00E05D08" w:rsidP="00E05D08">
      <w:pPr>
        <w:spacing w:after="120" w:line="280" w:lineRule="atLeast"/>
        <w:mirrorIndents/>
        <w:rPr>
          <w:rFonts w:eastAsia="Times New Roman" w:cs="Arial"/>
          <w:smallCaps/>
          <w:color w:val="F07E31"/>
          <w:sz w:val="36"/>
          <w:szCs w:val="60"/>
          <w:lang w:eastAsia="de-DE"/>
        </w:rPr>
        <w:sectPr w:rsidR="00E05D08" w:rsidRPr="00A04B6A"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INTRODUÇÃO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Porquê avaliar a inovação nos programas de desenvolvimento rural? </w:t>
      </w:r>
    </w:p>
    <w:p w:rsidR="00A45935" w:rsidRPr="00E05D08" w:rsidRDefault="00E05D08" w:rsidP="00E05D08">
      <w:pPr>
        <w:spacing w:after="120" w:line="280" w:lineRule="atLeast"/>
        <w:mirrorIndents/>
        <w:rPr>
          <w:rFonts w:eastAsia="Times New Roman" w:cs="Times New Roman"/>
          <w:bCs/>
          <w:iCs/>
          <w:color w:val="000000"/>
          <w:szCs w:val="20"/>
        </w:rPr>
      </w:pPr>
      <w:r>
        <w:rPr>
          <w:b/>
          <w:iCs/>
          <w:szCs w:val="20"/>
        </w:rPr>
        <w:t>A inovação constitui um dos três objetivos transversais da política rural</w:t>
      </w:r>
      <w:r>
        <w:rPr>
          <w:rFonts w:eastAsia="Times New Roman" w:cs="Arial"/>
          <w:b/>
          <w:bCs/>
          <w:iCs/>
          <w:color w:val="000000"/>
          <w:szCs w:val="20"/>
          <w:vertAlign w:val="superscript"/>
          <w:lang w:eastAsia="de-DE"/>
        </w:rPr>
        <w:footnoteReference w:id="1"/>
      </w:r>
      <w:r>
        <w:rPr>
          <w:b/>
          <w:iCs/>
          <w:szCs w:val="20"/>
        </w:rPr>
        <w:t xml:space="preserve"> e pode ser abordada por meio das ações levadas a cabo no âmbito das medidas e domínios de incidência (DI) dos programas de desenvolvimento rural (PDR) para o período de 2014 a 2020</w:t>
      </w:r>
      <w:r>
        <w:rPr>
          <w:rFonts w:eastAsia="Times New Roman" w:cs="Arial"/>
          <w:b/>
          <w:i/>
          <w:iCs/>
          <w:szCs w:val="20"/>
          <w:vertAlign w:val="superscript"/>
          <w:lang w:eastAsia="de-DE"/>
        </w:rPr>
        <w:footnoteReference w:id="2"/>
      </w:r>
      <w:r>
        <w:rPr>
          <w:b/>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sidRPr="0022388F">
        <w:rPr>
          <w:b/>
        </w:rPr>
        <w:t>Os resultados deste objetivo transversal constituem o objeto da avaliação da inovação</w:t>
      </w:r>
      <w:r>
        <w:rPr>
          <w:rFonts w:eastAsia="Times New Roman" w:cs="Arial"/>
          <w:bCs/>
          <w:iCs/>
          <w:color w:val="000000"/>
          <w:szCs w:val="20"/>
          <w:vertAlign w:val="superscript"/>
          <w:lang w:eastAsia="de-DE"/>
        </w:rPr>
        <w:footnoteReference w:id="3"/>
      </w:r>
      <w:r>
        <w:t>. Neste contexto, são avaliados os contributos das inovações apoiadas pelo Fundo Europeu Agrícola de Desenvolvimento Rural (FEADER) para os programas de desenvolvimento rural e os objetivos da UE no que toca aos seus domínios de intervenção, a fim de responder às questões de avaliação comuns relacionadas com a inovação.</w:t>
      </w:r>
    </w:p>
    <w:p w:rsidR="00A45935" w:rsidRPr="00E05D08" w:rsidRDefault="00A45935" w:rsidP="00E05D08">
      <w:pPr>
        <w:spacing w:after="120" w:line="280" w:lineRule="atLeast"/>
        <w:mirrorIndents/>
        <w:rPr>
          <w:rFonts w:eastAsia="Times New Roman" w:cs="Times New Roman"/>
          <w:szCs w:val="20"/>
        </w:rPr>
      </w:pPr>
      <w:r>
        <w:t>Existem vários motivos que explicam a necessidade de avaliar a inovação:</w:t>
      </w:r>
    </w:p>
    <w:p w:rsidR="00A45935" w:rsidRPr="00B05B45" w:rsidRDefault="00A45935" w:rsidP="00D77B96">
      <w:pPr>
        <w:pStyle w:val="Hlistbullet"/>
      </w:pPr>
      <w:r w:rsidRPr="0022388F">
        <w:rPr>
          <w:b/>
        </w:rPr>
        <w:t>Responsabilizar as ações de desenvolvimento rural</w:t>
      </w:r>
      <w:r>
        <w:t xml:space="preserve"> e demonstrar de que forma fomentaram a inovação em zonas rurais e contribuíram para os resultados e impactos do programa para a política rural e para os objetivos da Estratégia UE 2020. </w:t>
      </w:r>
    </w:p>
    <w:p w:rsidR="00A45935" w:rsidRPr="00B05B45" w:rsidRDefault="00A45935" w:rsidP="00D77B96">
      <w:pPr>
        <w:pStyle w:val="Hlistbullet"/>
      </w:pPr>
      <w:r w:rsidRPr="0022388F">
        <w:rPr>
          <w:b/>
        </w:rPr>
        <w:t>Orientar melhor o apoio do FEADER à inovação</w:t>
      </w:r>
      <w:r>
        <w:t xml:space="preserve">, mediante a seleção dos beneficiários do programa e territórios mais relevantes, bem como das ações mais adequadas e elegíveis. </w:t>
      </w:r>
    </w:p>
    <w:p w:rsidR="00A45935" w:rsidRPr="00B05B45" w:rsidRDefault="00A45935" w:rsidP="00D77B96">
      <w:pPr>
        <w:pStyle w:val="Hlistbullet"/>
      </w:pPr>
      <w:r w:rsidRPr="0022388F">
        <w:rPr>
          <w:b/>
        </w:rPr>
        <w:t>Reforçar a aprendizagem em comum entre as partes interessadas</w:t>
      </w:r>
      <w:r>
        <w:t xml:space="preserve"> relativamente à melhor forma de apoiar e aplicar projetos inovadores aprendendo com as experiências passadas e compreendendo as condições para o seu êxito.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702272" behindDoc="0" locked="0" layoutInCell="1" allowOverlap="1" wp14:anchorId="1675E6BE" wp14:editId="4421C630">
                <wp:simplePos x="0" y="0"/>
                <wp:positionH relativeFrom="column">
                  <wp:posOffset>2983230</wp:posOffset>
                </wp:positionH>
                <wp:positionV relativeFrom="paragraph">
                  <wp:posOffset>194310</wp:posOffset>
                </wp:positionV>
                <wp:extent cx="2778125" cy="3512820"/>
                <wp:effectExtent l="0" t="0" r="22225" b="1143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778125" cy="3512820"/>
                        </a:xfrm>
                        <a:prstGeom prst="round2DiagRect">
                          <a:avLst>
                            <a:gd name="adj1" fmla="val 8733"/>
                            <a:gd name="adj2" fmla="val 0"/>
                          </a:avLst>
                        </a:prstGeom>
                        <a:noFill/>
                        <a:ln w="25400" cap="flat" cmpd="sng" algn="ctr">
                          <a:solidFill>
                            <a:srgbClr val="BE4A35"/>
                          </a:solidFill>
                          <a:prstDash val="solid"/>
                        </a:ln>
                        <a:effectLst/>
                      </wps:spPr>
                      <wps:txbx>
                        <w:txbxContent>
                          <w:p w:rsidR="00B06BF7" w:rsidRPr="00D74B10" w:rsidRDefault="00B06BF7" w:rsidP="00E05D08">
                            <w:pPr>
                              <w:pStyle w:val="HBox"/>
                            </w:pPr>
                            <w:r>
                              <w:rPr>
                                <w:noProof/>
                                <w:lang w:val="en-GB" w:eastAsia="en-GB"/>
                              </w:rPr>
                              <w:drawing>
                                <wp:inline distT="0" distB="0" distL="0" distR="0" wp14:anchorId="4C1A97BE" wp14:editId="333C3595">
                                  <wp:extent cx="664845" cy="487680"/>
                                  <wp:effectExtent l="0" t="0" r="0" b="7620"/>
                                  <wp:docPr id="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 principal objetivo do documento consiste em complementar outras orientações e prestar aconselhamento às partes interessadas na avaliação dos PDR sobre a forma como as atividades de avaliação devem ser executadas de modo a </w:t>
                            </w:r>
                            <w:r>
                              <w:rPr>
                                <w:b/>
                              </w:rPr>
                              <w:t xml:space="preserve">responder às questões de avaliação comuns relacionadas com a inovação. </w:t>
                            </w:r>
                            <w:r>
                              <w:t xml:space="preserve">Uma vez que o impacto do PDR sobre a inovação nas zonas rurais é suscetível de ocorrer, muito provavelmente, a longo prazo, as orientações centram-se, em especial, nas atividades relacionadas com a avaliação, que serão analisadas no Relatório Anual de Execução (RAE) a apresentar em 2019 e na avaliação </w:t>
                            </w:r>
                            <w:r w:rsidRPr="0092027D">
                              <w:rPr>
                                <w:i/>
                              </w:rPr>
                              <w:t>ex post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E6BE" id="Rectangle: Diagonal Corners Rounded 90" o:spid="_x0000_s1029" style="position:absolute;left:0;text-align:left;margin-left:234.9pt;margin-top:15.3pt;width:218.75pt;height:27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8125,3512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" adj="-11796480,,5400" path="m242614,l2778125,r,l2778125,3270206v,133992,-108622,242614,-242614,242614l,3512820r,l,242614c,108622,108622,,242614,xe" filled="f" strokecolor="#be4a35" strokeweight="2pt">
                <v:stroke joinstyle="miter"/>
                <v:formulas/>
                <v:path arrowok="t" o:connecttype="custom" o:connectlocs="242614,0;2778125,0;2778125,0;2778125,3270206;2535511,3512820;0,3512820;0,3512820;0,242614;242614,0" o:connectangles="0,0,0,0,0,0,0,0,0" textboxrect="0,0,2778125,3512820"/>
                <v:textbox>
                  <w:txbxContent>
                    <w:p w:rsidR="00B06BF7" w:rsidRPr="00D74B10" w:rsidRDefault="00B06BF7" w:rsidP="00E05D08">
                      <w:pPr>
                        <w:pStyle w:val="HBox"/>
                      </w:pPr>
                      <w:r>
                        <w:rPr>
                          <w:noProof/>
                          <w:lang w:val="en-GB" w:eastAsia="en-GB"/>
                        </w:rPr>
                        <w:drawing>
                          <wp:inline distT="0" distB="0" distL="0" distR="0" wp14:anchorId="4C1A97BE" wp14:editId="333C3595">
                            <wp:extent cx="664845" cy="487680"/>
                            <wp:effectExtent l="0" t="0" r="0" b="7620"/>
                            <wp:docPr id="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 principal objetivo do documento consiste em complementar outras orientações e prestar aconselhamento às partes interessadas na avaliação dos PDR sobre a forma como as atividades de avaliação devem ser executadas de modo a </w:t>
                      </w:r>
                      <w:r>
                        <w:rPr>
                          <w:b/>
                        </w:rPr>
                        <w:t xml:space="preserve">responder às questões de avaliação comuns relacionadas com a inovação. </w:t>
                      </w:r>
                      <w:r>
                        <w:t xml:space="preserve">Uma vez que o impacto do PDR sobre a inovação nas zonas rurais é suscetível de ocorrer, muito provavelmente, a longo prazo, as orientações centram-se, em especial, nas atividades relacionadas com a avaliação, que serão analisadas no Relatório Anual de Execução (RAE) a apresentar em 2019 e na avaliação </w:t>
                      </w:r>
                      <w:r w:rsidRPr="0092027D">
                        <w:rPr>
                          <w:i/>
                        </w:rPr>
                        <w:t>ex post</w:t>
                      </w:r>
                      <w:r>
                        <w:t>.</w:t>
                      </w:r>
                    </w:p>
                  </w:txbxContent>
                </v:textbox>
                <w10:wrap type="square"/>
              </v:shape>
            </w:pict>
          </mc:Fallback>
        </mc:AlternateContent>
      </w:r>
      <w:r>
        <w:rPr>
          <w:b/>
          <w:color w:val="57825E"/>
          <w:szCs w:val="20"/>
        </w:rPr>
        <w:t>Por que razão são necessárias estas orientações?</w:t>
      </w:r>
    </w:p>
    <w:p w:rsidR="00A45935" w:rsidRPr="00E05D08" w:rsidRDefault="00A45935" w:rsidP="00E05D08">
      <w:pPr>
        <w:spacing w:after="120" w:line="280" w:lineRule="atLeast"/>
        <w:mirrorIndents/>
        <w:rPr>
          <w:rFonts w:eastAsia="Times New Roman" w:cs="Times New Roman"/>
          <w:szCs w:val="20"/>
        </w:rPr>
      </w:pPr>
      <w:r w:rsidRPr="0022388F">
        <w:rPr>
          <w:b/>
        </w:rPr>
        <w:t>A avaliação da inovação ganhou importância</w:t>
      </w:r>
      <w:r>
        <w:t xml:space="preserve"> no período de programação de 2014 a 2020 devido ao destaque que o tema alcançou na agenda geral dos vários domínios de intervenção. Os programas de desenvolvimento rural podem apoiar os processos de inovação e gerar diversos resultados tangíveis e intangíveis na zona do programa e no sistema de inovação no seu conjunto. </w:t>
      </w:r>
    </w:p>
    <w:p w:rsidR="00A45935" w:rsidRPr="00E05D08" w:rsidRDefault="00A45935" w:rsidP="00E05D08">
      <w:pPr>
        <w:spacing w:after="120" w:line="280" w:lineRule="atLeast"/>
        <w:mirrorIndents/>
        <w:rPr>
          <w:rFonts w:eastAsia="Times New Roman" w:cs="Times New Roman"/>
          <w:szCs w:val="20"/>
        </w:rPr>
      </w:pPr>
      <w:r w:rsidRPr="0022388F">
        <w:rPr>
          <w:b/>
        </w:rPr>
        <w:t xml:space="preserve">Analisar estes efeitos acarreta vários desafios metodológicos </w:t>
      </w:r>
      <w:r>
        <w:t>para a avaliação:</w:t>
      </w:r>
      <w:r>
        <w:rPr>
          <w:b/>
          <w:szCs w:val="20"/>
        </w:rPr>
        <w:t xml:space="preserve"> </w:t>
      </w:r>
      <w:r>
        <w:t>Como identificar o objeto de avaliação? Que efeitos que contribuem para os processos de inovação em zonas rurais podem ser atribuídos ao PDR? Como podem os contributos das inovações gerados pelo FEADER apoiar os resultados gerais do PDR e como avaliar os impactos? Como medir os resultados dos objetivos dos domínios de intervenção das regiões/dos Estados-Membros/da UE?</w:t>
      </w:r>
    </w:p>
    <w:p w:rsidR="00055039" w:rsidRDefault="00A45935" w:rsidP="00A6785E">
      <w:r>
        <w:lastRenderedPageBreak/>
        <w:t xml:space="preserve">O </w:t>
      </w:r>
      <w:r w:rsidRPr="0022388F">
        <w:rPr>
          <w:b/>
        </w:rPr>
        <w:t>4.</w:t>
      </w:r>
      <w:r w:rsidR="0022388F" w:rsidRPr="0022388F">
        <w:rPr>
          <w:b/>
        </w:rPr>
        <w:t>º</w:t>
      </w:r>
      <w:r w:rsidRPr="0022388F">
        <w:rPr>
          <w:b/>
        </w:rPr>
        <w:t xml:space="preserve"> Grupo de Trabalho Temático</w:t>
      </w:r>
      <w:r>
        <w:t xml:space="preserve"> </w:t>
      </w:r>
      <w:r w:rsidRPr="00704A96">
        <w:rPr>
          <w:b/>
        </w:rPr>
        <w:t>«Avaliação da inovação nos PDR 2014-2020» do Serviço de Assistência na Avaliação</w:t>
      </w:r>
      <w:r>
        <w:t xml:space="preserve"> visou: 1) analisar e responder aos principais desafios em matéria de avaliação da inovação; 2) rever experiências de avaliação existentes neste domínio; 3) identificar e conceber soluções práticas para a avaliação da inovação no âmbito do PDR; 4) desenvolver orientações não vinculativas para responder às questões de avaliação comuns relacionadas com a inovação, complementando as orientações existentes e o sistema comum de acompanhamento e avaliação (SCAA).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Quais os grupos-alvo das presentes orientações?</w:t>
      </w:r>
    </w:p>
    <w:p w:rsidR="00A45935" w:rsidRPr="00E05D08" w:rsidRDefault="00A45935" w:rsidP="00E05D08">
      <w:pPr>
        <w:spacing w:after="120" w:line="280" w:lineRule="atLeast"/>
        <w:mirrorIndents/>
        <w:rPr>
          <w:rFonts w:eastAsia="Times New Roman" w:cs="Times New Roman"/>
          <w:szCs w:val="20"/>
        </w:rPr>
      </w:pPr>
      <w:r>
        <w:t>As orientações, Avaliação da inovação nos PDR 2014-2020, foram elaboradas por diferentes grupos de partes interessadas no desenvolvimento rural:</w:t>
      </w:r>
    </w:p>
    <w:p w:rsidR="00A45935" w:rsidRPr="00E16522" w:rsidRDefault="00A45935" w:rsidP="00D77B96">
      <w:r w:rsidRPr="00704A96">
        <w:rPr>
          <w:b/>
        </w:rPr>
        <w:t xml:space="preserve">As autoridades de gestão </w:t>
      </w:r>
      <w:r>
        <w:t xml:space="preserve">encontrarão informação sobre a avaliação da inovação a nível do PDR: conceito, quadro político e ênfase das questões de avaliação relacionadas com a inovação. Apresentam-se orientações práticas para preparar, gerir e coordenar a avaliação e a forma de avaliar os contributos de inovações para os objetivos do PDR. </w:t>
      </w:r>
    </w:p>
    <w:p w:rsidR="00A45935" w:rsidRPr="00C37C7A" w:rsidRDefault="00A45935" w:rsidP="00C37C7A">
      <w:r w:rsidRPr="00704A96">
        <w:rPr>
          <w:b/>
        </w:rPr>
        <w:t>Os peritos de avaliação</w:t>
      </w:r>
      <w:r>
        <w:t xml:space="preserve"> encontrarão soluções para vários desafios associados à avaliação da inovação (por exemplo, como avaliar o potencial de inovação do PDR aquando da definição da lógica de intervenção de inovação do PDR, como analisar os contributos das inovações para a realização dos objetivos do PDR e os resultados e impactos do PDR). Os avaliadores também contarão com apoio relativamente à forma de selecionar a melhor abordagem de avaliação e recolher as provas para responder às questões de avaliação. </w:t>
      </w:r>
    </w:p>
    <w:p w:rsidR="00A45935" w:rsidRPr="00E16522" w:rsidRDefault="00A45935" w:rsidP="00AA5817">
      <w:pPr>
        <w:pStyle w:val="HStandard"/>
      </w:pPr>
      <w:r w:rsidRPr="00704A96">
        <w:rPr>
          <w:b/>
        </w:rPr>
        <w:t>Outras partes interessadas</w:t>
      </w:r>
      <w:r>
        <w:t xml:space="preserve"> também podem utilizar as orientações como documento de referência: </w:t>
      </w:r>
      <w:r w:rsidRPr="00704A96">
        <w:rPr>
          <w:b/>
        </w:rPr>
        <w:t>funcionários da Comissão Europeia (CE)</w:t>
      </w:r>
      <w:r>
        <w:t xml:space="preserve"> (para questões ligadas à avaliação da inovação); </w:t>
      </w:r>
      <w:r w:rsidRPr="00704A96">
        <w:rPr>
          <w:b/>
        </w:rPr>
        <w:t>grupos operacionais (GO) da Parceria Europeia de Inovação (PEI)</w:t>
      </w:r>
      <w:r>
        <w:t xml:space="preserve"> (como informação de base na conceção de projetos e na compreensão do seu potencial de inovação); </w:t>
      </w:r>
      <w:r w:rsidRPr="00704A96">
        <w:rPr>
          <w:b/>
        </w:rPr>
        <w:t>membros de grupos de ação local (GAL)</w:t>
      </w:r>
      <w:r>
        <w:t xml:space="preserve"> (aquando da avaliação/autoavaliação de características inovadoras nas suas estratégias de desenvolvimento promovido pelas comunidades locais (DPCL) e os seus efeitos sobre a inovação nas zonas rurais); </w:t>
      </w:r>
      <w:r w:rsidRPr="00704A96">
        <w:rPr>
          <w:b/>
        </w:rPr>
        <w:t>redes rurais nacionais (RRN</w:t>
      </w:r>
      <w:r>
        <w:t xml:space="preserve">) aquando da preparação e apoio dos GAL e grupos operacionais da PEI.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Qual a estrutura das orientações?</w:t>
      </w:r>
    </w:p>
    <w:p w:rsidR="00A45935" w:rsidRPr="00E05D08" w:rsidRDefault="00A45935" w:rsidP="00E05D08">
      <w:pPr>
        <w:spacing w:after="120" w:line="280" w:lineRule="atLeast"/>
        <w:mirrorIndents/>
        <w:rPr>
          <w:rFonts w:eastAsia="Times New Roman" w:cs="Times New Roman"/>
          <w:szCs w:val="20"/>
        </w:rPr>
      </w:pPr>
      <w:r>
        <w:t xml:space="preserve">As orientações são compostas por três partes: </w:t>
      </w:r>
    </w:p>
    <w:p w:rsidR="00A45935" w:rsidRPr="00E05D08" w:rsidRDefault="00A45935" w:rsidP="00E05D08">
      <w:pPr>
        <w:spacing w:after="120" w:line="280" w:lineRule="atLeast"/>
        <w:mirrorIndents/>
        <w:rPr>
          <w:rFonts w:eastAsia="Times New Roman" w:cs="Times New Roman"/>
          <w:szCs w:val="20"/>
        </w:rPr>
      </w:pPr>
      <w:r w:rsidRPr="00704A96">
        <w:rPr>
          <w:rFonts w:eastAsia="Times New Roman" w:cs="Times New Roman"/>
          <w:b/>
          <w:color w:val="F07E31"/>
          <w:szCs w:val="20"/>
          <w:lang w:eastAsia="de-DE"/>
        </w:rPr>
        <w:t xml:space="preserve">O </w:t>
      </w:r>
      <w:r w:rsidR="00704A96" w:rsidRPr="00E05D08">
        <w:rPr>
          <w:rFonts w:eastAsia="Times New Roman" w:cs="Times New Roman"/>
          <w:b/>
          <w:color w:val="F07E31"/>
          <w:szCs w:val="20"/>
          <w:lang w:eastAsia="de-DE"/>
        </w:rPr>
        <w:t>Cap</w:t>
      </w:r>
      <w:r w:rsidR="00704A96">
        <w:rPr>
          <w:rFonts w:eastAsia="Times New Roman" w:cs="Times New Roman"/>
          <w:b/>
          <w:color w:val="F07E31"/>
          <w:szCs w:val="20"/>
          <w:lang w:eastAsia="de-DE"/>
        </w:rPr>
        <w:t>ítulo</w:t>
      </w:r>
      <w:r w:rsidR="00704A96" w:rsidRPr="00E05D08">
        <w:rPr>
          <w:rFonts w:eastAsia="Times New Roman" w:cs="Times New Roman"/>
          <w:b/>
          <w:color w:val="F07E31"/>
          <w:szCs w:val="20"/>
          <w:lang w:eastAsia="de-DE"/>
        </w:rPr>
        <w:t xml:space="preserve"> 1</w:t>
      </w:r>
      <w:r>
        <w:t xml:space="preserve"> explica o sistema de inovação nas zonas rurais e o conceito da avaliação da inovação no desenvolvimento rural. O conceito apresenta os domínios de intervenção da UE e dos PDR e o modo como estes se interrelacionam, bem como uma visão geral dos elementos de avaliação comuns. O capítulo 1.3 aborda igualmente os desafios associados à avaliação da inovação na política de desenvolvimento rural. </w:t>
      </w:r>
    </w:p>
    <w:p w:rsidR="00A45935" w:rsidRPr="00E05D08" w:rsidRDefault="00A45935" w:rsidP="00E05D08">
      <w:pPr>
        <w:spacing w:after="120" w:line="280" w:lineRule="atLeast"/>
        <w:mirrorIndents/>
        <w:rPr>
          <w:rFonts w:eastAsia="Times New Roman" w:cs="Times New Roman"/>
          <w:szCs w:val="20"/>
        </w:rPr>
      </w:pPr>
      <w:r w:rsidRPr="00704A96">
        <w:rPr>
          <w:rFonts w:eastAsia="Times New Roman" w:cs="Times New Roman"/>
          <w:b/>
          <w:color w:val="F07E31"/>
          <w:szCs w:val="20"/>
          <w:lang w:eastAsia="de-DE"/>
        </w:rPr>
        <w:t>O Capítulo 2</w:t>
      </w:r>
      <w:r>
        <w:t xml:space="preserve"> informa as autoridades de gestão sobre as especificidades associadas à gestão da avaliação da inovação e sobre os requisitos de comunicação. O Capítulo 2.2 explica as abordagens para responder às questões de avaliação relacionadas com a inovação e fornece orientações específicas para cada uma das questões de avaliação comuns: números 1, 2, 21, 23 e 30, relativos aos aspetos relacionados com a inovação. Este capítulo inclui a descrição dos métodos adequados para a avaliação da inovação. </w:t>
      </w:r>
    </w:p>
    <w:p w:rsidR="00A45935" w:rsidRPr="00E05D08" w:rsidRDefault="00A45935" w:rsidP="00E05D08">
      <w:pPr>
        <w:spacing w:after="120" w:line="280" w:lineRule="atLeast"/>
        <w:mirrorIndents/>
        <w:rPr>
          <w:rFonts w:eastAsia="Times New Roman" w:cs="Times New Roman"/>
          <w:szCs w:val="20"/>
        </w:rPr>
      </w:pPr>
      <w:r w:rsidRPr="00704A96">
        <w:rPr>
          <w:rFonts w:eastAsia="Times New Roman" w:cs="Times New Roman"/>
          <w:b/>
          <w:color w:val="F07E31"/>
          <w:szCs w:val="20"/>
          <w:lang w:eastAsia="de-DE"/>
        </w:rPr>
        <w:t>O Capítulo 3</w:t>
      </w:r>
      <w:r>
        <w:t xml:space="preserve"> (anexos) inclui o glossário e os passos para identificar o potencial de inovação dos PDR.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7" w:name="_Toc501382120"/>
    </w:p>
    <w:p w:rsidR="00A45935" w:rsidRPr="00967CFD" w:rsidRDefault="00A45935" w:rsidP="00582F60">
      <w:pPr>
        <w:pStyle w:val="HHeading1"/>
        <w:tabs>
          <w:tab w:val="clear" w:pos="567"/>
        </w:tabs>
      </w:pPr>
      <w:bookmarkStart w:id="8" w:name="_Toc508372654"/>
      <w:r>
        <w:lastRenderedPageBreak/>
        <w:t>QUADRO CONCEPTUAL</w:t>
      </w:r>
      <w:bookmarkEnd w:id="7"/>
      <w:bookmarkEnd w:id="8"/>
    </w:p>
    <w:p w:rsidR="00A45935" w:rsidRPr="00967CFD" w:rsidRDefault="00405B0B" w:rsidP="00C37C7A">
      <w:pPr>
        <w:pStyle w:val="HHeading2"/>
      </w:pPr>
      <w:bookmarkStart w:id="9" w:name="Innovation_RD"/>
      <w:bookmarkStart w:id="10" w:name="_Toc501382121"/>
      <w:bookmarkStart w:id="11" w:name="_Toc508372655"/>
      <w:bookmarkStart w:id="12" w:name="_Toc493151895"/>
      <w:bookmarkEnd w:id="9"/>
      <w:r>
        <w:rPr>
          <w:noProof/>
          <w:lang w:val="en-GB" w:eastAsia="en-GB"/>
        </w:rPr>
        <mc:AlternateContent>
          <mc:Choice Requires="wps">
            <w:drawing>
              <wp:anchor distT="0" distB="0" distL="114300" distR="114300" simplePos="0" relativeHeight="251703296" behindDoc="0" locked="0" layoutInCell="1" allowOverlap="1" wp14:anchorId="5CF44F10" wp14:editId="2389FFD7">
                <wp:simplePos x="0" y="0"/>
                <wp:positionH relativeFrom="column">
                  <wp:posOffset>2959735</wp:posOffset>
                </wp:positionH>
                <wp:positionV relativeFrom="paragraph">
                  <wp:posOffset>243205</wp:posOffset>
                </wp:positionV>
                <wp:extent cx="2713990" cy="3112135"/>
                <wp:effectExtent l="0" t="0" r="10160" b="1206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713990" cy="3112135"/>
                        </a:xfrm>
                        <a:prstGeom prst="round2DiagRect">
                          <a:avLst>
                            <a:gd name="adj1" fmla="val 6695"/>
                            <a:gd name="adj2" fmla="val 0"/>
                          </a:avLst>
                        </a:prstGeom>
                        <a:noFill/>
                        <a:ln w="25400" cap="flat" cmpd="sng" algn="ctr">
                          <a:solidFill>
                            <a:srgbClr val="BE4A35"/>
                          </a:solidFill>
                          <a:prstDash val="solid"/>
                        </a:ln>
                        <a:effectLst/>
                      </wps:spPr>
                      <wps:txbx>
                        <w:txbxContent>
                          <w:p w:rsidR="00B06BF7" w:rsidRDefault="00B06BF7" w:rsidP="00E05D08">
                            <w:pPr>
                              <w:pStyle w:val="HStandard"/>
                            </w:pPr>
                            <w:r>
                              <w:rPr>
                                <w:lang w:val="en-GB" w:eastAsia="en-GB"/>
                              </w:rPr>
                              <w:drawing>
                                <wp:inline distT="0" distB="0" distL="0" distR="0" wp14:anchorId="04F09E65" wp14:editId="1DF949E2">
                                  <wp:extent cx="664845" cy="487680"/>
                                  <wp:effectExtent l="0" t="0" r="0" b="7620"/>
                                  <wp:docPr id="7"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«A inovação é muitas vezes descrita como </w:t>
                            </w:r>
                            <w:r>
                              <w:rPr>
                                <w:b/>
                                <w:color w:val="BE4A35"/>
                                <w:sz w:val="18"/>
                              </w:rPr>
                              <w:t>uma nova ideia que se revela bem-sucedida na prática.</w:t>
                            </w:r>
                            <w:r>
                              <w:rPr>
                                <w:sz w:val="18"/>
                              </w:rPr>
                              <w:t xml:space="preserve"> A inovação pode ser tecnológica, mas também não tecnológica, organizacional ou social. A inovação pode basear-se em novas práticas mas também em práticas tradicionais num novo contexto geográfico ou ambiental. A nova ideia pode consistir num novo produto, prática, serviço, processo de fabrico ou numa nova forma de organização, etc. Tal ideia transforma-se numa inovação apenas se for amplamente adotada e se demonstrar a sua utilidade na prática».</w:t>
                            </w:r>
                            <w:r w:rsidRPr="001823C4">
                              <w:rPr>
                                <w:sz w:val="18"/>
                                <w:vertAlign w:val="super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4F10" id="Rectangle: Diagonal Corners Rounded 32" o:spid="_x0000_s1030" style="position:absolute;left:0;text-align:left;margin-left:233.05pt;margin-top:19.15pt;width:213.7pt;height:2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3990,311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" adj="-11796480,,5400" path="m181702,l2713990,r,l2713990,2930433v,100351,-81351,181702,-181702,181702l,3112135r,l,181702c,81351,81351,,181702,xe" filled="f" strokecolor="#be4a35" strokeweight="2pt">
                <v:stroke joinstyle="miter"/>
                <v:formulas/>
                <v:path arrowok="t" o:connecttype="custom" o:connectlocs="181702,0;2713990,0;2713990,0;2713990,2930433;2532288,3112135;0,3112135;0,3112135;0,181702;181702,0" o:connectangles="0,0,0,0,0,0,0,0,0" textboxrect="0,0,2713990,3112135"/>
                <v:textbox>
                  <w:txbxContent>
                    <w:p w:rsidR="00B06BF7" w:rsidRDefault="00B06BF7" w:rsidP="00E05D08">
                      <w:pPr>
                        <w:pStyle w:val="HStandard"/>
                      </w:pPr>
                      <w:r>
                        <w:rPr>
                          <w:lang w:val="en-GB" w:eastAsia="en-GB"/>
                        </w:rPr>
                        <w:drawing>
                          <wp:inline distT="0" distB="0" distL="0" distR="0" wp14:anchorId="04F09E65" wp14:editId="1DF949E2">
                            <wp:extent cx="664845" cy="487680"/>
                            <wp:effectExtent l="0" t="0" r="0" b="7620"/>
                            <wp:docPr id="7"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«A inovação é muitas vezes descrita como </w:t>
                      </w:r>
                      <w:r>
                        <w:rPr>
                          <w:b/>
                          <w:color w:val="BE4A35"/>
                          <w:sz w:val="18"/>
                        </w:rPr>
                        <w:t>uma nova ideia que se revela bem-sucedida na prática.</w:t>
                      </w:r>
                      <w:r>
                        <w:rPr>
                          <w:sz w:val="18"/>
                        </w:rPr>
                        <w:t xml:space="preserve"> A inovação pode ser tecnológica, mas também não tecnológica, organizacional ou social. A inovação pode basear-se em novas práticas mas também em práticas tradicionais num novo contexto geográfico ou ambiental. A nova ideia pode consistir num novo produto, prática, serviço, processo de fabrico ou numa nova forma de organização, etc. Tal ideia transforma-se numa inovação apenas se for amplamente adotada e se demonstrar a sua utilidade na prática».</w:t>
                      </w:r>
                      <w:r w:rsidRPr="001823C4">
                        <w:rPr>
                          <w:sz w:val="18"/>
                          <w:vertAlign w:val="superscript"/>
                        </w:rPr>
                        <w:t>4</w:t>
                      </w:r>
                    </w:p>
                  </w:txbxContent>
                </v:textbox>
                <w10:wrap type="square"/>
              </v:shape>
            </w:pict>
          </mc:Fallback>
        </mc:AlternateContent>
      </w:r>
      <w:r>
        <w:t>Inovação e Desenvolvimento Rural</w:t>
      </w:r>
      <w:bookmarkEnd w:id="10"/>
      <w:bookmarkEnd w:id="11"/>
      <w:r>
        <w:t xml:space="preserve"> </w:t>
      </w:r>
      <w:bookmarkEnd w:id="12"/>
    </w:p>
    <w:p w:rsidR="00A45935" w:rsidRPr="00E05D08" w:rsidRDefault="00A45935" w:rsidP="00230C31">
      <w:pPr>
        <w:pStyle w:val="HHeading4"/>
      </w:pPr>
      <w:r>
        <w:t>Como conceber a inovação?</w:t>
      </w:r>
    </w:p>
    <w:p w:rsidR="00A45935" w:rsidRPr="00E05D08" w:rsidRDefault="00A45935" w:rsidP="00E05D08">
      <w:pPr>
        <w:spacing w:after="120" w:line="280" w:lineRule="atLeast"/>
        <w:mirrorIndents/>
        <w:rPr>
          <w:rFonts w:eastAsia="Times New Roman" w:cs="Times New Roman"/>
          <w:szCs w:val="20"/>
        </w:rPr>
      </w:pPr>
      <w:r w:rsidRPr="00704A96">
        <w:rPr>
          <w:b/>
        </w:rPr>
        <w:t>No contexto do desenvolvimento rural da UE</w:t>
      </w:r>
      <w:r>
        <w:t>, adotou-se uma conceção bastante ampla de inovação</w:t>
      </w:r>
      <w:r>
        <w:rPr>
          <w:rStyle w:val="FootnoteReference"/>
          <w:rFonts w:eastAsia="Times New Roman" w:cs="Times New Roman"/>
          <w:color w:val="FFFFFF" w:themeColor="background1"/>
          <w:szCs w:val="20"/>
          <w:lang w:eastAsia="de-DE"/>
        </w:rPr>
        <w:footnoteReference w:id="4"/>
      </w:r>
      <w:r>
        <w:t>:</w:t>
      </w:r>
      <w:bookmarkStart w:id="13" w:name="_Hlk501370282"/>
      <w:r>
        <w:t xml:space="preserve"> a </w:t>
      </w:r>
      <w:r w:rsidRPr="00704A96">
        <w:rPr>
          <w:b/>
        </w:rPr>
        <w:t>conceção ampla da inovação</w:t>
      </w:r>
      <w:r>
        <w:t xml:space="preserve"> descrita torna-a adaptável a várias situações socioeconómicas e ambientais da UE. A inovação diz respeito à arquitetura do PDR e à sua capacidade de envolvimento com o atual contexto e de assegurar novas soluções para os desafios e necessidades rurais. Tais soluções não são necessariamente radicais e significativas, mas podem implicar pequenas alterações que, por vezes, preparam o terreno para projetos de maior envergadura. </w:t>
      </w:r>
    </w:p>
    <w:p w:rsidR="00A45935" w:rsidRPr="00E05D08" w:rsidRDefault="00A45935" w:rsidP="00230C31">
      <w:pPr>
        <w:pStyle w:val="HHeading4"/>
      </w:pPr>
      <w:r>
        <w:t>De que modo as intervenções do PDR contribuem para a inovação?</w:t>
      </w:r>
    </w:p>
    <w:p w:rsidR="00A45935" w:rsidRPr="00E05D08" w:rsidRDefault="00A45935" w:rsidP="00E05D08">
      <w:pPr>
        <w:spacing w:after="120" w:line="280" w:lineRule="atLeast"/>
        <w:mirrorIndents/>
        <w:rPr>
          <w:rFonts w:eastAsia="Times New Roman" w:cs="Times New Roman"/>
          <w:szCs w:val="20"/>
        </w:rPr>
      </w:pPr>
      <w:r w:rsidRPr="00704A96">
        <w:rPr>
          <w:b/>
        </w:rPr>
        <w:t>A política de desenvolvimento rural foi concebida para fomentar a inovação</w:t>
      </w:r>
      <w:r>
        <w:t xml:space="preserve"> (tecnológica, institucional e social) como um fator fundamental para a realização dos objetivos e prioridades de desenvolvimento rural, bem como para enfrentar os desafios rurais. As medidas/submedidas e beneficiários do PDR (por exemplo, grupos operacionais da PEI, os GAL, os agricultores, etc.) traduzem-se em empreendimentos, resultados e impactos que contribuem para a realização dos objetivos do PDR, influenciando e sendo influenciadas pelo sistema de inovação de que fazem parte. </w:t>
      </w:r>
    </w:p>
    <w:p w:rsidR="00A45935" w:rsidRDefault="00674A4B" w:rsidP="00E05D08">
      <w:pPr>
        <w:spacing w:after="120" w:line="280" w:lineRule="atLeast"/>
        <w:mirrorIndents/>
      </w:pPr>
      <w:r>
        <w:rPr>
          <w:b/>
          <w:szCs w:val="20"/>
        </w:rPr>
        <w:t>O sistema de inovação</w:t>
      </w:r>
      <w:r>
        <w:t xml:space="preserve"> a nível local, regional, nacional ou supranacional inclui um grupo bastante heterogéneo de agentes de inovação, incluindo o contributo dos empresários rurais (por exemplo, agricultores, silvicultores) e indústrias do turismo, transformadores, comerciantes, entidades reguladoras, investigadores, serviços de aconselhamento e organizações governamentais e da sociedade civil. As experiências de aprendizagem interativa entre estes intervenientes desempenham um papel fundamental no sistema de inovação, uma vez que colocam em prática novas ideias (novas para o sistema). O fluxo de tecnologia e de informação entre os intervenientes é essencial para o processo de inovação no sistema de inovação. </w:t>
      </w:r>
    </w:p>
    <w:p w:rsidR="001E7100" w:rsidRDefault="001E7100" w:rsidP="00F16CAB">
      <w:pPr>
        <w:spacing w:before="360" w:after="360" w:line="280" w:lineRule="atLeast"/>
        <w:mirrorIndents/>
      </w:pPr>
    </w:p>
    <w:p w:rsidR="00F16CAB" w:rsidRDefault="00F16CAB" w:rsidP="00F16CAB">
      <w:pPr>
        <w:spacing w:before="360" w:after="360" w:line="280" w:lineRule="atLeast"/>
        <w:mirrorIndents/>
      </w:pPr>
    </w:p>
    <w:p w:rsidR="00F16CAB" w:rsidRDefault="00F16CAB" w:rsidP="00F16CAB">
      <w:pPr>
        <w:spacing w:before="360" w:after="360" w:line="280" w:lineRule="atLeast"/>
        <w:mirrorIndents/>
      </w:pPr>
    </w:p>
    <w:p w:rsidR="00F16CAB" w:rsidRDefault="00F16CAB" w:rsidP="00F16CAB">
      <w:pPr>
        <w:spacing w:before="360" w:after="360" w:line="280" w:lineRule="atLeast"/>
        <w:mirrorIndents/>
      </w:pPr>
      <w:r>
        <w:rPr>
          <w:noProof/>
          <w:szCs w:val="20"/>
          <w:lang w:val="en-GB" w:eastAsia="en-GB"/>
        </w:rPr>
        <w:lastRenderedPageBreak/>
        <mc:AlternateContent>
          <mc:Choice Requires="wps">
            <w:drawing>
              <wp:anchor distT="0" distB="0" distL="114300" distR="114300" simplePos="0" relativeHeight="251751424" behindDoc="0" locked="0" layoutInCell="1" allowOverlap="1" wp14:anchorId="723D9577" wp14:editId="3F9BE7D2">
                <wp:simplePos x="0" y="0"/>
                <wp:positionH relativeFrom="column">
                  <wp:posOffset>87630</wp:posOffset>
                </wp:positionH>
                <wp:positionV relativeFrom="paragraph">
                  <wp:posOffset>416560</wp:posOffset>
                </wp:positionV>
                <wp:extent cx="5907405" cy="2630805"/>
                <wp:effectExtent l="0" t="0" r="17145" b="1714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907405" cy="2630805"/>
                        </a:xfrm>
                        <a:prstGeom prst="round2DiagRect">
                          <a:avLst>
                            <a:gd name="adj1" fmla="val 8313"/>
                            <a:gd name="adj2" fmla="val 0"/>
                          </a:avLst>
                        </a:prstGeom>
                        <a:noFill/>
                        <a:ln w="25400" cap="flat" cmpd="sng" algn="ctr">
                          <a:solidFill>
                            <a:srgbClr val="BE4A35"/>
                          </a:solidFill>
                          <a:prstDash val="solid"/>
                        </a:ln>
                        <a:effectLst/>
                      </wps:spPr>
                      <wps:txbx>
                        <w:txbxContent>
                          <w:p w:rsidR="00B06BF7" w:rsidRPr="00270814" w:rsidRDefault="00B06BF7" w:rsidP="00674A4B">
                            <w:pPr>
                              <w:pStyle w:val="HBox"/>
                            </w:pPr>
                            <w:r>
                              <w:rPr>
                                <w:noProof/>
                                <w:lang w:val="en-GB" w:eastAsia="en-GB"/>
                              </w:rPr>
                              <w:drawing>
                                <wp:inline distT="0" distB="0" distL="0" distR="0" wp14:anchorId="5954D01F" wp14:editId="25C10895">
                                  <wp:extent cx="664845" cy="487680"/>
                                  <wp:effectExtent l="0" t="0" r="0" b="7620"/>
                                  <wp:docPr id="63"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Para além da política de desenvolvimento rural, o </w:t>
                            </w:r>
                            <w:r>
                              <w:rPr>
                                <w:b/>
                                <w:color w:val="BE4A35"/>
                              </w:rPr>
                              <w:t>sistema de inovação pode ser afetado por muitos outros fatores</w:t>
                            </w:r>
                            <w:r>
                              <w:t xml:space="preserve"> presentes nas zonas rurais, tais como a investigação, o ensino, as políticas fiscais, bem como por outros programas financiados por fundos da UE (Horizonte 2020, programas operacionais financiados pelos FEEI) que apoiam ações e processos inovadores. A procura do mercado por inovações também pode representar um papel importante.</w:t>
                            </w:r>
                          </w:p>
                          <w:p w:rsidR="00B06BF7" w:rsidRPr="00D74B10" w:rsidRDefault="00B06BF7" w:rsidP="00674A4B">
                            <w:pPr>
                              <w:pStyle w:val="HBox"/>
                            </w:pPr>
                            <w:r>
                              <w:t xml:space="preserve">Para que uma inovação passe a fazer parte da corrente dominante, não só depende da força da ideia criativa, mas também das possibilidades do mercado, da vontade do setor em adotá-la, da relação custo/benefício, do conhecimento e perceções, de fatores externos imprevistos, etc. É impossível prever a forma como estes fatores interagem para que uma nova ideia seja inovadora. Por conseguinte, só é possível determinar se uma nova ideia conduziu a uma verdadeira inovação </w:t>
                            </w:r>
                            <w:r w:rsidRPr="0092027D">
                              <w:rPr>
                                <w:i/>
                              </w:rPr>
                              <w:t>a posteriori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9577" id="Rectangle: Diagonal Corners Rounded 53" o:spid="_x0000_s1031" style="position:absolute;left:0;text-align:left;margin-left:6.9pt;margin-top:32.8pt;width:465.15pt;height:20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7405,2630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" adj="-11796480,,5400" path="m218699,l5907405,r,l5907405,2412106v,120784,-97915,218699,-218699,218699l,2630805r,l,218699c,97915,97915,,218699,xe" filled="f" strokecolor="#be4a35" strokeweight="2pt">
                <v:stroke joinstyle="miter"/>
                <v:formulas/>
                <v:path arrowok="t" o:connecttype="custom" o:connectlocs="218699,0;5907405,0;5907405,0;5907405,2412106;5688706,2630805;0,2630805;0,2630805;0,218699;218699,0" o:connectangles="0,0,0,0,0,0,0,0,0" textboxrect="0,0,5907405,2630805"/>
                <v:textbox>
                  <w:txbxContent>
                    <w:p w:rsidR="00B06BF7" w:rsidRPr="00270814" w:rsidRDefault="00B06BF7" w:rsidP="00674A4B">
                      <w:pPr>
                        <w:pStyle w:val="HBox"/>
                      </w:pPr>
                      <w:r>
                        <w:rPr>
                          <w:noProof/>
                          <w:lang w:val="en-GB" w:eastAsia="en-GB"/>
                        </w:rPr>
                        <w:drawing>
                          <wp:inline distT="0" distB="0" distL="0" distR="0" wp14:anchorId="5954D01F" wp14:editId="25C10895">
                            <wp:extent cx="664845" cy="487680"/>
                            <wp:effectExtent l="0" t="0" r="0" b="7620"/>
                            <wp:docPr id="63"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Para além da política de desenvolvimento rural, o </w:t>
                      </w:r>
                      <w:r>
                        <w:rPr>
                          <w:b/>
                          <w:color w:val="BE4A35"/>
                        </w:rPr>
                        <w:t>sistema de inovação pode ser afetado por muitos outros fatores</w:t>
                      </w:r>
                      <w:r>
                        <w:t xml:space="preserve"> presentes nas zonas rurais, tais como a investigação, o ensino, as políticas fiscais, bem como por outros programas financiados por fundos da UE (Horizonte 2020, programas operacionais financiados pelos FEEI) que apoiam ações e processos inovadores. A procura do mercado por inovações também pode representar um papel importante.</w:t>
                      </w:r>
                    </w:p>
                    <w:p w:rsidR="00B06BF7" w:rsidRPr="00D74B10" w:rsidRDefault="00B06BF7" w:rsidP="00674A4B">
                      <w:pPr>
                        <w:pStyle w:val="HBox"/>
                      </w:pPr>
                      <w:r>
                        <w:t xml:space="preserve">Para que uma inovação passe a fazer parte da corrente dominante, não só depende da força da ideia criativa, mas também das possibilidades do mercado, da vontade do setor em adotá-la, da relação custo/benefício, do conhecimento e perceções, de fatores externos imprevistos, etc. É impossível prever a forma como estes fatores interagem para que uma nova ideia seja inovadora. Por conseguinte, só é possível determinar se uma nova ideia conduziu a uma verdadeira inovação </w:t>
                      </w:r>
                      <w:r w:rsidRPr="0092027D">
                        <w:rPr>
                          <w:i/>
                        </w:rPr>
                        <w:t>a posteriori</w:t>
                      </w:r>
                      <w:r>
                        <w:t>.</w:t>
                      </w:r>
                    </w:p>
                  </w:txbxContent>
                </v:textbox>
                <w10:wrap type="square"/>
              </v:shape>
            </w:pict>
          </mc:Fallback>
        </mc:AlternateContent>
      </w:r>
    </w:p>
    <w:p w:rsidR="00A45935" w:rsidRPr="00704A96" w:rsidRDefault="00A45935" w:rsidP="00E05D08">
      <w:pPr>
        <w:spacing w:after="120" w:line="280" w:lineRule="atLeast"/>
        <w:mirrorIndents/>
        <w:rPr>
          <w:rFonts w:eastAsia="Times New Roman" w:cs="Times New Roman"/>
          <w:b/>
          <w:szCs w:val="20"/>
        </w:rPr>
      </w:pPr>
      <w:r w:rsidRPr="00704A96">
        <w:rPr>
          <w:b/>
        </w:rPr>
        <w:t>O processo</w:t>
      </w:r>
      <w:r w:rsidR="00704A96">
        <w:rPr>
          <w:b/>
        </w:rPr>
        <w:t xml:space="preserve"> de inovação envolve três vias:</w:t>
      </w:r>
    </w:p>
    <w:p w:rsidR="00A45935" w:rsidRPr="00987055" w:rsidRDefault="00A45935" w:rsidP="008C0B17">
      <w:pPr>
        <w:numPr>
          <w:ilvl w:val="0"/>
          <w:numId w:val="66"/>
        </w:numPr>
        <w:mirrorIndents/>
        <w:rPr>
          <w:szCs w:val="20"/>
        </w:rPr>
      </w:pPr>
      <w:r>
        <w:rPr>
          <w:b/>
          <w:color w:val="F07E31"/>
          <w:szCs w:val="20"/>
        </w:rPr>
        <w:t>Via n.º 1:</w:t>
      </w:r>
      <w:r>
        <w:t xml:space="preserve"> implica identificar e desenvolver novas ideias (ou seja, novos pontos de vista, abordagens, produtos, práticas, serviços, processos/tecnologia de produção, novas formas de organização ou novas formas de cooperação e aprendizagem); </w:t>
      </w:r>
    </w:p>
    <w:p w:rsidR="00A45935" w:rsidRDefault="00A45935" w:rsidP="008C0B17">
      <w:pPr>
        <w:numPr>
          <w:ilvl w:val="0"/>
          <w:numId w:val="66"/>
        </w:numPr>
        <w:mirrorIndents/>
        <w:rPr>
          <w:szCs w:val="20"/>
        </w:rPr>
      </w:pPr>
      <w:r>
        <w:rPr>
          <w:b/>
          <w:color w:val="F07E31"/>
          <w:szCs w:val="20"/>
        </w:rPr>
        <w:t>Via n.º 2:</w:t>
      </w:r>
      <w:r>
        <w:rPr>
          <w:b/>
          <w:szCs w:val="20"/>
        </w:rPr>
        <w:t xml:space="preserve"> </w:t>
      </w:r>
      <w:r>
        <w:t xml:space="preserve">diz respeito à capacidade dos indivíduos e do próprio sistema de conhecimento e inovação para experimentar, auto-organizar e utilizar novas ideias e abordagens; </w:t>
      </w:r>
    </w:p>
    <w:p w:rsidR="00A45935" w:rsidRPr="00987055" w:rsidRDefault="00A45935" w:rsidP="008C0B17">
      <w:pPr>
        <w:numPr>
          <w:ilvl w:val="0"/>
          <w:numId w:val="66"/>
        </w:numPr>
        <w:mirrorIndents/>
        <w:rPr>
          <w:szCs w:val="20"/>
        </w:rPr>
      </w:pPr>
      <w:r>
        <w:rPr>
          <w:b/>
          <w:color w:val="F07E31"/>
          <w:szCs w:val="20"/>
        </w:rPr>
        <w:t>Via n.º 3:</w:t>
      </w:r>
      <w:r>
        <w:t xml:space="preserve"> requer a existência de um ambiente político e institucional para os processos inovadores emergentes. </w:t>
      </w:r>
      <w:bookmarkStart w:id="14" w:name="_Toc476660915"/>
      <w:bookmarkStart w:id="15" w:name="_Toc476661047"/>
    </w:p>
    <w:p w:rsidR="00A45935" w:rsidRPr="0095292E" w:rsidRDefault="00A45935" w:rsidP="0095292E">
      <w:pPr>
        <w:mirrorIndents/>
        <w:rPr>
          <w:szCs w:val="20"/>
        </w:rPr>
      </w:pPr>
      <w:r>
        <w:t>As três vias não devem ser encaradas isoladamente, mas como pontos de entrada para a inovação que se sobrepõem e estão interligados (Figura 1).</w:t>
      </w:r>
    </w:p>
    <w:p w:rsidR="00A45935" w:rsidRDefault="000C61FE" w:rsidP="000C61FE">
      <w:pPr>
        <w:pStyle w:val="HHeadingfigures"/>
        <w:numPr>
          <w:ilvl w:val="0"/>
          <w:numId w:val="0"/>
        </w:numPr>
        <w:ind w:left="1134"/>
      </w:pPr>
      <w:bookmarkStart w:id="16" w:name="Pathways"/>
      <w:bookmarkStart w:id="17" w:name="_Toc503284754"/>
      <w:bookmarkEnd w:id="16"/>
      <w:r>
        <w:t>Figura 1.</w:t>
      </w:r>
      <w:r>
        <w:tab/>
      </w:r>
      <w:r w:rsidR="00674A4B">
        <w:t>Imagem simplificada da forma como os PDR fomentam a inovação</w:t>
      </w:r>
      <w:bookmarkEnd w:id="17"/>
      <w:r w:rsidR="00674A4B">
        <w:t xml:space="preserve"> </w:t>
      </w:r>
      <w:bookmarkEnd w:id="14"/>
      <w:bookmarkEnd w:id="15"/>
    </w:p>
    <w:p w:rsidR="0092027D" w:rsidRPr="0092027D" w:rsidRDefault="0092027D" w:rsidP="00B06BF7">
      <w:pPr>
        <w:pStyle w:val="HStandard"/>
        <w:jc w:val="center"/>
      </w:pPr>
      <w:r w:rsidRPr="000C61FE">
        <w:rPr>
          <w:lang w:val="en-GB" w:eastAsia="en-GB"/>
        </w:rPr>
        <w:drawing>
          <wp:inline distT="0" distB="0" distL="0" distR="0" wp14:anchorId="0EF34C64" wp14:editId="26C658FE">
            <wp:extent cx="4557370" cy="21498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14" t="10888" r="23047" b="6320"/>
                    <a:stretch/>
                  </pic:blipFill>
                  <pic:spPr bwMode="auto">
                    <a:xfrm>
                      <a:off x="0" y="0"/>
                      <a:ext cx="4621231" cy="2179953"/>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pacing w:after="0" w:line="280" w:lineRule="atLeast"/>
        <w:jc w:val="center"/>
        <w:rPr>
          <w:rFonts w:eastAsia="Times New Roman" w:cs="Arial"/>
          <w:szCs w:val="18"/>
          <w:lang w:eastAsia="de-DE"/>
        </w:rPr>
      </w:pP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Fonte: Serviço Europeu de Assistência na Avaliação para o Desenvolvimento Rural, 2017.</w:t>
      </w:r>
    </w:p>
    <w:p w:rsidR="000E1D4B" w:rsidRDefault="00A45935" w:rsidP="00E05D08">
      <w:pPr>
        <w:spacing w:after="120" w:line="280" w:lineRule="atLeast"/>
        <w:mirrorIndents/>
        <w:rPr>
          <w:rFonts w:eastAsia="Times New Roman" w:cs="Times New Roman"/>
          <w:szCs w:val="20"/>
        </w:rPr>
      </w:pPr>
      <w:r>
        <w:t xml:space="preserve">As medidas/submedidas do PDR e a sua combinação podem contribuir para uma, duas ou para as três vias em graus diferentes em função da abordagem específica do PDR para apoiar a inovação (ver </w:t>
      </w:r>
      <w:hyperlink w:anchor="Policy_framework" w:history="1">
        <w:r>
          <w:rPr>
            <w:rStyle w:val="Hyperlink"/>
            <w:sz w:val="20"/>
            <w:szCs w:val="20"/>
          </w:rPr>
          <w:t>Secção 1.2.1</w:t>
        </w:r>
      </w:hyperlink>
      <w:r>
        <w:t xml:space="preserve">). </w:t>
      </w:r>
      <w:bookmarkStart w:id="18"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27D105BA" wp14:editId="18D57223">
                <wp:simplePos x="0" y="0"/>
                <wp:positionH relativeFrom="column">
                  <wp:posOffset>-64770</wp:posOffset>
                </wp:positionH>
                <wp:positionV relativeFrom="paragraph">
                  <wp:posOffset>-635</wp:posOffset>
                </wp:positionV>
                <wp:extent cx="2832735" cy="5221605"/>
                <wp:effectExtent l="0" t="0" r="24765" b="1714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5221605"/>
                        </a:xfrm>
                        <a:prstGeom prst="round2DiagRect">
                          <a:avLst>
                            <a:gd name="adj1" fmla="val 6641"/>
                            <a:gd name="adj2" fmla="val 0"/>
                          </a:avLst>
                        </a:prstGeom>
                        <a:noFill/>
                        <a:ln w="25400" cap="flat" cmpd="sng" algn="ctr">
                          <a:solidFill>
                            <a:srgbClr val="F07E31"/>
                          </a:solidFill>
                          <a:prstDash val="solid"/>
                        </a:ln>
                        <a:effectLst/>
                      </wps:spPr>
                      <wps:txbx>
                        <w:txbxContent>
                          <w:p w:rsidR="00B06BF7" w:rsidRPr="00E05D08" w:rsidRDefault="00B06BF7" w:rsidP="00E05D08">
                            <w:pPr>
                              <w:pStyle w:val="Normal12PTcouleurgris"/>
                              <w:rPr>
                                <w:b/>
                                <w:color w:val="F07E31"/>
                              </w:rPr>
                            </w:pPr>
                            <w:r>
                              <w:rPr>
                                <w:noProof/>
                                <w:lang w:val="en-GB" w:eastAsia="en-GB"/>
                              </w:rPr>
                              <w:drawing>
                                <wp:inline distT="0" distB="0" distL="0" distR="0" wp14:anchorId="7BE33212" wp14:editId="5604E86E">
                                  <wp:extent cx="353060" cy="359410"/>
                                  <wp:effectExtent l="0" t="0" r="8890" b="2540"/>
                                  <wp:docPr id="6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Exemplos de apoio possível do PDR à Via n.º 1</w:t>
                            </w:r>
                          </w:p>
                          <w:p w:rsidR="00B06BF7" w:rsidRPr="00230C31" w:rsidRDefault="00B06BF7" w:rsidP="00230C31">
                            <w:pPr>
                              <w:pStyle w:val="Hlistbullet"/>
                              <w:rPr>
                                <w:sz w:val="18"/>
                                <w:szCs w:val="18"/>
                              </w:rPr>
                            </w:pPr>
                            <w:r>
                              <w:rPr>
                                <w:sz w:val="18"/>
                                <w:szCs w:val="18"/>
                              </w:rPr>
                              <w:t xml:space="preserve">O desenvolvimento, ensaio e promoção de uma máquina para controlar mecanicamente infestações de ervas daninhas em terrenos agrícolas (por exemplo, operações efetuadas ao abrigo dos artigos 17.º e 35.º do Regulamento (UE) n.º 1305/2013). </w:t>
                            </w:r>
                          </w:p>
                          <w:p w:rsidR="00B06BF7" w:rsidRPr="00230C31" w:rsidRDefault="00B06BF7" w:rsidP="00230C31">
                            <w:pPr>
                              <w:pStyle w:val="Hlistbullet"/>
                              <w:rPr>
                                <w:sz w:val="18"/>
                                <w:szCs w:val="18"/>
                              </w:rPr>
                            </w:pPr>
                            <w:r>
                              <w:rPr>
                                <w:sz w:val="18"/>
                                <w:szCs w:val="18"/>
                              </w:rPr>
                              <w:t xml:space="preserve">O ensaio e a prestação de novos tipos de serviços em zonas rurais (por exemplo, operações efetuadas ao abrigo dos artigos 20.º e 35.º do Regulamento (UE) n.º 1305/2013). </w:t>
                            </w:r>
                          </w:p>
                          <w:p w:rsidR="00B06BF7" w:rsidRPr="00230C31" w:rsidRDefault="00B06BF7" w:rsidP="00230C31">
                            <w:pPr>
                              <w:pStyle w:val="Hlistbullet"/>
                              <w:rPr>
                                <w:sz w:val="18"/>
                                <w:szCs w:val="18"/>
                              </w:rPr>
                            </w:pPr>
                            <w:r>
                              <w:rPr>
                                <w:sz w:val="18"/>
                                <w:szCs w:val="18"/>
                              </w:rPr>
                              <w:t>A introdução de uma nova forma de organização de reuniões, conferências e ações de formação (por exemplo, utilizando novas técnicas de facilitação, conferências de mesa-redonda) (por exemplo, operações efetuadas ao abrigo do artigo 14.º do Regulamento (UE) n.º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105BA" id="Rectangle: Diagonal Corners Rounded 55" o:spid="_x0000_s1032" style="position:absolute;left:0;text-align:left;margin-left:-5.1pt;margin-top:-.05pt;width:223.05pt;height:411.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5221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" adj="-11796480,,5400" path="m188122,l2832735,r,l2832735,5033483v,103897,-84225,188122,-188122,188122l,5221605r,l,188122c,84225,84225,,188122,xe" filled="f" strokecolor="#f07e31" strokeweight="2pt">
                <v:stroke joinstyle="miter"/>
                <v:formulas/>
                <v:path arrowok="t" o:connecttype="custom" o:connectlocs="188122,0;2832735,0;2832735,0;2832735,5033483;2644613,5221605;0,5221605;0,5221605;0,188122;188122,0" o:connectangles="0,0,0,0,0,0,0,0,0" textboxrect="0,0,2832735,5221605"/>
                <v:textbox>
                  <w:txbxContent>
                    <w:p w:rsidR="00B06BF7" w:rsidRPr="00E05D08" w:rsidRDefault="00B06BF7" w:rsidP="00E05D08">
                      <w:pPr>
                        <w:pStyle w:val="Normal12PTcouleurgris"/>
                        <w:rPr>
                          <w:b/>
                          <w:color w:val="F07E31"/>
                        </w:rPr>
                      </w:pPr>
                      <w:r>
                        <w:rPr>
                          <w:noProof/>
                          <w:lang w:val="en-GB" w:eastAsia="en-GB"/>
                        </w:rPr>
                        <w:drawing>
                          <wp:inline distT="0" distB="0" distL="0" distR="0" wp14:anchorId="7BE33212" wp14:editId="5604E86E">
                            <wp:extent cx="353060" cy="359410"/>
                            <wp:effectExtent l="0" t="0" r="8890" b="2540"/>
                            <wp:docPr id="6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Exemplos de apoio possível do PDR à Via n.º 1</w:t>
                      </w:r>
                    </w:p>
                    <w:p w:rsidR="00B06BF7" w:rsidRPr="00230C31" w:rsidRDefault="00B06BF7" w:rsidP="00230C31">
                      <w:pPr>
                        <w:pStyle w:val="Hlistbullet"/>
                        <w:rPr>
                          <w:sz w:val="18"/>
                          <w:szCs w:val="18"/>
                        </w:rPr>
                      </w:pPr>
                      <w:r>
                        <w:rPr>
                          <w:sz w:val="18"/>
                          <w:szCs w:val="18"/>
                        </w:rPr>
                        <w:t xml:space="preserve">O desenvolvimento, ensaio e promoção de uma máquina para controlar mecanicamente infestações de ervas daninhas em terrenos agrícolas (por exemplo, operações efetuadas ao abrigo dos artigos 17.º e 35.º do Regulamento (UE) n.º 1305/2013). </w:t>
                      </w:r>
                    </w:p>
                    <w:p w:rsidR="00B06BF7" w:rsidRPr="00230C31" w:rsidRDefault="00B06BF7" w:rsidP="00230C31">
                      <w:pPr>
                        <w:pStyle w:val="Hlistbullet"/>
                        <w:rPr>
                          <w:sz w:val="18"/>
                          <w:szCs w:val="18"/>
                        </w:rPr>
                      </w:pPr>
                      <w:r>
                        <w:rPr>
                          <w:sz w:val="18"/>
                          <w:szCs w:val="18"/>
                        </w:rPr>
                        <w:t xml:space="preserve">O ensaio e a prestação de novos tipos de serviços em zonas rurais (por exemplo, operações efetuadas ao abrigo dos artigos 20.º e 35.º do Regulamento (UE) n.º 1305/2013). </w:t>
                      </w:r>
                    </w:p>
                    <w:p w:rsidR="00B06BF7" w:rsidRPr="00230C31" w:rsidRDefault="00B06BF7" w:rsidP="00230C31">
                      <w:pPr>
                        <w:pStyle w:val="Hlistbullet"/>
                        <w:rPr>
                          <w:sz w:val="18"/>
                          <w:szCs w:val="18"/>
                        </w:rPr>
                      </w:pPr>
                      <w:r>
                        <w:rPr>
                          <w:sz w:val="18"/>
                          <w:szCs w:val="18"/>
                        </w:rPr>
                        <w:t>A introdução de uma nova forma de organização de reuniões, conferências e ações de formação (por exemplo, utilizando novas técnicas de facilitação, conferências de mesa-redonda) (por exemplo, operações efetuadas ao abrigo do artigo 14.º do Regulamento (UE) n.º 1305/2013).</w:t>
                      </w:r>
                    </w:p>
                  </w:txbxContent>
                </v:textbox>
                <w10:wrap type="square"/>
              </v:shape>
            </w:pict>
          </mc:Fallback>
        </mc:AlternateContent>
      </w:r>
      <w:r>
        <w:rPr>
          <w:color w:val="F07E31"/>
        </w:rPr>
        <w:t>A</w:t>
      </w:r>
      <w:r>
        <w:rPr>
          <w:b/>
          <w:szCs w:val="20"/>
        </w:rPr>
        <w:t xml:space="preserve"> </w:t>
      </w:r>
      <w:r>
        <w:rPr>
          <w:b/>
          <w:color w:val="F07E31"/>
          <w:szCs w:val="20"/>
        </w:rPr>
        <w:t>primeira via</w:t>
      </w:r>
      <w:r>
        <w:t xml:space="preserve"> pode ser descrita como a capacidade de identificar e cultivar ideias promissoras que podem conduzir a qualquer tipo de inovação (tecnológica, não tecnológica, social, organizacional, etc.). Tal ideia nova requer amplitude para se tornar uma verdadeira inovação que, idealmente, responde a uma necessidade específica ou constitui uma oportunidade que pode ser aproveitada por muitos. As duas principais formas de cultivar ideias para reforçar os processos de inovação são as seguintes: (1) uma abordagem individual (identificação e apoio de um homem/mulher com uma ideia); (2) através de diferentes partes interessadas que trabalham em grupos para descobrir novas ideias que devem ser cultivadas (reunindo os melhores parceiros para formar um grupo que combine as competências complementares necessárias para construir um projeto de inovação). </w:t>
      </w:r>
    </w:p>
    <w:bookmarkEnd w:id="18"/>
    <w:p w:rsidR="000E1D4B" w:rsidRDefault="00A45935" w:rsidP="00E05D08">
      <w:pPr>
        <w:spacing w:after="120" w:line="280" w:lineRule="atLeast"/>
        <w:mirrorIndents/>
        <w:rPr>
          <w:rFonts w:eastAsia="Times New Roman" w:cs="Times New Roman"/>
          <w:szCs w:val="20"/>
        </w:rPr>
      </w:pPr>
      <w:r>
        <w:t xml:space="preserve">Para ser inovadora, a ideia, ou pelo menos alguns aspetos da mesma, deve constituir uma novidade para o ambiente ou local em questão e deve implicar uma promessa razoável de utilidade (ou seja, ajudar uma ou mais partes interessadas a fazer algo de forma diferente, melhor ou mais económica, responder a uma necessidade ou criar uma oportunidade). </w:t>
      </w:r>
    </w:p>
    <w:p w:rsidR="000E1D4B" w:rsidRDefault="000E1D4B">
      <w:pPr>
        <w:rPr>
          <w:rFonts w:eastAsia="Times New Roman" w:cs="Times New Roman"/>
          <w:szCs w:val="20"/>
        </w:rPr>
      </w:pPr>
      <w:r>
        <w:br w:type="page"/>
      </w:r>
    </w:p>
    <w:p w:rsidR="00A45935" w:rsidRDefault="00A45935" w:rsidP="00E05D08">
      <w:pPr>
        <w:spacing w:after="120" w:line="280" w:lineRule="atLeast"/>
        <w:mirrorIndents/>
      </w:pPr>
      <w:r w:rsidRPr="0092027D">
        <w:rPr>
          <w:color w:val="F07E31"/>
        </w:rPr>
        <w:lastRenderedPageBreak/>
        <w:t xml:space="preserve">A segunda via </w:t>
      </w:r>
      <w:r>
        <w:t>consiste no reforço das capacidades de inovação, constituindo, em algumas circunstâncias, um resultado da execução da primeira via. O PDR pode facilitar o processo de identificação dos desafios e oportunidades de desenvolvimento de modo a reunir agentes de inovação relevantes e interessados (por exemplo, através de grupos operacionais da PEI</w:t>
      </w:r>
      <w:r>
        <w:rPr>
          <w:rFonts w:eastAsia="Times New Roman" w:cs="Times New Roman"/>
          <w:szCs w:val="20"/>
          <w:vertAlign w:val="superscript"/>
          <w:lang w:eastAsia="de-DE"/>
        </w:rPr>
        <w:footnoteReference w:id="5"/>
      </w:r>
      <w:r>
        <w:t xml:space="preserve"> que ensaiam práticas inovadoras através da cooperação entre os intervenientes relevantes com conhecimentos complementares - por exemplo, agricultores, empresas, serviços de aconselhamento, investigadores e outros - de modo a alcançar os objetivos de um projeto inovador). Isto contribui para colmatar o fosso existente entre ciência e prática, criando as competências e conhecimentos necessários. As sinergias criadas através de projetos baseados em vários intervenientes, financiados no âmbito da política de investigação e inovação da UE «Horizonte 2020», também podem proporcionar vantagens</w:t>
      </w:r>
      <w:r>
        <w:rPr>
          <w:rFonts w:eastAsia="Times New Roman" w:cs="Times New Roman"/>
          <w:szCs w:val="20"/>
          <w:vertAlign w:val="superscript"/>
          <w:lang w:eastAsia="de-DE"/>
        </w:rPr>
        <w:footnoteReference w:id="6"/>
      </w:r>
      <w:r>
        <w:rPr>
          <w:rFonts w:eastAsia="Times New Roman" w:cs="Times New Roman"/>
          <w:szCs w:val="20"/>
          <w:vertAlign w:val="superscript"/>
          <w:lang w:eastAsia="de-DE"/>
        </w:rPr>
        <w:footnoteReference w:id="7"/>
      </w:r>
      <w:r>
        <w:t xml:space="preserve">. Os grupos operacionais podem desencadear nichos sociais e técnicos. Um nicho social e técnico constitui um espaço protegido que permite às pessoas conhecer e experimentar novas tecnologias e/ou instituições e/ou novas formas de atuar. Quando corretamente idealizados e ligados, os nichos podem </w:t>
      </w:r>
      <w:r>
        <w:lastRenderedPageBreak/>
        <w:t xml:space="preserve">servir de elementos de base para mudanças sociais mais amplas tendo em vista o desenvolvimento </w:t>
      </w:r>
      <w:r w:rsidR="00B06BF7">
        <w:rPr>
          <w:rFonts w:eastAsia="Times New Roman" w:cs="Times New Roman"/>
          <w:noProof/>
          <w:szCs w:val="20"/>
          <w:lang w:val="en-GB" w:eastAsia="en-GB"/>
        </w:rPr>
        <mc:AlternateContent>
          <mc:Choice Requires="wps">
            <w:drawing>
              <wp:anchor distT="0" distB="0" distL="114300" distR="114300" simplePos="0" relativeHeight="251730944" behindDoc="0" locked="0" layoutInCell="1" allowOverlap="1" wp14:anchorId="4F8859B8" wp14:editId="3CE6B9BE">
                <wp:simplePos x="0" y="0"/>
                <wp:positionH relativeFrom="column">
                  <wp:posOffset>358140</wp:posOffset>
                </wp:positionH>
                <wp:positionV relativeFrom="paragraph">
                  <wp:posOffset>355600</wp:posOffset>
                </wp:positionV>
                <wp:extent cx="5542280" cy="4347210"/>
                <wp:effectExtent l="0" t="0" r="20320" b="15240"/>
                <wp:wrapSquare wrapText="bothSides"/>
                <wp:docPr id="57" name="Rectangle: Diagonal Corners Rounded 57"/>
                <wp:cNvGraphicFramePr/>
                <a:graphic xmlns:a="http://schemas.openxmlformats.org/drawingml/2006/main">
                  <a:graphicData uri="http://schemas.microsoft.com/office/word/2010/wordprocessingShape">
                    <wps:wsp>
                      <wps:cNvSpPr/>
                      <wps:spPr>
                        <a:xfrm>
                          <a:off x="0" y="0"/>
                          <a:ext cx="5542280" cy="4347210"/>
                        </a:xfrm>
                        <a:prstGeom prst="round2DiagRect">
                          <a:avLst>
                            <a:gd name="adj1" fmla="val 6633"/>
                            <a:gd name="adj2" fmla="val 0"/>
                          </a:avLst>
                        </a:prstGeom>
                        <a:noFill/>
                        <a:ln w="25400" cap="flat" cmpd="sng" algn="ctr">
                          <a:solidFill>
                            <a:srgbClr val="F07E31"/>
                          </a:solidFill>
                          <a:prstDash val="solid"/>
                        </a:ln>
                        <a:effectLst/>
                      </wps:spPr>
                      <wps:txbx>
                        <w:txbxContent>
                          <w:p w:rsidR="00B06BF7" w:rsidRPr="002F0ABF" w:rsidRDefault="00B06BF7" w:rsidP="00E05D08">
                            <w:pPr>
                              <w:pStyle w:val="Normal12PTcouleurgris"/>
                              <w:rPr>
                                <w:b/>
                                <w:color w:val="F07E31"/>
                                <w:sz w:val="16"/>
                                <w:szCs w:val="16"/>
                              </w:rPr>
                            </w:pPr>
                            <w:r>
                              <w:rPr>
                                <w:noProof/>
                                <w:lang w:val="en-GB" w:eastAsia="en-GB"/>
                              </w:rPr>
                              <w:drawing>
                                <wp:inline distT="0" distB="0" distL="0" distR="0" wp14:anchorId="05139D4E" wp14:editId="5C866D69">
                                  <wp:extent cx="353060" cy="359410"/>
                                  <wp:effectExtent l="0" t="0" r="8890" b="2540"/>
                                  <wp:docPr id="6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Exemplos de possível apoio do PDR à Via n.º 2</w:t>
                            </w:r>
                          </w:p>
                          <w:p w:rsidR="00B06BF7" w:rsidRPr="002F0ABF" w:rsidRDefault="00B06BF7" w:rsidP="00E05D08">
                            <w:pPr>
                              <w:pStyle w:val="Normal12PTcouleurgris"/>
                              <w:rPr>
                                <w:sz w:val="16"/>
                                <w:szCs w:val="16"/>
                              </w:rPr>
                            </w:pPr>
                            <w:r>
                              <w:rPr>
                                <w:sz w:val="16"/>
                                <w:szCs w:val="16"/>
                              </w:rPr>
                              <w:t>O PDR pode apoiar as seguintes competências e qualidades principais dos agentes de inovação</w:t>
                            </w:r>
                            <w:r w:rsidRPr="00704A96">
                              <w:rPr>
                                <w:sz w:val="16"/>
                                <w:szCs w:val="16"/>
                                <w:vertAlign w:val="superscript"/>
                              </w:rPr>
                              <w:t>9</w:t>
                            </w:r>
                            <w:r>
                              <w:rPr>
                                <w:sz w:val="16"/>
                                <w:szCs w:val="16"/>
                              </w:rPr>
                              <w:t xml:space="preserve"> e influenciar as operações com «capacidade de inovação»: </w:t>
                            </w:r>
                          </w:p>
                          <w:p w:rsidR="00B06BF7" w:rsidRPr="002F0ABF" w:rsidRDefault="00B06BF7" w:rsidP="00E05D08">
                            <w:pPr>
                              <w:pStyle w:val="Hlistbullet"/>
                              <w:rPr>
                                <w:sz w:val="16"/>
                                <w:szCs w:val="16"/>
                              </w:rPr>
                            </w:pPr>
                            <w:r>
                              <w:rPr>
                                <w:sz w:val="16"/>
                                <w:szCs w:val="16"/>
                              </w:rPr>
                              <w:t>as competências e conhecimentos técnicos e específicos desse domínio necessários para fazer com que as novas ideias funcionem na prática, incluindo a capacidade de identificar e escolher entre opções (por exemplo, operações efetuadas ao abrigo dos artigos 14.º, 15.º e 35.º do Regulamento (UE) n.º 1305/2013);</w:t>
                            </w:r>
                          </w:p>
                          <w:p w:rsidR="00B06BF7" w:rsidRPr="002F0ABF" w:rsidRDefault="00B06BF7" w:rsidP="00E05D08">
                            <w:pPr>
                              <w:pStyle w:val="Hlistbullet"/>
                              <w:rPr>
                                <w:sz w:val="16"/>
                                <w:szCs w:val="16"/>
                              </w:rPr>
                            </w:pPr>
                            <w:r>
                              <w:rPr>
                                <w:sz w:val="16"/>
                                <w:szCs w:val="16"/>
                              </w:rPr>
                              <w:t>as competências sociais e organizacionais necessárias para facilitar e mediar</w:t>
                            </w:r>
                            <w:r w:rsidRPr="00704A96">
                              <w:rPr>
                                <w:sz w:val="16"/>
                                <w:szCs w:val="16"/>
                                <w:vertAlign w:val="superscript"/>
                              </w:rPr>
                              <w:t>10</w:t>
                            </w:r>
                            <w:r>
                              <w:rPr>
                                <w:sz w:val="16"/>
                                <w:szCs w:val="16"/>
                              </w:rPr>
                              <w:t xml:space="preserve"> os processos de inovação, incluindo a capacidade para estabelecer ligações e redes entre as partes interessadas, a capacidade de passar por ciclos iterativos de visionamento, planeamento e de aprendizagem reflexiva, bem como a capacidade para identificar os principais desafios e dinâmicas do sistema (por exemplo, operações efetuadas ao abrigo do artigo 35.º do Regulamento (UE) n.º 1305/2013);</w:t>
                            </w:r>
                          </w:p>
                          <w:p w:rsidR="00B06BF7" w:rsidRPr="002F0ABF" w:rsidRDefault="00B06BF7" w:rsidP="00E05D08">
                            <w:pPr>
                              <w:pStyle w:val="Hlistbullet"/>
                              <w:rPr>
                                <w:sz w:val="16"/>
                                <w:szCs w:val="16"/>
                              </w:rPr>
                            </w:pPr>
                            <w:r>
                              <w:rPr>
                                <w:sz w:val="16"/>
                                <w:szCs w:val="16"/>
                              </w:rPr>
                              <w:t>o reforço da capacidade de uma ação coletiva eficaz</w:t>
                            </w:r>
                            <w:r w:rsidRPr="00704A96">
                              <w:rPr>
                                <w:sz w:val="16"/>
                                <w:szCs w:val="16"/>
                                <w:vertAlign w:val="superscript"/>
                              </w:rPr>
                              <w:t>11</w:t>
                            </w:r>
                            <w:r>
                              <w:rPr>
                                <w:sz w:val="16"/>
                                <w:szCs w:val="16"/>
                              </w:rPr>
                              <w:t xml:space="preserve"> (por exemplo, organizar as atividades de demonstração e de informação em colaboração com o objetivo de transferência de experiências e de conhecimentos entre os diversos intervenientes, ou para a cooperação entre os intervenientes da cadeia de abastecimento para o fornecimento de biomassa para a produção de alimentos e de energia, etc.); as operações efetuadas ao abrigo dos artigos 14.º, 15.º e 35.º do Regulamento (UE) n.º 1305/2013);</w:t>
                            </w:r>
                          </w:p>
                          <w:p w:rsidR="00B06BF7" w:rsidRPr="002F0ABF" w:rsidRDefault="00B06BF7" w:rsidP="00E05D08">
                            <w:pPr>
                              <w:pStyle w:val="Hlistbullet"/>
                              <w:rPr>
                                <w:sz w:val="16"/>
                                <w:szCs w:val="16"/>
                              </w:rPr>
                            </w:pPr>
                            <w:r>
                              <w:rPr>
                                <w:sz w:val="16"/>
                                <w:szCs w:val="16"/>
                              </w:rPr>
                              <w:t>as intervenções do PDR podem reforçar a capacidade de inovar proporcionando possibilidades de transferência de conhecimentos (por exemplo, serviços, formação e tutoria); operações efetuadas ao abrigo do artigo 15.º do Regulamento (UE) n.º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59B8" id="Rectangle: Diagonal Corners Rounded 57" o:spid="_x0000_s1033" style="position:absolute;left:0;text-align:left;margin-left:28.2pt;margin-top:28pt;width:436.4pt;height:34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42280,4347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" adj="-11796480,,5400" path="m288350,l5542280,r,l5542280,4058860v,159251,-129099,288350,-288350,288350l,4347210r,l,288350c,129099,129099,,288350,xe" filled="f" strokecolor="#f07e31" strokeweight="2pt">
                <v:stroke joinstyle="miter"/>
                <v:formulas/>
                <v:path arrowok="t" o:connecttype="custom" o:connectlocs="288350,0;5542280,0;5542280,0;5542280,4058860;5253930,4347210;0,4347210;0,4347210;0,288350;288350,0" o:connectangles="0,0,0,0,0,0,0,0,0" textboxrect="0,0,5542280,4347210"/>
                <v:textbox inset=",0,,0">
                  <w:txbxContent>
                    <w:p w:rsidR="00B06BF7" w:rsidRPr="002F0ABF" w:rsidRDefault="00B06BF7" w:rsidP="00E05D08">
                      <w:pPr>
                        <w:pStyle w:val="Normal12PTcouleurgris"/>
                        <w:rPr>
                          <w:b/>
                          <w:color w:val="F07E31"/>
                          <w:sz w:val="16"/>
                          <w:szCs w:val="16"/>
                        </w:rPr>
                      </w:pPr>
                      <w:r>
                        <w:rPr>
                          <w:noProof/>
                          <w:lang w:val="en-GB" w:eastAsia="en-GB"/>
                        </w:rPr>
                        <w:drawing>
                          <wp:inline distT="0" distB="0" distL="0" distR="0" wp14:anchorId="05139D4E" wp14:editId="5C866D69">
                            <wp:extent cx="353060" cy="359410"/>
                            <wp:effectExtent l="0" t="0" r="8890" b="2540"/>
                            <wp:docPr id="6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Exemplos de possível apoio do PDR à Via n.º 2</w:t>
                      </w:r>
                    </w:p>
                    <w:p w:rsidR="00B06BF7" w:rsidRPr="002F0ABF" w:rsidRDefault="00B06BF7" w:rsidP="00E05D08">
                      <w:pPr>
                        <w:pStyle w:val="Normal12PTcouleurgris"/>
                        <w:rPr>
                          <w:sz w:val="16"/>
                          <w:szCs w:val="16"/>
                        </w:rPr>
                      </w:pPr>
                      <w:r>
                        <w:rPr>
                          <w:sz w:val="16"/>
                          <w:szCs w:val="16"/>
                        </w:rPr>
                        <w:t>O PDR pode apoiar as seguintes competências e qualidades principais dos agentes de inovação</w:t>
                      </w:r>
                      <w:r w:rsidRPr="00704A96">
                        <w:rPr>
                          <w:sz w:val="16"/>
                          <w:szCs w:val="16"/>
                          <w:vertAlign w:val="superscript"/>
                        </w:rPr>
                        <w:t>9</w:t>
                      </w:r>
                      <w:r>
                        <w:rPr>
                          <w:sz w:val="16"/>
                          <w:szCs w:val="16"/>
                        </w:rPr>
                        <w:t xml:space="preserve"> e influenciar as operações com «capacidade de inovação»: </w:t>
                      </w:r>
                    </w:p>
                    <w:p w:rsidR="00B06BF7" w:rsidRPr="002F0ABF" w:rsidRDefault="00B06BF7" w:rsidP="00E05D08">
                      <w:pPr>
                        <w:pStyle w:val="Hlistbullet"/>
                        <w:rPr>
                          <w:sz w:val="16"/>
                          <w:szCs w:val="16"/>
                        </w:rPr>
                      </w:pPr>
                      <w:r>
                        <w:rPr>
                          <w:sz w:val="16"/>
                          <w:szCs w:val="16"/>
                        </w:rPr>
                        <w:t>as competências e conhecimentos técnicos e específicos desse domínio necessários para fazer com que as novas ideias funcionem na prática, incluindo a capacidade de identificar e escolher entre opções (por exemplo, operações efetuadas ao abrigo dos artigos 14.º, 15.º e 35.º do Regulamento (UE) n.º 1305/2013);</w:t>
                      </w:r>
                    </w:p>
                    <w:p w:rsidR="00B06BF7" w:rsidRPr="002F0ABF" w:rsidRDefault="00B06BF7" w:rsidP="00E05D08">
                      <w:pPr>
                        <w:pStyle w:val="Hlistbullet"/>
                        <w:rPr>
                          <w:sz w:val="16"/>
                          <w:szCs w:val="16"/>
                        </w:rPr>
                      </w:pPr>
                      <w:r>
                        <w:rPr>
                          <w:sz w:val="16"/>
                          <w:szCs w:val="16"/>
                        </w:rPr>
                        <w:t>as competências sociais e organizacionais necessárias para facilitar e mediar</w:t>
                      </w:r>
                      <w:r w:rsidRPr="00704A96">
                        <w:rPr>
                          <w:sz w:val="16"/>
                          <w:szCs w:val="16"/>
                          <w:vertAlign w:val="superscript"/>
                        </w:rPr>
                        <w:t>10</w:t>
                      </w:r>
                      <w:r>
                        <w:rPr>
                          <w:sz w:val="16"/>
                          <w:szCs w:val="16"/>
                        </w:rPr>
                        <w:t xml:space="preserve"> os processos de inovação, incluindo a capacidade para estabelecer ligações e redes entre as partes interessadas, a capacidade de passar por ciclos iterativos de visionamento, planeamento e de aprendizagem reflexiva, bem como a capacidade para identificar os principais desafios e dinâmicas do sistema (por exemplo, operações efetuadas ao abrigo do artigo 35.º do Regulamento (UE) n.º 1305/2013);</w:t>
                      </w:r>
                    </w:p>
                    <w:p w:rsidR="00B06BF7" w:rsidRPr="002F0ABF" w:rsidRDefault="00B06BF7" w:rsidP="00E05D08">
                      <w:pPr>
                        <w:pStyle w:val="Hlistbullet"/>
                        <w:rPr>
                          <w:sz w:val="16"/>
                          <w:szCs w:val="16"/>
                        </w:rPr>
                      </w:pPr>
                      <w:r>
                        <w:rPr>
                          <w:sz w:val="16"/>
                          <w:szCs w:val="16"/>
                        </w:rPr>
                        <w:t>o reforço da capacidade de uma ação coletiva eficaz</w:t>
                      </w:r>
                      <w:r w:rsidRPr="00704A96">
                        <w:rPr>
                          <w:sz w:val="16"/>
                          <w:szCs w:val="16"/>
                          <w:vertAlign w:val="superscript"/>
                        </w:rPr>
                        <w:t>11</w:t>
                      </w:r>
                      <w:r>
                        <w:rPr>
                          <w:sz w:val="16"/>
                          <w:szCs w:val="16"/>
                        </w:rPr>
                        <w:t xml:space="preserve"> (por exemplo, organizar as atividades de demonstração e de informação em colaboração com o objetivo de transferência de experiências e de conhecimentos entre os diversos intervenientes, ou para a cooperação entre os intervenientes da cadeia de abastecimento para o fornecimento de biomassa para a produção de alimentos e de energia, etc.); as operações efetuadas ao abrigo dos artigos 14.º, 15.º e 35.º do Regulamento (UE) n.º 1305/2013);</w:t>
                      </w:r>
                    </w:p>
                    <w:p w:rsidR="00B06BF7" w:rsidRPr="002F0ABF" w:rsidRDefault="00B06BF7" w:rsidP="00E05D08">
                      <w:pPr>
                        <w:pStyle w:val="Hlistbullet"/>
                        <w:rPr>
                          <w:sz w:val="16"/>
                          <w:szCs w:val="16"/>
                        </w:rPr>
                      </w:pPr>
                      <w:r>
                        <w:rPr>
                          <w:sz w:val="16"/>
                          <w:szCs w:val="16"/>
                        </w:rPr>
                        <w:t>as intervenções do PDR podem reforçar a capacidade de inovar proporcionando possibilidades de transferência de conhecimentos (por exemplo, serviços, formação e tutoria); operações efetuadas ao abrigo do artigo 15.º do Regulamento (UE) n.º 1305/2013).</w:t>
                      </w:r>
                    </w:p>
                  </w:txbxContent>
                </v:textbox>
                <w10:wrap type="square"/>
              </v:shape>
            </w:pict>
          </mc:Fallback>
        </mc:AlternateContent>
      </w:r>
      <w:r>
        <w:t>sustentável</w:t>
      </w:r>
      <w:r>
        <w:rPr>
          <w:rFonts w:eastAsia="Times New Roman" w:cs="Arial"/>
          <w:szCs w:val="20"/>
          <w:vertAlign w:val="superscript"/>
          <w:lang w:eastAsia="de-DE"/>
        </w:rPr>
        <w:footnoteReference w:id="8"/>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rsidR="00DA619E" w:rsidRDefault="00DA619E" w:rsidP="00E05D08">
      <w:pPr>
        <w:spacing w:after="120" w:line="280" w:lineRule="atLeast"/>
        <w:mirrorIndents/>
      </w:pPr>
    </w:p>
    <w:p w:rsidR="00A45935" w:rsidRPr="00E05D08" w:rsidRDefault="00F74459" w:rsidP="002F0ABF">
      <w:pPr>
        <w:spacing w:after="120" w:line="280" w:lineRule="atLeast"/>
        <w:mirrorIndents/>
        <w:rPr>
          <w:rFonts w:eastAsia="Times New Roman" w:cs="Times New Roman"/>
          <w:szCs w:val="20"/>
        </w:rPr>
      </w:pPr>
      <w:r>
        <w:rPr>
          <w:b/>
          <w:color w:val="F07E31"/>
          <w:szCs w:val="20"/>
        </w:rPr>
        <w:t>A terceira via</w:t>
      </w:r>
      <w:r>
        <w:t xml:space="preserve"> diz respeito à alteração das condições de enquadramento e do ambiente que influenciam os sistemas de inovação. Tal inclui melhorar várias condições propícias</w:t>
      </w:r>
      <w:r>
        <w:rPr>
          <w:rFonts w:eastAsia="Times New Roman" w:cs="Times New Roman"/>
          <w:szCs w:val="20"/>
          <w:vertAlign w:val="superscript"/>
          <w:lang w:eastAsia="de-DE"/>
        </w:rPr>
        <w:footnoteReference w:id="12"/>
      </w:r>
      <w:r>
        <w:t>, tais como:</w:t>
      </w:r>
    </w:p>
    <w:p w:rsidR="00A45935" w:rsidRPr="0095292E" w:rsidRDefault="00DA619E" w:rsidP="00230C31">
      <w:pPr>
        <w:pStyle w:val="Hlistbullet"/>
      </w:pPr>
      <w:r>
        <w:rPr>
          <w:noProof/>
          <w:lang w:val="en-GB" w:eastAsia="en-GB"/>
        </w:rPr>
        <w:lastRenderedPageBreak/>
        <mc:AlternateContent>
          <mc:Choice Requires="wps">
            <w:drawing>
              <wp:anchor distT="0" distB="0" distL="114300" distR="114300" simplePos="0" relativeHeight="251737088" behindDoc="0" locked="0" layoutInCell="1" allowOverlap="1" wp14:anchorId="7A7075F4" wp14:editId="4769F9DE">
                <wp:simplePos x="0" y="0"/>
                <wp:positionH relativeFrom="column">
                  <wp:posOffset>2917190</wp:posOffset>
                </wp:positionH>
                <wp:positionV relativeFrom="paragraph">
                  <wp:posOffset>-359410</wp:posOffset>
                </wp:positionV>
                <wp:extent cx="2832735" cy="7975600"/>
                <wp:effectExtent l="0" t="0" r="24765" b="2540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975600"/>
                        </a:xfrm>
                        <a:prstGeom prst="round2DiagRect">
                          <a:avLst>
                            <a:gd name="adj1" fmla="val 5907"/>
                            <a:gd name="adj2" fmla="val 0"/>
                          </a:avLst>
                        </a:prstGeom>
                        <a:noFill/>
                        <a:ln w="25400" cap="flat" cmpd="sng" algn="ctr">
                          <a:solidFill>
                            <a:srgbClr val="F07E31"/>
                          </a:solidFill>
                          <a:prstDash val="solid"/>
                        </a:ln>
                        <a:effectLst/>
                      </wps:spPr>
                      <wps:txbx>
                        <w:txbxContent>
                          <w:p w:rsidR="00B06BF7" w:rsidRPr="00E05D08" w:rsidRDefault="00B06BF7" w:rsidP="004508D0">
                            <w:pPr>
                              <w:pStyle w:val="Normal12PTcouleurgris"/>
                              <w:rPr>
                                <w:b/>
                                <w:color w:val="F07E31"/>
                              </w:rPr>
                            </w:pPr>
                            <w:r>
                              <w:rPr>
                                <w:noProof/>
                                <w:lang w:val="en-GB" w:eastAsia="en-GB"/>
                              </w:rPr>
                              <w:drawing>
                                <wp:inline distT="0" distB="0" distL="0" distR="0" wp14:anchorId="7D08B1DA" wp14:editId="519BE19E">
                                  <wp:extent cx="353060" cy="359410"/>
                                  <wp:effectExtent l="0" t="0" r="8890" b="2540"/>
                                  <wp:docPr id="6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Exemplos de possível apoio do PDR à Via n.º 3</w:t>
                            </w:r>
                          </w:p>
                          <w:p w:rsidR="00B06BF7" w:rsidRPr="002B58E1" w:rsidRDefault="00B06BF7" w:rsidP="004508D0">
                            <w:pPr>
                              <w:pStyle w:val="Hlistbullet"/>
                              <w:rPr>
                                <w:sz w:val="18"/>
                                <w:szCs w:val="18"/>
                              </w:rPr>
                            </w:pPr>
                            <w:r>
                              <w:rPr>
                                <w:sz w:val="18"/>
                                <w:szCs w:val="18"/>
                              </w:rPr>
                              <w:t>Um PDR que dê prioridade a ações de informação e formação (artigo 14.º do Regulamento (UE) n.º 1305/2013) e a serviços de aconselhamento (artigo 15.º do Regulamento (UE) n.º 1305/2013) com base nessas práticas inovadoras, que são desenvolvidas nos respetivos GO (artigo 35.º do Regulamento (UE) n.º 1305/2013) ou nas práticas inovadoras desenvolvidas pelos GO noutras regiões ou países (atividades das RRN, assistência técnica).</w:t>
                            </w:r>
                          </w:p>
                          <w:p w:rsidR="00B06BF7" w:rsidRPr="002B58E1" w:rsidRDefault="00B06BF7" w:rsidP="004508D0">
                            <w:pPr>
                              <w:pStyle w:val="Hlistbullet"/>
                              <w:rPr>
                                <w:sz w:val="18"/>
                                <w:szCs w:val="18"/>
                              </w:rPr>
                            </w:pPr>
                            <w:r>
                              <w:rPr>
                                <w:sz w:val="18"/>
                                <w:szCs w:val="18"/>
                              </w:rPr>
                              <w:t>Um PDR que melhore o acesso à Internet nas zonas rurais ajudará as empresas e os agricultores locais a aceder à informação e aos mercados, aumentando assim a sua capacidade e motivação para inovar (por exemplo, operações efetuadas ao abrigo do artigo 20.º do Regulamento (UE) n.º 1305/2013).</w:t>
                            </w:r>
                          </w:p>
                          <w:p w:rsidR="00B06BF7" w:rsidRPr="002B58E1" w:rsidRDefault="00B06BF7" w:rsidP="004508D0">
                            <w:pPr>
                              <w:pStyle w:val="Hlistbullet"/>
                              <w:rPr>
                                <w:b/>
                                <w:sz w:val="18"/>
                                <w:szCs w:val="18"/>
                              </w:rPr>
                            </w:pPr>
                            <w:r>
                              <w:rPr>
                                <w:sz w:val="18"/>
                                <w:szCs w:val="18"/>
                              </w:rPr>
                              <w:t>Um PDR que desenvolva equipamentos inovadores de preparação do solo que incluam resíduos de culturas por um GO pode incentivar investimentos inovadores e uma aplicação mais rigorosa das leis para proibir a queima de resíduos de culturas (por exemplo, operações efetuadas ao abrigo do artigo 17.º do Regulamento (UE) n.º 1305/2013).</w:t>
                            </w:r>
                          </w:p>
                          <w:p w:rsidR="00B06BF7" w:rsidRPr="002B58E1" w:rsidRDefault="00B06BF7" w:rsidP="004508D0">
                            <w:pPr>
                              <w:pStyle w:val="Hlistbullet"/>
                              <w:rPr>
                                <w:sz w:val="18"/>
                                <w:szCs w:val="18"/>
                              </w:rPr>
                            </w:pPr>
                            <w:r>
                              <w:rPr>
                                <w:sz w:val="18"/>
                                <w:szCs w:val="18"/>
                              </w:rPr>
                              <w:t>Uma medida do PDR que apoie o estabelecimento de cadeias de abastecimento alimentar curtas ou cooperativas de produtores pode aumentar as ligações e a cooperação entre os consumidores e os produtores de modo a criar um sistema alimentar mais inovador</w:t>
                            </w:r>
                            <w:r w:rsidRPr="00704A96">
                              <w:rPr>
                                <w:sz w:val="18"/>
                                <w:szCs w:val="18"/>
                                <w:vertAlign w:val="superscript"/>
                              </w:rPr>
                              <w:t>13</w:t>
                            </w:r>
                            <w:r>
                              <w:rPr>
                                <w:sz w:val="18"/>
                                <w:szCs w:val="18"/>
                              </w:rPr>
                              <w:t xml:space="preserve"> (por exemplo, operações efetuadas ao abrigos do artigos 16.º, 17.º e 35.º do Regulamento (UE) n.º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075F4" id="Rectangle: Diagonal Corners Rounded 59" o:spid="_x0000_s1034" style="position:absolute;left:0;text-align:left;margin-left:229.7pt;margin-top:-28.3pt;width:223.05pt;height:62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97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" adj="-11796480,,5400" path="m167330,l2832735,r,l2832735,7808270v,92414,-74916,167330,-167330,167330l,7975600r,l,167330c,74916,74916,,167330,xe" filled="f" strokecolor="#f07e31" strokeweight="2pt">
                <v:stroke joinstyle="miter"/>
                <v:formulas/>
                <v:path arrowok="t" o:connecttype="custom" o:connectlocs="167330,0;2832735,0;2832735,0;2832735,7808270;2665405,7975600;0,7975600;0,7975600;0,167330;167330,0" o:connectangles="0,0,0,0,0,0,0,0,0" textboxrect="0,0,2832735,7975600"/>
                <v:textbox>
                  <w:txbxContent>
                    <w:p w:rsidR="00B06BF7" w:rsidRPr="00E05D08" w:rsidRDefault="00B06BF7" w:rsidP="004508D0">
                      <w:pPr>
                        <w:pStyle w:val="Normal12PTcouleurgris"/>
                        <w:rPr>
                          <w:b/>
                          <w:color w:val="F07E31"/>
                        </w:rPr>
                      </w:pPr>
                      <w:r>
                        <w:rPr>
                          <w:noProof/>
                          <w:lang w:val="en-GB" w:eastAsia="en-GB"/>
                        </w:rPr>
                        <w:drawing>
                          <wp:inline distT="0" distB="0" distL="0" distR="0" wp14:anchorId="7D08B1DA" wp14:editId="519BE19E">
                            <wp:extent cx="353060" cy="359410"/>
                            <wp:effectExtent l="0" t="0" r="8890" b="2540"/>
                            <wp:docPr id="6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Exemplos de possível apoio do PDR à Via n.º 3</w:t>
                      </w:r>
                    </w:p>
                    <w:p w:rsidR="00B06BF7" w:rsidRPr="002B58E1" w:rsidRDefault="00B06BF7" w:rsidP="004508D0">
                      <w:pPr>
                        <w:pStyle w:val="Hlistbullet"/>
                        <w:rPr>
                          <w:sz w:val="18"/>
                          <w:szCs w:val="18"/>
                        </w:rPr>
                      </w:pPr>
                      <w:r>
                        <w:rPr>
                          <w:sz w:val="18"/>
                          <w:szCs w:val="18"/>
                        </w:rPr>
                        <w:t>Um PDR que dê prioridade a ações de informação e formação (artigo 14.º do Regulamento (UE) n.º 1305/2013) e a serviços de aconselhamento (artigo 15.º do Regulamento (UE) n.º 1305/2013) com base nessas práticas inovadoras, que são desenvolvidas nos respetivos GO (artigo 35.º do Regulamento (UE) n.º 1305/2013) ou nas práticas inovadoras desenvolvidas pelos GO noutras regiões ou países (atividades das RRN, assistência técnica).</w:t>
                      </w:r>
                    </w:p>
                    <w:p w:rsidR="00B06BF7" w:rsidRPr="002B58E1" w:rsidRDefault="00B06BF7" w:rsidP="004508D0">
                      <w:pPr>
                        <w:pStyle w:val="Hlistbullet"/>
                        <w:rPr>
                          <w:sz w:val="18"/>
                          <w:szCs w:val="18"/>
                        </w:rPr>
                      </w:pPr>
                      <w:r>
                        <w:rPr>
                          <w:sz w:val="18"/>
                          <w:szCs w:val="18"/>
                        </w:rPr>
                        <w:t>Um PDR que melhore o acesso à Internet nas zonas rurais ajudará as empresas e os agricultores locais a aceder à informação e aos mercados, aumentando assim a sua capacidade e motivação para inovar (por exemplo, operações efetuadas ao abrigo do artigo 20.º do Regulamento (UE) n.º 1305/2013).</w:t>
                      </w:r>
                    </w:p>
                    <w:p w:rsidR="00B06BF7" w:rsidRPr="002B58E1" w:rsidRDefault="00B06BF7" w:rsidP="004508D0">
                      <w:pPr>
                        <w:pStyle w:val="Hlistbullet"/>
                        <w:rPr>
                          <w:b/>
                          <w:sz w:val="18"/>
                          <w:szCs w:val="18"/>
                        </w:rPr>
                      </w:pPr>
                      <w:r>
                        <w:rPr>
                          <w:sz w:val="18"/>
                          <w:szCs w:val="18"/>
                        </w:rPr>
                        <w:t>Um PDR que desenvolva equipamentos inovadores de preparação do solo que incluam resíduos de culturas por um GO pode incentivar investimentos inovadores e uma aplicação mais rigorosa das leis para proibir a queima de resíduos de culturas (por exemplo, operações efetuadas ao abrigo do artigo 17.º do Regulamento (UE) n.º 1305/2013).</w:t>
                      </w:r>
                    </w:p>
                    <w:p w:rsidR="00B06BF7" w:rsidRPr="002B58E1" w:rsidRDefault="00B06BF7" w:rsidP="004508D0">
                      <w:pPr>
                        <w:pStyle w:val="Hlistbullet"/>
                        <w:rPr>
                          <w:sz w:val="18"/>
                          <w:szCs w:val="18"/>
                        </w:rPr>
                      </w:pPr>
                      <w:r>
                        <w:rPr>
                          <w:sz w:val="18"/>
                          <w:szCs w:val="18"/>
                        </w:rPr>
                        <w:t>Uma medida do PDR que apoie o estabelecimento de cadeias de abastecimento alimentar curtas ou cooperativas de produtores pode aumentar as ligações e a cooperação entre os consumidores e os produtores de modo a criar um sistema alimentar mais inovador</w:t>
                      </w:r>
                      <w:r w:rsidRPr="00704A96">
                        <w:rPr>
                          <w:sz w:val="18"/>
                          <w:szCs w:val="18"/>
                          <w:vertAlign w:val="superscript"/>
                        </w:rPr>
                        <w:t>13</w:t>
                      </w:r>
                      <w:r>
                        <w:rPr>
                          <w:sz w:val="18"/>
                          <w:szCs w:val="18"/>
                        </w:rPr>
                        <w:t xml:space="preserve"> (por exemplo, operações efetuadas ao abrigos do artigos 16.º, 17.º e 35.º do Regulamento (UE) n.º 1305/2013).</w:t>
                      </w:r>
                    </w:p>
                  </w:txbxContent>
                </v:textbox>
                <w10:wrap type="square"/>
              </v:shape>
            </w:pict>
          </mc:Fallback>
        </mc:AlternateContent>
      </w:r>
      <w:r w:rsidR="00A45935">
        <w:t xml:space="preserve">institucionais (por exemplo, fornecimento de mandatos, normas, o ambiente operacional/legislativo que apoie as inovações), </w:t>
      </w:r>
    </w:p>
    <w:p w:rsidR="00A45935" w:rsidRPr="0095292E" w:rsidRDefault="00A45935" w:rsidP="00230C31">
      <w:pPr>
        <w:pStyle w:val="Hlistbullet"/>
      </w:pPr>
      <w:r>
        <w:t xml:space="preserve">processuais (por exemplo, fontes de fundos flexíveis para abordar necessidades das partes interessadas em termos de inovações), </w:t>
      </w:r>
    </w:p>
    <w:p w:rsidR="00A45935" w:rsidRPr="0095292E" w:rsidRDefault="00A45935" w:rsidP="00230C31">
      <w:pPr>
        <w:pStyle w:val="Hlistbullet"/>
      </w:pPr>
      <w:r>
        <w:t xml:space="preserve">profissionais (por exemplo, o acesso a ações de formação para proporcionar as competências e conhecimentos necessários, bem como os meios para fomentar inovações), </w:t>
      </w:r>
    </w:p>
    <w:p w:rsidR="00A45935" w:rsidRPr="0095292E" w:rsidRDefault="00A45935" w:rsidP="00230C31">
      <w:pPr>
        <w:pStyle w:val="Hlistbullet"/>
      </w:pPr>
      <w:r>
        <w:t xml:space="preserve">organizacionais (por exemplo, a possibilidade de interagir com outros parceiros dispostos a procurar soluções inovadoras), </w:t>
      </w:r>
    </w:p>
    <w:p w:rsidR="00A45935" w:rsidRPr="0095292E" w:rsidRDefault="00A45935" w:rsidP="00230C31">
      <w:pPr>
        <w:pStyle w:val="Hlistbullet"/>
      </w:pPr>
      <w:r>
        <w:t xml:space="preserve">operacionais (por exemplo, permitindo a inovação transnacional e intersetorial), </w:t>
      </w:r>
    </w:p>
    <w:p w:rsidR="00A45935" w:rsidRPr="0095292E" w:rsidRDefault="00A45935" w:rsidP="00230C31">
      <w:pPr>
        <w:pStyle w:val="Hlistbullet"/>
      </w:pPr>
      <w:r>
        <w:t xml:space="preserve">técnicas (por exemplo, apoiando novas técnicas e tecnologias aplicáveis nos setores económicos rurais e nas infraestruturas rurais). </w:t>
      </w:r>
    </w:p>
    <w:p w:rsidR="00A45935" w:rsidRPr="00E05D08" w:rsidRDefault="00A45935" w:rsidP="00E05D08">
      <w:pPr>
        <w:spacing w:after="120" w:line="280" w:lineRule="atLeast"/>
        <w:mirrorIndents/>
        <w:rPr>
          <w:rFonts w:eastAsia="Times New Roman" w:cs="Times New Roman"/>
          <w:szCs w:val="20"/>
        </w:rPr>
      </w:pPr>
      <w:r>
        <w:t>O PDR pode apoiar a terceira via ao combinar diferentes medidas/submedidas (por exemplo, medidas de investimento proporcionam o ambiente propício para qualquer tipo de inovação técnica e tecnológica; medidas de qualidade e de comercialização apoiam as condições de institucionais e processuais e medidas de transferência de conhecimentos e de aconselhamento proporcionam um ambiente profissional favorável)</w:t>
      </w:r>
      <w:r>
        <w:rPr>
          <w:rStyle w:val="FootnoteReference"/>
          <w:rFonts w:eastAsia="Times New Roman" w:cs="Times New Roman"/>
          <w:color w:val="FFFFFF" w:themeColor="background1"/>
          <w:szCs w:val="20"/>
          <w:lang w:eastAsia="de-DE"/>
        </w:rPr>
        <w:footnoteReference w:id="13"/>
      </w:r>
      <w:r>
        <w:t xml:space="preserve">. </w:t>
      </w:r>
    </w:p>
    <w:p w:rsidR="00A45935" w:rsidRDefault="00A45935" w:rsidP="00E05D08">
      <w:pPr>
        <w:spacing w:after="120" w:line="280" w:lineRule="atLeast"/>
        <w:mirrorIndents/>
      </w:pPr>
      <w:r w:rsidRPr="00DA619E">
        <w:rPr>
          <w:b/>
        </w:rPr>
        <w:t>O potencial de vários ciclos de retroação e autorreforço</w:t>
      </w:r>
      <w:r>
        <w:t xml:space="preserve"> pode ser visto maior pormenorizadamente na </w:t>
      </w:r>
      <w:hyperlink w:anchor="Pathways" w:history="1">
        <w:r>
          <w:rPr>
            <w:rStyle w:val="Hyperlink"/>
            <w:sz w:val="20"/>
            <w:szCs w:val="20"/>
          </w:rPr>
          <w:t>Figura 1</w:t>
        </w:r>
      </w:hyperlink>
      <w:r>
        <w:t>. Por exemplo:</w:t>
      </w:r>
    </w:p>
    <w:p w:rsidR="00A45935" w:rsidRPr="004508D0" w:rsidRDefault="00A45935" w:rsidP="00230C31">
      <w:pPr>
        <w:pStyle w:val="Hlistbullet"/>
      </w:pPr>
      <w:r>
        <w:t xml:space="preserve">o processo de inovação tecnológica e/ou institucional reforça a capacidade de inovação de um sistema, o que se repercute diretamente acelerando a taxa e a qualidade da inovação; </w:t>
      </w:r>
    </w:p>
    <w:p w:rsidR="00A45935" w:rsidRPr="000828C6" w:rsidRDefault="00A45935" w:rsidP="00230C31">
      <w:pPr>
        <w:pStyle w:val="Hlistbullet"/>
      </w:pPr>
      <w:r>
        <w:lastRenderedPageBreak/>
        <w:t xml:space="preserve">as intervenções do PDR de apoio a uma política favorável à inovação (via n.º 3) conduzem a taxas de inovação mais aceleradas, o que conduz a uma maior capacidade de inovação. </w:t>
      </w:r>
    </w:p>
    <w:p w:rsidR="00A45935" w:rsidRPr="00E05D08" w:rsidRDefault="00A45935" w:rsidP="00E05D08">
      <w:pPr>
        <w:spacing w:after="120" w:line="280" w:lineRule="atLeast"/>
        <w:mirrorIndents/>
        <w:rPr>
          <w:rFonts w:eastAsia="Times New Roman" w:cs="Times New Roman"/>
          <w:szCs w:val="20"/>
        </w:rPr>
      </w:pPr>
      <w:r>
        <w:t>O aumento da capacidade de inovação ajuda os agentes de inovação a criar e a utilizar ligações que permitam influenciar o ambiente político ou institucional propício a favor das inovações que são defendidas pelo PDR. Os ciclos de autorreforço são importantes, pois proporcionam uma possibilidade de efeito de alavanca</w:t>
      </w:r>
      <w:r>
        <w:rPr>
          <w:rFonts w:eastAsia="Times New Roman" w:cs="Times New Roman"/>
          <w:szCs w:val="20"/>
          <w:vertAlign w:val="superscript"/>
          <w:lang w:eastAsia="de-DE"/>
        </w:rPr>
        <w:footnoteReference w:id="14"/>
      </w:r>
      <w:r>
        <w:t xml:space="preserve">, ou seja, que intervenções relativamente pequenas do PDR possam catalisar e apoiar os impactos em maior escala (por exemplo, uma prática agrícola inovadora eficiente em termos energéticos desenvolvida por um projeto de inovação do PDR difunde-se devido às reações positivas dos novos aderentes, que depois se difunde e influencia outros a adotarem as mesmas práticas, conduzindo a impactos importantes em termos de poupança de energia na região). Além disso, os projetos de inovação podem conduzir a melhores medidas dos PDR. Por exemplo, um projeto de inovação pode testar a viabilidade e a relação custo-eficácia de uma futura medida agroambiental e climática. </w:t>
      </w:r>
    </w:p>
    <w:p w:rsidR="00A45935" w:rsidRPr="00E05D08" w:rsidRDefault="00A45935" w:rsidP="00230C31">
      <w:pPr>
        <w:pStyle w:val="HHeading4"/>
      </w:pPr>
      <w:r>
        <w:t xml:space="preserve">Como é que o PDR interage com o sistema de inovação alargado? </w:t>
      </w:r>
    </w:p>
    <w:p w:rsidR="00A45935" w:rsidRPr="00E05D08" w:rsidRDefault="00A45935" w:rsidP="00E05D08">
      <w:pPr>
        <w:spacing w:after="120" w:line="280" w:lineRule="atLeast"/>
        <w:mirrorIndents/>
        <w:rPr>
          <w:rFonts w:eastAsia="Times New Roman" w:cs="Times New Roman"/>
          <w:szCs w:val="20"/>
        </w:rPr>
      </w:pPr>
      <w:r>
        <w:t xml:space="preserve">O PDR produz dois tipos de resultados que estão associados à inovação: </w:t>
      </w:r>
    </w:p>
    <w:p w:rsidR="00A45935" w:rsidRPr="000828C6" w:rsidRDefault="00A45935" w:rsidP="001744D0">
      <w:pPr>
        <w:pStyle w:val="Hlistbullet"/>
      </w:pPr>
      <w:r w:rsidRPr="00023DDA">
        <w:rPr>
          <w:b/>
        </w:rPr>
        <w:t>resultados propícios</w:t>
      </w:r>
      <w:r>
        <w:t xml:space="preserve"> relacionados com as três vias (por exemplo, alterações na taxa e na qualidade de ideias inovadoras emergentes; a capacidade de inovação; e o ambiente propício); </w:t>
      </w:r>
    </w:p>
    <w:p w:rsidR="00A45935" w:rsidRPr="000828C6" w:rsidRDefault="00A45935" w:rsidP="001744D0">
      <w:pPr>
        <w:pStyle w:val="Hlistbullet"/>
      </w:pPr>
      <w:r w:rsidRPr="00023DDA">
        <w:rPr>
          <w:b/>
        </w:rPr>
        <w:t>resultados da inovação</w:t>
      </w:r>
      <w:r>
        <w:t xml:space="preserve"> derivados dos resultados propícios (por exemplo, novas práticas, aumento do rendimento, adoção de práticas agrícolas mais sustentáveis).</w:t>
      </w:r>
    </w:p>
    <w:p w:rsidR="00A45935" w:rsidRPr="00E05D08" w:rsidRDefault="00A45935" w:rsidP="00E05D08">
      <w:pPr>
        <w:spacing w:after="120" w:line="280" w:lineRule="atLeast"/>
        <w:mirrorIndents/>
        <w:rPr>
          <w:rFonts w:eastAsia="Times New Roman" w:cs="Times New Roman"/>
          <w:szCs w:val="20"/>
        </w:rPr>
      </w:pPr>
      <w:r>
        <w:t>Ambos os tipos de resultados contribuem para os objetivos do PDR e podem ser avaliados através dos indicadores adequados. Se, e de que modo, afetam o atual sistema de inovação depende da forma como os beneficiários dos PDR interpretam e compreendem o que o programa oferece</w:t>
      </w:r>
      <w:r>
        <w:rPr>
          <w:rFonts w:eastAsia="Times New Roman" w:cs="Times New Roman"/>
          <w:szCs w:val="20"/>
          <w:vertAlign w:val="superscript"/>
          <w:lang w:eastAsia="de-DE"/>
        </w:rPr>
        <w:footnoteReference w:id="15"/>
      </w:r>
      <w:r>
        <w:t xml:space="preserve">. A sua reação é igualmente influenciada pela história e por processos em curso diferentes do PDR, que estimulem as inovações: </w:t>
      </w:r>
    </w:p>
    <w:p w:rsidR="00A45935" w:rsidRPr="00161D7E" w:rsidRDefault="00A45935" w:rsidP="001744D0">
      <w:pPr>
        <w:pStyle w:val="Hlistbullet"/>
      </w:pPr>
      <w:r>
        <w:t xml:space="preserve">atividades de investigação sobre novas tecnologias e processos, </w:t>
      </w:r>
    </w:p>
    <w:p w:rsidR="00A45935" w:rsidRPr="00161D7E" w:rsidRDefault="00A45935" w:rsidP="001744D0">
      <w:pPr>
        <w:pStyle w:val="Hlistbullet"/>
      </w:pPr>
      <w:r>
        <w:t xml:space="preserve">programas de extensão e de educação em matéria de promoção da inovação, </w:t>
      </w:r>
    </w:p>
    <w:p w:rsidR="00A45935" w:rsidRPr="00161D7E" w:rsidRDefault="00A45935" w:rsidP="001744D0">
      <w:pPr>
        <w:pStyle w:val="Hlistbullet"/>
      </w:pPr>
      <w:r>
        <w:t xml:space="preserve">medidas fiscais, garantias de crédito, contratos públicos inovadores, </w:t>
      </w:r>
    </w:p>
    <w:p w:rsidR="00A45935" w:rsidRPr="00161D7E" w:rsidRDefault="00A45935" w:rsidP="001744D0">
      <w:pPr>
        <w:pStyle w:val="Hlistbullet"/>
      </w:pPr>
      <w:r>
        <w:t>o Programa-Quadro Horizonte 2020 e os programas nacionais ou regionais FEEI, que intervêm na mesma abordagem de inovação que o PDR,</w:t>
      </w:r>
    </w:p>
    <w:p w:rsidR="00A45935" w:rsidRPr="00161D7E" w:rsidRDefault="00A45935" w:rsidP="001744D0">
      <w:pPr>
        <w:pStyle w:val="Hlistbullet"/>
      </w:pPr>
      <w:r>
        <w:t>a procura do mercado.</w:t>
      </w:r>
    </w:p>
    <w:p w:rsidR="00A45935" w:rsidRPr="00E05D08" w:rsidRDefault="00A45935" w:rsidP="00E05D08">
      <w:pPr>
        <w:spacing w:after="120" w:line="280" w:lineRule="atLeast"/>
        <w:mirrorIndents/>
        <w:rPr>
          <w:rFonts w:eastAsia="Times New Roman" w:cs="Times New Roman"/>
          <w:szCs w:val="20"/>
        </w:rPr>
      </w:pPr>
      <w:r>
        <w:t xml:space="preserve">Do mesmo modo, as operações dos PDR influenciarão o modo como outros processos e intervenções em curso são interpretados e utilizados, e também serão influenciadas por estes. </w:t>
      </w:r>
    </w:p>
    <w:p w:rsidR="00A45935" w:rsidRPr="00E05D08" w:rsidRDefault="00A45935" w:rsidP="00E05D08">
      <w:pPr>
        <w:spacing w:after="120" w:line="280" w:lineRule="atLeast"/>
        <w:mirrorIndents/>
        <w:rPr>
          <w:rFonts w:eastAsia="Times New Roman" w:cs="Times New Roman"/>
          <w:szCs w:val="20"/>
        </w:rPr>
      </w:pPr>
      <w:r>
        <w:t xml:space="preserve">Os PDR não se aplicam num contexto vazio, mas atuam num sistema de inovação complexo no contexto socioeconómico em questão. A posição de base do PDR depende do contexto de inovação existente (ou seja, os agentes de inovação e as interações entre estes, o ambiente propício existente, a procura do mercado, outras intervenções). </w:t>
      </w:r>
    </w:p>
    <w:p w:rsidR="000E0FE4" w:rsidRDefault="00A45935" w:rsidP="00E05D08">
      <w:pPr>
        <w:spacing w:after="120" w:line="280" w:lineRule="atLeast"/>
        <w:mirrorIndents/>
        <w:rPr>
          <w:rFonts w:eastAsia="Times New Roman" w:cs="Times New Roman"/>
          <w:szCs w:val="20"/>
        </w:rPr>
      </w:pPr>
      <w:r>
        <w:lastRenderedPageBreak/>
        <w:t xml:space="preserve">O objetivo de qualquer avaliação consistirá em definir a posição de base e atribuir quaisquer alterações observadas à aplicação das medidas e submedidas do PDR.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9" w:name="_Toc493151896"/>
      <w:bookmarkStart w:id="20" w:name="_Toc501382122"/>
      <w:bookmarkStart w:id="21" w:name="_Toc508372656"/>
      <w:r>
        <w:lastRenderedPageBreak/>
        <w:t>O quadro político da UE</w:t>
      </w:r>
      <w:bookmarkEnd w:id="19"/>
      <w:bookmarkEnd w:id="20"/>
      <w:bookmarkEnd w:id="21"/>
      <w:r>
        <w:t xml:space="preserve"> </w:t>
      </w:r>
    </w:p>
    <w:p w:rsidR="00A45935" w:rsidRPr="00967CFD" w:rsidRDefault="00A45935" w:rsidP="009B603C">
      <w:pPr>
        <w:pStyle w:val="HHeading3"/>
        <w:spacing w:line="280" w:lineRule="exact"/>
      </w:pPr>
      <w:bookmarkStart w:id="22" w:name="Policy_framework"/>
      <w:bookmarkStart w:id="23" w:name="_Toc501382123"/>
      <w:bookmarkStart w:id="24" w:name="_Toc508372657"/>
      <w:bookmarkEnd w:id="22"/>
      <w:r>
        <w:t>O quadro político para a inovação na UE e a Política de Desenvolvimento Rural</w:t>
      </w:r>
      <w:bookmarkEnd w:id="23"/>
      <w:bookmarkEnd w:id="24"/>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Existem dois instrumentos de financiamento da UE que apoiam especificamente a inovação na agricultura e na silvicultura</w:t>
      </w:r>
      <w:r>
        <w:rPr>
          <w:szCs w:val="20"/>
          <w:shd w:val="clear" w:color="auto" w:fill="FFFFFF"/>
        </w:rPr>
        <w:t>. Um é a política de desenvolvimento rural, que é um dos dois pilares da política agrícola comum (PAC). O outro é o programa Horizonte 2020</w:t>
      </w:r>
      <w:r>
        <w:rPr>
          <w:rFonts w:eastAsia="Times New Roman" w:cs="Times New Roman"/>
          <w:szCs w:val="20"/>
          <w:shd w:val="clear" w:color="auto" w:fill="FFFFFF"/>
          <w:vertAlign w:val="superscript"/>
          <w:lang w:eastAsia="de-DE"/>
        </w:rPr>
        <w:footnoteReference w:id="16"/>
      </w:r>
      <w:r>
        <w:rPr>
          <w:szCs w:val="20"/>
          <w:shd w:val="clear" w:color="auto" w:fill="FFFFFF"/>
        </w:rPr>
        <w:t>, o programa-quadro da UE para a investigação e a inovação, que executa a iniciativa emblemática «União da Inovação»</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A política de desenvolvimento rural foi concebida para funcionar em sinergia com o programa Horizonte 2020</w:t>
      </w:r>
      <w:r>
        <w:rPr>
          <w:szCs w:val="20"/>
          <w:shd w:val="clear" w:color="auto" w:fill="FFFFFF"/>
        </w:rPr>
        <w:t xml:space="preserve"> de modo a alcançar os objetivos de inovação da UE, nomeadamente, os objetivos de crescimento inteligente. Entre os grandes objetivos de crescimento inteligente da UE encontra-se o de aumentar o investimento público e privado combinado em I&amp;D para 3 % do PIB da UE, bem como melhores condições em matéria de I&amp;D e Inovação</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Default="000C61FE" w:rsidP="000C61FE">
      <w:pPr>
        <w:pStyle w:val="HHeadingfigures"/>
        <w:numPr>
          <w:ilvl w:val="0"/>
          <w:numId w:val="0"/>
        </w:numPr>
        <w:ind w:left="1134"/>
      </w:pPr>
      <w:bookmarkStart w:id="25" w:name="_Toc503284755"/>
      <w:r>
        <w:t>Figura 2.</w:t>
      </w:r>
      <w:r>
        <w:tab/>
      </w:r>
      <w:r w:rsidR="00A45935">
        <w:t>O quadro político para a inovação na UE e a Política de Desenvolvimento Rural</w:t>
      </w:r>
      <w:bookmarkEnd w:id="25"/>
      <w:r w:rsidR="00A45935">
        <w:t xml:space="preserve"> </w:t>
      </w:r>
    </w:p>
    <w:p w:rsidR="00A45935" w:rsidRPr="00E05D08" w:rsidRDefault="00CF14F6" w:rsidP="00E05D08">
      <w:pPr>
        <w:spacing w:before="60" w:after="200" w:line="276" w:lineRule="auto"/>
        <w:jc w:val="center"/>
        <w:rPr>
          <w:rFonts w:eastAsia="Calibri" w:cs="Arial"/>
          <w:szCs w:val="20"/>
        </w:rPr>
      </w:pPr>
      <w:r w:rsidRPr="00CF14F6">
        <w:rPr>
          <w:noProof/>
          <w:lang w:val="en-GB" w:eastAsia="en-GB"/>
        </w:rPr>
        <w:drawing>
          <wp:inline distT="0" distB="0" distL="0" distR="0" wp14:anchorId="6EA42148" wp14:editId="299DB441">
            <wp:extent cx="6836228" cy="32221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291" cy="3224086"/>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Fonte: Serviço Europeu de Assistência na Avaliação para o Desenvolvimento Rural, 2017.</w:t>
      </w:r>
    </w:p>
    <w:p w:rsidR="00A45935" w:rsidRPr="00E05D08" w:rsidRDefault="00A45935" w:rsidP="00E05D08">
      <w:pPr>
        <w:spacing w:after="120" w:line="280" w:lineRule="atLeast"/>
        <w:mirrorIndents/>
        <w:rPr>
          <w:rFonts w:eastAsia="Times New Roman" w:cs="Times New Roman"/>
          <w:szCs w:val="20"/>
        </w:rPr>
      </w:pPr>
      <w:r w:rsidRPr="00CF14F6">
        <w:rPr>
          <w:b/>
        </w:rPr>
        <w:t>A política agrícola comum desempenha um papel importante na contribuição para o crescimento inteligente através da inovação</w:t>
      </w:r>
      <w:r>
        <w:t xml:space="preserve">. A consecução dos três objetivos da PAC exige a criação, a partilha e a aplicação de novos conhecimentos, novas tecnologias, novos produtos e novas formas de organizar, aprender ou cooperar. </w:t>
      </w:r>
    </w:p>
    <w:p w:rsidR="00A45935" w:rsidRPr="00E05D08" w:rsidRDefault="00A45935" w:rsidP="00E05D08">
      <w:pPr>
        <w:spacing w:after="120" w:line="280" w:lineRule="atLeast"/>
        <w:mirrorIndents/>
        <w:rPr>
          <w:rFonts w:eastAsia="Calibri" w:cs="Times New Roman"/>
          <w:szCs w:val="20"/>
        </w:rPr>
      </w:pPr>
      <w:r w:rsidRPr="00CF14F6">
        <w:rPr>
          <w:b/>
        </w:rPr>
        <w:t>A arquitetura da política de desenvolvimento rural no período de 2014 a 2020 salienta a importância da inovação</w:t>
      </w:r>
      <w:r>
        <w:t xml:space="preserve"> nas fases de </w:t>
      </w:r>
      <w:r w:rsidR="00023DDA">
        <w:t>conceção e execução do programa</w:t>
      </w:r>
      <w:r>
        <w:rPr>
          <w:rFonts w:eastAsia="Times New Roman" w:cs="Times New Roman"/>
          <w:szCs w:val="20"/>
          <w:vertAlign w:val="superscript"/>
          <w:lang w:eastAsia="de-DE"/>
        </w:rPr>
        <w:footnoteReference w:id="19"/>
      </w:r>
      <w:r w:rsidR="00023DDA">
        <w:t>.</w:t>
      </w:r>
      <w:r>
        <w:t xml:space="preserve"> A inovação no </w:t>
      </w:r>
      <w:r>
        <w:lastRenderedPageBreak/>
        <w:t>desenvolvimento rural relaciona-se com uma vasta gama de domínios, nomeadamente: o desenvolvimento da exploração agrícola, a organização da cadeia alimentar e a gestão de riscos, a preservação e a melhoria dos ecossistemas, a promoção da inclusão social, a redução da pobreza, o desenvolvimento económico nas zonas rurais, etc.</w:t>
      </w:r>
    </w:p>
    <w:p w:rsidR="00A45935" w:rsidRPr="00E05D08" w:rsidRDefault="00A45935" w:rsidP="00230C31">
      <w:pPr>
        <w:pStyle w:val="HHeading4"/>
        <w:rPr>
          <w:rFonts w:eastAsia="Calibri"/>
        </w:rPr>
      </w:pPr>
      <w:r>
        <w:t>Como se insere a inovação nos programas de desenvolvimento rural?</w:t>
      </w:r>
    </w:p>
    <w:p w:rsidR="00A45935" w:rsidRPr="00E05D08" w:rsidRDefault="00347A2C" w:rsidP="00E05D08">
      <w:pPr>
        <w:spacing w:after="120" w:line="280" w:lineRule="atLeast"/>
        <w:mirrorIndents/>
        <w:rPr>
          <w:rFonts w:eastAsia="Times New Roman" w:cs="Times New Roman"/>
          <w:szCs w:val="20"/>
        </w:rPr>
      </w:pPr>
      <w:r w:rsidRPr="00CF14F6">
        <w:rPr>
          <w:b/>
        </w:rPr>
        <w:t>Uma descrição da «abordagem para a inovação com vista a satisfazer as prioridades da União em matéria de desenvolvimento rura</w:t>
      </w:r>
      <w:r>
        <w:t>l</w:t>
      </w:r>
      <w:r w:rsidRPr="00CF14F6">
        <w:rPr>
          <w:b/>
        </w:rPr>
        <w:t>»</w:t>
      </w:r>
      <w:r>
        <w:t xml:space="preserve"> do PDR encontra-se incluída na estratégia do PDR</w:t>
      </w:r>
      <w:r>
        <w:rPr>
          <w:rFonts w:eastAsia="Times New Roman" w:cs="Times New Roman"/>
          <w:szCs w:val="20"/>
          <w:vertAlign w:val="superscript"/>
          <w:lang w:eastAsia="de-DE"/>
        </w:rPr>
        <w:footnoteReference w:id="20"/>
      </w:r>
      <w:r>
        <w:t>. Esta descrição também inclui a PEI para a produtividade e sustentabilidade agrícolas. Cada estratégia aborda, a nível de cada prioridade da União, as necessidades específicas em matéria de inovação, tal como identificadas na análise SWOT e na avaliação das necessidades</w:t>
      </w:r>
      <w:r>
        <w:rPr>
          <w:rFonts w:eastAsia="Times New Roman" w:cs="Times New Roman"/>
          <w:szCs w:val="20"/>
          <w:vertAlign w:val="superscript"/>
          <w:lang w:eastAsia="de-DE"/>
        </w:rPr>
        <w:footnoteReference w:id="21"/>
      </w:r>
      <w:r>
        <w:t>. Além disso, todas as prioridades da União deverão contribuir para o objetivo transversal em matéria de inovação</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Além de constituir um objetivo transversal, no PDR a inovação também é considerada como parte integrante de dois DI da Prioridade 1 transversal da União «Fomentar a transferência de conhecimentos e a inovação na agricultura, nas florestas e nas zonas rurais»: </w:t>
      </w:r>
    </w:p>
    <w:p w:rsidR="00A45935" w:rsidRPr="00165BF1" w:rsidRDefault="00A45935" w:rsidP="008C0B17">
      <w:pPr>
        <w:numPr>
          <w:ilvl w:val="0"/>
          <w:numId w:val="70"/>
        </w:numPr>
        <w:mirrorIndents/>
        <w:rPr>
          <w:szCs w:val="20"/>
        </w:rPr>
      </w:pPr>
      <w:r>
        <w:t>DI 1A: fomento da inovação, cooperação e desenvolvimento da base de conhecimentos nas zonas rurais,</w:t>
      </w:r>
    </w:p>
    <w:p w:rsidR="00A45935" w:rsidRPr="00165BF1" w:rsidRDefault="00A45935" w:rsidP="008C0B17">
      <w:pPr>
        <w:numPr>
          <w:ilvl w:val="0"/>
          <w:numId w:val="70"/>
        </w:numPr>
        <w:mirrorIndents/>
        <w:rPr>
          <w:szCs w:val="20"/>
        </w:rPr>
      </w:pPr>
      <w:r>
        <w:t>DI 1B: reforço das ligações entre a agricultura, a produção alimentar e a silvicultura, e a investigação e a inovação, inclusivamente na perspetiva do aperfeiçoamento da gestão e do desempenho ambientais.</w:t>
      </w:r>
    </w:p>
    <w:p w:rsidR="00A45935" w:rsidRPr="00E05D08" w:rsidRDefault="00A45935" w:rsidP="00E05D08">
      <w:pPr>
        <w:spacing w:after="120" w:line="280" w:lineRule="atLeast"/>
        <w:mirrorIndents/>
        <w:rPr>
          <w:rFonts w:eastAsia="Times New Roman" w:cs="Times New Roman"/>
          <w:szCs w:val="20"/>
          <w:shd w:val="clear" w:color="auto" w:fill="FFFFFF"/>
        </w:rPr>
      </w:pPr>
      <w:r w:rsidRPr="00CF14F6">
        <w:rPr>
          <w:b/>
        </w:rPr>
        <w:t>Os PDR gozam de uma flexibilidade considerável na utilização e combinação de medida</w:t>
      </w:r>
      <w:r>
        <w:t xml:space="preserve">s para fazer face às necessidades específicas em termos territoriais e de inovação e desenvolver capacidades para criar sinergias. As medidas podem ser programadas no âmbito de várias prioridades e DI com vista a maximizar os seus contributos para os objetivos relevantes. </w:t>
      </w:r>
      <w:r>
        <w:rPr>
          <w:szCs w:val="20"/>
          <w:shd w:val="clear" w:color="auto" w:fill="FFFFFF"/>
        </w:rPr>
        <w:t>Algumas medidas dos PDR podem ainda ter efeitos mais diretos sobre a inovação, nomeadamente ao abrigo do DI 1A e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Transferência de conhecimentos e ações de informação</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Serviços de aconselhamento</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Cooperação (apoia a criação e o funcionamento de grupos operacionais PEI-AGRI).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LEADER/DPCL, que promove a inovação como um dos princípios da LEADER e incentiva ações inovadoras de pequena escala em todos os aspetos da vida rural (económica, social e ambiental)</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Também podem programar-se medidas promotoras da inovação ao abrigo de outros DI.</w:t>
      </w:r>
      <w:r>
        <w:t xml:space="preserve"> A M16, por exemplo, pode ser associada à maior parte dos DI e das prioridades de desenvolvimento rural. Trata-se da principal medida de desenvolvimento rural para apoiar a </w:t>
      </w:r>
      <w:r>
        <w:rPr>
          <w:b/>
          <w:szCs w:val="20"/>
          <w:shd w:val="clear" w:color="auto" w:fill="FFFFFF"/>
        </w:rPr>
        <w:t>Parceria Europeia de Inovação «Produtividade e Sustentabilidade no Setor Agrícola»</w:t>
      </w:r>
      <w:r>
        <w:rPr>
          <w:szCs w:val="20"/>
          <w:shd w:val="clear" w:color="auto" w:fill="FFFFFF"/>
        </w:rPr>
        <w:t xml:space="preserve"> (PEI-AGRI).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DA619E"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06368" behindDoc="0" locked="0" layoutInCell="1" allowOverlap="1" wp14:anchorId="3D1A7DD3" wp14:editId="3C59E22B">
                <wp:simplePos x="0" y="0"/>
                <wp:positionH relativeFrom="page">
                  <wp:posOffset>922020</wp:posOffset>
                </wp:positionH>
                <wp:positionV relativeFrom="paragraph">
                  <wp:posOffset>408940</wp:posOffset>
                </wp:positionV>
                <wp:extent cx="5671820" cy="47244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724400"/>
                        </a:xfrm>
                        <a:prstGeom prst="round2DiagRect">
                          <a:avLst>
                            <a:gd name="adj1" fmla="val 6224"/>
                            <a:gd name="adj2" fmla="val 0"/>
                          </a:avLst>
                        </a:prstGeom>
                        <a:noFill/>
                        <a:ln w="25400" cap="flat" cmpd="sng" algn="ctr">
                          <a:solidFill>
                            <a:srgbClr val="BE4A35"/>
                          </a:solidFill>
                          <a:prstDash val="solid"/>
                        </a:ln>
                        <a:effectLst/>
                      </wps:spPr>
                      <wps:txbx>
                        <w:txbxContent>
                          <w:p w:rsidR="00B06BF7" w:rsidRPr="002F0ABF" w:rsidRDefault="00B06BF7" w:rsidP="00E05D08">
                            <w:pPr>
                              <w:pStyle w:val="HStandard"/>
                              <w:rPr>
                                <w:sz w:val="18"/>
                                <w:szCs w:val="18"/>
                              </w:rPr>
                            </w:pPr>
                            <w:r>
                              <w:rPr>
                                <w:lang w:val="en-GB" w:eastAsia="en-GB"/>
                              </w:rPr>
                              <w:drawing>
                                <wp:inline distT="0" distB="0" distL="0" distR="0" wp14:anchorId="5001F1D7" wp14:editId="75A7B412">
                                  <wp:extent cx="664845" cy="487680"/>
                                  <wp:effectExtent l="0" t="0" r="0" b="7620"/>
                                  <wp:docPr id="69"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A PEI-AGRI é parte integrante da Estratégia Europa 2020 para acelerar a inovação na UE, fomentar uma agricultura competitiva e sustentável e um setor florestal que «consegue mais com menos». A PEI-AGRI contribui para garantir um abastecimento seguro e estável de alimentos para consumo humano e animal e de biomateriais, que funcione em harmonia com os recursos naturais essenciais de que a agricultura depende. A PEI-AGRI reúne agentes da inovação (agricultores, conselheiros, investigadores, empresas, ONG, etc.) a nível da UE e no seio de programas de desenvolvimento rural sob a forma de GO. Essas inovações podem ser tecnológicas, mas também não tecnológicas, organizacionais ou sociais. A inovação pode basear-se em novas práticas mas também em práticas tradicionais num novo contexto geográfico ou ambiental. Os GO da PEI baseiam-se em projetos e procuram resolver um determinado problema (prático) ou oportunidade, o que pode dar origem a uma inovação e contribuir para a realização dos objetivos do programa. Cada GO é composto pelos principais agentes (por exemplo, agricultores, conselheiros, investigadores, empresas, ONG) que se encontram mais bem posicionados para a prossecução dos objetivos do projeto, para partilhar as experiências de implementação e divulgar os resultados a nível global. A abordagem do GO utiliza da melhor forma possível diferentes tipos de conhecimentos (práticos, científicos, técnicos, organizacionais, etc.) de um modo interativo. Uma abordagem prática para apoiar esta abordagem é a «mediação da inovação». O regulamento oferece 4 possibilidades de financiamento da mediação da inovação</w:t>
                            </w:r>
                            <w:r w:rsidRPr="00023DDA">
                              <w:rPr>
                                <w:sz w:val="18"/>
                                <w:szCs w:val="18"/>
                                <w:vertAlign w:val="superscript"/>
                              </w:rPr>
                              <w:t>23</w:t>
                            </w:r>
                            <w:r>
                              <w:rPr>
                                <w:sz w:val="18"/>
                                <w:szCs w:val="18"/>
                              </w:rPr>
                              <w:t xml:space="preserve">. A mediação da inovação pode representar um papel importante na descoberta de ideias inovadoras, facilitando a criação de GO, nomeadamente servindo de intermediário, ligando os agentes de inovação (agricultores, investigadores, conselheiros, as ONG, etc.) em projetos de inovação interativos. Um «mediador da inovação» visa descobrir iniciativas de caráter base-topo, ajuda a aperfeiçoar ideias inovadoras e presta apoio para encontrar parceiros e financiamento. A principal tarefa do mediador consiste em ajudar a preparar uma proposta de projeto inovadora e sólida.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7DD3" id="Rectangle: Diagonal Corners Rounded 58" o:spid="_x0000_s1035" style="position:absolute;left:0;text-align:left;margin-left:72.6pt;margin-top:32.2pt;width:446.6pt;height:37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72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" adj="-11796480,,5400" path="m294047,l5671820,r,l5671820,4430353v,162398,-131649,294047,-294047,294047l,4724400r,l,294047c,131649,131649,,294047,xe" filled="f" strokecolor="#be4a35" strokeweight="2pt">
                <v:stroke joinstyle="miter"/>
                <v:formulas/>
                <v:path arrowok="t" o:connecttype="custom" o:connectlocs="294047,0;5671820,0;5671820,0;5671820,4430353;5377773,4724400;0,4724400;0,4724400;0,294047;294047,0" o:connectangles="0,0,0,0,0,0,0,0,0" textboxrect="0,0,5671820,4724400"/>
                <v:textbox inset=",,,0">
                  <w:txbxContent>
                    <w:p w:rsidR="00B06BF7" w:rsidRPr="002F0ABF" w:rsidRDefault="00B06BF7" w:rsidP="00E05D08">
                      <w:pPr>
                        <w:pStyle w:val="HStandard"/>
                        <w:rPr>
                          <w:sz w:val="18"/>
                          <w:szCs w:val="18"/>
                        </w:rPr>
                      </w:pPr>
                      <w:r>
                        <w:rPr>
                          <w:lang w:val="en-GB" w:eastAsia="en-GB"/>
                        </w:rPr>
                        <w:drawing>
                          <wp:inline distT="0" distB="0" distL="0" distR="0" wp14:anchorId="5001F1D7" wp14:editId="75A7B412">
                            <wp:extent cx="664845" cy="487680"/>
                            <wp:effectExtent l="0" t="0" r="0" b="7620"/>
                            <wp:docPr id="69"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A PEI-AGRI é parte integrante da Estratégia Europa 2020 para acelerar a inovação na UE, fomentar uma agricultura competitiva e sustentável e um setor florestal que «consegue mais com menos». A PEI-AGRI contribui para garantir um abastecimento seguro e estável de alimentos para consumo humano e animal e de biomateriais, que funcione em harmonia com os recursos naturais essenciais de que a agricultura depende. A PEI-AGRI reúne agentes da inovação (agricultores, conselheiros, investigadores, empresas, ONG, etc.) a nível da UE e no seio de programas de desenvolvimento rural sob a forma de GO. Essas inovações podem ser tecnológicas, mas também não tecnológicas, organizacionais ou sociais. A inovação pode basear-se em novas práticas mas também em práticas tradicionais num novo contexto geográfico ou ambiental. Os GO da PEI baseiam-se em projetos e procuram resolver um determinado problema (prático) ou oportunidade, o que pode dar origem a uma inovação e contribuir para a realização dos objetivos do programa. Cada GO é composto pelos principais agentes (por exemplo, agricultores, conselheiros, investigadores, empresas, ONG) que se encontram mais bem posicionados para a prossecução dos objetivos do projeto, para partilhar as experiências de implementação e divulgar os resultados a nível global. A abordagem do GO utiliza da melhor forma possível diferentes tipos de conhecimentos (práticos, científicos, técnicos, organizacionais, etc.) de um modo interativo. Uma abordagem prática para apoiar esta abordagem é a «mediação da inovação». O regulamento oferece 4 possibilidades de financiamento da mediação da inovação</w:t>
                      </w:r>
                      <w:r w:rsidRPr="00023DDA">
                        <w:rPr>
                          <w:sz w:val="18"/>
                          <w:szCs w:val="18"/>
                          <w:vertAlign w:val="superscript"/>
                        </w:rPr>
                        <w:t>23</w:t>
                      </w:r>
                      <w:r>
                        <w:rPr>
                          <w:sz w:val="18"/>
                          <w:szCs w:val="18"/>
                        </w:rPr>
                        <w:t xml:space="preserve">. A mediação da inovação pode representar um papel importante na descoberta de ideias inovadoras, facilitando a criação de GO, nomeadamente servindo de intermediário, ligando os agentes de inovação (agricultores, investigadores, conselheiros, as ONG, etc.) em projetos de inovação interativos. Um «mediador da inovação» visa descobrir iniciativas de caráter base-topo, ajuda a aperfeiçoar ideias inovadoras e presta apoio para encontrar parceiros e financiamento. A principal tarefa do mediador consiste em ajudar a preparar uma proposta de projeto inovadora e sólida.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Outras medidas</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que mencionam especificamente a inovação são, por exemplo:</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Criação de agrupamentos e organizações de produtores, em que as atividades incluem entre outras a «organização e facilitação dos processos de inovação»</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A inovação é um dos sete princípios do LEADER/DPCL</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Cada medida/submedida do PDR tem, em princípio, o potencial de fomentar a inovação. </w:t>
      </w:r>
      <w:r>
        <w:rPr>
          <w:szCs w:val="20"/>
          <w:shd w:val="clear" w:color="auto" w:fill="FFFFFF"/>
        </w:rPr>
        <w:t xml:space="preserve">A abordagem específica para a inovação escolhida pelo PDR exprime-se nos critérios de elegibilidade e de seleção para projetos de inovação e na combinação de medidas previstas no âmbito dos DI de apoio à inovação (conhecimentos, ações, serviços de aconselhamento, cooperação, investimento, ligação em rede, etc.). </w:t>
      </w:r>
      <w:r>
        <w:t xml:space="preserve">As autoridades de gestão podem fazer uso de várias abordagens para organizar e combinar estas medidas não vinculativas </w:t>
      </w:r>
      <w:r>
        <w:rPr>
          <w:szCs w:val="20"/>
          <w:shd w:val="clear" w:color="auto" w:fill="FFFFFF"/>
        </w:rPr>
        <w:t>(por exemplo, medidas 1, 2 e 16) e vinculativas (apoio a investimentos, desenvolvimento territorial, marketing, ambiente, natureza, etc.)</w:t>
      </w:r>
      <w:r>
        <w:t xml:space="preserve"> para apoiar a inovação</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lastRenderedPageBreak/>
        <w:t>Podem ocorrer contributos secundários de inovações para outros DI.</w:t>
      </w:r>
      <w:r>
        <w:rPr>
          <w:szCs w:val="20"/>
          <w:shd w:val="clear" w:color="auto" w:fill="FFFFFF"/>
        </w:rPr>
        <w:t xml:space="preserve"> Por exemplo, as operações de cooperação programadas no âmbito do DI 2A poderiam dar origem a uma abordagem inovadora para melhorar a biodiversidade e, por conseguinte, revelar contributos secundários para o DI 4A. Por outro lado, as ações inovadoras de um GO poderiam desenvolver uma nova técnica que ajude a reduzir os danos de erosão do solo causados pela produção agrícola primária (programadas ao abrigo do DI 4C). No entanto, isto também aumenta a competitividade e o acesso aos mercados (um contributo secundário para o DI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A ligação em rede no contexto da política de desenvolvimento rural desempenha um papel importante na promoção da inovação:</w:t>
      </w:r>
    </w:p>
    <w:p w:rsidR="00A45935" w:rsidRPr="0081188E" w:rsidRDefault="00A45935" w:rsidP="001744D0">
      <w:pPr>
        <w:pStyle w:val="Hlistbullet"/>
      </w:pPr>
      <w:r>
        <w:rPr>
          <w:b/>
          <w:shd w:val="clear" w:color="auto" w:fill="FFFFFF"/>
        </w:rPr>
        <w:t>A rede PEI</w:t>
      </w:r>
      <w:r>
        <w:rPr>
          <w:shd w:val="clear" w:color="auto" w:fill="FFFFFF"/>
        </w:rPr>
        <w:t xml:space="preserve"> foi criada para o período de 2014 a 2020 especificamente para apoiar a PEI-AGRI</w:t>
      </w:r>
      <w:r>
        <w:rPr>
          <w:rFonts w:cs="Arial"/>
          <w:vertAlign w:val="superscript"/>
        </w:rPr>
        <w:footnoteReference w:id="27"/>
      </w:r>
      <w:r>
        <w:rPr>
          <w:shd w:val="clear" w:color="auto" w:fill="FFFFFF"/>
        </w:rPr>
        <w:t xml:space="preserve"> - a Parceria Europeia de Inovação para a Produtividade e Sustentabilidade Agrícolas. Os principais objetivos da rede PEI consistem em ligar os GO da PEI, facilitar o intercâmbio de conhecimentos, competências especializadas e boas práticas e estabelecer um diálogo entre o setor da agricultura e as comunidades de investigação. A rede PEI-AGRI é gerida pela Comissão Europeia (DG Agricultura e Desenvolvimento Rural) com o apoio do Serviço de Orientação (SO). A equipa do SO facilita as atividades de ligação em rede, melhorando a comunicação, a partilha de conhecimentos e o intercâmbio através de conferências, grupos de reflexão, sessões de trabalho, seminários e publicações. O objetivo principal consiste em estimular a interação entre todos os agentes envolvidos na PEI-AGRI: agricultores, investigadores, conselheiros, as ONG, empresas, entidades públicas, etc. Uma plataforma interativa da PEI na Internet apoia as funções de ligação em rede. A rede permite a todas as partes interessadas em inovação estarem em contacto, nomeadamente GO, serviços de aconselhamento, investigadores, agricultores e outras partes interessadas no processo de intercâmbio de conhecimentos</w:t>
      </w:r>
      <w:r>
        <w:t>.</w:t>
      </w:r>
    </w:p>
    <w:p w:rsidR="00EA0974" w:rsidRDefault="00A45935" w:rsidP="001744D0">
      <w:pPr>
        <w:pStyle w:val="Hlistbullet"/>
        <w:rPr>
          <w:shd w:val="clear" w:color="auto" w:fill="FFFFFF"/>
        </w:rPr>
      </w:pPr>
      <w:r>
        <w:rPr>
          <w:b/>
          <w:shd w:val="clear" w:color="auto" w:fill="FFFFFF"/>
        </w:rPr>
        <w:t>As redes rurais nacionais</w:t>
      </w:r>
      <w:r>
        <w:rPr>
          <w:shd w:val="clear" w:color="auto" w:fill="FFFFFF"/>
        </w:rPr>
        <w:t xml:space="preserve"> (RRN) apoiam a inovação na agricultura, na produção alimentar, silvicultura e zonas rurais</w:t>
      </w:r>
      <w:r>
        <w:rPr>
          <w:rFonts w:cs="Arial"/>
          <w:vertAlign w:val="superscript"/>
        </w:rPr>
        <w:footnoteReference w:id="28"/>
      </w:r>
      <w:r>
        <w:rPr>
          <w:shd w:val="clear" w:color="auto" w:fill="FFFFFF"/>
        </w:rPr>
        <w:t>. São apoiadas a nível da UE através da Rede Europeia de Desenvolvimento Rural (REDR). As RRN podem servir de «agentes de inovação»</w:t>
      </w:r>
      <w:r>
        <w:rPr>
          <w:rFonts w:cs="Arial"/>
          <w:shd w:val="clear" w:color="auto" w:fill="FFFFFF"/>
          <w:vertAlign w:val="superscript"/>
        </w:rPr>
        <w:footnoteReference w:id="29"/>
      </w:r>
      <w:r>
        <w:rPr>
          <w:shd w:val="clear" w:color="auto" w:fill="FFFFFF"/>
        </w:rPr>
        <w:t>, o que requer</w:t>
      </w:r>
      <w:r>
        <w:t xml:space="preserve"> uma ligação profunda e uma sólida compreensão do mundo agrícola, bem como uma capacidade de comunicação altamente desenvolvida. </w:t>
      </w:r>
      <w:r>
        <w:rPr>
          <w:shd w:val="clear" w:color="auto" w:fill="FFFFFF"/>
        </w:rPr>
        <w:t>As RRN interagem com a rede PEI para se inspirarem e trocarem informações e abordagens para incentivar a inovação. Além da recolha de boas práticas e exemplos e de facilitar os intercâmbios temáticos entre as partes interessadas no desenvolvimento rural, estas também desempenham uma tarefa específica de ligação em rede dos serviços de apoio à inovação e dos serviços de aconselhamento</w:t>
      </w:r>
      <w:r>
        <w:rPr>
          <w:rFonts w:eastAsia="Calibri" w:cs="Arial"/>
          <w:shd w:val="clear" w:color="auto" w:fill="FFFFFF"/>
          <w:vertAlign w:val="superscript"/>
        </w:rPr>
        <w:footnoteReference w:id="30"/>
      </w:r>
      <w:r>
        <w:rPr>
          <w:shd w:val="clear" w:color="auto" w:fill="FFFFFF"/>
        </w:rPr>
        <w:t>, o que contribui para a captação de ideias inovadoras dos profissionais.</w:t>
      </w:r>
    </w:p>
    <w:p w:rsidR="00A45935" w:rsidRPr="00EA0974" w:rsidRDefault="00A45935" w:rsidP="009B603C">
      <w:pPr>
        <w:pStyle w:val="HHeading3"/>
        <w:spacing w:line="280" w:lineRule="exact"/>
        <w:rPr>
          <w:shd w:val="clear" w:color="auto" w:fill="FFFFFF"/>
        </w:rPr>
      </w:pPr>
      <w:bookmarkStart w:id="26" w:name="_Toc508372658"/>
      <w:r>
        <w:t>Os elementos de avaliação comuns para a inovação</w:t>
      </w:r>
      <w:bookmarkEnd w:id="26"/>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O</w:t>
      </w:r>
      <w:r>
        <w:rPr>
          <w:szCs w:val="20"/>
          <w:shd w:val="clear" w:color="auto" w:fill="FFFFFF"/>
        </w:rPr>
        <w:t xml:space="preserve"> </w:t>
      </w:r>
      <w:r>
        <w:rPr>
          <w:b/>
          <w:szCs w:val="20"/>
          <w:shd w:val="clear" w:color="auto" w:fill="FFFFFF"/>
        </w:rPr>
        <w:t>plano de avaliação</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incluído no PDR constitui o ponto de partida das avaliações. </w:t>
      </w:r>
      <w:r>
        <w:rPr>
          <w:szCs w:val="20"/>
          <w:shd w:val="clear" w:color="auto" w:fill="FFFFFF"/>
        </w:rPr>
        <w:t>O plano de avaliação especifica a avaliação da inovação entre os tópicos e atividades de avaliação</w:t>
      </w:r>
      <w:r>
        <w:rPr>
          <w:b/>
          <w:szCs w:val="20"/>
          <w:shd w:val="clear" w:color="auto" w:fill="FFFFFF"/>
        </w:rPr>
        <w:t xml:space="preserve"> </w:t>
      </w:r>
      <w:r>
        <w:rPr>
          <w:szCs w:val="20"/>
          <w:shd w:val="clear" w:color="auto" w:fill="FFFFFF"/>
        </w:rPr>
        <w:t>relacionados com questões transversais. A comunicação dessas atividades conexas e conclusões constam dos relatórios anuais de execução</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lastRenderedPageBreak/>
        <w:t>O Sistema Comum de Acompanhamento e Avaliação (SCAA)</w:t>
      </w:r>
      <w:r>
        <w:rPr>
          <w:szCs w:val="20"/>
          <w:shd w:val="clear" w:color="auto" w:fill="FFFFFF"/>
        </w:rPr>
        <w:t xml:space="preserve"> inclui elementos de avaliação para avaliar a inovação, nomeadamente, as questões de avaliação comuns (QAC), critérios de apreciação e indicadores.</w:t>
      </w:r>
    </w:p>
    <w:p w:rsidR="00A45935" w:rsidRPr="002E1723" w:rsidRDefault="00A45935" w:rsidP="00624393">
      <w:pPr>
        <w:pStyle w:val="HStandard"/>
      </w:pPr>
      <w:r>
        <w:t xml:space="preserve">Ao </w:t>
      </w:r>
      <w:r w:rsidRPr="00023DDA">
        <w:rPr>
          <w:b/>
        </w:rPr>
        <w:t>nível do domínio prioritário</w:t>
      </w:r>
      <w:r>
        <w:t>, existem duas QAC relacionadas com a inovação ligadas aos objetivos do DI 1A e DI 1B. Estas questões definem as contribuições das intervenções em termos de realizações e resultados esperados:</w:t>
      </w:r>
    </w:p>
    <w:p w:rsidR="00A45935" w:rsidRPr="00EA0974" w:rsidRDefault="00A45935" w:rsidP="00624393">
      <w:pPr>
        <w:pStyle w:val="Hlistbullet"/>
      </w:pPr>
      <w:r>
        <w:t xml:space="preserve">QAC n.º 1: «Até que ponto as intervenções do PDR apoiaram a inovação, a cooperação e o desenvolvimento da base de conhecimentos nas zonas rurais?» </w:t>
      </w:r>
    </w:p>
    <w:p w:rsidR="00A45935" w:rsidRPr="002E1723" w:rsidRDefault="00A45935" w:rsidP="00624393">
      <w:pPr>
        <w:pStyle w:val="Hlistbullet"/>
      </w:pPr>
      <w:r>
        <w:t xml:space="preserve">QAC n.º 2: «Até que ponto as intervenções do PDR apoiaram o reforço das ligações entre a agricultura, a produção alimentar e a silvicultura e a investigação e a inovação, inclusive na perspetiva de uma melhor gestão e desempenho ambientais?» </w:t>
      </w:r>
    </w:p>
    <w:p w:rsidR="00A45935" w:rsidRPr="002E1723" w:rsidRDefault="00A45935" w:rsidP="00624393">
      <w:pPr>
        <w:pStyle w:val="HStandard"/>
      </w:pPr>
      <w:r>
        <w:t>QAC n.º 21: «Até que ponto a rede rural nacional contribuiu para a realização dos objetivos fixados no artigo 54.º, n.º 2, do Regulamento (UE) n.º 1305/2013?» relaciona-se com outros aspetos do PDR, nomeadamente definir os resultados esperados e os resultados alcançados pelas RRN. Esta QAC é relevante para a inovação uma vez que diz respeito ao objetivo d) do artigo 54.º, n.º 2, de «fomentar a inovação na agricultura, na produção alimentar, nas florestas e nas zonas rurais».</w:t>
      </w:r>
    </w:p>
    <w:p w:rsidR="00A45935" w:rsidRPr="001A2A93" w:rsidRDefault="00A45935" w:rsidP="00624393">
      <w:pPr>
        <w:pStyle w:val="HStandard"/>
      </w:pPr>
      <w:r>
        <w:t xml:space="preserve">A </w:t>
      </w:r>
      <w:r w:rsidRPr="00023DDA">
        <w:rPr>
          <w:b/>
        </w:rPr>
        <w:t>nível dos objetivos da UE</w:t>
      </w:r>
      <w:r>
        <w:t xml:space="preserve">, existem duas QAC relacionadas com a inovação que ilustram a contribuição dos programas em termos de impactos previstos. </w:t>
      </w:r>
    </w:p>
    <w:p w:rsidR="00A45935" w:rsidRPr="001A2A93" w:rsidRDefault="00A45935" w:rsidP="00624393">
      <w:pPr>
        <w:pStyle w:val="Hlistbullet"/>
      </w:pPr>
      <w:r>
        <w:t xml:space="preserve">A QAC n.º 23 está relacionada com a realização do grande objetivo da UE: «Até que ponto o PDR contribuiu para a realização do grande objetivo da Estratégia UE 2020 de investimento de 3 % do PIB da UE em investigação, desenvolvimento e inovação?» </w:t>
      </w:r>
    </w:p>
    <w:p w:rsidR="00A45935" w:rsidRPr="001A2A93" w:rsidRDefault="00A45935" w:rsidP="00624393">
      <w:pPr>
        <w:pStyle w:val="Hlistbullet"/>
      </w:pPr>
      <w:r>
        <w:t xml:space="preserve">A QAC n.º 30 avalia a inovação como um objetivo transversal: «Até que ponto o PDR contribuiu para fomentar a inovação?»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A figura seguinte ilustra como os elementos de avaliação comuns (QAC, critérios de apreciação e indicadores) se relacionam com os domínios de intervenção a diferentes níveis. Existem sete </w:t>
      </w:r>
      <w:r>
        <w:rPr>
          <w:b/>
          <w:szCs w:val="20"/>
          <w:shd w:val="clear" w:color="auto" w:fill="FFFFFF"/>
        </w:rPr>
        <w:t>indicadores comuns</w:t>
      </w:r>
      <w:r>
        <w:rPr>
          <w:szCs w:val="20"/>
          <w:shd w:val="clear" w:color="auto" w:fill="FFFFFF"/>
        </w:rPr>
        <w:t xml:space="preserve"> associados às questões de avaliação comuns para a inovação: 5 indicadores de resultados e 2 indicadores de objetivos</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Default="000C61FE" w:rsidP="000C61FE">
      <w:pPr>
        <w:pStyle w:val="HHeadingfigures"/>
        <w:numPr>
          <w:ilvl w:val="0"/>
          <w:numId w:val="0"/>
        </w:numPr>
        <w:ind w:left="1134"/>
      </w:pPr>
      <w:bookmarkStart w:id="27" w:name="_Toc503284756"/>
      <w:r>
        <w:t>Figura 3.</w:t>
      </w:r>
      <w:r>
        <w:tab/>
      </w:r>
      <w:r w:rsidR="00EA0974">
        <w:t>Os elementos de avaliação comuns para a avaliação da inovação</w:t>
      </w:r>
      <w:bookmarkEnd w:id="27"/>
      <w:r w:rsidR="00EA0974">
        <w:t xml:space="preserve"> </w:t>
      </w:r>
    </w:p>
    <w:p w:rsidR="00CB60CA" w:rsidRDefault="00CB60CA" w:rsidP="00CB60CA">
      <w:pPr>
        <w:pStyle w:val="HStandard"/>
      </w:pPr>
      <w:r w:rsidRPr="00CB60CA">
        <w:rPr>
          <w:lang w:val="en-GB" w:eastAsia="en-GB"/>
        </w:rPr>
        <w:drawing>
          <wp:inline distT="0" distB="0" distL="0" distR="0" wp14:anchorId="48D25D76" wp14:editId="49585980">
            <wp:extent cx="5288950" cy="2354318"/>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7944" cy="2362773"/>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Fonte: Serviço Europeu de Assistência na Avaliação para o Desenvolvimento Rural, 2017.</w:t>
      </w:r>
    </w:p>
    <w:p w:rsidR="00A45935" w:rsidRPr="003737FE" w:rsidRDefault="00A45935" w:rsidP="00230C31">
      <w:pPr>
        <w:pStyle w:val="HHeading2"/>
      </w:pPr>
      <w:bookmarkStart w:id="28" w:name="_Toc493151897"/>
      <w:bookmarkStart w:id="29" w:name="_Toc501382124"/>
      <w:bookmarkStart w:id="30" w:name="_Toc508372659"/>
      <w:r>
        <w:lastRenderedPageBreak/>
        <w:t>Desafios em matéria de avaliação da inovação</w:t>
      </w:r>
      <w:bookmarkEnd w:id="28"/>
      <w:bookmarkEnd w:id="29"/>
      <w:bookmarkEnd w:id="30"/>
    </w:p>
    <w:p w:rsidR="00A45935" w:rsidRPr="00E05D08" w:rsidRDefault="00A45935" w:rsidP="00E05D08">
      <w:pPr>
        <w:spacing w:after="120" w:line="280" w:lineRule="atLeast"/>
        <w:mirrorIndents/>
        <w:rPr>
          <w:rFonts w:eastAsia="Times New Roman" w:cs="Times New Roman"/>
          <w:szCs w:val="20"/>
        </w:rPr>
      </w:pPr>
      <w:bookmarkStart w:id="31" w:name="_Toc476064466"/>
      <w:bookmarkStart w:id="32" w:name="_Toc476064526"/>
      <w:bookmarkStart w:id="33" w:name="_Toc476064467"/>
      <w:bookmarkStart w:id="34" w:name="_Toc476064527"/>
      <w:bookmarkStart w:id="35" w:name="_Toc476064468"/>
      <w:bookmarkStart w:id="36" w:name="_Toc476064528"/>
      <w:bookmarkStart w:id="37" w:name="_Toc476064469"/>
      <w:bookmarkStart w:id="38" w:name="_Toc476064529"/>
      <w:bookmarkStart w:id="39" w:name="_Toc476064470"/>
      <w:bookmarkStart w:id="40" w:name="_Toc476064530"/>
      <w:bookmarkStart w:id="41" w:name="_Toc476064471"/>
      <w:bookmarkStart w:id="42" w:name="_Toc476064531"/>
      <w:bookmarkStart w:id="43" w:name="_Toc476064472"/>
      <w:bookmarkStart w:id="44" w:name="_Toc476064532"/>
      <w:bookmarkStart w:id="45" w:name="_Toc476064473"/>
      <w:bookmarkStart w:id="46" w:name="_Toc476064533"/>
      <w:bookmarkStart w:id="47" w:name="_Toc476064474"/>
      <w:bookmarkStart w:id="48" w:name="_Toc476064534"/>
      <w:bookmarkStart w:id="49" w:name="_Toc476064475"/>
      <w:bookmarkStart w:id="50" w:name="_Toc476064535"/>
      <w:bookmarkStart w:id="51" w:name="_Toc476064476"/>
      <w:bookmarkStart w:id="52" w:name="_Toc476064536"/>
      <w:bookmarkStart w:id="53" w:name="_Toc476064477"/>
      <w:bookmarkStart w:id="54" w:name="_Toc476064537"/>
      <w:bookmarkStart w:id="55" w:name="_Toc476064478"/>
      <w:bookmarkStart w:id="56" w:name="_Toc476064538"/>
      <w:bookmarkStart w:id="57" w:name="_Toc476064479"/>
      <w:bookmarkStart w:id="58" w:name="_Toc476064539"/>
      <w:bookmarkStart w:id="59" w:name="_Toc476064481"/>
      <w:bookmarkStart w:id="60" w:name="_Toc476064541"/>
      <w:bookmarkStart w:id="61" w:name="_Toc476064482"/>
      <w:bookmarkStart w:id="62" w:name="_Toc476064542"/>
      <w:bookmarkStart w:id="63" w:name="_Toc476064483"/>
      <w:bookmarkStart w:id="64" w:name="_Toc476064543"/>
      <w:bookmarkStart w:id="65" w:name="_Toc476064484"/>
      <w:bookmarkStart w:id="66" w:name="_Toc476064544"/>
      <w:bookmarkStart w:id="67" w:name="_Toc476064485"/>
      <w:bookmarkStart w:id="68" w:name="_Toc476064545"/>
      <w:bookmarkStart w:id="69" w:name="_Toc476064486"/>
      <w:bookmarkStart w:id="70" w:name="_Toc476064546"/>
      <w:bookmarkStart w:id="71" w:name="_Toc476064487"/>
      <w:bookmarkStart w:id="72" w:name="_Toc476064547"/>
      <w:bookmarkStart w:id="73" w:name="_Toc476064488"/>
      <w:bookmarkStart w:id="74" w:name="_Toc476064548"/>
      <w:bookmarkStart w:id="75" w:name="_Toc476064489"/>
      <w:bookmarkStart w:id="76" w:name="_Toc476064549"/>
      <w:bookmarkStart w:id="77" w:name="_Toc476064490"/>
      <w:bookmarkStart w:id="78" w:name="_Toc476064550"/>
      <w:bookmarkStart w:id="79" w:name="_Toc476064491"/>
      <w:bookmarkStart w:id="80" w:name="_Toc47606455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Existem vários desafios que devem ser tidos em consideração aquando da avaliação da inovação nos PDR.</w:t>
      </w:r>
    </w:p>
    <w:p w:rsidR="00A45935" w:rsidRPr="00E05D08" w:rsidRDefault="00A45935" w:rsidP="00230C31">
      <w:pPr>
        <w:pStyle w:val="HHeading4"/>
        <w:rPr>
          <w:rFonts w:eastAsia="Calibri"/>
        </w:rPr>
      </w:pPr>
      <w:r>
        <w:t xml:space="preserve">Desafios conceptuais </w:t>
      </w:r>
    </w:p>
    <w:p w:rsidR="00A45935" w:rsidRPr="00920CB9" w:rsidRDefault="00A45935" w:rsidP="00576A73">
      <w:pPr>
        <w:pStyle w:val="Hlistbullet"/>
      </w:pPr>
      <w:r>
        <w:rPr>
          <w:b/>
        </w:rPr>
        <w:t>Identificar claramente o tema da avaliação:</w:t>
      </w:r>
      <w:r>
        <w:t xml:space="preserve"> em que se centra a avaliação da inovação? </w:t>
      </w:r>
    </w:p>
    <w:p w:rsidR="00A45935" w:rsidRPr="00920CB9" w:rsidRDefault="00A45935" w:rsidP="00576A73">
      <w:pPr>
        <w:pStyle w:val="Hlistbullet"/>
      </w:pPr>
      <w:r w:rsidRPr="00276F14">
        <w:rPr>
          <w:b/>
        </w:rPr>
        <w:t>Cartografar o sistema de conhecimento e inovação</w:t>
      </w:r>
      <w:r>
        <w:t>: quais são os elementos, as suas relações e os limites de um determinado sistema de conhecimento e inovação na zona rural avaliada? Qual é o papel dos PDR nesse âmbito?</w:t>
      </w:r>
      <w:r>
        <w:rPr>
          <w:rFonts w:cs="Arial"/>
          <w:vertAlign w:val="superscript"/>
        </w:rPr>
        <w:footnoteReference w:id="34"/>
      </w:r>
    </w:p>
    <w:p w:rsidR="00A45935" w:rsidRPr="00920CB9" w:rsidRDefault="00A45935" w:rsidP="00576A73">
      <w:pPr>
        <w:pStyle w:val="Hlistbullet"/>
      </w:pPr>
      <w:r w:rsidRPr="00276F14">
        <w:rPr>
          <w:b/>
        </w:rPr>
        <w:t>Rever a abordagem do PDR para a inova</w:t>
      </w:r>
      <w:r>
        <w:t>ção: Qual é o potencial de inovação específico de um determinado PDR? Quais são os objetivos? Os critérios de seleção foram especificamente concebidos para abordar a inovação?</w:t>
      </w:r>
    </w:p>
    <w:p w:rsidR="00A45935" w:rsidRPr="00B76BA4" w:rsidRDefault="00A45935" w:rsidP="00230C31">
      <w:pPr>
        <w:pStyle w:val="HHeading4"/>
        <w:rPr>
          <w:rFonts w:eastAsia="Calibri"/>
          <w:shd w:val="clear" w:color="auto" w:fill="FFFFFF"/>
        </w:rPr>
      </w:pPr>
      <w:r>
        <w:rPr>
          <w:shd w:val="clear" w:color="auto" w:fill="FFFFFF"/>
        </w:rPr>
        <w:t xml:space="preserve">Desafios associados ao Sistema Comum de Acompanhamento e Avaliação </w:t>
      </w:r>
    </w:p>
    <w:p w:rsidR="00A45935" w:rsidRPr="000324A5" w:rsidRDefault="00A45935" w:rsidP="00576A73">
      <w:pPr>
        <w:pStyle w:val="Hlistbullet"/>
      </w:pPr>
      <w:r>
        <w:rPr>
          <w:b/>
        </w:rPr>
        <w:t xml:space="preserve">Desenvolver elementos de avaliação adicionais e específicos do programa: </w:t>
      </w:r>
      <w:r>
        <w:t xml:space="preserve">como conceber elementos de avaliação adicionais e específicos do programa relacionados com a avaliação da inovação? </w:t>
      </w:r>
    </w:p>
    <w:p w:rsidR="00A45935" w:rsidRPr="000324A5" w:rsidRDefault="00A45935" w:rsidP="00576A73">
      <w:pPr>
        <w:pStyle w:val="Hlistbullet"/>
        <w:rPr>
          <w:b/>
        </w:rPr>
      </w:pPr>
      <w:r>
        <w:rPr>
          <w:b/>
        </w:rPr>
        <w:t xml:space="preserve">Comunicação dos resultados: </w:t>
      </w:r>
      <w:r>
        <w:t>como alinhar os procedimentos de avaliação com o calendário do Relatório Anual de Execução em 2019, bem como com a avaliação ex post em 2024?</w:t>
      </w:r>
    </w:p>
    <w:p w:rsidR="00A45935" w:rsidRPr="00E05D08" w:rsidRDefault="00A45935" w:rsidP="00230C31">
      <w:pPr>
        <w:pStyle w:val="HHeading4"/>
        <w:rPr>
          <w:rFonts w:eastAsia="Calibri"/>
          <w:shd w:val="clear" w:color="auto" w:fill="FFFFFF"/>
        </w:rPr>
      </w:pPr>
      <w:r>
        <w:rPr>
          <w:shd w:val="clear" w:color="auto" w:fill="FFFFFF"/>
        </w:rPr>
        <w:t xml:space="preserve">Desafios metodológicos </w:t>
      </w:r>
    </w:p>
    <w:p w:rsidR="00A45935" w:rsidRPr="00F8743F" w:rsidRDefault="00A45935" w:rsidP="00576A73">
      <w:pPr>
        <w:pStyle w:val="Hlistbullet"/>
        <w:rPr>
          <w:shd w:val="clear" w:color="auto" w:fill="FFFFFF"/>
        </w:rPr>
      </w:pPr>
      <w:r>
        <w:rPr>
          <w:b/>
        </w:rPr>
        <w:t>Atribuir</w:t>
      </w:r>
      <w:r>
        <w:rPr>
          <w:b/>
          <w:shd w:val="clear" w:color="auto" w:fill="FFFFFF"/>
        </w:rPr>
        <w:t xml:space="preserve"> os processos de inovação às intervenções do PDR</w:t>
      </w:r>
      <w:r>
        <w:rPr>
          <w:shd w:val="clear" w:color="auto" w:fill="FFFFFF"/>
        </w:rPr>
        <w:t xml:space="preserve">: como medir até que ponto os processos de inovação gerados em zonas rurais podem ser direta ou indiretamente atribuídos às intervenções do PDR? </w:t>
      </w:r>
    </w:p>
    <w:p w:rsidR="00A45935" w:rsidRPr="00F8743F" w:rsidRDefault="00A45935" w:rsidP="00576A73">
      <w:pPr>
        <w:pStyle w:val="Hlistbullet"/>
        <w:rPr>
          <w:shd w:val="clear" w:color="auto" w:fill="FFFFFF"/>
        </w:rPr>
      </w:pPr>
      <w:r>
        <w:rPr>
          <w:b/>
        </w:rPr>
        <w:t>Atribuir os efeitos de inovação aos resultados e impactos do PDR</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Conceber abordagens</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de avaliação adequadas:</w:t>
      </w:r>
      <w:r>
        <w:rPr>
          <w:shd w:val="clear" w:color="auto" w:fill="FFFFFF"/>
          <w14:textFill>
            <w14:solidFill>
              <w14:srgbClr w14:val="373737">
                <w14:lumMod w14:val="75000"/>
                <w14:lumMod w14:val="75000"/>
                <w14:lumMod w14:val="75000"/>
              </w14:srgbClr>
            </w14:solidFill>
          </w14:textFill>
        </w:rPr>
        <w:t xml:space="preserve"> como fazer a triangulação e misturar métodos quantitativos e qualitativos para interpretar os resultados da avaliação e fundamentar as conclusões e recomendações? </w:t>
      </w:r>
    </w:p>
    <w:p w:rsidR="00A45935" w:rsidRPr="00E05D08" w:rsidRDefault="00A45935" w:rsidP="00230C31">
      <w:pPr>
        <w:pStyle w:val="HHeading4"/>
        <w:rPr>
          <w:rFonts w:eastAsia="Calibri"/>
          <w:shd w:val="clear" w:color="auto" w:fill="FFFFFF"/>
        </w:rPr>
      </w:pPr>
      <w:r>
        <w:rPr>
          <w:shd w:val="clear" w:color="auto" w:fill="FFFFFF"/>
        </w:rPr>
        <w:t>Desafios organizacionais</w:t>
      </w:r>
    </w:p>
    <w:p w:rsidR="00A45935" w:rsidRPr="00D55226" w:rsidRDefault="00A45935" w:rsidP="00576A73">
      <w:pPr>
        <w:pStyle w:val="Hlistbullet"/>
        <w:rPr>
          <w:rFonts w:eastAsia="Calibri"/>
        </w:rPr>
      </w:pPr>
      <w:r w:rsidRPr="00276F14">
        <w:rPr>
          <w:b/>
        </w:rPr>
        <w:t>Assegurar uma gestão de dados eficaz e eficiente</w:t>
      </w:r>
      <w:r>
        <w:t xml:space="preserve">: como gerir, recolher e analisar dados relativos aos indicadores comuns e adicionais, especialmente quando a gestão das medidas de apoio à inovação é transversal a diferentes organismos responsáveis? </w:t>
      </w:r>
    </w:p>
    <w:p w:rsidR="00A45935" w:rsidRPr="00D55226" w:rsidRDefault="00A45935" w:rsidP="00576A73">
      <w:pPr>
        <w:pStyle w:val="Hlistbullet"/>
        <w:rPr>
          <w:rFonts w:eastAsia="Calibri"/>
        </w:rPr>
      </w:pPr>
      <w:r w:rsidRPr="00276F14">
        <w:rPr>
          <w:b/>
        </w:rPr>
        <w:t>Coordenar as partes interessadas</w:t>
      </w:r>
      <w:r>
        <w:t>: como criar um procedimento comum e alcançar um entendimento comum entre as autoridades de gestão e entre as várias partes interessadas envolvidas na avaliação de inovação (por exemplo, GAL, GO da PEI, conselheiros agrícolas/silvicultores, investigadores)?</w:t>
      </w:r>
    </w:p>
    <w:p w:rsidR="00A45935" w:rsidRDefault="00A45935" w:rsidP="00576A73">
      <w:pPr>
        <w:pStyle w:val="Hlistbullet"/>
        <w:rPr>
          <w:rFonts w:eastAsia="Calibri"/>
        </w:rPr>
      </w:pPr>
      <w:r w:rsidRPr="00276F14">
        <w:rPr>
          <w:b/>
        </w:rPr>
        <w:t>Utilizar as conclusões da avaliação para melhorar a conceção e execução de políticas</w:t>
      </w:r>
      <w:r>
        <w:t xml:space="preserve">: como retirar conclusões e recomendações de acompanhamento dos resultados da avaliação </w:t>
      </w:r>
      <w:r>
        <w:lastRenderedPageBreak/>
        <w:t>para melhorar o programa do PDR, a sua transparência, a responsabilização, bem como a aprendizagem comum entre as partes interessadas dos PDR?</w:t>
      </w:r>
    </w:p>
    <w:p w:rsidR="00230C31" w:rsidRDefault="00230C31" w:rsidP="00626C0C">
      <w:pPr>
        <w:pStyle w:val="HHeading1"/>
        <w:tabs>
          <w:tab w:val="clear" w:pos="567"/>
        </w:tabs>
      </w:pPr>
      <w:bookmarkStart w:id="81" w:name="_Toc508372660"/>
      <w:r>
        <w:lastRenderedPageBreak/>
        <w:t>Como avaliar a inovação nos PDR</w:t>
      </w:r>
      <w:bookmarkEnd w:id="81"/>
    </w:p>
    <w:p w:rsidR="00A45935" w:rsidRPr="00C84B5B" w:rsidRDefault="00A45935" w:rsidP="00B421B9">
      <w:pPr>
        <w:pStyle w:val="HHeading2"/>
        <w:numPr>
          <w:ilvl w:val="1"/>
          <w:numId w:val="119"/>
        </w:numPr>
        <w:ind w:left="567" w:hanging="567"/>
      </w:pPr>
      <w:bookmarkStart w:id="82" w:name="_Toc476063931"/>
      <w:bookmarkStart w:id="83" w:name="_Toc476064198"/>
      <w:bookmarkStart w:id="84" w:name="_Toc476064493"/>
      <w:bookmarkStart w:id="85" w:name="_Toc476064553"/>
      <w:bookmarkStart w:id="86" w:name="_Toc508372661"/>
      <w:bookmarkStart w:id="87" w:name="_Toc493151899"/>
      <w:bookmarkStart w:id="88" w:name="_Toc501382126"/>
      <w:bookmarkEnd w:id="82"/>
      <w:bookmarkEnd w:id="83"/>
      <w:bookmarkEnd w:id="84"/>
      <w:bookmarkEnd w:id="85"/>
      <w:r>
        <w:t>Abordagem proposta para avaliar a inovação nos PDR 2014-2020 (visão geral)</w:t>
      </w:r>
      <w:bookmarkEnd w:id="86"/>
    </w:p>
    <w:bookmarkEnd w:id="87"/>
    <w:bookmarkEnd w:id="88"/>
    <w:p w:rsidR="00A45935" w:rsidRDefault="00A45935" w:rsidP="00946806">
      <w:pPr>
        <w:pStyle w:val="HHeading4"/>
      </w:pPr>
      <w:r>
        <w:t>Gerir a avaliação da inovação</w:t>
      </w:r>
    </w:p>
    <w:p w:rsidR="00A45935" w:rsidRPr="00E05D08" w:rsidRDefault="00A45935" w:rsidP="00E05D08">
      <w:pPr>
        <w:spacing w:after="120" w:line="280" w:lineRule="atLeast"/>
        <w:mirrorIndents/>
        <w:rPr>
          <w:rFonts w:eastAsia="Times New Roman" w:cs="Times New Roman"/>
          <w:szCs w:val="20"/>
        </w:rPr>
      </w:pPr>
      <w:r>
        <w:rPr>
          <w:b/>
          <w:szCs w:val="20"/>
        </w:rPr>
        <w:t>A avaliação da inovação e a resposta a questões de avaliação relacionadas com a inovação fazem parte da avaliação do PDR.</w:t>
      </w:r>
      <w:r>
        <w:t xml:space="preserve"> </w:t>
      </w:r>
      <w:r>
        <w:rPr>
          <w:szCs w:val="20"/>
          <w:shd w:val="clear" w:color="auto" w:fill="FFFFFF"/>
        </w:rPr>
        <w:t>Por conseguinte, estas são geralmente geridas em conjunto com as restantes atividades de avaliação do PDR</w:t>
      </w:r>
      <w:r>
        <w:rPr>
          <w:rFonts w:eastAsia="Calibri" w:cs="Times New Roman"/>
          <w:szCs w:val="20"/>
          <w:shd w:val="clear" w:color="auto" w:fill="FFFFFF"/>
          <w:vertAlign w:val="superscript"/>
          <w:lang w:eastAsia="de-DE"/>
        </w:rPr>
        <w:footnoteReference w:id="35"/>
      </w:r>
      <w:r>
        <w:rPr>
          <w:szCs w:val="20"/>
          <w:shd w:val="clear" w:color="auto" w:fill="FFFFFF"/>
        </w:rPr>
        <w:t>. A figura abaixo apresenta uma visão geral deste processo.</w:t>
      </w:r>
      <w:r>
        <w:t xml:space="preserve"> </w:t>
      </w:r>
    </w:p>
    <w:p w:rsidR="00A45935" w:rsidRPr="00E05D08" w:rsidRDefault="00A45935" w:rsidP="00E05D08">
      <w:pPr>
        <w:spacing w:after="120" w:line="280" w:lineRule="atLeast"/>
        <w:mirrorIndents/>
        <w:rPr>
          <w:rFonts w:eastAsia="Times New Roman" w:cs="Times New Roman"/>
          <w:szCs w:val="20"/>
        </w:rPr>
      </w:pPr>
      <w:r>
        <w:t xml:space="preserve">A preparação, a estruturação e a realização da avaliação da inovação encontram-se descritas pormenorizadamente nos capítulos 2.2 a 2.4. </w:t>
      </w:r>
    </w:p>
    <w:p w:rsidR="00A45935" w:rsidRDefault="00096490" w:rsidP="00096490">
      <w:pPr>
        <w:pStyle w:val="HHeadingfigures"/>
        <w:numPr>
          <w:ilvl w:val="0"/>
          <w:numId w:val="0"/>
        </w:numPr>
        <w:ind w:left="1134"/>
      </w:pPr>
      <w:bookmarkStart w:id="89" w:name="_Toc503284757"/>
      <w:r>
        <w:t>Figura 4.</w:t>
      </w:r>
      <w:r>
        <w:tab/>
      </w:r>
      <w:r w:rsidR="00A45935">
        <w:t>Gerir a avaliação da inovação nos PDR 2014-2020</w:t>
      </w:r>
      <w:bookmarkEnd w:id="89"/>
    </w:p>
    <w:p w:rsidR="00F82671" w:rsidRPr="00F82671" w:rsidRDefault="00F82671" w:rsidP="00B06BF7">
      <w:pPr>
        <w:pStyle w:val="HStandard"/>
        <w:jc w:val="center"/>
      </w:pPr>
      <w:r w:rsidRPr="00F82671">
        <w:rPr>
          <w:lang w:val="en-GB" w:eastAsia="en-GB"/>
        </w:rPr>
        <w:drawing>
          <wp:inline distT="0" distB="0" distL="0" distR="0" wp14:anchorId="235D23D0" wp14:editId="4733A207">
            <wp:extent cx="5399826" cy="32040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248" r="12309"/>
                    <a:stretch/>
                  </pic:blipFill>
                  <pic:spPr bwMode="auto">
                    <a:xfrm>
                      <a:off x="0" y="0"/>
                      <a:ext cx="5409307" cy="3209683"/>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Fonte: Serviço Europeu de Assistência na Avaliação para o Desenvolvimento Rural,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Comunicar a avaliação da inovação</w:t>
      </w:r>
    </w:p>
    <w:p w:rsidR="00A45935" w:rsidRPr="00E05D08" w:rsidRDefault="00A45935" w:rsidP="00E05D08">
      <w:pPr>
        <w:spacing w:after="120" w:line="280" w:lineRule="atLeast"/>
        <w:mirrorIndents/>
        <w:rPr>
          <w:rFonts w:eastAsia="Times New Roman" w:cs="Times New Roman"/>
          <w:szCs w:val="20"/>
        </w:rPr>
      </w:pPr>
      <w:r>
        <w:rPr>
          <w:b/>
          <w:szCs w:val="20"/>
        </w:rPr>
        <w:t>Incumbe às autoridades de gestão comunicar as conclusões de avaliações à Comissão Europeia</w:t>
      </w:r>
      <w:r>
        <w:rPr>
          <w:rFonts w:eastAsia="Times New Roman" w:cs="Times New Roman"/>
          <w:szCs w:val="20"/>
          <w:vertAlign w:val="superscript"/>
          <w:lang w:eastAsia="de-DE"/>
        </w:rPr>
        <w:footnoteReference w:id="36"/>
      </w:r>
      <w:r>
        <w:t xml:space="preserve">. A Figura 5 mostra em que QAC podem ser incluídas as conclusões da avaliação sobre a inovação nos Relatórios Anuais de Execução (RAE) em 2017, 2019 e ex post. </w:t>
      </w:r>
    </w:p>
    <w:p w:rsidR="00A45935" w:rsidRPr="00E05D08" w:rsidRDefault="00A45935" w:rsidP="00E05D08">
      <w:pPr>
        <w:spacing w:after="120" w:line="280" w:lineRule="atLeast"/>
        <w:mirrorIndents/>
        <w:rPr>
          <w:rFonts w:eastAsia="Times New Roman" w:cs="Times New Roman"/>
          <w:szCs w:val="20"/>
        </w:rPr>
      </w:pPr>
      <w:r w:rsidRPr="00F82671">
        <w:rPr>
          <w:b/>
        </w:rPr>
        <w:t xml:space="preserve">Podem prever-se resultados de avaliação significativos em matéria de inovação no RAE em 2019 e na avaliação </w:t>
      </w:r>
      <w:r w:rsidRPr="00F82671">
        <w:rPr>
          <w:b/>
          <w:i/>
        </w:rPr>
        <w:t>ex post</w:t>
      </w:r>
      <w:r>
        <w:t>. Uma vez que a promoção da inovação é entendida como um processo, é difícil observar os seus resultados nas fases iniciais da execução do programa.</w:t>
      </w:r>
    </w:p>
    <w:p w:rsidR="00A45935" w:rsidRDefault="00096490" w:rsidP="00096490">
      <w:pPr>
        <w:pStyle w:val="HHeadingfigures"/>
        <w:numPr>
          <w:ilvl w:val="0"/>
          <w:numId w:val="0"/>
        </w:numPr>
        <w:ind w:left="1134"/>
      </w:pPr>
      <w:bookmarkStart w:id="90" w:name="_Toc503284758"/>
      <w:r>
        <w:t>Figura 5.</w:t>
      </w:r>
      <w:r>
        <w:tab/>
      </w:r>
      <w:r w:rsidR="00533971">
        <w:t>Requisitos de comunicação relativos à inovação</w:t>
      </w:r>
      <w:bookmarkEnd w:id="90"/>
    </w:p>
    <w:p w:rsidR="00F82671" w:rsidRPr="00F82671" w:rsidRDefault="00F82671" w:rsidP="00B06BF7">
      <w:pPr>
        <w:pStyle w:val="HStandard"/>
        <w:jc w:val="center"/>
      </w:pPr>
      <w:r w:rsidRPr="00F82671">
        <w:rPr>
          <w:lang w:val="en-GB" w:eastAsia="en-GB"/>
        </w:rPr>
        <w:drawing>
          <wp:inline distT="0" distB="0" distL="0" distR="0" wp14:anchorId="3A0850C0" wp14:editId="6C0EAFE3">
            <wp:extent cx="5190612" cy="38916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09" r="12571"/>
                    <a:stretch/>
                  </pic:blipFill>
                  <pic:spPr bwMode="auto">
                    <a:xfrm>
                      <a:off x="0" y="0"/>
                      <a:ext cx="5195660" cy="3895470"/>
                    </a:xfrm>
                    <a:prstGeom prst="rect">
                      <a:avLst/>
                    </a:prstGeom>
                    <a:noFill/>
                    <a:ln>
                      <a:noFill/>
                    </a:ln>
                    <a:extLst>
                      <a:ext uri="{53640926-AAD7-44D8-BBD7-CCE9431645EC}">
                        <a14:shadowObscured xmlns:a14="http://schemas.microsoft.com/office/drawing/2010/main"/>
                      </a:ext>
                    </a:extLst>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Fonte: Serviço Europeu de Assistência na Avaliação para o Desenvolvimento Rural, 2017.</w:t>
      </w:r>
    </w:p>
    <w:p w:rsidR="00A45935" w:rsidRPr="00E05D08" w:rsidRDefault="00A45935" w:rsidP="001744D0">
      <w:r>
        <w:t>Por conseguinte, as presentes orientações incidem sobre a forma de abordar a avaliação da inovação a partir de 2019.</w:t>
      </w:r>
    </w:p>
    <w:p w:rsidR="00A45935" w:rsidRDefault="00A45935" w:rsidP="00804433">
      <w:pPr>
        <w:spacing w:after="120" w:line="280" w:lineRule="atLeast"/>
        <w:mirrorIndents/>
        <w:rPr>
          <w:rFonts w:eastAsia="Times New Roman" w:cs="Times New Roman"/>
          <w:szCs w:val="20"/>
        </w:rPr>
      </w:pPr>
      <w:r w:rsidRPr="00F82671">
        <w:rPr>
          <w:b/>
        </w:rPr>
        <w:t>A autoridade de gestão</w:t>
      </w:r>
      <w:r>
        <w:t xml:space="preserve"> poderia utilizar outros modelos de relatórios, para além dos concebidos ao nível da UE, para informar os agentes da inovação, as partes interessadas no desenvolvimento rural e o público em geral sobre os resultados da avaliação dos PDR (ver também outras orientações</w:t>
      </w:r>
      <w:r>
        <w:rPr>
          <w:rFonts w:eastAsia="Times New Roman" w:cs="Times New Roman"/>
          <w:szCs w:val="20"/>
          <w:vertAlign w:val="superscript"/>
          <w:lang w:eastAsia="de-DE"/>
        </w:rPr>
        <w:footnoteReference w:id="37"/>
      </w:r>
      <w:r>
        <w:t>). Em alternativa, alguns Estados-Membros podem igualmente decidir realizar uma avaliação independente da inovação e elaborar relatórios de avaliação específicos.</w:t>
      </w:r>
    </w:p>
    <w:p w:rsidR="00583AC8" w:rsidRDefault="00583AC8" w:rsidP="00804433">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eastAsia="de-DE"/>
        </w:rPr>
        <w:lastRenderedPageBreak/>
        <w:footnoteReference w:id="38"/>
      </w:r>
    </w:p>
    <w:p w:rsidR="00A45935" w:rsidRPr="00E05D08" w:rsidRDefault="00626C0C" w:rsidP="00804433">
      <w:pPr>
        <w:spacing w:after="120" w:line="280" w:lineRule="atLeast"/>
        <w:mirrorIndents/>
        <w:rPr>
          <w:rFonts w:eastAsia="Times New Roman" w:cs="Times New Roman"/>
          <w:szCs w:val="20"/>
        </w:rPr>
      </w:pPr>
      <w:r>
        <w:rPr>
          <w:noProof/>
          <w:lang w:val="en-GB" w:eastAsia="en-GB"/>
        </w:rPr>
        <mc:AlternateContent>
          <mc:Choice Requires="wps">
            <w:drawing>
              <wp:anchor distT="180340" distB="0" distL="114300" distR="114300" simplePos="0" relativeHeight="251707392" behindDoc="0" locked="0" layoutInCell="1" allowOverlap="1" wp14:anchorId="1A72A30D" wp14:editId="3AE5F8EC">
                <wp:simplePos x="0" y="0"/>
                <wp:positionH relativeFrom="page">
                  <wp:posOffset>861848</wp:posOffset>
                </wp:positionH>
                <wp:positionV relativeFrom="page">
                  <wp:posOffset>704193</wp:posOffset>
                </wp:positionV>
                <wp:extent cx="5827363" cy="2753710"/>
                <wp:effectExtent l="0" t="0" r="21590" b="2794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753710"/>
                        </a:xfrm>
                        <a:prstGeom prst="round2DiagRect">
                          <a:avLst>
                            <a:gd name="adj1" fmla="val 8810"/>
                            <a:gd name="adj2" fmla="val 0"/>
                          </a:avLst>
                        </a:prstGeom>
                        <a:noFill/>
                        <a:ln w="25400" cap="flat" cmpd="sng" algn="ctr">
                          <a:solidFill>
                            <a:srgbClr val="F07E31"/>
                          </a:solidFill>
                          <a:prstDash val="solid"/>
                        </a:ln>
                        <a:effectLst/>
                      </wps:spPr>
                      <wps:txbx>
                        <w:txbxContent>
                          <w:p w:rsidR="00B06BF7" w:rsidRPr="00E05D08" w:rsidRDefault="00B06BF7" w:rsidP="00E05D08">
                            <w:pPr>
                              <w:pStyle w:val="HStandard"/>
                              <w:rPr>
                                <w:b/>
                                <w:color w:val="F07E31"/>
                                <w:sz w:val="18"/>
                                <w:szCs w:val="18"/>
                              </w:rPr>
                            </w:pPr>
                            <w:r>
                              <w:rPr>
                                <w:lang w:val="en-GB" w:eastAsia="en-GB"/>
                              </w:rPr>
                              <w:drawing>
                                <wp:inline distT="0" distB="0" distL="0" distR="0" wp14:anchorId="738DAE52" wp14:editId="1D6586AA">
                                  <wp:extent cx="353060" cy="359410"/>
                                  <wp:effectExtent l="0" t="0" r="8890" b="2540"/>
                                  <wp:docPr id="7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 a avaliação contínua da PEI-AGRI na Suécia</w:t>
                            </w:r>
                          </w:p>
                          <w:p w:rsidR="00B06BF7" w:rsidRPr="00275EE5" w:rsidRDefault="00B06BF7" w:rsidP="00E05D08">
                            <w:pPr>
                              <w:pStyle w:val="HBox"/>
                            </w:pPr>
                            <w:r>
                              <w:rPr>
                                <w:bCs/>
                                <w14:textFill>
                                  <w14:solidFill>
                                    <w14:srgbClr w14:val="373737">
                                      <w14:lumMod w14:val="75000"/>
                                    </w14:srgbClr>
                                  </w14:solidFill>
                                </w14:textFill>
                              </w:rPr>
                              <w:t>Na Suécia, a avaliação da inovação realiza-se no âmbito da avaliação dos PDR e consiste numa análise quantitativa e qualitativa, efetuada pelo secretariado de avaliação</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A avaliação quantitativa deverá fornecer conclusões apenas para o RAE a apresentar em 2019 e para a avaliação ex post.</w:t>
                            </w:r>
                            <w:r>
                              <w:rPr>
                                <w:bCs/>
                                <w14:textFill>
                                  <w14:solidFill>
                                    <w14:srgbClr w14:val="373737">
                                      <w14:lumMod w14:val="75000"/>
                                    </w14:srgbClr>
                                  </w14:solidFill>
                                </w14:textFill>
                              </w:rPr>
                              <w:t xml:space="preserve"> A adoção de medidas relacionadas com a inovação era ainda bastante reduzida para se realizar uma avaliação quantitativa em 2017. A avaliação qualitativa foi concebida como uma avaliação formativa contínua e incide sobre a aplicação da PEI-AGRI, sendo realizada por uma equipa de investigação da Universidade de Umeå. Esta avaliação em curso visa fornecer uma reação contínua e recomendações para a gestão e a implementação da PEI-AGRI (M16 do PDR). </w:t>
                            </w:r>
                            <w:r>
                              <w:t>Esperam-se observações ao longo de todo o período de programação, bem como para os Relatórios Anuais de Execução (RAE) apresentados em 2017 e 2019, e para a avaliação ex post.</w:t>
                            </w:r>
                            <w:r>
                              <w:rPr>
                                <w:bCs/>
                                <w14:textFill>
                                  <w14:solidFill>
                                    <w14:srgbClr w14:val="373737">
                                      <w14:lumMod w14:val="75000"/>
                                    </w14:srgbClr>
                                  </w14:solidFill>
                                </w14:textFill>
                              </w:rPr>
                              <w:t xml:space="preserve"> As duas componentes de avaliação são conduzidas por avaliadores independentes, selecionados através de um procedimento de concurso em conformidade com a legislação em matéria de contratos públicos.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2A30D" id="Rectangle: Diagonal Corners Rounded 61" o:spid="_x0000_s1036" style="position:absolute;left:0;text-align:left;margin-left:67.85pt;margin-top:55.45pt;width:458.85pt;height:216.85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75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" adj="-11796480,,5400" path="m242602,l5827363,r,l5827363,2511108v,133985,-108617,242602,-242602,242602l,2753710r,l,242602c,108617,108617,,242602,xe" filled="f" strokecolor="#f07e31" strokeweight="2pt">
                <v:stroke joinstyle="miter"/>
                <v:formulas/>
                <v:path arrowok="t" o:connecttype="custom" o:connectlocs="242602,0;5827363,0;5827363,0;5827363,2511108;5584761,2753710;0,2753710;0,2753710;0,242602;242602,0" o:connectangles="0,0,0,0,0,0,0,0,0" textboxrect="0,0,5827363,2753710"/>
                <v:textbox>
                  <w:txbxContent>
                    <w:p w:rsidR="00B06BF7" w:rsidRPr="00E05D08" w:rsidRDefault="00B06BF7" w:rsidP="00E05D08">
                      <w:pPr>
                        <w:pStyle w:val="HStandard"/>
                        <w:rPr>
                          <w:b/>
                          <w:color w:val="F07E31"/>
                          <w:sz w:val="18"/>
                          <w:szCs w:val="18"/>
                        </w:rPr>
                      </w:pPr>
                      <w:r>
                        <w:rPr>
                          <w:lang w:val="en-GB" w:eastAsia="en-GB"/>
                        </w:rPr>
                        <w:drawing>
                          <wp:inline distT="0" distB="0" distL="0" distR="0" wp14:anchorId="738DAE52" wp14:editId="1D6586AA">
                            <wp:extent cx="353060" cy="359410"/>
                            <wp:effectExtent l="0" t="0" r="8890" b="2540"/>
                            <wp:docPr id="7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 a avaliação contínua da PEI-AGRI na Suécia</w:t>
                      </w:r>
                    </w:p>
                    <w:p w:rsidR="00B06BF7" w:rsidRPr="00275EE5" w:rsidRDefault="00B06BF7" w:rsidP="00E05D08">
                      <w:pPr>
                        <w:pStyle w:val="HBox"/>
                      </w:pPr>
                      <w:r>
                        <w:rPr>
                          <w:bCs/>
                          <w14:textFill>
                            <w14:solidFill>
                              <w14:srgbClr w14:val="373737">
                                <w14:lumMod w14:val="75000"/>
                              </w14:srgbClr>
                            </w14:solidFill>
                          </w14:textFill>
                        </w:rPr>
                        <w:t>Na Suécia, a avaliação da inovação realiza-se no âmbito da avaliação dos PDR e consiste numa análise quantitativa e qualitativa, efetuada pelo secretariado de avaliação</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A avaliação quantitativa deverá fornecer conclusões apenas para o RAE a apresentar em 2019 e para a avaliação ex post.</w:t>
                      </w:r>
                      <w:r>
                        <w:rPr>
                          <w:bCs/>
                          <w14:textFill>
                            <w14:solidFill>
                              <w14:srgbClr w14:val="373737">
                                <w14:lumMod w14:val="75000"/>
                              </w14:srgbClr>
                            </w14:solidFill>
                          </w14:textFill>
                        </w:rPr>
                        <w:t xml:space="preserve"> A adoção de medidas relacionadas com a inovação era ainda bastante reduzida para se realizar uma avaliação quantitativa em 2017. A avaliação qualitativa foi concebida como uma avaliação formativa contínua e incide sobre a aplicação da PEI-AGRI, sendo realizada por uma equipa de investigação da Universidade de Umeå. Esta avaliação em curso visa fornecer uma reação contínua e recomendações para a gestão e a implementação da PEI-AGRI (M16 do PDR). </w:t>
                      </w:r>
                      <w:r>
                        <w:t>Esperam-se observações ao longo de todo o período de programação, bem como para os Relatórios Anuais de Execução (RAE) apresentados em 2017 e 2019, e para a avaliação ex post.</w:t>
                      </w:r>
                      <w:r>
                        <w:rPr>
                          <w:bCs/>
                          <w14:textFill>
                            <w14:solidFill>
                              <w14:srgbClr w14:val="373737">
                                <w14:lumMod w14:val="75000"/>
                              </w14:srgbClr>
                            </w14:solidFill>
                          </w14:textFill>
                        </w:rPr>
                        <w:t xml:space="preserve"> As duas componentes de avaliação são conduzidas por avaliadores independentes, selecionados através de um procedimento de concurso em conformidade com a legislação em matéria de contratos públicos.</w:t>
                      </w:r>
                    </w:p>
                  </w:txbxContent>
                </v:textbox>
                <w10:wrap type="topAndBottom" anchorx="page" anchory="page"/>
              </v:shape>
            </w:pict>
          </mc:Fallback>
        </mc:AlternateContent>
      </w:r>
      <w:r>
        <w:rPr>
          <w:b/>
          <w:szCs w:val="20"/>
        </w:rPr>
        <w:t>O quadro legal</w:t>
      </w:r>
      <w:r>
        <w:t xml:space="preserve"> </w:t>
      </w:r>
      <w:r>
        <w:rPr>
          <w:b/>
          <w:szCs w:val="20"/>
        </w:rPr>
        <w:t>requer dar resposta a todas as questões pertinentes ligadas a avaliações de inovação</w:t>
      </w:r>
      <w:r>
        <w:rPr>
          <w:rFonts w:eastAsia="Times New Roman" w:cs="Times New Roman"/>
          <w:szCs w:val="20"/>
          <w:vertAlign w:val="superscript"/>
          <w:lang w:eastAsia="de-DE"/>
        </w:rPr>
        <w:footnoteReference w:id="39"/>
      </w:r>
      <w:r w:rsidR="00241313">
        <w:rPr>
          <w:b/>
          <w:szCs w:val="20"/>
        </w:rPr>
        <w:t>,</w:t>
      </w:r>
      <w:r>
        <w:t xml:space="preserve"> tendo em conta os indicadores comuns relevantes</w:t>
      </w:r>
      <w:r>
        <w:rPr>
          <w:rFonts w:eastAsia="Times New Roman" w:cs="Times New Roman"/>
          <w:szCs w:val="20"/>
          <w:vertAlign w:val="superscript"/>
          <w:lang w:eastAsia="de-DE"/>
        </w:rPr>
        <w:footnoteReference w:id="40"/>
      </w:r>
      <w:r>
        <w:t xml:space="preserve"> e definindo os resultados da política rural da UE no que toca a promover a inovação. </w:t>
      </w:r>
    </w:p>
    <w:p w:rsidR="00576A73" w:rsidRDefault="00A45935" w:rsidP="00576A73">
      <w:pPr>
        <w:spacing w:after="120" w:line="280" w:lineRule="atLeast"/>
        <w:mirrorIndents/>
        <w:rPr>
          <w:rFonts w:eastAsia="Times New Roman" w:cs="Times New Roman"/>
          <w:szCs w:val="20"/>
        </w:rPr>
      </w:pPr>
      <w:r>
        <w:t>São propostas as seguintes etapas de trabalho não vinculativas:</w:t>
      </w:r>
    </w:p>
    <w:p w:rsidR="00A45935" w:rsidRPr="00E05D08" w:rsidRDefault="00A45935" w:rsidP="00B421B9">
      <w:pPr>
        <w:pStyle w:val="HHeading4"/>
        <w:rPr>
          <w:rFonts w:eastAsia="Calibri"/>
          <w:shd w:val="clear" w:color="auto" w:fill="FFFFFF"/>
        </w:rPr>
      </w:pPr>
      <w:r>
        <w:rPr>
          <w:shd w:val="clear" w:color="auto" w:fill="FFFFFF"/>
        </w:rPr>
        <w:t>Análise do potencial de inovação das medidas/submedidas do PDR (recomendado)</w:t>
      </w:r>
    </w:p>
    <w:p w:rsidR="00A45935" w:rsidRPr="00E05D08" w:rsidRDefault="00A45935" w:rsidP="00E05D08">
      <w:pPr>
        <w:spacing w:after="120" w:line="280" w:lineRule="atLeast"/>
        <w:mirrorIndents/>
        <w:rPr>
          <w:rFonts w:eastAsia="Times New Roman" w:cs="Times New Roman"/>
          <w:szCs w:val="20"/>
        </w:rPr>
      </w:pPr>
      <w:r>
        <w:t xml:space="preserve">Antes de iniciar as atividades de avaliação para responder às questões de avaliação relacionadas com a inovação, as autoridades de gestão e/ou os peritos de avaliação poderão analisar o potencial de inovação das medidas/submedidas do PDR (região a azul na Figura 6). Esta etapa ajudará o avaliador e as autoridades de gestão a compreender a forma como cada medida/submedida pode contribuir para a realização dos objetivos do PDR relacionados com a inovação (ver </w:t>
      </w:r>
      <w:hyperlink w:anchor="Screening_Potential" w:history="1">
        <w:r>
          <w:rPr>
            <w:rStyle w:val="Hyperlink"/>
            <w:sz w:val="20"/>
            <w:szCs w:val="20"/>
          </w:rPr>
          <w:t>Capítulo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Complementar os elementos de avaliação comuns para a inovação (recomendado)</w:t>
      </w:r>
    </w:p>
    <w:p w:rsidR="00A45935" w:rsidRPr="00E05D08" w:rsidRDefault="00A45935" w:rsidP="00E05D08">
      <w:pPr>
        <w:spacing w:after="120" w:line="280" w:lineRule="atLeast"/>
        <w:mirrorIndents/>
        <w:rPr>
          <w:rFonts w:eastAsia="Times New Roman" w:cs="Times New Roman"/>
          <w:szCs w:val="20"/>
        </w:rPr>
      </w:pPr>
      <w:r>
        <w:t>O Sistema Comum de Acompanhamento e Avaliação (SCAA) fornece elementos de avaliação de base para responder às questões de avaliação comuns relacionadas com a inovação. Se os elementos de avaliação comuns (critérios de apreciação</w:t>
      </w:r>
      <w:r>
        <w:rPr>
          <w:rFonts w:eastAsia="Times New Roman" w:cs="Times New Roman"/>
          <w:szCs w:val="20"/>
          <w:vertAlign w:val="superscript"/>
          <w:lang w:eastAsia="de-DE"/>
        </w:rPr>
        <w:footnoteReference w:id="41"/>
      </w:r>
      <w:r>
        <w:t xml:space="preserve"> e indicadores comuns</w:t>
      </w:r>
      <w:r>
        <w:rPr>
          <w:rFonts w:eastAsia="Times New Roman" w:cs="Times New Roman"/>
          <w:szCs w:val="20"/>
          <w:vertAlign w:val="superscript"/>
          <w:lang w:eastAsia="de-DE"/>
        </w:rPr>
        <w:footnoteReference w:id="42"/>
      </w:r>
      <w:r>
        <w:t>) não forem suficientes para abranger todos os efeitos previstos, as autoridades de gestão poderão desenvolver os elementos em falta (por exemplo, subquestões de avaliação, critérios de apreciação adicionais</w:t>
      </w:r>
      <w:r>
        <w:rPr>
          <w:rFonts w:eastAsia="Times New Roman" w:cs="Times New Roman"/>
          <w:szCs w:val="20"/>
          <w:vertAlign w:val="superscript"/>
          <w:lang w:eastAsia="de-DE"/>
        </w:rPr>
        <w:footnoteReference w:id="43"/>
      </w:r>
      <w:r>
        <w:t xml:space="preserve"> e indicadores quantitativos e qualitativos adicionais</w:t>
      </w:r>
      <w:r>
        <w:rPr>
          <w:rFonts w:eastAsia="Times New Roman" w:cs="Times New Roman"/>
          <w:szCs w:val="20"/>
          <w:vertAlign w:val="superscript"/>
          <w:lang w:eastAsia="de-DE"/>
        </w:rPr>
        <w:footnoteReference w:id="44"/>
      </w:r>
      <w:r>
        <w:t xml:space="preserve">), de preferência em colaboração com os peritos da avaliação (regiões a verde na Figura 6) (ver </w:t>
      </w:r>
      <w:hyperlink w:anchor="Complementing" w:history="1">
        <w:r>
          <w:rPr>
            <w:rStyle w:val="Hyperlink"/>
            <w:sz w:val="20"/>
            <w:szCs w:val="20"/>
          </w:rPr>
          <w:t>Capítulo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Responder às questões de avaliação comuns pertinentes (obrigatório)</w:t>
      </w:r>
    </w:p>
    <w:p w:rsidR="00A45935" w:rsidRPr="00E05D08" w:rsidRDefault="00A45935" w:rsidP="00E05D08">
      <w:pPr>
        <w:spacing w:after="120" w:line="280" w:lineRule="atLeast"/>
        <w:mirrorIndents/>
        <w:rPr>
          <w:rFonts w:eastAsia="Times New Roman" w:cs="Times New Roman"/>
          <w:szCs w:val="20"/>
        </w:rPr>
      </w:pPr>
      <w:r>
        <w:t xml:space="preserve">Os avaliadores do PDR avaliarão as realizações do PDR na promoção da inovação e os seus contributos para os objetivos da política de desenvolvimento rural nacionais/regionais e da UE. Estes utilizarão os resultados da avaliação na formulação de respostas às questões de avaliação comuns, adicionais e específicas dos programas (regiões a cor de laranja na Figura 6). As questões de avaliação relacionadas com a inovação requererão uma abordagem específica para a respetiva resposta (ver </w:t>
      </w:r>
      <w:hyperlink w:anchor="Answering" w:history="1">
        <w:r>
          <w:rPr>
            <w:rStyle w:val="Hyperlink"/>
            <w:sz w:val="20"/>
            <w:szCs w:val="20"/>
          </w:rPr>
          <w:t>Capítulo 2.4</w:t>
        </w:r>
      </w:hyperlink>
      <w:r>
        <w:t>).</w:t>
      </w:r>
    </w:p>
    <w:p w:rsidR="00A45935" w:rsidRDefault="00096490" w:rsidP="00096490">
      <w:pPr>
        <w:pStyle w:val="HHeadingfigures"/>
        <w:numPr>
          <w:ilvl w:val="0"/>
          <w:numId w:val="0"/>
        </w:numPr>
        <w:ind w:left="1134"/>
      </w:pPr>
      <w:bookmarkStart w:id="91" w:name="_Toc503284759"/>
      <w:r>
        <w:t>Figura 6.</w:t>
      </w:r>
      <w:r>
        <w:tab/>
      </w:r>
      <w:r w:rsidR="00626C0C">
        <w:t>Abordagem da avaliação da inovação nos PDR</w:t>
      </w:r>
      <w:bookmarkEnd w:id="91"/>
    </w:p>
    <w:p w:rsidR="00F82671" w:rsidRPr="00F82671" w:rsidRDefault="00F82671" w:rsidP="00F82671">
      <w:pPr>
        <w:pStyle w:val="HStandard"/>
      </w:pPr>
      <w:r w:rsidRPr="00F82671">
        <w:rPr>
          <w:lang w:val="en-GB" w:eastAsia="en-GB"/>
        </w:rPr>
        <w:drawing>
          <wp:inline distT="0" distB="0" distL="0" distR="0" wp14:anchorId="13A60085" wp14:editId="626EBAD1">
            <wp:extent cx="5731510" cy="321949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19493"/>
                    </a:xfrm>
                    <a:prstGeom prst="rect">
                      <a:avLst/>
                    </a:prstGeom>
                    <a:noFill/>
                    <a:ln>
                      <a:noFill/>
                    </a:ln>
                  </pic:spPr>
                </pic:pic>
              </a:graphicData>
            </a:graphic>
          </wp:inline>
        </w:drawing>
      </w:r>
    </w:p>
    <w:p w:rsidR="00A45935" w:rsidRPr="00E05D08" w:rsidRDefault="00A45935" w:rsidP="00E05D08">
      <w:pPr>
        <w:spacing w:after="120" w:line="280" w:lineRule="atLeast"/>
        <w:mirrorIndents/>
        <w:jc w:val="center"/>
        <w:rPr>
          <w:rFonts w:eastAsia="Times New Roman" w:cs="Times New Roman"/>
          <w:szCs w:val="20"/>
          <w:lang w:eastAsia="de-DE"/>
        </w:rPr>
      </w:pP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Fonte: Serviço Europeu de Assistência na Avaliação para o Desenvolvimento Rural, 2017.</w:t>
      </w:r>
      <w:bookmarkStart w:id="92" w:name="_Toc493151902"/>
      <w:bookmarkStart w:id="93" w:name="_Toc501382128"/>
    </w:p>
    <w:p w:rsidR="00A45935" w:rsidRPr="002271D9" w:rsidRDefault="00A45935" w:rsidP="00B421B9">
      <w:pPr>
        <w:pStyle w:val="HHeading2"/>
        <w:numPr>
          <w:ilvl w:val="1"/>
          <w:numId w:val="119"/>
        </w:numPr>
        <w:ind w:left="567" w:hanging="567"/>
      </w:pPr>
      <w:bookmarkStart w:id="94" w:name="Screening_Potential"/>
      <w:bookmarkStart w:id="95" w:name="_Toc508372662"/>
      <w:bookmarkEnd w:id="94"/>
      <w:r>
        <w:t>Análise do potencial de inovação das medidas/submedidas do PDR (recomendado)</w:t>
      </w:r>
      <w:bookmarkEnd w:id="92"/>
      <w:bookmarkEnd w:id="93"/>
      <w:bookmarkEnd w:id="9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Por que razão deveríamos analisar as medidas do PDR em termos do seu potencial de inovação? </w:t>
      </w:r>
    </w:p>
    <w:p w:rsidR="00C64B64" w:rsidRPr="00E05D08" w:rsidRDefault="00A45935" w:rsidP="00E05D08">
      <w:pPr>
        <w:spacing w:after="120" w:line="280" w:lineRule="atLeast"/>
        <w:mirrorIndents/>
        <w:rPr>
          <w:rFonts w:eastAsia="Times New Roman" w:cs="Times New Roman"/>
          <w:szCs w:val="20"/>
        </w:rPr>
      </w:pPr>
      <w:r>
        <w:t xml:space="preserve">As autoridades de gestão gozam de grande flexibilidade para combinar e conceber várias medidas de desenvolvimento rural no âmbito dos DI, traduzindo-se em abordagens muito diferentes ao PDR em matéria de inovação. A análise da seleção e a combinação de medidas/submedidas no âmbito do PDR contribuem para uma melhor compreensão da abordagem específica no sentido da inovação, bem como do potencial de inovação do PDR. Tal constitui uma base útil para responder a questões de avaliação comuns relacionadas com a inovação, sobretudo nas fases finais da avaliação (por exemplo, o RAE em 2019 ou avaliação ex post), em que será possível definir os efeitos dos impactos do PDR sobre os processos de inovação. </w:t>
      </w:r>
    </w:p>
    <w:p w:rsidR="00A45935" w:rsidRPr="00E05D08" w:rsidRDefault="00A45935" w:rsidP="00B421B9">
      <w:pPr>
        <w:pStyle w:val="HHeading4"/>
        <w:rPr>
          <w:rFonts w:eastAsia="Calibri"/>
          <w:shd w:val="clear" w:color="auto" w:fill="FFFFFF"/>
        </w:rPr>
      </w:pPr>
      <w:r>
        <w:rPr>
          <w:shd w:val="clear" w:color="auto" w:fill="FFFFFF"/>
        </w:rPr>
        <w:t xml:space="preserve">Qual é o potencial de inovação das medidas/submedidas do PDR? </w:t>
      </w:r>
    </w:p>
    <w:p w:rsidR="00A45935" w:rsidRPr="00E05D08" w:rsidRDefault="00A45935" w:rsidP="00E05D08">
      <w:pPr>
        <w:spacing w:after="120" w:line="280" w:lineRule="atLeast"/>
        <w:mirrorIndents/>
        <w:rPr>
          <w:rFonts w:eastAsia="Times New Roman" w:cs="Times New Roman"/>
          <w:szCs w:val="20"/>
        </w:rPr>
      </w:pPr>
      <w:r w:rsidRPr="00241313">
        <w:rPr>
          <w:b/>
        </w:rPr>
        <w:t>O potencial de inovação das medidas/submedidas do PDR</w:t>
      </w:r>
      <w:r>
        <w:t xml:space="preserve">, consideradas isoladamente ou em combinação no âmbito de outras medidas/submedidas no âmbito dos DI, é entendido como a sua capacidade de fomentar a inovação no âmbito de um sistema de inovação em zonas rurais a) </w:t>
      </w:r>
      <w:r>
        <w:lastRenderedPageBreak/>
        <w:t>cultivando ideias inovadoras, b) reforçando as capacidades de inovação num espírito de colaboração e c) criando um ambiente propício à inovação.</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Quais são as etapas de trabalho para a identificação do potencial de inovação do PDR? </w:t>
      </w:r>
    </w:p>
    <w:p w:rsidR="00A45935" w:rsidRPr="00E05D08" w:rsidRDefault="00A45935" w:rsidP="00E05D08">
      <w:pPr>
        <w:spacing w:after="120" w:line="280" w:lineRule="atLeast"/>
        <w:mirrorIndents/>
        <w:rPr>
          <w:rFonts w:eastAsia="Times New Roman" w:cs="Times New Roman"/>
          <w:szCs w:val="20"/>
        </w:rPr>
      </w:pPr>
      <w:r w:rsidRPr="00F82671">
        <w:rPr>
          <w:b/>
        </w:rPr>
        <w:t>A análise das medidas e submedidas do PDR</w:t>
      </w:r>
      <w:r>
        <w:t xml:space="preserve"> debruça-se sobre a forma como as medidas são concebidas para ajudar a alimentar novas ideias, desenvolver a capacidade de inovação ou criar um ambiente propício à inovação. O método de trabalho pode consistir numa avaliação especializada ou num método participativo que envolva mais partes interessadas importantes do PDR. Este exercício de análise poderia ser realizado respondendo às questões fundamentais propostas (ver a </w:t>
      </w:r>
      <w:hyperlink w:anchor="Steps_of_the_screenig" w:history="1">
        <w:r>
          <w:rPr>
            <w:rStyle w:val="Hyperlink"/>
            <w:sz w:val="20"/>
            <w:szCs w:val="20"/>
          </w:rPr>
          <w:t>Figura 7</w:t>
        </w:r>
      </w:hyperlink>
      <w:r>
        <w:t>).</w:t>
      </w:r>
    </w:p>
    <w:p w:rsidR="00A45935" w:rsidRDefault="00096490" w:rsidP="00096490">
      <w:pPr>
        <w:pStyle w:val="HHeadingfigures"/>
        <w:numPr>
          <w:ilvl w:val="0"/>
          <w:numId w:val="0"/>
        </w:numPr>
        <w:ind w:left="1134"/>
      </w:pPr>
      <w:bookmarkStart w:id="96" w:name="Steps_of_the_screenig"/>
      <w:bookmarkStart w:id="97" w:name="_Toc503284760"/>
      <w:bookmarkEnd w:id="96"/>
      <w:r>
        <w:t>Figura 7.</w:t>
      </w:r>
      <w:r>
        <w:tab/>
      </w:r>
      <w:r w:rsidR="00626C0C">
        <w:t>Etapas da análise das medidas/submedidas do PDR em termos do seu potencial de inovação</w:t>
      </w:r>
      <w:bookmarkEnd w:id="97"/>
    </w:p>
    <w:p w:rsidR="00CA378B" w:rsidRPr="00CA378B" w:rsidRDefault="00CA378B" w:rsidP="00CA378B">
      <w:pPr>
        <w:pStyle w:val="HStandard"/>
      </w:pPr>
      <w:r w:rsidRPr="00CA378B">
        <w:rPr>
          <w:lang w:val="en-GB" w:eastAsia="en-GB"/>
        </w:rPr>
        <w:drawing>
          <wp:inline distT="0" distB="0" distL="0" distR="0" wp14:anchorId="22F76734" wp14:editId="083EF3B6">
            <wp:extent cx="5731433" cy="2546451"/>
            <wp:effectExtent l="0" t="0" r="3175"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0904"/>
                    <a:stretch/>
                  </pic:blipFill>
                  <pic:spPr bwMode="auto">
                    <a:xfrm>
                      <a:off x="0" y="0"/>
                      <a:ext cx="5731510" cy="2546485"/>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uppressAutoHyphens/>
        <w:spacing w:before="60" w:after="0" w:line="240" w:lineRule="auto"/>
        <w:ind w:left="1134" w:right="1134"/>
        <w:mirrorIndents/>
        <w:rPr>
          <w:rFonts w:eastAsia="Times New Roman" w:cs="Times New Roman"/>
          <w:i/>
          <w:sz w:val="16"/>
          <w:szCs w:val="20"/>
          <w:lang w:eastAsia="de-DE"/>
        </w:rPr>
      </w:pP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Fonte: Serviço Europeu de Assistência na Avaliação para o Desenvolvimento Rural,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lastRenderedPageBreak/>
        <w:t>O que deve ser analisado no PDR?</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43BEC009" wp14:editId="07D9E3D4">
                <wp:simplePos x="0" y="0"/>
                <wp:positionH relativeFrom="column">
                  <wp:posOffset>3073400</wp:posOffset>
                </wp:positionH>
                <wp:positionV relativeFrom="paragraph">
                  <wp:posOffset>506730</wp:posOffset>
                </wp:positionV>
                <wp:extent cx="2685415" cy="3143250"/>
                <wp:effectExtent l="0" t="0" r="1968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85415" cy="3143250"/>
                        </a:xfrm>
                        <a:prstGeom prst="round2DiagRect">
                          <a:avLst>
                            <a:gd name="adj1" fmla="val 6437"/>
                            <a:gd name="adj2" fmla="val 0"/>
                          </a:avLst>
                        </a:prstGeom>
                        <a:noFill/>
                        <a:ln w="25400" cap="flat" cmpd="sng" algn="ctr">
                          <a:solidFill>
                            <a:srgbClr val="BE4A35"/>
                          </a:solidFill>
                          <a:prstDash val="solid"/>
                        </a:ln>
                        <a:effectLst/>
                      </wps:spPr>
                      <wps:txbx>
                        <w:txbxContent>
                          <w:p w:rsidR="00B06BF7" w:rsidRPr="00241313" w:rsidRDefault="00B06BF7" w:rsidP="00626C0C">
                            <w:pPr>
                              <w:pStyle w:val="Normal12PTcouleurgris"/>
                              <w:rPr>
                                <w:sz w:val="16"/>
                                <w:szCs w:val="16"/>
                              </w:rPr>
                            </w:pPr>
                            <w:r>
                              <w:rPr>
                                <w:noProof/>
                                <w:lang w:val="en-GB" w:eastAsia="en-GB"/>
                              </w:rPr>
                              <w:drawing>
                                <wp:inline distT="0" distB="0" distL="0" distR="0" wp14:anchorId="00D40B71" wp14:editId="61C7A56C">
                                  <wp:extent cx="664845" cy="487680"/>
                                  <wp:effectExtent l="0" t="0" r="0" b="7620"/>
                                  <wp:docPr id="1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241313">
                              <w:rPr>
                                <w:sz w:val="16"/>
                                <w:szCs w:val="16"/>
                              </w:rPr>
                              <w:t>Os termos do artigo 15.º do Regulamento (UE) n.º 1305/2013 preveem sete elementos que devem ser abrangidos por</w:t>
                            </w:r>
                            <w:r w:rsidRPr="00241313">
                              <w:rPr>
                                <w:color w:val="BE4A35"/>
                                <w:sz w:val="16"/>
                                <w:szCs w:val="16"/>
                              </w:rPr>
                              <w:t xml:space="preserve"> </w:t>
                            </w:r>
                            <w:r w:rsidRPr="00241313">
                              <w:rPr>
                                <w:b/>
                                <w:color w:val="BE4A35"/>
                                <w:sz w:val="16"/>
                                <w:szCs w:val="16"/>
                              </w:rPr>
                              <w:t>serviços de consultadoria e aconselhamento</w:t>
                            </w:r>
                            <w:r w:rsidRPr="00241313">
                              <w:rPr>
                                <w:sz w:val="16"/>
                                <w:szCs w:val="16"/>
                                <w:vertAlign w:val="superscript"/>
                              </w:rPr>
                              <w:t>45</w:t>
                            </w:r>
                            <w:r w:rsidRPr="00241313">
                              <w:rPr>
                                <w:sz w:val="16"/>
                                <w:szCs w:val="16"/>
                              </w:rPr>
                              <w:t>. Destes, apenas um (n.º 4, alínea c)), menciona explicitamente a inovação. Não existe qualquer requisito ou certeza de que outros tipos de aconselhamento (por exemplo, n.º 4, alínea g) - aconselhamento específico aos agricultores que se instalam pela primeira vez) fomentem a inovação. Por conseguinte, a análise da conceção da medida no âmbito de um PDR específico pode demonstrar se a medida (ou a submedida, se aplicada) pode ser pertinente para a promoção da inovação.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C009" id="Rectangle: Diagonal Corners Rounded 64" o:spid="_x0000_s1037" style="position:absolute;left:0;text-align:left;margin-left:242pt;margin-top:39.9pt;width:211.4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5415,314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" adj="-11796480,,5400" path="m172860,l2685415,r,l2685415,2970390v,95468,-77392,172860,-172860,172860l,3143250r,l,172860c,77392,77392,,172860,xe" filled="f" strokecolor="#be4a35" strokeweight="2pt">
                <v:stroke joinstyle="miter"/>
                <v:formulas/>
                <v:path arrowok="t" o:connecttype="custom" o:connectlocs="172860,0;2685415,0;2685415,0;2685415,2970390;2512555,3143250;0,3143250;0,3143250;0,172860;172860,0" o:connectangles="0,0,0,0,0,0,0,0,0" textboxrect="0,0,2685415,3143250"/>
                <v:textbox>
                  <w:txbxContent>
                    <w:p w:rsidR="00B06BF7" w:rsidRPr="00241313" w:rsidRDefault="00B06BF7" w:rsidP="00626C0C">
                      <w:pPr>
                        <w:pStyle w:val="Normal12PTcouleurgris"/>
                        <w:rPr>
                          <w:sz w:val="16"/>
                          <w:szCs w:val="16"/>
                        </w:rPr>
                      </w:pPr>
                      <w:r>
                        <w:rPr>
                          <w:noProof/>
                          <w:lang w:val="en-GB" w:eastAsia="en-GB"/>
                        </w:rPr>
                        <w:drawing>
                          <wp:inline distT="0" distB="0" distL="0" distR="0" wp14:anchorId="00D40B71" wp14:editId="61C7A56C">
                            <wp:extent cx="664845" cy="487680"/>
                            <wp:effectExtent l="0" t="0" r="0" b="7620"/>
                            <wp:docPr id="1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241313">
                        <w:rPr>
                          <w:sz w:val="16"/>
                          <w:szCs w:val="16"/>
                        </w:rPr>
                        <w:t>Os termos do artigo 15.º do Regulamento (UE) n.º 1305/2013 preveem sete elementos que devem ser abrangidos por</w:t>
                      </w:r>
                      <w:r w:rsidRPr="00241313">
                        <w:rPr>
                          <w:color w:val="BE4A35"/>
                          <w:sz w:val="16"/>
                          <w:szCs w:val="16"/>
                        </w:rPr>
                        <w:t xml:space="preserve"> </w:t>
                      </w:r>
                      <w:r w:rsidRPr="00241313">
                        <w:rPr>
                          <w:b/>
                          <w:color w:val="BE4A35"/>
                          <w:sz w:val="16"/>
                          <w:szCs w:val="16"/>
                        </w:rPr>
                        <w:t>serviços de consultadoria e aconselhamento</w:t>
                      </w:r>
                      <w:r w:rsidRPr="00241313">
                        <w:rPr>
                          <w:sz w:val="16"/>
                          <w:szCs w:val="16"/>
                          <w:vertAlign w:val="superscript"/>
                        </w:rPr>
                        <w:t>45</w:t>
                      </w:r>
                      <w:r w:rsidRPr="00241313">
                        <w:rPr>
                          <w:sz w:val="16"/>
                          <w:szCs w:val="16"/>
                        </w:rPr>
                        <w:t>. Destes, apenas um (n.º 4, alínea c)), menciona explicitamente a inovação. Não existe qualquer requisito ou certeza de que outros tipos de aconselhamento (por exemplo, n.º 4, alínea g) - aconselhamento específico aos agricultores que se instalam pela primeira vez) fomentem a inovação. Por conseguinte, a análise da conceção da medida no âmbito de um PDR específico pode demonstrar se a medida (ou a submedida, se aplicada) pode ser pertinente para a promoção da inovação.</w:t>
                      </w:r>
                    </w:p>
                  </w:txbxContent>
                </v:textbox>
                <w10:wrap type="square"/>
              </v:shape>
            </w:pict>
          </mc:Fallback>
        </mc:AlternateContent>
      </w:r>
      <w:r>
        <w:rPr>
          <w:b/>
          <w:szCs w:val="20"/>
        </w:rPr>
        <w:t>A análise</w:t>
      </w:r>
      <w:r>
        <w:t xml:space="preserve"> </w:t>
      </w:r>
      <w:r>
        <w:rPr>
          <w:b/>
          <w:szCs w:val="20"/>
        </w:rPr>
        <w:t>deve incidir sobre a capacidade tanto das medidas individuais como dos grupos de medidas no âmbito dos DI</w:t>
      </w:r>
      <w:r>
        <w:t xml:space="preserve"> para fomentar a inovação (por exemplo, a sua capacidade de contribuir para as três vias de inovação, tal como explicado no </w:t>
      </w:r>
      <w:hyperlink w:anchor="Innovation_RD" w:history="1">
        <w:r>
          <w:rPr>
            <w:rStyle w:val="Hyperlink"/>
            <w:sz w:val="20"/>
            <w:szCs w:val="20"/>
          </w:rPr>
          <w:t>Capítulo 1.1</w:t>
        </w:r>
      </w:hyperlink>
      <w:r>
        <w:t>)</w:t>
      </w:r>
      <w:r>
        <w:rPr>
          <w:rStyle w:val="FootnoteReference"/>
          <w:rFonts w:eastAsia="Times New Roman" w:cs="Times New Roman"/>
          <w:color w:val="FFFFFF" w:themeColor="background1"/>
          <w:szCs w:val="20"/>
          <w:lang w:eastAsia="de-DE"/>
        </w:rPr>
        <w:footnoteReference w:id="45"/>
      </w:r>
      <w:r>
        <w:t xml:space="preserve">. Do mesmo modo, o potencial da RRN para fomentar a inovação também pode ser identificado através da análise das ações da RRN (ver a </w:t>
      </w:r>
      <w:hyperlink w:anchor="CEQ_NRN" w:history="1">
        <w:r>
          <w:rPr>
            <w:rStyle w:val="Hyperlink"/>
            <w:sz w:val="20"/>
            <w:szCs w:val="20"/>
          </w:rPr>
          <w:t>Secção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De um modo geral, a análise do potencial de inovação deve pelo menos abranger as medidas associadas às seguintes QAC: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A QAC n.º 1 está associada à M1, M2 e M16 (artigos 14.º 15.º e 35.º do Regulamento (UE) n.º 1305/2013, respetivamente). A análise incidirá sobre o potencial de inovação destas medidas e ajudará a responder à parte da QAC relativa à inovação.</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A QAC n.º 2 está associada à M16 (cooperação). As submedidas da M16 serão analisadas sobretudo em termos do seu potencial de contribuição para as três vias. Os resultados ajudarão a responder à parte da QAC relativa à inovação.</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A QAC n.º 21 abrange os quatro objetivos das RRN. A análise do potencial de inovação das RRN incidirá sobre as ações das RRN que contribuam para o objetivo comum das RRN de «Fomentar a inovação na agricultura, na produção alimentar, nas florestas e nas zonas rurais». Esta análise ajudará a responder à parte da QAC relativa à inovação.</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A resposta à QAC n.º 23 far-se-á com a avaliação dos contributos do PDR para a realização do grande objetivo de dedicar 3 % do PIB da UE à inovação/I&amp;D (setores público e privado combinados)</w:t>
      </w:r>
      <w:r>
        <w:rPr>
          <w:rFonts w:eastAsia="Times New Roman" w:cs="Times New Roman"/>
          <w:szCs w:val="20"/>
          <w:vertAlign w:val="superscript"/>
          <w:lang w:eastAsia="de-DE"/>
        </w:rPr>
        <w:footnoteReference w:id="46"/>
      </w:r>
      <w:r>
        <w:t xml:space="preserve"> utilizando simultaneamente indicadores relacionados com esse objetivo. A análise de todas as medidas do PDR em termos de potencial de inovação é importante para: a) identificar as medidas que contribuem para fomentar a inovação e b) ter em conta as despesas associadas a essas medidas aquando do cálculo dos indicadores utilizados para responder à QAC n.º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A QAC n.º 30 está associada ao objetivo transversal em matéria de inovação. No caso em apreço, todas as medidas/submedidas e a respetiva combinação no âmbito de cada DI serão analisadas com o intuito de identificar as que têm potencial para fomentar a inovação através das três vias. Esta análise deverá auxiliar o avaliador a idealizar uma avaliação de caso de estudo com base na teoria da mudança proposta para utilização na resposta à QAC n.º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Qual é o resultado? </w:t>
      </w:r>
    </w:p>
    <w:p w:rsidR="00A45935" w:rsidRDefault="00A45935" w:rsidP="00E05D08">
      <w:pPr>
        <w:spacing w:after="120" w:line="280" w:lineRule="atLeast"/>
        <w:mirrorIndents/>
        <w:rPr>
          <w:rFonts w:eastAsia="Times New Roman" w:cs="Times New Roman"/>
          <w:szCs w:val="20"/>
        </w:rPr>
      </w:pPr>
      <w:r>
        <w:rPr>
          <w:b/>
          <w:szCs w:val="20"/>
        </w:rPr>
        <w:t>A análise ajuda a tornar mais explícita a lógica de intervenção do PDR relacionada com a inovação.</w:t>
      </w:r>
      <w:r>
        <w:t xml:space="preserve"> Esta identifica as medidas do PDR com maior potencial para fomentar a inovação e também esclarece as áreas (vias) a que dizem respeito. Aquando da avaliação posterior dos efeitos, os </w:t>
      </w:r>
      <w:r>
        <w:lastRenderedPageBreak/>
        <w:t xml:space="preserve">resultados desta análise serão tidos em consideração para comparar o potencial com as realizações efetivas do PDR na promoção da inovação. Tal facto ajuda a centrar o trabalho do avaliador sobre as medidas e submedidas que são consideradas particularmente pertinentes para fomentar a inovação. </w:t>
      </w:r>
    </w:p>
    <w:p w:rsidR="007A450E" w:rsidRDefault="00CA378B" w:rsidP="00B06BF7">
      <w:pPr>
        <w:spacing w:after="120" w:line="280" w:lineRule="atLeast"/>
        <w:mirrorIndents/>
        <w:rPr>
          <w:rFonts w:eastAsia="Times New Roman" w:cs="Times New Roman"/>
          <w:b/>
          <w:szCs w:val="20"/>
        </w:rPr>
      </w:pPr>
      <w:r>
        <w:rPr>
          <w:b/>
          <w:noProof/>
          <w:lang w:val="en-GB" w:eastAsia="en-GB"/>
        </w:rPr>
        <mc:AlternateContent>
          <mc:Choice Requires="wps">
            <w:drawing>
              <wp:anchor distT="0" distB="0" distL="114300" distR="114300" simplePos="0" relativeHeight="251742208" behindDoc="0" locked="0" layoutInCell="1" allowOverlap="1" wp14:anchorId="0F39E151" wp14:editId="3A859A1F">
                <wp:simplePos x="0" y="0"/>
                <wp:positionH relativeFrom="page">
                  <wp:posOffset>1188720</wp:posOffset>
                </wp:positionH>
                <wp:positionV relativeFrom="page">
                  <wp:posOffset>2135911</wp:posOffset>
                </wp:positionV>
                <wp:extent cx="4792345" cy="1834055"/>
                <wp:effectExtent l="0" t="0" r="27305" b="1397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792345" cy="1834055"/>
                        </a:xfrm>
                        <a:prstGeom prst="round2DiagRect">
                          <a:avLst>
                            <a:gd name="adj1" fmla="val 9754"/>
                            <a:gd name="adj2" fmla="val 0"/>
                          </a:avLst>
                        </a:prstGeom>
                        <a:noFill/>
                        <a:ln w="25400" cap="flat" cmpd="sng" algn="ctr">
                          <a:solidFill>
                            <a:srgbClr val="8BAB80"/>
                          </a:solidFill>
                          <a:prstDash val="solid"/>
                        </a:ln>
                        <a:effectLst/>
                      </wps:spPr>
                      <wps:txbx>
                        <w:txbxContent>
                          <w:p w:rsidR="00B06BF7" w:rsidRPr="00275EE5" w:rsidRDefault="00B06BF7" w:rsidP="00CA378B">
                            <w:pPr>
                              <w:pStyle w:val="Normal12PTcouleurgris"/>
                            </w:pPr>
                            <w:r w:rsidRPr="00171202">
                              <w:rPr>
                                <w:noProof/>
                                <w:sz w:val="18"/>
                                <w:lang w:val="en-GB" w:eastAsia="en-GB"/>
                              </w:rPr>
                              <w:drawing>
                                <wp:inline distT="0" distB="0" distL="0" distR="0" wp14:anchorId="284ADA69" wp14:editId="5AA9ACDC">
                                  <wp:extent cx="578362" cy="539115"/>
                                  <wp:effectExtent l="0" t="0" r="0" b="0"/>
                                  <wp:docPr id="708"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402"/>
                              <w:gridCol w:w="3402"/>
                            </w:tblGrid>
                            <w:tr w:rsidR="00B06BF7" w:rsidRPr="0079762F" w:rsidTr="00E05D08">
                              <w:tc>
                                <w:tcPr>
                                  <w:tcW w:w="3402" w:type="dxa"/>
                                  <w:shd w:val="clear" w:color="auto" w:fill="FFFFFF"/>
                                </w:tcPr>
                                <w:p w:rsidR="00B06BF7" w:rsidRPr="00CA378B" w:rsidRDefault="00B06BF7" w:rsidP="007A450E">
                                  <w:pPr>
                                    <w:suppressOverlap/>
                                    <w:jc w:val="left"/>
                                    <w:rPr>
                                      <w:rFonts w:cs="Arial"/>
                                      <w:b/>
                                      <w:color w:val="404040"/>
                                      <w:sz w:val="14"/>
                                      <w:szCs w:val="14"/>
                                    </w:rPr>
                                  </w:pPr>
                                  <w:r w:rsidRPr="00CA378B">
                                    <w:rPr>
                                      <w:b/>
                                      <w:color w:val="404040"/>
                                      <w:sz w:val="14"/>
                                      <w:szCs w:val="14"/>
                                    </w:rPr>
                                    <w:t>Práticas aconselháveis</w:t>
                                  </w:r>
                                </w:p>
                                <w:p w:rsidR="00B06BF7" w:rsidRPr="00CA378B" w:rsidRDefault="00B06BF7" w:rsidP="007A450E">
                                  <w:pPr>
                                    <w:pStyle w:val="Hlistbullet"/>
                                    <w:spacing w:line="160" w:lineRule="atLeast"/>
                                    <w:jc w:val="left"/>
                                    <w:rPr>
                                      <w:sz w:val="14"/>
                                      <w:szCs w:val="14"/>
                                    </w:rPr>
                                  </w:pPr>
                                  <w:r w:rsidRPr="00CA378B">
                                    <w:rPr>
                                      <w:sz w:val="14"/>
                                      <w:szCs w:val="14"/>
                                    </w:rPr>
                                    <w:t xml:space="preserve">Avaliar a conceção da medida (ligação às necessidades, objetivos, critérios de seleção, beneficiários) em termos de potencial para fomentar a inovação e a sua intensidade. </w:t>
                                  </w:r>
                                </w:p>
                                <w:p w:rsidR="00B06BF7" w:rsidRPr="00CA378B" w:rsidRDefault="00B06BF7" w:rsidP="007A450E">
                                  <w:pPr>
                                    <w:pStyle w:val="Hlistbullet"/>
                                    <w:spacing w:line="160" w:lineRule="atLeast"/>
                                    <w:jc w:val="left"/>
                                    <w:rPr>
                                      <w:sz w:val="14"/>
                                      <w:szCs w:val="14"/>
                                    </w:rPr>
                                  </w:pPr>
                                  <w:r w:rsidRPr="00CA378B">
                                    <w:rPr>
                                      <w:sz w:val="14"/>
                                      <w:szCs w:val="14"/>
                                    </w:rPr>
                                    <w:t xml:space="preserve">Reconhecer a lógica de intervenção subjacente do PDR relacionada com a inovação. </w:t>
                                  </w:r>
                                </w:p>
                              </w:tc>
                              <w:tc>
                                <w:tcPr>
                                  <w:tcW w:w="3402" w:type="dxa"/>
                                  <w:shd w:val="clear" w:color="auto" w:fill="auto"/>
                                </w:tcPr>
                                <w:p w:rsidR="00B06BF7" w:rsidRPr="00CA378B" w:rsidRDefault="00B06BF7" w:rsidP="007A450E">
                                  <w:pPr>
                                    <w:suppressOverlap/>
                                    <w:jc w:val="left"/>
                                    <w:rPr>
                                      <w:rFonts w:cs="Arial"/>
                                      <w:b/>
                                      <w:color w:val="404040"/>
                                      <w:sz w:val="14"/>
                                      <w:szCs w:val="14"/>
                                    </w:rPr>
                                  </w:pPr>
                                  <w:r w:rsidRPr="00CA378B">
                                    <w:rPr>
                                      <w:b/>
                                      <w:color w:val="404040"/>
                                      <w:sz w:val="14"/>
                                      <w:szCs w:val="14"/>
                                    </w:rPr>
                                    <w:t>Práticas desaconselháveis</w:t>
                                  </w:r>
                                </w:p>
                                <w:p w:rsidR="00B06BF7" w:rsidRPr="00CA378B" w:rsidRDefault="00B06BF7" w:rsidP="007A450E">
                                  <w:pPr>
                                    <w:pStyle w:val="Hlistbullet"/>
                                    <w:spacing w:line="160" w:lineRule="atLeast"/>
                                    <w:jc w:val="left"/>
                                    <w:rPr>
                                      <w:sz w:val="14"/>
                                      <w:szCs w:val="14"/>
                                    </w:rPr>
                                  </w:pPr>
                                  <w:r w:rsidRPr="00CA378B">
                                    <w:rPr>
                                      <w:sz w:val="14"/>
                                      <w:szCs w:val="14"/>
                                    </w:rPr>
                                    <w:t xml:space="preserve">Limitar a análise do potencial de inovação do PDR apenas à menção do termo «inovador/a» nos critérios de seleção e medidas. </w:t>
                                  </w:r>
                                </w:p>
                                <w:p w:rsidR="00B06BF7" w:rsidRPr="00CA378B" w:rsidRDefault="00B06BF7" w:rsidP="007A450E">
                                  <w:pPr>
                                    <w:suppressOverlap/>
                                    <w:jc w:val="left"/>
                                    <w:rPr>
                                      <w:rFonts w:cs="Arial"/>
                                      <w:color w:val="1A1A1A"/>
                                      <w:sz w:val="14"/>
                                      <w:szCs w:val="14"/>
                                    </w:rPr>
                                  </w:pPr>
                                </w:p>
                              </w:tc>
                            </w:tr>
                          </w:tbl>
                          <w:p w:rsidR="00B06BF7" w:rsidRPr="00275EE5" w:rsidRDefault="00B06BF7"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E151" id="Rectangle: Diagonal Corners Rounded 67" o:spid="_x0000_s1038" style="position:absolute;left:0;text-align:left;margin-left:93.6pt;margin-top:168.2pt;width:377.35pt;height:144.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792345,1834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" adj="-11796480,,5400" path="m178894,l4792345,r,l4792345,1655161v,98800,-80094,178894,-178894,178894l,1834055r,l,178894c,80094,80094,,178894,xe" filled="f" strokecolor="#8bab80" strokeweight="2pt">
                <v:stroke joinstyle="miter"/>
                <v:formulas/>
                <v:path arrowok="t" o:connecttype="custom" o:connectlocs="178894,0;4792345,0;4792345,0;4792345,1655161;4613451,1834055;0,1834055;0,1834055;0,178894;178894,0" o:connectangles="0,0,0,0,0,0,0,0,0" textboxrect="0,0,4792345,1834055"/>
                <v:textbox>
                  <w:txbxContent>
                    <w:p w:rsidR="00B06BF7" w:rsidRPr="00275EE5" w:rsidRDefault="00B06BF7" w:rsidP="00CA378B">
                      <w:pPr>
                        <w:pStyle w:val="Normal12PTcouleurgris"/>
                      </w:pPr>
                      <w:r w:rsidRPr="00171202">
                        <w:rPr>
                          <w:noProof/>
                          <w:sz w:val="18"/>
                          <w:lang w:val="en-GB" w:eastAsia="en-GB"/>
                        </w:rPr>
                        <w:drawing>
                          <wp:inline distT="0" distB="0" distL="0" distR="0" wp14:anchorId="284ADA69" wp14:editId="5AA9ACDC">
                            <wp:extent cx="578362" cy="539115"/>
                            <wp:effectExtent l="0" t="0" r="0" b="0"/>
                            <wp:docPr id="708"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402"/>
                        <w:gridCol w:w="3402"/>
                      </w:tblGrid>
                      <w:tr w:rsidR="00B06BF7" w:rsidRPr="0079762F" w:rsidTr="00E05D08">
                        <w:tc>
                          <w:tcPr>
                            <w:tcW w:w="3402" w:type="dxa"/>
                            <w:shd w:val="clear" w:color="auto" w:fill="FFFFFF"/>
                          </w:tcPr>
                          <w:p w:rsidR="00B06BF7" w:rsidRPr="00CA378B" w:rsidRDefault="00B06BF7" w:rsidP="007A450E">
                            <w:pPr>
                              <w:suppressOverlap/>
                              <w:jc w:val="left"/>
                              <w:rPr>
                                <w:rFonts w:cs="Arial"/>
                                <w:b/>
                                <w:color w:val="404040"/>
                                <w:sz w:val="14"/>
                                <w:szCs w:val="14"/>
                              </w:rPr>
                            </w:pPr>
                            <w:r w:rsidRPr="00CA378B">
                              <w:rPr>
                                <w:b/>
                                <w:color w:val="404040"/>
                                <w:sz w:val="14"/>
                                <w:szCs w:val="14"/>
                              </w:rPr>
                              <w:t>Práticas aconselháveis</w:t>
                            </w:r>
                          </w:p>
                          <w:p w:rsidR="00B06BF7" w:rsidRPr="00CA378B" w:rsidRDefault="00B06BF7" w:rsidP="007A450E">
                            <w:pPr>
                              <w:pStyle w:val="Hlistbullet"/>
                              <w:spacing w:line="160" w:lineRule="atLeast"/>
                              <w:jc w:val="left"/>
                              <w:rPr>
                                <w:sz w:val="14"/>
                                <w:szCs w:val="14"/>
                              </w:rPr>
                            </w:pPr>
                            <w:r w:rsidRPr="00CA378B">
                              <w:rPr>
                                <w:sz w:val="14"/>
                                <w:szCs w:val="14"/>
                              </w:rPr>
                              <w:t xml:space="preserve">Avaliar a conceção da medida (ligação às necessidades, objetivos, critérios de seleção, beneficiários) em termos de potencial para fomentar a inovação e a sua intensidade. </w:t>
                            </w:r>
                          </w:p>
                          <w:p w:rsidR="00B06BF7" w:rsidRPr="00CA378B" w:rsidRDefault="00B06BF7" w:rsidP="007A450E">
                            <w:pPr>
                              <w:pStyle w:val="Hlistbullet"/>
                              <w:spacing w:line="160" w:lineRule="atLeast"/>
                              <w:jc w:val="left"/>
                              <w:rPr>
                                <w:sz w:val="14"/>
                                <w:szCs w:val="14"/>
                              </w:rPr>
                            </w:pPr>
                            <w:r w:rsidRPr="00CA378B">
                              <w:rPr>
                                <w:sz w:val="14"/>
                                <w:szCs w:val="14"/>
                              </w:rPr>
                              <w:t xml:space="preserve">Reconhecer a lógica de intervenção subjacente do PDR relacionada com a inovação. </w:t>
                            </w:r>
                          </w:p>
                        </w:tc>
                        <w:tc>
                          <w:tcPr>
                            <w:tcW w:w="3402" w:type="dxa"/>
                            <w:shd w:val="clear" w:color="auto" w:fill="auto"/>
                          </w:tcPr>
                          <w:p w:rsidR="00B06BF7" w:rsidRPr="00CA378B" w:rsidRDefault="00B06BF7" w:rsidP="007A450E">
                            <w:pPr>
                              <w:suppressOverlap/>
                              <w:jc w:val="left"/>
                              <w:rPr>
                                <w:rFonts w:cs="Arial"/>
                                <w:b/>
                                <w:color w:val="404040"/>
                                <w:sz w:val="14"/>
                                <w:szCs w:val="14"/>
                              </w:rPr>
                            </w:pPr>
                            <w:r w:rsidRPr="00CA378B">
                              <w:rPr>
                                <w:b/>
                                <w:color w:val="404040"/>
                                <w:sz w:val="14"/>
                                <w:szCs w:val="14"/>
                              </w:rPr>
                              <w:t>Práticas desaconselháveis</w:t>
                            </w:r>
                          </w:p>
                          <w:p w:rsidR="00B06BF7" w:rsidRPr="00CA378B" w:rsidRDefault="00B06BF7" w:rsidP="007A450E">
                            <w:pPr>
                              <w:pStyle w:val="Hlistbullet"/>
                              <w:spacing w:line="160" w:lineRule="atLeast"/>
                              <w:jc w:val="left"/>
                              <w:rPr>
                                <w:sz w:val="14"/>
                                <w:szCs w:val="14"/>
                              </w:rPr>
                            </w:pPr>
                            <w:r w:rsidRPr="00CA378B">
                              <w:rPr>
                                <w:sz w:val="14"/>
                                <w:szCs w:val="14"/>
                              </w:rPr>
                              <w:t xml:space="preserve">Limitar a análise do potencial de inovação do PDR apenas à menção do termo «inovador/a» nos critérios de seleção e medidas. </w:t>
                            </w:r>
                          </w:p>
                          <w:p w:rsidR="00B06BF7" w:rsidRPr="00CA378B" w:rsidRDefault="00B06BF7" w:rsidP="007A450E">
                            <w:pPr>
                              <w:suppressOverlap/>
                              <w:jc w:val="left"/>
                              <w:rPr>
                                <w:rFonts w:cs="Arial"/>
                                <w:color w:val="1A1A1A"/>
                                <w:sz w:val="14"/>
                                <w:szCs w:val="14"/>
                              </w:rPr>
                            </w:pPr>
                          </w:p>
                        </w:tc>
                      </w:tr>
                    </w:tbl>
                    <w:p w:rsidR="00B06BF7" w:rsidRPr="00275EE5" w:rsidRDefault="00B06BF7" w:rsidP="007A450E">
                      <w:pPr>
                        <w:pStyle w:val="Normal12PTcouleurgris"/>
                      </w:pPr>
                    </w:p>
                  </w:txbxContent>
                </v:textbox>
                <w10:wrap type="square" anchorx="page" anchory="page"/>
              </v:shape>
            </w:pict>
          </mc:Fallback>
        </mc:AlternateContent>
      </w:r>
      <w:bookmarkStart w:id="98" w:name="_Toc493151903"/>
      <w:bookmarkStart w:id="99" w:name="_Toc501382129"/>
      <w:r w:rsidR="007A450E">
        <w:br w:type="page"/>
      </w:r>
    </w:p>
    <w:p w:rsidR="00A45935" w:rsidRPr="00FC7364" w:rsidRDefault="00A45935" w:rsidP="00B421B9">
      <w:pPr>
        <w:pStyle w:val="HHeading2"/>
        <w:numPr>
          <w:ilvl w:val="1"/>
          <w:numId w:val="119"/>
        </w:numPr>
        <w:ind w:left="567" w:hanging="567"/>
      </w:pPr>
      <w:bookmarkStart w:id="100" w:name="Complementing"/>
      <w:bookmarkStart w:id="101" w:name="_Toc508372663"/>
      <w:bookmarkEnd w:id="100"/>
      <w:r>
        <w:lastRenderedPageBreak/>
        <w:t>Complementar os elementos de avaliação comuns para a inovação (recomendado)</w:t>
      </w:r>
      <w:bookmarkEnd w:id="98"/>
      <w:bookmarkEnd w:id="99"/>
      <w:bookmarkEnd w:id="10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Porquê e quando se deve complementar o SCAA? </w:t>
      </w:r>
    </w:p>
    <w:p w:rsidR="00A45935" w:rsidRPr="00E05D08" w:rsidRDefault="00A45935" w:rsidP="00E05D08">
      <w:pPr>
        <w:spacing w:after="120" w:line="280" w:lineRule="atLeast"/>
        <w:mirrorIndents/>
        <w:rPr>
          <w:rFonts w:eastAsia="Times New Roman" w:cs="Times New Roman"/>
          <w:szCs w:val="20"/>
        </w:rPr>
      </w:pPr>
      <w:r w:rsidRPr="00CA378B">
        <w:rPr>
          <w:b/>
        </w:rPr>
        <w:t>O SCAA prevê um conjunto básico de elementos de avaliação</w:t>
      </w:r>
      <w:r>
        <w:t xml:space="preserve"> (indicadores de resultados comuns) para responder às questões de avaliação comuns pertinentes n.ºs 1, 2 e 21 (ver a </w:t>
      </w:r>
      <w:hyperlink w:anchor="Policy_framework" w:history="1">
        <w:r>
          <w:rPr>
            <w:rStyle w:val="Hyperlink"/>
            <w:sz w:val="20"/>
            <w:szCs w:val="20"/>
          </w:rPr>
          <w:t>Secção 1.2.1</w:t>
        </w:r>
      </w:hyperlink>
      <w:r>
        <w:t xml:space="preserve">). Além disso, no documento de trabalho </w:t>
      </w:r>
      <w:hyperlink r:id="rId33" w:history="1">
        <w:r>
          <w:rPr>
            <w:rStyle w:val="Hyperlink"/>
            <w:sz w:val="20"/>
            <w:szCs w:val="20"/>
          </w:rPr>
          <w:t>Common Evaluation Questions for RDPs 2014-2020</w:t>
        </w:r>
      </w:hyperlink>
      <w:r>
        <w:t xml:space="preserve"> (Questões de avaliação comuns para os PDR 2014-2020) são propostos critérios de apreciação para todas as QAC ligadas à inovação, bem como alguns indicadores adicionais. Por exemplo, a QAC n.º 23 está relacionada com o grande objetivo da Estratégia Europa 2020, que pode ser utilizado como base para responder a esta questão. A QAC n.º 30 é a única questão acompanhada por indicadores adicionais</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sidRPr="00CA378B">
        <w:rPr>
          <w:b/>
        </w:rPr>
        <w:t>Os elementos de avaliação comuns serão revistos antes de se iniciar a avaliaç</w:t>
      </w:r>
      <w:r>
        <w:t xml:space="preserve">ão e, se necessário, devem ser complementados. Esta análise poderá ter em consideração as conclusões da análise do potencial de inovação do PDR para a promoção da inovação (ver o </w:t>
      </w:r>
      <w:hyperlink w:anchor="Screening_Potential" w:history="1">
        <w:r>
          <w:rPr>
            <w:rStyle w:val="Hyperlink"/>
            <w:sz w:val="20"/>
            <w:szCs w:val="20"/>
          </w:rPr>
          <w:t>Capítulo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Quais são as medidas necessárias para o desenvolvimento de elementos de avaliação adicionais e específicos do programa?</w:t>
      </w:r>
    </w:p>
    <w:p w:rsidR="00A45935" w:rsidRPr="00E05D08" w:rsidRDefault="00A45935" w:rsidP="00E05D08">
      <w:pPr>
        <w:spacing w:after="120" w:line="280" w:lineRule="atLeast"/>
        <w:mirrorIndents/>
        <w:rPr>
          <w:rFonts w:eastAsia="Calibri" w:cs="Times New Roman"/>
          <w:szCs w:val="20"/>
        </w:rPr>
      </w:pPr>
      <w:r>
        <w:t>O desenvolvimento de elementos de avaliação adicionais (descritos em pormenor nas orientações «</w:t>
      </w:r>
      <w:hyperlink r:id="rId34" w:history="1">
        <w:r>
          <w:rPr>
            <w:rStyle w:val="Hyperlink"/>
            <w:sz w:val="20"/>
            <w:szCs w:val="20"/>
          </w:rPr>
          <w:t>Assessment of RDP results how to prepare for reporting on evaluation in 2017</w:t>
        </w:r>
      </w:hyperlink>
      <w:r>
        <w:t xml:space="preserve">» (Avaliação dos resultados do PDR: como se preparar para apresentar os resultados de avaliação em 2017)) pode ser resumido do seguinte modo: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710464" behindDoc="0" locked="0" layoutInCell="1" allowOverlap="1" wp14:anchorId="01D0267C" wp14:editId="29611207">
                <wp:simplePos x="0" y="0"/>
                <wp:positionH relativeFrom="column">
                  <wp:posOffset>2830830</wp:posOffset>
                </wp:positionH>
                <wp:positionV relativeFrom="paragraph">
                  <wp:posOffset>74930</wp:posOffset>
                </wp:positionV>
                <wp:extent cx="2832735" cy="2181225"/>
                <wp:effectExtent l="0" t="0" r="247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181225"/>
                        </a:xfrm>
                        <a:prstGeom prst="round2DiagRect">
                          <a:avLst>
                            <a:gd name="adj1" fmla="val 7843"/>
                            <a:gd name="adj2" fmla="val 0"/>
                          </a:avLst>
                        </a:prstGeom>
                        <a:noFill/>
                        <a:ln w="25400" cap="flat" cmpd="sng" algn="ctr">
                          <a:solidFill>
                            <a:srgbClr val="BE4A35"/>
                          </a:solidFill>
                          <a:prstDash val="solid"/>
                        </a:ln>
                        <a:effectLst/>
                      </wps:spPr>
                      <wps:txbx>
                        <w:txbxContent>
                          <w:p w:rsidR="00B06BF7" w:rsidRPr="00D450FE" w:rsidRDefault="00B06BF7" w:rsidP="00E05D08">
                            <w:pPr>
                              <w:pStyle w:val="HStandard"/>
                              <w:rPr>
                                <w:sz w:val="18"/>
                                <w:szCs w:val="18"/>
                              </w:rPr>
                            </w:pPr>
                            <w:r>
                              <w:rPr>
                                <w:lang w:val="en-GB" w:eastAsia="en-GB"/>
                              </w:rPr>
                              <w:drawing>
                                <wp:inline distT="0" distB="0" distL="0" distR="0" wp14:anchorId="520993D1" wp14:editId="54789670">
                                  <wp:extent cx="664845" cy="487680"/>
                                  <wp:effectExtent l="0" t="0" r="0" b="7620"/>
                                  <wp:docPr id="75"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Os elementos de avaliação adicionais (questões de avaliação adicionais, critérios de apreciação adicionais e indicadores adicionais) sugeridos no Capítulo 2.4 das presentes orientações </w:t>
                            </w:r>
                            <w:r>
                              <w:rPr>
                                <w:b/>
                                <w:sz w:val="18"/>
                                <w:szCs w:val="18"/>
                              </w:rPr>
                              <w:t xml:space="preserve">NÃO SÃO VINCULATIVOS! </w:t>
                            </w:r>
                            <w:r>
                              <w:rPr>
                                <w:sz w:val="18"/>
                                <w:szCs w:val="18"/>
                              </w:rPr>
                              <w:t xml:space="preserve">Cada autoridade de gestão pode decidir elaborar e utilizar os seus próprios elementos de avaliação adicionais e específicos do programa.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267C" id="Rectangle: Diagonal Corners Rounded 34" o:spid="_x0000_s1039" style="position:absolute;left:0;text-align:left;margin-left:222.9pt;margin-top:5.9pt;width:223.05pt;height:17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" adj="-11796480,,5400" path="m171073,l2832735,r,l2832735,2010152v,94481,-76592,171073,-171073,171073l,2181225r,l,171073c,76592,76592,,171073,xe" filled="f" strokecolor="#be4a35" strokeweight="2pt">
                <v:stroke joinstyle="miter"/>
                <v:formulas/>
                <v:path arrowok="t" o:connecttype="custom" o:connectlocs="171073,0;2832735,0;2832735,0;2832735,2010152;2661662,2181225;0,2181225;0,2181225;0,171073;171073,0" o:connectangles="0,0,0,0,0,0,0,0,0" textboxrect="0,0,2832735,2181225"/>
                <v:textbox>
                  <w:txbxContent>
                    <w:p w:rsidR="00B06BF7" w:rsidRPr="00D450FE" w:rsidRDefault="00B06BF7" w:rsidP="00E05D08">
                      <w:pPr>
                        <w:pStyle w:val="HStandard"/>
                        <w:rPr>
                          <w:sz w:val="18"/>
                          <w:szCs w:val="18"/>
                        </w:rPr>
                      </w:pPr>
                      <w:r>
                        <w:rPr>
                          <w:lang w:val="en-GB" w:eastAsia="en-GB"/>
                        </w:rPr>
                        <w:drawing>
                          <wp:inline distT="0" distB="0" distL="0" distR="0" wp14:anchorId="520993D1" wp14:editId="54789670">
                            <wp:extent cx="664845" cy="487680"/>
                            <wp:effectExtent l="0" t="0" r="0" b="7620"/>
                            <wp:docPr id="75"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Os elementos de avaliação adicionais (questões de avaliação adicionais, critérios de apreciação adicionais e indicadores adicionais) sugeridos no Capítulo 2.4 das presentes orientações </w:t>
                      </w:r>
                      <w:r>
                        <w:rPr>
                          <w:b/>
                          <w:sz w:val="18"/>
                          <w:szCs w:val="18"/>
                        </w:rPr>
                        <w:t xml:space="preserve">NÃO SÃO VINCULATIVOS! </w:t>
                      </w:r>
                      <w:r>
                        <w:rPr>
                          <w:sz w:val="18"/>
                          <w:szCs w:val="18"/>
                        </w:rPr>
                        <w:t xml:space="preserve">Cada autoridade de gestão pode decidir elaborar e utilizar os seus próprios elementos de avaliação adicionais e específicos do programa. </w:t>
                      </w:r>
                    </w:p>
                  </w:txbxContent>
                </v:textbox>
                <w10:wrap type="square"/>
              </v:shape>
            </w:pict>
          </mc:Fallback>
        </mc:AlternateContent>
      </w:r>
      <w:r>
        <w:t xml:space="preserve">reler a lógica de intervenção subjacente do PDR para a inovação (ver o </w:t>
      </w:r>
      <w:hyperlink w:anchor="Screening_Potential" w:history="1">
        <w:r>
          <w:rPr>
            <w:rStyle w:val="Hyperlink"/>
            <w:sz w:val="20"/>
          </w:rPr>
          <w:t>Capítulo 2.2</w:t>
        </w:r>
      </w:hyperlink>
      <w:r>
        <w:t>);</w:t>
      </w:r>
    </w:p>
    <w:p w:rsidR="00A45935" w:rsidRPr="00B10B3C" w:rsidRDefault="00A45935" w:rsidP="00B421B9">
      <w:pPr>
        <w:pStyle w:val="Hlistbullet"/>
        <w:rPr>
          <w:rFonts w:eastAsia="Calibri"/>
        </w:rPr>
      </w:pPr>
      <w:r>
        <w:t xml:space="preserve">rever questões de avaliação comuns, critérios de apreciação e indicadores ligados à inovação e verificar se os mesmos são suficientes para responder às QAC relacionadas com a inovação; </w:t>
      </w:r>
    </w:p>
    <w:p w:rsidR="00576A73" w:rsidRPr="00576A73" w:rsidRDefault="00A45935" w:rsidP="00B421B9">
      <w:pPr>
        <w:pStyle w:val="Hlistbullet"/>
        <w:rPr>
          <w:rFonts w:eastAsia="Calibri"/>
        </w:rPr>
      </w:pPr>
      <w:r>
        <w:t>completar o SCAA com elementos de avaliação adicionais relacionados com a inovação, caso os elementos comuns não sejam suficientes para responder às QAC relacionadas com a inovação;</w:t>
      </w:r>
    </w:p>
    <w:p w:rsidR="00576A73" w:rsidRPr="0027166D" w:rsidRDefault="00A45935" w:rsidP="00B421B9">
      <w:pPr>
        <w:pStyle w:val="Hlistbullet"/>
        <w:rPr>
          <w:rFonts w:eastAsia="Calibri"/>
        </w:rPr>
      </w:pPr>
      <w:r>
        <w:t>desenvolver elementos de avaliação específicos do programa para a avaliação da inovação, relacionados com os DI e QAC específicos do programa, de especial interesse para a autoridade de gestão.</w:t>
      </w:r>
      <w:r>
        <w:rPr>
          <w:highlight w:val="yellow"/>
        </w:rPr>
        <w:t xml:space="preserve"> </w:t>
      </w:r>
    </w:p>
    <w:p w:rsidR="0027166D" w:rsidRDefault="0027166D" w:rsidP="0027166D">
      <w:pPr>
        <w:pStyle w:val="Hlistbullet"/>
        <w:numPr>
          <w:ilvl w:val="0"/>
          <w:numId w:val="0"/>
        </w:numPr>
        <w:ind w:left="567" w:hanging="567"/>
      </w:pPr>
    </w:p>
    <w:p w:rsidR="0027166D" w:rsidRPr="0027166D" w:rsidRDefault="0027166D" w:rsidP="0027166D">
      <w:pPr>
        <w:pStyle w:val="Hlistbullet"/>
        <w:numPr>
          <w:ilvl w:val="0"/>
          <w:numId w:val="0"/>
        </w:numPr>
        <w:ind w:left="567" w:hanging="567"/>
        <w:rPr>
          <w:rFonts w:eastAsia="Calibri"/>
        </w:rPr>
      </w:pPr>
    </w:p>
    <w:p w:rsidR="0027166D" w:rsidRPr="00576A73" w:rsidRDefault="0027166D" w:rsidP="0027166D"/>
    <w:p w:rsidR="0027166D" w:rsidRDefault="0027166D" w:rsidP="000A43B7">
      <w:pPr>
        <w:rPr>
          <w:noProof/>
          <w:szCs w:val="20"/>
        </w:rPr>
      </w:pPr>
    </w:p>
    <w:p w:rsidR="000A43B7" w:rsidRDefault="000A43B7" w:rsidP="000A43B7">
      <w:pPr>
        <w:rPr>
          <w:noProof/>
          <w:szCs w:val="20"/>
          <w:highlight w:val="yellow"/>
        </w:rPr>
      </w:pPr>
      <w:r>
        <w:rPr>
          <w:rFonts w:cs="Arial"/>
          <w:b/>
          <w:noProof/>
          <w:color w:val="F07E31"/>
          <w:szCs w:val="20"/>
          <w:lang w:val="en-GB" w:eastAsia="en-GB"/>
        </w:rPr>
        <w:lastRenderedPageBreak/>
        <mc:AlternateContent>
          <mc:Choice Requires="wps">
            <w:drawing>
              <wp:anchor distT="0" distB="0" distL="114300" distR="114300" simplePos="0" relativeHeight="251738112" behindDoc="0" locked="0" layoutInCell="1" allowOverlap="1" wp14:anchorId="0BFD6C1E" wp14:editId="14296FA7">
                <wp:simplePos x="0" y="0"/>
                <wp:positionH relativeFrom="column">
                  <wp:posOffset>746125</wp:posOffset>
                </wp:positionH>
                <wp:positionV relativeFrom="paragraph">
                  <wp:posOffset>67945</wp:posOffset>
                </wp:positionV>
                <wp:extent cx="4154170" cy="2827020"/>
                <wp:effectExtent l="0" t="0" r="17780" b="1143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827020"/>
                        </a:xfrm>
                        <a:prstGeom prst="round2DiagRect">
                          <a:avLst>
                            <a:gd name="adj1" fmla="val 7630"/>
                            <a:gd name="adj2" fmla="val 0"/>
                          </a:avLst>
                        </a:prstGeom>
                        <a:noFill/>
                        <a:ln w="25400" cap="flat" cmpd="sng" algn="ctr">
                          <a:solidFill>
                            <a:srgbClr val="8BAB80"/>
                          </a:solidFill>
                          <a:prstDash val="solid"/>
                        </a:ln>
                        <a:effectLst/>
                      </wps:spPr>
                      <wps:txbx>
                        <w:txbxContent>
                          <w:p w:rsidR="00B06BF7" w:rsidRPr="00275EE5" w:rsidRDefault="00B06BF7" w:rsidP="001744D0">
                            <w:pPr>
                              <w:pStyle w:val="Normal12PTcouleurgris"/>
                            </w:pPr>
                            <w:r w:rsidRPr="00171202">
                              <w:rPr>
                                <w:noProof/>
                                <w:lang w:val="en-GB" w:eastAsia="en-GB"/>
                              </w:rPr>
                              <w:drawing>
                                <wp:inline distT="0" distB="0" distL="0" distR="0" wp14:anchorId="00BB89AE" wp14:editId="359D883E">
                                  <wp:extent cx="881227" cy="540000"/>
                                  <wp:effectExtent l="0" t="0" r="0" b="0"/>
                                  <wp:docPr id="709"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B06BF7" w:rsidRPr="0079762F" w:rsidTr="00E05D08">
                              <w:tc>
                                <w:tcPr>
                                  <w:tcW w:w="2991" w:type="dxa"/>
                                  <w:shd w:val="clear" w:color="auto" w:fill="FFFFFF"/>
                                </w:tcPr>
                                <w:p w:rsidR="00B06BF7" w:rsidRPr="00654F10" w:rsidRDefault="00B06BF7" w:rsidP="001744D0">
                                  <w:pPr>
                                    <w:pStyle w:val="Normal12PTcouleurgris"/>
                                    <w:rPr>
                                      <w:b/>
                                      <w:color w:val="404040"/>
                                      <w:sz w:val="18"/>
                                    </w:rPr>
                                  </w:pPr>
                                  <w:r>
                                    <w:rPr>
                                      <w:b/>
                                      <w:color w:val="404040"/>
                                      <w:sz w:val="18"/>
                                    </w:rPr>
                                    <w:t>Práticas aconselháveis</w:t>
                                  </w:r>
                                </w:p>
                                <w:p w:rsidR="00B06BF7" w:rsidRPr="00654F10" w:rsidRDefault="00B06BF7" w:rsidP="007A450E">
                                  <w:pPr>
                                    <w:pStyle w:val="Hlistbullet"/>
                                    <w:spacing w:line="160" w:lineRule="atLeast"/>
                                    <w:jc w:val="left"/>
                                    <w:rPr>
                                      <w:sz w:val="18"/>
                                      <w:szCs w:val="18"/>
                                    </w:rPr>
                                  </w:pPr>
                                  <w:r>
                                    <w:rPr>
                                      <w:sz w:val="18"/>
                                      <w:szCs w:val="18"/>
                                    </w:rPr>
                                    <w:t>Analisar os critérios de apreciação e os indicadores do SCAA para garantir que podem responder de forma suficiente às QAC.</w:t>
                                  </w:r>
                                </w:p>
                                <w:p w:rsidR="00B06BF7" w:rsidRPr="00654F10" w:rsidRDefault="00B06BF7" w:rsidP="007A450E">
                                  <w:pPr>
                                    <w:pStyle w:val="Hlistbullet"/>
                                    <w:spacing w:line="160" w:lineRule="atLeast"/>
                                    <w:jc w:val="left"/>
                                    <w:rPr>
                                      <w:sz w:val="18"/>
                                      <w:szCs w:val="18"/>
                                    </w:rPr>
                                  </w:pPr>
                                  <w:r>
                                    <w:rPr>
                                      <w:sz w:val="18"/>
                                      <w:szCs w:val="18"/>
                                    </w:rPr>
                                    <w:t>Desenvolver critérios de apreciação e indicadores complementares se os indicadores comuns não forem suficientes para recolher provas para responder às QAC.</w:t>
                                  </w:r>
                                </w:p>
                              </w:tc>
                              <w:tc>
                                <w:tcPr>
                                  <w:tcW w:w="2960" w:type="dxa"/>
                                  <w:shd w:val="clear" w:color="auto" w:fill="auto"/>
                                </w:tcPr>
                                <w:p w:rsidR="00B06BF7" w:rsidRPr="00654F10" w:rsidRDefault="00B06BF7" w:rsidP="001744D0">
                                  <w:pPr>
                                    <w:pStyle w:val="Normal12PTcouleurgris"/>
                                    <w:rPr>
                                      <w:b/>
                                      <w:color w:val="404040"/>
                                      <w:sz w:val="18"/>
                                    </w:rPr>
                                  </w:pPr>
                                  <w:r>
                                    <w:rPr>
                                      <w:b/>
                                      <w:color w:val="404040"/>
                                      <w:sz w:val="18"/>
                                    </w:rPr>
                                    <w:t>Práticas desaconselháveis</w:t>
                                  </w:r>
                                </w:p>
                                <w:p w:rsidR="00B06BF7" w:rsidRPr="00654F10" w:rsidRDefault="00B06BF7" w:rsidP="007A450E">
                                  <w:pPr>
                                    <w:pStyle w:val="Hlistbullet"/>
                                    <w:spacing w:line="160" w:lineRule="atLeast"/>
                                    <w:jc w:val="left"/>
                                    <w:rPr>
                                      <w:sz w:val="18"/>
                                      <w:szCs w:val="18"/>
                                    </w:rPr>
                                  </w:pPr>
                                  <w:r>
                                    <w:rPr>
                                      <w:sz w:val="18"/>
                                      <w:szCs w:val="18"/>
                                    </w:rPr>
                                    <w:t>Utilizar apenas indicadores de resultados para responder às QAC (que não logram demonstrar plenamente se a política atingiu o seu objetivo).</w:t>
                                  </w:r>
                                </w:p>
                                <w:p w:rsidR="00B06BF7" w:rsidRPr="00654F10" w:rsidRDefault="00B06BF7" w:rsidP="001744D0">
                                  <w:pPr>
                                    <w:pStyle w:val="Normal12PTcouleurgris"/>
                                    <w:rPr>
                                      <w:color w:val="1A1A1A"/>
                                      <w:sz w:val="18"/>
                                    </w:rPr>
                                  </w:pPr>
                                </w:p>
                              </w:tc>
                            </w:tr>
                          </w:tbl>
                          <w:p w:rsidR="00B06BF7" w:rsidRPr="00275EE5" w:rsidRDefault="00B06BF7"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D6C1E" id="Rectangle: Diagonal Corners Rounded 70" o:spid="_x0000_s1040" style="position:absolute;left:0;text-align:left;margin-left:58.75pt;margin-top:5.35pt;width:327.1pt;height:2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82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" adj="-11796480,,5400" path="m215702,l4154170,r,l4154170,2611318v,119129,-96573,215702,-215702,215702l,2827020r,l,215702c,96573,96573,,215702,xe" filled="f" strokecolor="#8bab80" strokeweight="2pt">
                <v:stroke joinstyle="miter"/>
                <v:formulas/>
                <v:path arrowok="t" o:connecttype="custom" o:connectlocs="215702,0;4154170,0;4154170,0;4154170,2611318;3938468,2827020;0,2827020;0,2827020;0,215702;215702,0" o:connectangles="0,0,0,0,0,0,0,0,0" textboxrect="0,0,4154170,2827020"/>
                <v:textbox>
                  <w:txbxContent>
                    <w:p w:rsidR="00B06BF7" w:rsidRPr="00275EE5" w:rsidRDefault="00B06BF7" w:rsidP="001744D0">
                      <w:pPr>
                        <w:pStyle w:val="Normal12PTcouleurgris"/>
                      </w:pPr>
                      <w:r w:rsidRPr="00171202">
                        <w:rPr>
                          <w:noProof/>
                          <w:lang w:val="en-GB" w:eastAsia="en-GB"/>
                        </w:rPr>
                        <w:drawing>
                          <wp:inline distT="0" distB="0" distL="0" distR="0" wp14:anchorId="00BB89AE" wp14:editId="359D883E">
                            <wp:extent cx="881227" cy="540000"/>
                            <wp:effectExtent l="0" t="0" r="0" b="0"/>
                            <wp:docPr id="709"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B06BF7" w:rsidRPr="0079762F" w:rsidTr="00E05D08">
                        <w:tc>
                          <w:tcPr>
                            <w:tcW w:w="2991" w:type="dxa"/>
                            <w:shd w:val="clear" w:color="auto" w:fill="FFFFFF"/>
                          </w:tcPr>
                          <w:p w:rsidR="00B06BF7" w:rsidRPr="00654F10" w:rsidRDefault="00B06BF7" w:rsidP="001744D0">
                            <w:pPr>
                              <w:pStyle w:val="Normal12PTcouleurgris"/>
                              <w:rPr>
                                <w:b/>
                                <w:color w:val="404040"/>
                                <w:sz w:val="18"/>
                              </w:rPr>
                            </w:pPr>
                            <w:r>
                              <w:rPr>
                                <w:b/>
                                <w:color w:val="404040"/>
                                <w:sz w:val="18"/>
                              </w:rPr>
                              <w:t>Práticas aconselháveis</w:t>
                            </w:r>
                          </w:p>
                          <w:p w:rsidR="00B06BF7" w:rsidRPr="00654F10" w:rsidRDefault="00B06BF7" w:rsidP="007A450E">
                            <w:pPr>
                              <w:pStyle w:val="Hlistbullet"/>
                              <w:spacing w:line="160" w:lineRule="atLeast"/>
                              <w:jc w:val="left"/>
                              <w:rPr>
                                <w:sz w:val="18"/>
                                <w:szCs w:val="18"/>
                              </w:rPr>
                            </w:pPr>
                            <w:r>
                              <w:rPr>
                                <w:sz w:val="18"/>
                                <w:szCs w:val="18"/>
                              </w:rPr>
                              <w:t>Analisar os critérios de apreciação e os indicadores do SCAA para garantir que podem responder de forma suficiente às QAC.</w:t>
                            </w:r>
                          </w:p>
                          <w:p w:rsidR="00B06BF7" w:rsidRPr="00654F10" w:rsidRDefault="00B06BF7" w:rsidP="007A450E">
                            <w:pPr>
                              <w:pStyle w:val="Hlistbullet"/>
                              <w:spacing w:line="160" w:lineRule="atLeast"/>
                              <w:jc w:val="left"/>
                              <w:rPr>
                                <w:sz w:val="18"/>
                                <w:szCs w:val="18"/>
                              </w:rPr>
                            </w:pPr>
                            <w:r>
                              <w:rPr>
                                <w:sz w:val="18"/>
                                <w:szCs w:val="18"/>
                              </w:rPr>
                              <w:t>Desenvolver critérios de apreciação e indicadores complementares se os indicadores comuns não forem suficientes para recolher provas para responder às QAC.</w:t>
                            </w:r>
                          </w:p>
                        </w:tc>
                        <w:tc>
                          <w:tcPr>
                            <w:tcW w:w="2960" w:type="dxa"/>
                            <w:shd w:val="clear" w:color="auto" w:fill="auto"/>
                          </w:tcPr>
                          <w:p w:rsidR="00B06BF7" w:rsidRPr="00654F10" w:rsidRDefault="00B06BF7" w:rsidP="001744D0">
                            <w:pPr>
                              <w:pStyle w:val="Normal12PTcouleurgris"/>
                              <w:rPr>
                                <w:b/>
                                <w:color w:val="404040"/>
                                <w:sz w:val="18"/>
                              </w:rPr>
                            </w:pPr>
                            <w:r>
                              <w:rPr>
                                <w:b/>
                                <w:color w:val="404040"/>
                                <w:sz w:val="18"/>
                              </w:rPr>
                              <w:t>Práticas desaconselháveis</w:t>
                            </w:r>
                          </w:p>
                          <w:p w:rsidR="00B06BF7" w:rsidRPr="00654F10" w:rsidRDefault="00B06BF7" w:rsidP="007A450E">
                            <w:pPr>
                              <w:pStyle w:val="Hlistbullet"/>
                              <w:spacing w:line="160" w:lineRule="atLeast"/>
                              <w:jc w:val="left"/>
                              <w:rPr>
                                <w:sz w:val="18"/>
                                <w:szCs w:val="18"/>
                              </w:rPr>
                            </w:pPr>
                            <w:r>
                              <w:rPr>
                                <w:sz w:val="18"/>
                                <w:szCs w:val="18"/>
                              </w:rPr>
                              <w:t>Utilizar apenas indicadores de resultados para responder às QAC (que não logram demonstrar plenamente se a política atingiu o seu objetivo).</w:t>
                            </w:r>
                          </w:p>
                          <w:p w:rsidR="00B06BF7" w:rsidRPr="00654F10" w:rsidRDefault="00B06BF7" w:rsidP="001744D0">
                            <w:pPr>
                              <w:pStyle w:val="Normal12PTcouleurgris"/>
                              <w:rPr>
                                <w:color w:val="1A1A1A"/>
                                <w:sz w:val="18"/>
                              </w:rPr>
                            </w:pPr>
                          </w:p>
                        </w:tc>
                      </w:tr>
                    </w:tbl>
                    <w:p w:rsidR="00B06BF7" w:rsidRPr="00275EE5" w:rsidRDefault="00B06BF7"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2" w:name="Answering"/>
      <w:bookmarkStart w:id="103" w:name="_Toc493151904"/>
      <w:bookmarkStart w:id="104" w:name="_Toc501382130"/>
      <w:bookmarkStart w:id="105" w:name="_Toc508372664"/>
      <w:bookmarkEnd w:id="13"/>
      <w:bookmarkEnd w:id="102"/>
      <w:r>
        <w:t>Responder às questões de avaliação comuns pertinentes (obrigatório)</w:t>
      </w:r>
      <w:bookmarkEnd w:id="103"/>
      <w:bookmarkEnd w:id="104"/>
      <w:bookmarkEnd w:id="105"/>
    </w:p>
    <w:p w:rsidR="007A450E" w:rsidRDefault="007A450E" w:rsidP="00725801">
      <w:pPr>
        <w:spacing w:after="120" w:line="280" w:lineRule="atLeast"/>
        <w:mirrorIndents/>
        <w:rPr>
          <w:rFonts w:eastAsia="Times New Roman" w:cs="Times New Roman"/>
          <w:szCs w:val="20"/>
          <w:shd w:val="clear" w:color="auto" w:fill="FFFFFF"/>
        </w:rPr>
      </w:pPr>
      <w:r w:rsidRPr="0027166D">
        <w:rPr>
          <w:noProof/>
          <w:color w:val="F07E31"/>
          <w:sz w:val="18"/>
          <w:szCs w:val="18"/>
          <w:highlight w:val="yellow"/>
          <w:lang w:val="en-GB" w:eastAsia="en-GB"/>
        </w:rPr>
        <mc:AlternateContent>
          <mc:Choice Requires="wps">
            <w:drawing>
              <wp:anchor distT="0" distB="0" distL="114300" distR="114300" simplePos="0" relativeHeight="251717632" behindDoc="0" locked="0" layoutInCell="1" allowOverlap="1" wp14:anchorId="4185154A" wp14:editId="298E9F6F">
                <wp:simplePos x="0" y="0"/>
                <wp:positionH relativeFrom="page">
                  <wp:posOffset>914400</wp:posOffset>
                </wp:positionH>
                <wp:positionV relativeFrom="paragraph">
                  <wp:posOffset>687652</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B06BF7" w:rsidRPr="00AC3522" w:rsidRDefault="00B06BF7" w:rsidP="00E05D08">
                            <w:pPr>
                              <w:pStyle w:val="Normal12PTcouleurgris"/>
                              <w:rPr>
                                <w:shd w:val="clear" w:color="auto" w:fill="FFFFFF"/>
                              </w:rPr>
                            </w:pPr>
                            <w:r>
                              <w:rPr>
                                <w:noProof/>
                                <w:lang w:val="en-GB" w:eastAsia="en-GB"/>
                              </w:rPr>
                              <w:drawing>
                                <wp:inline distT="0" distB="0" distL="0" distR="0" wp14:anchorId="256A2C95" wp14:editId="753D0746">
                                  <wp:extent cx="664845" cy="487680"/>
                                  <wp:effectExtent l="0" t="0" r="0" b="7620"/>
                                  <wp:docPr id="706"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Mantém-se a estrutura seguinte para cada QAC:</w:t>
                            </w:r>
                          </w:p>
                          <w:p w:rsidR="00B06BF7" w:rsidRPr="00A92E91" w:rsidRDefault="00B06BF7" w:rsidP="008C0B17">
                            <w:pPr>
                              <w:pStyle w:val="Normal12PTcouleurgris"/>
                              <w:numPr>
                                <w:ilvl w:val="0"/>
                                <w:numId w:val="78"/>
                              </w:numPr>
                              <w:ind w:left="284" w:hanging="284"/>
                              <w:jc w:val="left"/>
                              <w:rPr>
                                <w:b/>
                                <w:shd w:val="clear" w:color="auto" w:fill="FFFFFF"/>
                              </w:rPr>
                            </w:pPr>
                            <w:r>
                              <w:rPr>
                                <w:b/>
                                <w:shd w:val="clear" w:color="auto" w:fill="FFFFFF"/>
                              </w:rPr>
                              <w:t>Compreender a QAC</w:t>
                            </w:r>
                          </w:p>
                          <w:p w:rsidR="00B06BF7" w:rsidRPr="00A92E91" w:rsidRDefault="00B06BF7" w:rsidP="008C0B17">
                            <w:pPr>
                              <w:pStyle w:val="Normal12PTcouleurgris"/>
                              <w:numPr>
                                <w:ilvl w:val="0"/>
                                <w:numId w:val="78"/>
                              </w:numPr>
                              <w:ind w:left="284" w:hanging="284"/>
                              <w:jc w:val="left"/>
                              <w:rPr>
                                <w:b/>
                                <w:shd w:val="clear" w:color="auto" w:fill="FFFFFF"/>
                              </w:rPr>
                            </w:pPr>
                            <w:r>
                              <w:rPr>
                                <w:b/>
                                <w:shd w:val="clear" w:color="auto" w:fill="FFFFFF"/>
                              </w:rPr>
                              <w:t xml:space="preserve">Desafios específicos </w:t>
                            </w:r>
                          </w:p>
                          <w:p w:rsidR="00B06BF7" w:rsidRPr="00A92E91" w:rsidRDefault="00B06BF7" w:rsidP="008C0B17">
                            <w:pPr>
                              <w:pStyle w:val="Normal12PTcouleurgris"/>
                              <w:numPr>
                                <w:ilvl w:val="0"/>
                                <w:numId w:val="78"/>
                              </w:numPr>
                              <w:ind w:left="284" w:hanging="284"/>
                              <w:jc w:val="left"/>
                              <w:rPr>
                                <w:shd w:val="clear" w:color="auto" w:fill="FFFFFF"/>
                              </w:rPr>
                            </w:pPr>
                            <w:r>
                              <w:rPr>
                                <w:b/>
                                <w:shd w:val="clear" w:color="auto" w:fill="FFFFFF"/>
                              </w:rPr>
                              <w:t>Abordagem proposta para responder à QAC</w:t>
                            </w:r>
                            <w:r>
                              <w:rPr>
                                <w:shd w:val="clear" w:color="auto" w:fill="FFFFFF"/>
                              </w:rPr>
                              <w:t xml:space="preserve">: </w:t>
                            </w:r>
                            <w:r>
                              <w:rPr>
                                <w:i/>
                                <w:shd w:val="clear" w:color="auto" w:fill="FFFFFF"/>
                              </w:rPr>
                              <w:t xml:space="preserve">este capítulo propõe medidas, métodos e sugestões sobre como utilizar os indicadores comuns e adicionais para responder à QAC. </w:t>
                            </w:r>
                          </w:p>
                          <w:p w:rsidR="00B06BF7" w:rsidRPr="00A92E91" w:rsidRDefault="00B06BF7" w:rsidP="008C0B17">
                            <w:pPr>
                              <w:pStyle w:val="Hlistabc2"/>
                              <w:numPr>
                                <w:ilvl w:val="0"/>
                                <w:numId w:val="54"/>
                              </w:numPr>
                              <w:spacing w:before="120" w:after="120"/>
                              <w:rPr>
                                <w:sz w:val="18"/>
                                <w:szCs w:val="18"/>
                              </w:rPr>
                            </w:pPr>
                            <w:r>
                              <w:rPr>
                                <w:sz w:val="18"/>
                                <w:szCs w:val="18"/>
                              </w:rPr>
                              <w:t xml:space="preserve">Lógica de intervenção </w:t>
                            </w:r>
                          </w:p>
                          <w:p w:rsidR="00B06BF7" w:rsidRPr="00A92E91" w:rsidRDefault="00B06BF7" w:rsidP="008C0B17">
                            <w:pPr>
                              <w:pStyle w:val="Hlistabc2"/>
                              <w:numPr>
                                <w:ilvl w:val="0"/>
                                <w:numId w:val="54"/>
                              </w:numPr>
                              <w:spacing w:before="120" w:after="120"/>
                              <w:rPr>
                                <w:sz w:val="18"/>
                                <w:szCs w:val="18"/>
                              </w:rPr>
                            </w:pPr>
                            <w:r>
                              <w:rPr>
                                <w:sz w:val="18"/>
                                <w:szCs w:val="18"/>
                              </w:rPr>
                              <w:t xml:space="preserve">Elementos de avaliação </w:t>
                            </w:r>
                          </w:p>
                          <w:p w:rsidR="00B06BF7" w:rsidRPr="00A92E91" w:rsidRDefault="00B06BF7" w:rsidP="008C0B17">
                            <w:pPr>
                              <w:pStyle w:val="Hlistabc2"/>
                              <w:numPr>
                                <w:ilvl w:val="0"/>
                                <w:numId w:val="54"/>
                              </w:numPr>
                              <w:spacing w:before="120" w:after="120"/>
                              <w:rPr>
                                <w:sz w:val="18"/>
                                <w:szCs w:val="18"/>
                              </w:rPr>
                            </w:pPr>
                            <w:r>
                              <w:rPr>
                                <w:sz w:val="18"/>
                                <w:szCs w:val="18"/>
                              </w:rPr>
                              <w:t xml:space="preserve">Metodologia de avaliação proposta </w:t>
                            </w:r>
                          </w:p>
                          <w:p w:rsidR="00B06BF7" w:rsidRPr="00A92E91" w:rsidRDefault="00B06BF7" w:rsidP="008C0B17">
                            <w:pPr>
                              <w:pStyle w:val="Hlistabc2"/>
                              <w:numPr>
                                <w:ilvl w:val="0"/>
                                <w:numId w:val="54"/>
                              </w:numPr>
                              <w:spacing w:before="120" w:after="120"/>
                              <w:rPr>
                                <w:sz w:val="18"/>
                                <w:szCs w:val="18"/>
                              </w:rPr>
                            </w:pPr>
                            <w:r>
                              <w:rPr>
                                <w:sz w:val="18"/>
                                <w:szCs w:val="18"/>
                              </w:rPr>
                              <w:t xml:space="preserve">Riscos e soluções </w:t>
                            </w:r>
                          </w:p>
                          <w:p w:rsidR="00B06BF7" w:rsidRPr="00A92E91" w:rsidRDefault="00B06BF7" w:rsidP="008C0B17">
                            <w:pPr>
                              <w:pStyle w:val="Hlistabc2"/>
                              <w:numPr>
                                <w:ilvl w:val="0"/>
                                <w:numId w:val="54"/>
                              </w:numPr>
                              <w:spacing w:before="120" w:after="120"/>
                              <w:rPr>
                                <w:sz w:val="18"/>
                                <w:szCs w:val="18"/>
                              </w:rPr>
                            </w:pPr>
                            <w:r>
                              <w:rPr>
                                <w:sz w:val="18"/>
                                <w:szCs w:val="18"/>
                              </w:rPr>
                              <w:t>Conclusões e recomendações</w:t>
                            </w:r>
                          </w:p>
                          <w:p w:rsidR="00B06BF7" w:rsidRPr="00A92E91" w:rsidRDefault="00B06BF7" w:rsidP="007372CD">
                            <w:pPr>
                              <w:pStyle w:val="Normal12PTcouleurgris"/>
                              <w:numPr>
                                <w:ilvl w:val="0"/>
                                <w:numId w:val="78"/>
                              </w:numPr>
                              <w:ind w:left="284" w:hanging="284"/>
                              <w:jc w:val="left"/>
                              <w:rPr>
                                <w:b/>
                                <w:shd w:val="clear" w:color="auto" w:fill="FFFFFF"/>
                              </w:rPr>
                            </w:pPr>
                            <w:r>
                              <w:rPr>
                                <w:b/>
                                <w:shd w:val="clear" w:color="auto" w:fill="FFFFFF"/>
                              </w:rPr>
                              <w:t>Mais informações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154A" id="Rectangle: Diagonal Corners Rounded 19" o:spid="_x0000_s1041" style="position:absolute;left:0;text-align:left;margin-left:1in;margin-top:54.15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B06BF7" w:rsidRPr="00AC3522" w:rsidRDefault="00B06BF7" w:rsidP="00E05D08">
                      <w:pPr>
                        <w:pStyle w:val="Normal12PTcouleurgris"/>
                        <w:rPr>
                          <w:shd w:val="clear" w:color="auto" w:fill="FFFFFF"/>
                        </w:rPr>
                      </w:pPr>
                      <w:r>
                        <w:rPr>
                          <w:noProof/>
                          <w:lang w:val="en-GB" w:eastAsia="en-GB"/>
                        </w:rPr>
                        <w:drawing>
                          <wp:inline distT="0" distB="0" distL="0" distR="0" wp14:anchorId="256A2C95" wp14:editId="753D0746">
                            <wp:extent cx="664845" cy="487680"/>
                            <wp:effectExtent l="0" t="0" r="0" b="7620"/>
                            <wp:docPr id="706"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Mantém-se a estrutura seguinte para cada QAC:</w:t>
                      </w:r>
                    </w:p>
                    <w:p w:rsidR="00B06BF7" w:rsidRPr="00A92E91" w:rsidRDefault="00B06BF7" w:rsidP="008C0B17">
                      <w:pPr>
                        <w:pStyle w:val="Normal12PTcouleurgris"/>
                        <w:numPr>
                          <w:ilvl w:val="0"/>
                          <w:numId w:val="78"/>
                        </w:numPr>
                        <w:ind w:left="284" w:hanging="284"/>
                        <w:jc w:val="left"/>
                        <w:rPr>
                          <w:b/>
                          <w:shd w:val="clear" w:color="auto" w:fill="FFFFFF"/>
                        </w:rPr>
                      </w:pPr>
                      <w:r>
                        <w:rPr>
                          <w:b/>
                          <w:shd w:val="clear" w:color="auto" w:fill="FFFFFF"/>
                        </w:rPr>
                        <w:t>Compreender a QAC</w:t>
                      </w:r>
                    </w:p>
                    <w:p w:rsidR="00B06BF7" w:rsidRPr="00A92E91" w:rsidRDefault="00B06BF7" w:rsidP="008C0B17">
                      <w:pPr>
                        <w:pStyle w:val="Normal12PTcouleurgris"/>
                        <w:numPr>
                          <w:ilvl w:val="0"/>
                          <w:numId w:val="78"/>
                        </w:numPr>
                        <w:ind w:left="284" w:hanging="284"/>
                        <w:jc w:val="left"/>
                        <w:rPr>
                          <w:b/>
                          <w:shd w:val="clear" w:color="auto" w:fill="FFFFFF"/>
                        </w:rPr>
                      </w:pPr>
                      <w:r>
                        <w:rPr>
                          <w:b/>
                          <w:shd w:val="clear" w:color="auto" w:fill="FFFFFF"/>
                        </w:rPr>
                        <w:t xml:space="preserve">Desafios específicos </w:t>
                      </w:r>
                    </w:p>
                    <w:p w:rsidR="00B06BF7" w:rsidRPr="00A92E91" w:rsidRDefault="00B06BF7" w:rsidP="008C0B17">
                      <w:pPr>
                        <w:pStyle w:val="Normal12PTcouleurgris"/>
                        <w:numPr>
                          <w:ilvl w:val="0"/>
                          <w:numId w:val="78"/>
                        </w:numPr>
                        <w:ind w:left="284" w:hanging="284"/>
                        <w:jc w:val="left"/>
                        <w:rPr>
                          <w:shd w:val="clear" w:color="auto" w:fill="FFFFFF"/>
                        </w:rPr>
                      </w:pPr>
                      <w:r>
                        <w:rPr>
                          <w:b/>
                          <w:shd w:val="clear" w:color="auto" w:fill="FFFFFF"/>
                        </w:rPr>
                        <w:t>Abordagem proposta para responder à QAC</w:t>
                      </w:r>
                      <w:r>
                        <w:rPr>
                          <w:shd w:val="clear" w:color="auto" w:fill="FFFFFF"/>
                        </w:rPr>
                        <w:t xml:space="preserve">: </w:t>
                      </w:r>
                      <w:r>
                        <w:rPr>
                          <w:i/>
                          <w:shd w:val="clear" w:color="auto" w:fill="FFFFFF"/>
                        </w:rPr>
                        <w:t xml:space="preserve">este capítulo propõe medidas, métodos e sugestões sobre como utilizar os indicadores comuns e adicionais para responder à QAC. </w:t>
                      </w:r>
                    </w:p>
                    <w:p w:rsidR="00B06BF7" w:rsidRPr="00A92E91" w:rsidRDefault="00B06BF7" w:rsidP="008C0B17">
                      <w:pPr>
                        <w:pStyle w:val="Hlistabc2"/>
                        <w:numPr>
                          <w:ilvl w:val="0"/>
                          <w:numId w:val="54"/>
                        </w:numPr>
                        <w:spacing w:before="120" w:after="120"/>
                        <w:rPr>
                          <w:sz w:val="18"/>
                          <w:szCs w:val="18"/>
                        </w:rPr>
                      </w:pPr>
                      <w:r>
                        <w:rPr>
                          <w:sz w:val="18"/>
                          <w:szCs w:val="18"/>
                        </w:rPr>
                        <w:t xml:space="preserve">Lógica de intervenção </w:t>
                      </w:r>
                    </w:p>
                    <w:p w:rsidR="00B06BF7" w:rsidRPr="00A92E91" w:rsidRDefault="00B06BF7" w:rsidP="008C0B17">
                      <w:pPr>
                        <w:pStyle w:val="Hlistabc2"/>
                        <w:numPr>
                          <w:ilvl w:val="0"/>
                          <w:numId w:val="54"/>
                        </w:numPr>
                        <w:spacing w:before="120" w:after="120"/>
                        <w:rPr>
                          <w:sz w:val="18"/>
                          <w:szCs w:val="18"/>
                        </w:rPr>
                      </w:pPr>
                      <w:r>
                        <w:rPr>
                          <w:sz w:val="18"/>
                          <w:szCs w:val="18"/>
                        </w:rPr>
                        <w:t xml:space="preserve">Elementos de avaliação </w:t>
                      </w:r>
                    </w:p>
                    <w:p w:rsidR="00B06BF7" w:rsidRPr="00A92E91" w:rsidRDefault="00B06BF7" w:rsidP="008C0B17">
                      <w:pPr>
                        <w:pStyle w:val="Hlistabc2"/>
                        <w:numPr>
                          <w:ilvl w:val="0"/>
                          <w:numId w:val="54"/>
                        </w:numPr>
                        <w:spacing w:before="120" w:after="120"/>
                        <w:rPr>
                          <w:sz w:val="18"/>
                          <w:szCs w:val="18"/>
                        </w:rPr>
                      </w:pPr>
                      <w:r>
                        <w:rPr>
                          <w:sz w:val="18"/>
                          <w:szCs w:val="18"/>
                        </w:rPr>
                        <w:t xml:space="preserve">Metodologia de avaliação proposta </w:t>
                      </w:r>
                    </w:p>
                    <w:p w:rsidR="00B06BF7" w:rsidRPr="00A92E91" w:rsidRDefault="00B06BF7" w:rsidP="008C0B17">
                      <w:pPr>
                        <w:pStyle w:val="Hlistabc2"/>
                        <w:numPr>
                          <w:ilvl w:val="0"/>
                          <w:numId w:val="54"/>
                        </w:numPr>
                        <w:spacing w:before="120" w:after="120"/>
                        <w:rPr>
                          <w:sz w:val="18"/>
                          <w:szCs w:val="18"/>
                        </w:rPr>
                      </w:pPr>
                      <w:r>
                        <w:rPr>
                          <w:sz w:val="18"/>
                          <w:szCs w:val="18"/>
                        </w:rPr>
                        <w:t xml:space="preserve">Riscos e soluções </w:t>
                      </w:r>
                    </w:p>
                    <w:p w:rsidR="00B06BF7" w:rsidRPr="00A92E91" w:rsidRDefault="00B06BF7" w:rsidP="008C0B17">
                      <w:pPr>
                        <w:pStyle w:val="Hlistabc2"/>
                        <w:numPr>
                          <w:ilvl w:val="0"/>
                          <w:numId w:val="54"/>
                        </w:numPr>
                        <w:spacing w:before="120" w:after="120"/>
                        <w:rPr>
                          <w:sz w:val="18"/>
                          <w:szCs w:val="18"/>
                        </w:rPr>
                      </w:pPr>
                      <w:r>
                        <w:rPr>
                          <w:sz w:val="18"/>
                          <w:szCs w:val="18"/>
                        </w:rPr>
                        <w:t>Conclusões e recomendações</w:t>
                      </w:r>
                    </w:p>
                    <w:p w:rsidR="00B06BF7" w:rsidRPr="00A92E91" w:rsidRDefault="00B06BF7" w:rsidP="007372CD">
                      <w:pPr>
                        <w:pStyle w:val="Normal12PTcouleurgris"/>
                        <w:numPr>
                          <w:ilvl w:val="0"/>
                          <w:numId w:val="78"/>
                        </w:numPr>
                        <w:ind w:left="284" w:hanging="284"/>
                        <w:jc w:val="left"/>
                        <w:rPr>
                          <w:b/>
                          <w:shd w:val="clear" w:color="auto" w:fill="FFFFFF"/>
                        </w:rPr>
                      </w:pPr>
                      <w:r>
                        <w:rPr>
                          <w:b/>
                          <w:shd w:val="clear" w:color="auto" w:fill="FFFFFF"/>
                        </w:rPr>
                        <w:t>Mais informações</w:t>
                      </w:r>
                    </w:p>
                  </w:txbxContent>
                </v:textbox>
                <w10:wrap type="square" anchorx="page"/>
              </v:shape>
            </w:pict>
          </mc:Fallback>
        </mc:AlternateContent>
      </w:r>
      <w:r w:rsidRPr="0027166D">
        <w:rPr>
          <w:sz w:val="18"/>
          <w:szCs w:val="18"/>
          <w:shd w:val="clear" w:color="auto" w:fill="FFFFFF"/>
        </w:rPr>
        <w:t xml:space="preserve">Não obstante ser obrigatório responder às QAC, este capítulo inclui orientações não vinculativas sobre como responder às QAC ligadas à inovação n.º 1, 2, 21, 23 e 30. Estas questões devem ser respondidas no Relatório Anual de Execução consolidado a apresentar em 2019 e na avaliação </w:t>
      </w:r>
      <w:r w:rsidRPr="0027166D">
        <w:rPr>
          <w:i/>
          <w:sz w:val="18"/>
          <w:szCs w:val="18"/>
          <w:shd w:val="clear" w:color="auto" w:fill="FFFFFF"/>
        </w:rPr>
        <w:t>ex</w:t>
      </w:r>
      <w:r>
        <w:rPr>
          <w:i/>
          <w:szCs w:val="20"/>
          <w:shd w:val="clear" w:color="auto" w:fill="FFFFFF"/>
        </w:rPr>
        <w:t xml:space="preserve"> post</w:t>
      </w:r>
      <w:r>
        <w:rPr>
          <w:szCs w:val="20"/>
          <w:shd w:val="clear" w:color="auto" w:fill="FFFFFF"/>
        </w:rPr>
        <w:t>.</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6"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7" w:name="_Toc508372665"/>
      <w:r>
        <w:lastRenderedPageBreak/>
        <w:t>QAC n.º 1: «Até que ponto as intervenções do PDR apoiaram a inovação, a cooperação e o desenvolvimento da base de conhecimentos nas zonas rurais?»</w:t>
      </w:r>
      <w:bookmarkEnd w:id="106"/>
      <w:bookmarkEnd w:id="107"/>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Compreender a QAC</w:t>
      </w:r>
    </w:p>
    <w:p w:rsidR="00A45935" w:rsidRPr="00E05D08" w:rsidRDefault="00A45935" w:rsidP="00E05D08">
      <w:pPr>
        <w:spacing w:after="120" w:line="280" w:lineRule="atLeast"/>
        <w:mirrorIndents/>
        <w:rPr>
          <w:rFonts w:eastAsia="Times New Roman" w:cs="Times New Roman"/>
          <w:szCs w:val="20"/>
        </w:rPr>
      </w:pPr>
      <w:r>
        <w:t>Existem três medidas que contribuem de forma mais significativa para a realização do objetivo associado à QAC n.º 1 (ou seja, apoiar a inovação): M1 (artigo 14.º «Transferência de conhecimentos e ações de informação»), M2 (artigo 15.º «Serviços de aconselhamento, de gestão agrícola e de substituição nas explorações agrícolas») e M16 (artigo 35º «Cooperação»)</w:t>
      </w:r>
      <w:r>
        <w:rPr>
          <w:rFonts w:eastAsia="Times New Roman" w:cs="Times New Roman"/>
          <w:szCs w:val="20"/>
          <w:vertAlign w:val="superscript"/>
          <w:lang w:eastAsia="de-DE"/>
        </w:rPr>
        <w:footnoteReference w:id="48"/>
      </w:r>
      <w:r>
        <w:t>. Além disso, a M19 (artigos 42.º e 35.º do Regulamento (UE) n.º 1303/2013) também pode ser considerada como um contributo importante para o aspeto da inovação do objetivo definido acima.</w:t>
      </w:r>
    </w:p>
    <w:p w:rsidR="00A45935" w:rsidRPr="00E05D08" w:rsidRDefault="00A45935" w:rsidP="00E05D08">
      <w:pPr>
        <w:spacing w:after="120" w:line="280" w:lineRule="atLeast"/>
        <w:mirrorIndents/>
        <w:rPr>
          <w:rFonts w:eastAsia="Times New Roman" w:cs="Times New Roman"/>
          <w:szCs w:val="20"/>
        </w:rPr>
      </w:pPr>
      <w:r>
        <w:t xml:space="preserve">É essencial explorar que aspetos das medidas apoiam a inovação. Por exemplo, uma determinada lógica de intervenção da Prioridade 1 pode demonstrar que M1 e M16 também contribuem diretamente para o DI 1B (M16) ou o DI 1C (M1) e não apenas para o DI 1A. </w:t>
      </w:r>
    </w:p>
    <w:p w:rsidR="00A45935" w:rsidRPr="00E05D08" w:rsidRDefault="00654F10" w:rsidP="00E05D08">
      <w:pPr>
        <w:spacing w:after="120" w:line="280" w:lineRule="atLeast"/>
        <w:mirrorIndents/>
        <w:rPr>
          <w:rFonts w:eastAsia="Times New Roman" w:cs="Times New Roman"/>
          <w:szCs w:val="20"/>
        </w:rPr>
      </w:pPr>
      <w:r>
        <w:t xml:space="preserve">Os elementos dessas medidas relacionados com a inovação podem ser discriminados do seguinte modo: </w:t>
      </w:r>
    </w:p>
    <w:p w:rsidR="00A45935" w:rsidRDefault="00A45935" w:rsidP="00E05D08">
      <w:pPr>
        <w:spacing w:after="120" w:line="280" w:lineRule="atLeast"/>
        <w:mirrorIndents/>
        <w:rPr>
          <w:rFonts w:eastAsia="Times New Roman" w:cs="Times New Roman"/>
          <w:szCs w:val="20"/>
        </w:rPr>
      </w:pPr>
      <w:r>
        <w:t xml:space="preserve">A </w:t>
      </w:r>
      <w:r w:rsidRPr="0027166D">
        <w:rPr>
          <w:b/>
        </w:rPr>
        <w:t>M1</w:t>
      </w:r>
      <w:r>
        <w:t xml:space="preserve"> (artigo 14.º) abrange a formação profissional e aquisição de competências, bem como atividades de demonstração e ações de informação. Além disso, também pode abranger intercâmbios e visitas no domínio da gestão agrícola e florestal. Embora a inovação não seja explicitamente mencionada no artigo 14.º, estas ações podem representar um papel importante no </w:t>
      </w:r>
      <w:r w:rsidRPr="0027166D">
        <w:rPr>
          <w:b/>
        </w:rPr>
        <w:t>reforço da capacidade de inovação</w:t>
      </w:r>
      <w:r>
        <w:t>.</w:t>
      </w:r>
    </w:p>
    <w:p w:rsidR="00A45935" w:rsidRPr="00E05D08" w:rsidRDefault="00A45935" w:rsidP="00E05D08">
      <w:pPr>
        <w:spacing w:after="120" w:line="280" w:lineRule="atLeast"/>
        <w:mirrorIndents/>
        <w:rPr>
          <w:rFonts w:eastAsia="Times New Roman" w:cs="Times New Roman"/>
          <w:szCs w:val="20"/>
        </w:rPr>
      </w:pPr>
      <w:r>
        <w:t xml:space="preserve">A </w:t>
      </w:r>
      <w:r w:rsidRPr="0027166D">
        <w:rPr>
          <w:b/>
        </w:rPr>
        <w:t>M2</w:t>
      </w:r>
      <w:r>
        <w:t xml:space="preserve"> (artigo 15.º) inclui o aconselhamento aos agricultores individuais, aos jovens agricultores e a outros gestores agrícolas, bem como formação de conselheiros ou de prestadores de serviços de apoio à inovação. Esta medida abrange vários elementos, tais como o aconselhamento sobre medidas do PDR ao nível da exploração agrícola destinadas, entre outras, à inovação</w:t>
      </w:r>
      <w:r>
        <w:rPr>
          <w:rFonts w:eastAsia="Times New Roman" w:cs="Times New Roman"/>
          <w:szCs w:val="20"/>
          <w:vertAlign w:val="superscript"/>
          <w:lang w:eastAsia="de-DE"/>
        </w:rPr>
        <w:footnoteReference w:id="49"/>
      </w:r>
      <w:r>
        <w:t xml:space="preserve">. A prestação de serviços de aconselhamento é uma forma de reforçar a capacidade de inovação (ver o </w:t>
      </w:r>
      <w:hyperlink w:anchor="Innovation_RD" w:history="1">
        <w:r>
          <w:rPr>
            <w:rStyle w:val="Hyperlink"/>
            <w:sz w:val="20"/>
            <w:szCs w:val="20"/>
          </w:rPr>
          <w:t>Capítulo 1.1</w:t>
        </w:r>
      </w:hyperlink>
      <w:r>
        <w:t>), oferecendo a possibilidade de transferência de conhecimentos. Além disso, no contexto da PEI, os conselheiros/serviços de apoio à inovação assumem um papel de «formação» nos processos de inovação interativos no contexto dos GO.</w:t>
      </w:r>
    </w:p>
    <w:p w:rsidR="00A45935" w:rsidRDefault="00A45935" w:rsidP="00E05D08">
      <w:pPr>
        <w:spacing w:after="120" w:line="280" w:lineRule="atLeast"/>
        <w:mirrorIndents/>
        <w:rPr>
          <w:rFonts w:eastAsia="Times New Roman" w:cs="Times New Roman"/>
          <w:szCs w:val="20"/>
        </w:rPr>
      </w:pPr>
      <w:r>
        <w:t xml:space="preserve">A </w:t>
      </w:r>
      <w:r w:rsidRPr="0027166D">
        <w:rPr>
          <w:b/>
        </w:rPr>
        <w:t>M16</w:t>
      </w:r>
      <w:r>
        <w:t xml:space="preserve"> (artigo 35.º) apoia: a) a cooperação entre um grande número de intervenientes que contribuem para alcançar os objetivos da política de desenvolvimento rural (setores da agricultura e silvicultura, cadeia alimentar, agrupamentos de produtores, cooperativas e organizações interprofissionais, entre outros); b) a criação de polos e redes; e c) a criação e o funcionamento de GO da PEI-AGRI. A M16 inclui 10 submedidas e apoia a inovação relativamente </w:t>
      </w:r>
      <w:r w:rsidRPr="0027166D">
        <w:rPr>
          <w:b/>
        </w:rPr>
        <w:t>às três via</w:t>
      </w:r>
      <w:r>
        <w:t>s descritas no Capítulo 1.1 (ver caixa abaixo).</w:t>
      </w:r>
    </w:p>
    <w:p w:rsidR="006F1601" w:rsidRDefault="00A45935" w:rsidP="00E05D08">
      <w:pPr>
        <w:spacing w:after="120" w:line="280" w:lineRule="atLeast"/>
        <w:mirrorIndents/>
        <w:rPr>
          <w:rFonts w:eastAsia="Times New Roman" w:cs="Times New Roman"/>
          <w:szCs w:val="20"/>
        </w:rPr>
      </w:pPr>
      <w:r>
        <w:t xml:space="preserve">A </w:t>
      </w:r>
      <w:r w:rsidRPr="0027166D">
        <w:rPr>
          <w:b/>
        </w:rPr>
        <w:t>M19</w:t>
      </w:r>
      <w:r>
        <w:t xml:space="preserve"> (artigo 42.º) apoia o desenvolvimento rural local através da aplicação dos princípios do LEADER</w:t>
      </w:r>
      <w:r>
        <w:rPr>
          <w:rFonts w:eastAsia="Calibri" w:cs="Times New Roman"/>
          <w:szCs w:val="20"/>
          <w:vertAlign w:val="superscript"/>
          <w:lang w:eastAsia="de-DE"/>
        </w:rPr>
        <w:footnoteReference w:id="50"/>
      </w:r>
      <w:r>
        <w:t>. Um desses princípios centra-se na promoção das inovações através de atividades dos grupos de ação local e dos beneficiários das estratégias de DPCL. A M19 inclui 5 submedidas que podem apoiar as inovações através de uma, duas ou das três vias descritas no Capítulo 1.1 (ver caixa abaixo).</w:t>
      </w:r>
    </w:p>
    <w:p w:rsidR="00E37A81" w:rsidRDefault="00E37A81" w:rsidP="00E37A81">
      <w:pPr>
        <w:spacing w:after="120" w:line="280" w:lineRule="atLeast"/>
        <w:mirrorIndents/>
        <w:rPr>
          <w:rFonts w:eastAsia="Calibri" w:cs="Times New Roman"/>
          <w:b/>
          <w:color w:val="57825E"/>
          <w:szCs w:val="20"/>
          <w:shd w:val="clear" w:color="auto" w:fill="FFFFFF"/>
        </w:rPr>
      </w:pPr>
    </w:p>
    <w:p w:rsidR="00E37A81" w:rsidRDefault="00E37A81" w:rsidP="00E37A81">
      <w:pPr>
        <w:spacing w:after="120" w:line="280" w:lineRule="atLeast"/>
        <w:mirrorIndents/>
        <w:rPr>
          <w:rFonts w:eastAsia="Calibri" w:cs="Times New Roman"/>
          <w:b/>
          <w:color w:val="57825E"/>
          <w:szCs w:val="20"/>
          <w:shd w:val="clear" w:color="auto" w:fill="FFFFFF"/>
        </w:rPr>
      </w:pPr>
    </w:p>
    <w:p w:rsidR="00E37A81" w:rsidRDefault="00E37A81" w:rsidP="00E37A81">
      <w:pPr>
        <w:spacing w:after="120" w:line="280" w:lineRule="atLeast"/>
        <w:mirrorIndents/>
        <w:rPr>
          <w:rFonts w:eastAsia="Calibri" w:cs="Times New Roman"/>
          <w:b/>
          <w:color w:val="57825E"/>
          <w:szCs w:val="20"/>
          <w:shd w:val="clear" w:color="auto" w:fill="FFFFFF"/>
        </w:rPr>
      </w:pPr>
      <w:r>
        <w:rPr>
          <w:rStyle w:val="FootnoteReference"/>
          <w:rFonts w:eastAsia="Calibri" w:cs="Times New Roman"/>
          <w:b/>
          <w:color w:val="FFFFFF" w:themeColor="background1"/>
          <w:szCs w:val="20"/>
          <w:shd w:val="clear" w:color="auto" w:fill="FFFFFF"/>
        </w:rPr>
        <w:lastRenderedPageBreak/>
        <w:footnoteReference w:id="51"/>
      </w:r>
    </w:p>
    <w:p w:rsidR="00863DB0" w:rsidRDefault="00E37A81" w:rsidP="00E37A81">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mc:AlternateContent>
          <mc:Choice Requires="wps">
            <w:drawing>
              <wp:anchor distT="0" distB="0" distL="114300" distR="114300" simplePos="0" relativeHeight="251736064" behindDoc="1" locked="0" layoutInCell="1" allowOverlap="1" wp14:anchorId="5CC82F71" wp14:editId="06D0D8D2">
                <wp:simplePos x="0" y="0"/>
                <wp:positionH relativeFrom="column">
                  <wp:posOffset>-292735</wp:posOffset>
                </wp:positionH>
                <wp:positionV relativeFrom="paragraph">
                  <wp:posOffset>250190</wp:posOffset>
                </wp:positionV>
                <wp:extent cx="5913755" cy="7475855"/>
                <wp:effectExtent l="0" t="0" r="10795" b="10795"/>
                <wp:wrapTight wrapText="bothSides">
                  <wp:wrapPolygon edited="0">
                    <wp:start x="765" y="0"/>
                    <wp:lineTo x="0" y="275"/>
                    <wp:lineTo x="0" y="21576"/>
                    <wp:lineTo x="20874" y="21576"/>
                    <wp:lineTo x="20944" y="21576"/>
                    <wp:lineTo x="21570" y="21191"/>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475855"/>
                        </a:xfrm>
                        <a:prstGeom prst="round2DiagRect">
                          <a:avLst>
                            <a:gd name="adj1" fmla="val 5642"/>
                            <a:gd name="adj2" fmla="val 0"/>
                          </a:avLst>
                        </a:prstGeom>
                        <a:noFill/>
                        <a:ln w="25400" cap="flat" cmpd="sng" algn="ctr">
                          <a:solidFill>
                            <a:srgbClr val="F07E31"/>
                          </a:solidFill>
                          <a:prstDash val="solid"/>
                        </a:ln>
                        <a:effectLst/>
                      </wps:spPr>
                      <wps:txbx>
                        <w:txbxContent>
                          <w:p w:rsidR="00B06BF7" w:rsidRPr="00E37A81" w:rsidRDefault="00B06BF7" w:rsidP="00C3334D">
                            <w:pPr>
                              <w:pStyle w:val="HStandard"/>
                              <w:ind w:left="284" w:right="23"/>
                              <w:rPr>
                                <w:sz w:val="16"/>
                                <w:szCs w:val="16"/>
                              </w:rPr>
                            </w:pPr>
                            <w:r w:rsidRPr="00E37A81">
                              <w:rPr>
                                <w:sz w:val="16"/>
                                <w:szCs w:val="16"/>
                                <w:lang w:val="en-GB" w:eastAsia="en-GB"/>
                              </w:rPr>
                              <w:drawing>
                                <wp:inline distT="0" distB="0" distL="0" distR="0" wp14:anchorId="6A19C12B" wp14:editId="7914812F">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37A81">
                              <w:rPr>
                                <w:sz w:val="16"/>
                                <w:szCs w:val="16"/>
                              </w:rPr>
                              <w:t xml:space="preserve"> </w:t>
                            </w:r>
                          </w:p>
                          <w:p w:rsidR="00B06BF7" w:rsidRPr="00E37A81" w:rsidRDefault="00B06BF7" w:rsidP="00A66F3C">
                            <w:pPr>
                              <w:pStyle w:val="HStandard"/>
                              <w:ind w:right="23"/>
                              <w:rPr>
                                <w:b/>
                                <w:color w:val="F07E31"/>
                                <w:sz w:val="16"/>
                                <w:szCs w:val="16"/>
                              </w:rPr>
                            </w:pPr>
                            <w:r w:rsidRPr="00E37A81">
                              <w:rPr>
                                <w:b/>
                                <w:color w:val="F07E31"/>
                                <w:sz w:val="16"/>
                                <w:szCs w:val="16"/>
                              </w:rPr>
                              <w:t>Exemplos de como a M1 pode reforçar a capacidade de inovação:</w:t>
                            </w:r>
                          </w:p>
                          <w:p w:rsidR="00B06BF7" w:rsidRPr="00E37A81" w:rsidRDefault="00B06BF7" w:rsidP="00A66F3C">
                            <w:pPr>
                              <w:pStyle w:val="Hlistbullet"/>
                              <w:rPr>
                                <w:sz w:val="16"/>
                                <w:szCs w:val="16"/>
                              </w:rPr>
                            </w:pPr>
                            <w:r w:rsidRPr="00E37A81">
                              <w:rPr>
                                <w:sz w:val="16"/>
                                <w:szCs w:val="16"/>
                              </w:rPr>
                              <w:t>Novas competências para agricultores/PME para que apliquem processos/técnicas inovadores(as) ou novas competências organizacionais.</w:t>
                            </w:r>
                          </w:p>
                          <w:p w:rsidR="00B06BF7" w:rsidRPr="00E37A81" w:rsidRDefault="00B06BF7" w:rsidP="00A66F3C">
                            <w:pPr>
                              <w:pStyle w:val="Hlistbullet"/>
                              <w:rPr>
                                <w:sz w:val="16"/>
                                <w:szCs w:val="16"/>
                              </w:rPr>
                            </w:pPr>
                            <w:r w:rsidRPr="00E37A81">
                              <w:rPr>
                                <w:sz w:val="16"/>
                                <w:szCs w:val="16"/>
                              </w:rPr>
                              <w:t>Intercâmbios e visitas que contribuem para a transferência de conhecimentos de uma exploração agrícola/região para outra.</w:t>
                            </w:r>
                          </w:p>
                          <w:p w:rsidR="00B06BF7" w:rsidRPr="00E37A81" w:rsidRDefault="00B06BF7" w:rsidP="00C3334D">
                            <w:pPr>
                              <w:pStyle w:val="HStandard"/>
                              <w:ind w:right="54"/>
                              <w:rPr>
                                <w:b/>
                                <w:color w:val="F07E31"/>
                                <w:sz w:val="16"/>
                                <w:szCs w:val="16"/>
                              </w:rPr>
                            </w:pPr>
                            <w:r w:rsidRPr="00E37A81">
                              <w:rPr>
                                <w:b/>
                                <w:color w:val="F07E31"/>
                                <w:sz w:val="16"/>
                                <w:szCs w:val="16"/>
                              </w:rPr>
                              <w:t>Exemplos de como a M16 apoia a inovação:</w:t>
                            </w:r>
                          </w:p>
                          <w:p w:rsidR="00B06BF7" w:rsidRPr="00E37A81" w:rsidRDefault="00B06BF7" w:rsidP="00A66F3C">
                            <w:pPr>
                              <w:pStyle w:val="Hlistbullet"/>
                              <w:rPr>
                                <w:sz w:val="16"/>
                                <w:szCs w:val="16"/>
                              </w:rPr>
                            </w:pPr>
                            <w:r w:rsidRPr="00E37A81">
                              <w:rPr>
                                <w:sz w:val="16"/>
                                <w:szCs w:val="16"/>
                              </w:rPr>
                              <w:t>O desenvolvimento de novos produtos, práticas e tecnologias nos setores agrícola, alimentar e florestal (submedida M16.2</w:t>
                            </w:r>
                            <w:r w:rsidRPr="00E37A81">
                              <w:rPr>
                                <w:sz w:val="16"/>
                                <w:szCs w:val="16"/>
                                <w:vertAlign w:val="superscript"/>
                              </w:rPr>
                              <w:t>51</w:t>
                            </w:r>
                            <w:r w:rsidRPr="00E37A81">
                              <w:rPr>
                                <w:sz w:val="16"/>
                                <w:szCs w:val="16"/>
                              </w:rPr>
                              <w:t xml:space="preserve">) está relacionado com a identificação e com o cultivo da inovação num espírito de colaboração. </w:t>
                            </w:r>
                          </w:p>
                          <w:p w:rsidR="00B06BF7" w:rsidRPr="00E37A81" w:rsidRDefault="00B06BF7" w:rsidP="00A66F3C">
                            <w:pPr>
                              <w:pStyle w:val="Hlistbullet"/>
                              <w:rPr>
                                <w:sz w:val="16"/>
                                <w:szCs w:val="16"/>
                              </w:rPr>
                            </w:pPr>
                            <w:r w:rsidRPr="00E37A81">
                              <w:rPr>
                                <w:sz w:val="16"/>
                                <w:szCs w:val="16"/>
                              </w:rPr>
                              <w:t xml:space="preserve">Todas as restantes submedidas têm potencial para </w:t>
                            </w:r>
                            <w:r w:rsidRPr="00E37A81">
                              <w:rPr>
                                <w:b/>
                                <w:sz w:val="16"/>
                                <w:szCs w:val="16"/>
                              </w:rPr>
                              <w:t>reforçar a capacidade de inovação</w:t>
                            </w:r>
                            <w:r w:rsidRPr="00E37A81">
                              <w:rPr>
                                <w:sz w:val="16"/>
                                <w:szCs w:val="16"/>
                              </w:rPr>
                              <w:t>, uma vez que o processo de cooperação implica identificar novas oportunidades, gerar novas ideias, experimentar novas tecnologias ou identificar novas formas de atuar, coletivamente.</w:t>
                            </w:r>
                          </w:p>
                          <w:p w:rsidR="00B06BF7" w:rsidRPr="00E37A81" w:rsidRDefault="00B06BF7" w:rsidP="00A66F3C">
                            <w:pPr>
                              <w:pStyle w:val="Hlistbullet"/>
                              <w:rPr>
                                <w:sz w:val="16"/>
                                <w:szCs w:val="16"/>
                              </w:rPr>
                            </w:pPr>
                            <w:r w:rsidRPr="00E37A81">
                              <w:rPr>
                                <w:sz w:val="16"/>
                                <w:szCs w:val="16"/>
                              </w:rPr>
                              <w:t xml:space="preserve">Além disso, o apoio proporcionado a projetos de cooperação por conselheiros/serviços de apoio à inovação, incluindo o apoio oferecido pelas RRN para este efeito, pode contribuir para </w:t>
                            </w:r>
                            <w:r w:rsidRPr="00E37A81">
                              <w:rPr>
                                <w:b/>
                                <w:sz w:val="16"/>
                                <w:szCs w:val="16"/>
                              </w:rPr>
                              <w:t>reforçar a capacidade de inovação</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A participação das partes interessadas na inovação em projetos de cooperação (por exemplo, serviços de apoio à inovação, departamentos de inovação, centros de I&amp;D, centros de inovação ou de tecnologia) pode contribuir para a </w:t>
                            </w:r>
                            <w:r w:rsidRPr="00E37A81">
                              <w:rPr>
                                <w:b/>
                                <w:sz w:val="16"/>
                                <w:szCs w:val="16"/>
                              </w:rPr>
                              <w:t>criação de um ambiente propício à inovação</w:t>
                            </w:r>
                            <w:r w:rsidRPr="00E37A81">
                              <w:rPr>
                                <w:sz w:val="16"/>
                                <w:szCs w:val="16"/>
                              </w:rPr>
                              <w:t>. Por exemplo, a realização de um projeto de investigação coletiva pode gerar um resultado que pode influenciar a legislação (por exemplo, a legislação ambiental).</w:t>
                            </w:r>
                          </w:p>
                          <w:p w:rsidR="00B06BF7" w:rsidRPr="00E37A81" w:rsidRDefault="00B06BF7" w:rsidP="00A66F3C">
                            <w:pPr>
                              <w:pStyle w:val="Hlistbullet"/>
                              <w:rPr>
                                <w:sz w:val="16"/>
                                <w:szCs w:val="16"/>
                              </w:rPr>
                            </w:pPr>
                            <w:r w:rsidRPr="00E37A81">
                              <w:rPr>
                                <w:sz w:val="16"/>
                                <w:szCs w:val="16"/>
                              </w:rPr>
                              <w:t xml:space="preserve">A criação e o funcionamento dos GO podem dar origem a uma abordagem ainda mais holística de apoio à inovação através da combinação </w:t>
                            </w:r>
                            <w:r w:rsidRPr="00E37A81">
                              <w:rPr>
                                <w:b/>
                                <w:sz w:val="16"/>
                                <w:szCs w:val="16"/>
                              </w:rPr>
                              <w:t>das três vias</w:t>
                            </w:r>
                            <w:r w:rsidRPr="00E37A81">
                              <w:rPr>
                                <w:sz w:val="16"/>
                                <w:szCs w:val="16"/>
                              </w:rPr>
                              <w:t>: a identificação de novas ideias (o ponto de partida para os GO), o reforço da capacidade de inovação (o apoio de conselheiros/serviços de apoio à inovação) e a criação de um ambiente propício à inovação (os resultados dos projetos dos GO).</w:t>
                            </w:r>
                          </w:p>
                          <w:p w:rsidR="00B06BF7" w:rsidRPr="00E37A81" w:rsidRDefault="00B06BF7" w:rsidP="00C3334D">
                            <w:pPr>
                              <w:pStyle w:val="Normal12PTcouleurgris"/>
                              <w:ind w:left="284"/>
                              <w:rPr>
                                <w:color w:val="F07E31"/>
                                <w:sz w:val="16"/>
                                <w:szCs w:val="16"/>
                              </w:rPr>
                            </w:pPr>
                            <w:r w:rsidRPr="00E37A81">
                              <w:rPr>
                                <w:b/>
                                <w:color w:val="F07E31"/>
                                <w:sz w:val="16"/>
                                <w:szCs w:val="16"/>
                              </w:rPr>
                              <w:t>Exemplos de como a M19 apoia a inovação:</w:t>
                            </w:r>
                          </w:p>
                          <w:p w:rsidR="00B06BF7" w:rsidRPr="00E37A81" w:rsidRDefault="00B06BF7" w:rsidP="00A66F3C">
                            <w:pPr>
                              <w:pStyle w:val="Hlistbullet"/>
                              <w:rPr>
                                <w:sz w:val="16"/>
                                <w:szCs w:val="16"/>
                              </w:rPr>
                            </w:pPr>
                            <w:r w:rsidRPr="00E37A81">
                              <w:rPr>
                                <w:sz w:val="16"/>
                                <w:szCs w:val="16"/>
                              </w:rPr>
                              <w:t xml:space="preserve">Aplicação de novas formas de conceção da estratégia, incluindo diversas formas únicas de assegurar a participação das populações locais nas decisões estratégicas (por exemplo, várias atividades de animação relacionadas com a recolha de informações, várias sessões de trabalho e plataformas de debate, etc.) e, assim, contribuir para o </w:t>
                            </w:r>
                            <w:r w:rsidRPr="00E37A81">
                              <w:rPr>
                                <w:b/>
                                <w:sz w:val="16"/>
                                <w:szCs w:val="16"/>
                              </w:rPr>
                              <w:t>ambiente propício à inovação (via n.º 3)</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Execução de atividades de animação inovadoras, que vão além da conceção e execução da estratégia e asseguram a participação da população em geral em várias ações inovadoras dos GAL (por exemplo, centradas no reforço de uma forte identidade territorial envolvendo, por exemplo, o património natural e cultural) que prestam um </w:t>
                            </w:r>
                            <w:r w:rsidRPr="00E37A81">
                              <w:rPr>
                                <w:b/>
                                <w:sz w:val="16"/>
                                <w:szCs w:val="16"/>
                              </w:rPr>
                              <w:t>apoio adicional ao ambiente propício e cultivam potenciais ideias inovadoras (vias n.º 3 e 1)</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Lançamento de projetos de cooperação inovadores, que permitem a transferência de novos conhecimentos, experiências e tecnologias no território dos GAL e proporcionam um espaço </w:t>
                            </w:r>
                            <w:r w:rsidRPr="00E37A81">
                              <w:rPr>
                                <w:b/>
                                <w:sz w:val="16"/>
                                <w:szCs w:val="16"/>
                              </w:rPr>
                              <w:t>para cultivar ideias potencialmente inovadoras (via n.º 1)</w:t>
                            </w:r>
                            <w:r w:rsidRPr="00E37A81">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2F71" id="Rectangle: Diagonal Corners Rounded 11" o:spid="_x0000_s1042" style="position:absolute;left:0;text-align:left;margin-left:-23.05pt;margin-top:19.7pt;width:465.65pt;height:588.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475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" adj="-11796480,,5400" path="m333654,l5913755,r,l5913755,7142201v,184272,-149382,333654,-333654,333654l,7475855r,l,333654c,149382,149382,,333654,xe" filled="f" strokecolor="#f07e31" strokeweight="2pt">
                <v:stroke joinstyle="miter"/>
                <v:formulas/>
                <v:path arrowok="t" o:connecttype="custom" o:connectlocs="333654,0;5913755,0;5913755,0;5913755,7142201;5580101,7475855;0,7475855;0,7475855;0,333654;333654,0" o:connectangles="0,0,0,0,0,0,0,0,0" textboxrect="0,0,5913755,7475855"/>
                <v:textbox>
                  <w:txbxContent>
                    <w:p w:rsidR="00B06BF7" w:rsidRPr="00E37A81" w:rsidRDefault="00B06BF7" w:rsidP="00C3334D">
                      <w:pPr>
                        <w:pStyle w:val="HStandard"/>
                        <w:ind w:left="284" w:right="23"/>
                        <w:rPr>
                          <w:sz w:val="16"/>
                          <w:szCs w:val="16"/>
                        </w:rPr>
                      </w:pPr>
                      <w:r w:rsidRPr="00E37A81">
                        <w:rPr>
                          <w:sz w:val="16"/>
                          <w:szCs w:val="16"/>
                          <w:lang w:val="en-GB" w:eastAsia="en-GB"/>
                        </w:rPr>
                        <w:drawing>
                          <wp:inline distT="0" distB="0" distL="0" distR="0" wp14:anchorId="6A19C12B" wp14:editId="7914812F">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37A81">
                        <w:rPr>
                          <w:sz w:val="16"/>
                          <w:szCs w:val="16"/>
                        </w:rPr>
                        <w:t xml:space="preserve"> </w:t>
                      </w:r>
                    </w:p>
                    <w:p w:rsidR="00B06BF7" w:rsidRPr="00E37A81" w:rsidRDefault="00B06BF7" w:rsidP="00A66F3C">
                      <w:pPr>
                        <w:pStyle w:val="HStandard"/>
                        <w:ind w:right="23"/>
                        <w:rPr>
                          <w:b/>
                          <w:color w:val="F07E31"/>
                          <w:sz w:val="16"/>
                          <w:szCs w:val="16"/>
                        </w:rPr>
                      </w:pPr>
                      <w:r w:rsidRPr="00E37A81">
                        <w:rPr>
                          <w:b/>
                          <w:color w:val="F07E31"/>
                          <w:sz w:val="16"/>
                          <w:szCs w:val="16"/>
                        </w:rPr>
                        <w:t>Exemplos de como a M1 pode reforçar a capacidade de inovação:</w:t>
                      </w:r>
                    </w:p>
                    <w:p w:rsidR="00B06BF7" w:rsidRPr="00E37A81" w:rsidRDefault="00B06BF7" w:rsidP="00A66F3C">
                      <w:pPr>
                        <w:pStyle w:val="Hlistbullet"/>
                        <w:rPr>
                          <w:sz w:val="16"/>
                          <w:szCs w:val="16"/>
                        </w:rPr>
                      </w:pPr>
                      <w:r w:rsidRPr="00E37A81">
                        <w:rPr>
                          <w:sz w:val="16"/>
                          <w:szCs w:val="16"/>
                        </w:rPr>
                        <w:t>Novas competências para agricultores/PME para que apliquem processos/técnicas inovadores(as) ou novas competências organizacionais.</w:t>
                      </w:r>
                    </w:p>
                    <w:p w:rsidR="00B06BF7" w:rsidRPr="00E37A81" w:rsidRDefault="00B06BF7" w:rsidP="00A66F3C">
                      <w:pPr>
                        <w:pStyle w:val="Hlistbullet"/>
                        <w:rPr>
                          <w:sz w:val="16"/>
                          <w:szCs w:val="16"/>
                        </w:rPr>
                      </w:pPr>
                      <w:r w:rsidRPr="00E37A81">
                        <w:rPr>
                          <w:sz w:val="16"/>
                          <w:szCs w:val="16"/>
                        </w:rPr>
                        <w:t>Intercâmbios e visitas que contribuem para a transferência de conhecimentos de uma exploração agrícola/região para outra.</w:t>
                      </w:r>
                    </w:p>
                    <w:p w:rsidR="00B06BF7" w:rsidRPr="00E37A81" w:rsidRDefault="00B06BF7" w:rsidP="00C3334D">
                      <w:pPr>
                        <w:pStyle w:val="HStandard"/>
                        <w:ind w:right="54"/>
                        <w:rPr>
                          <w:b/>
                          <w:color w:val="F07E31"/>
                          <w:sz w:val="16"/>
                          <w:szCs w:val="16"/>
                        </w:rPr>
                      </w:pPr>
                      <w:r w:rsidRPr="00E37A81">
                        <w:rPr>
                          <w:b/>
                          <w:color w:val="F07E31"/>
                          <w:sz w:val="16"/>
                          <w:szCs w:val="16"/>
                        </w:rPr>
                        <w:t>Exemplos de como a M16 apoia a inovação:</w:t>
                      </w:r>
                    </w:p>
                    <w:p w:rsidR="00B06BF7" w:rsidRPr="00E37A81" w:rsidRDefault="00B06BF7" w:rsidP="00A66F3C">
                      <w:pPr>
                        <w:pStyle w:val="Hlistbullet"/>
                        <w:rPr>
                          <w:sz w:val="16"/>
                          <w:szCs w:val="16"/>
                        </w:rPr>
                      </w:pPr>
                      <w:r w:rsidRPr="00E37A81">
                        <w:rPr>
                          <w:sz w:val="16"/>
                          <w:szCs w:val="16"/>
                        </w:rPr>
                        <w:t>O desenvolvimento de novos produtos, práticas e tecnologias nos setores agrícola, alimentar e florestal (submedida M16.2</w:t>
                      </w:r>
                      <w:r w:rsidRPr="00E37A81">
                        <w:rPr>
                          <w:sz w:val="16"/>
                          <w:szCs w:val="16"/>
                          <w:vertAlign w:val="superscript"/>
                        </w:rPr>
                        <w:t>51</w:t>
                      </w:r>
                      <w:r w:rsidRPr="00E37A81">
                        <w:rPr>
                          <w:sz w:val="16"/>
                          <w:szCs w:val="16"/>
                        </w:rPr>
                        <w:t xml:space="preserve">) está relacionado com a identificação e com o cultivo da inovação num espírito de colaboração. </w:t>
                      </w:r>
                    </w:p>
                    <w:p w:rsidR="00B06BF7" w:rsidRPr="00E37A81" w:rsidRDefault="00B06BF7" w:rsidP="00A66F3C">
                      <w:pPr>
                        <w:pStyle w:val="Hlistbullet"/>
                        <w:rPr>
                          <w:sz w:val="16"/>
                          <w:szCs w:val="16"/>
                        </w:rPr>
                      </w:pPr>
                      <w:r w:rsidRPr="00E37A81">
                        <w:rPr>
                          <w:sz w:val="16"/>
                          <w:szCs w:val="16"/>
                        </w:rPr>
                        <w:t xml:space="preserve">Todas as restantes submedidas têm potencial para </w:t>
                      </w:r>
                      <w:r w:rsidRPr="00E37A81">
                        <w:rPr>
                          <w:b/>
                          <w:sz w:val="16"/>
                          <w:szCs w:val="16"/>
                        </w:rPr>
                        <w:t>reforçar a capacidade de inovação</w:t>
                      </w:r>
                      <w:r w:rsidRPr="00E37A81">
                        <w:rPr>
                          <w:sz w:val="16"/>
                          <w:szCs w:val="16"/>
                        </w:rPr>
                        <w:t>, uma vez que o processo de cooperação implica identificar novas oportunidades, gerar novas ideias, experimentar novas tecnologias ou identificar novas formas de atuar, coletivamente.</w:t>
                      </w:r>
                    </w:p>
                    <w:p w:rsidR="00B06BF7" w:rsidRPr="00E37A81" w:rsidRDefault="00B06BF7" w:rsidP="00A66F3C">
                      <w:pPr>
                        <w:pStyle w:val="Hlistbullet"/>
                        <w:rPr>
                          <w:sz w:val="16"/>
                          <w:szCs w:val="16"/>
                        </w:rPr>
                      </w:pPr>
                      <w:r w:rsidRPr="00E37A81">
                        <w:rPr>
                          <w:sz w:val="16"/>
                          <w:szCs w:val="16"/>
                        </w:rPr>
                        <w:t xml:space="preserve">Além disso, o apoio proporcionado a projetos de cooperação por conselheiros/serviços de apoio à inovação, incluindo o apoio oferecido pelas RRN para este efeito, pode contribuir para </w:t>
                      </w:r>
                      <w:r w:rsidRPr="00E37A81">
                        <w:rPr>
                          <w:b/>
                          <w:sz w:val="16"/>
                          <w:szCs w:val="16"/>
                        </w:rPr>
                        <w:t>reforçar a capacidade de inovação</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A participação das partes interessadas na inovação em projetos de cooperação (por exemplo, serviços de apoio à inovação, departamentos de inovação, centros de I&amp;D, centros de inovação ou de tecnologia) pode contribuir para a </w:t>
                      </w:r>
                      <w:r w:rsidRPr="00E37A81">
                        <w:rPr>
                          <w:b/>
                          <w:sz w:val="16"/>
                          <w:szCs w:val="16"/>
                        </w:rPr>
                        <w:t>criação de um ambiente propício à inovação</w:t>
                      </w:r>
                      <w:r w:rsidRPr="00E37A81">
                        <w:rPr>
                          <w:sz w:val="16"/>
                          <w:szCs w:val="16"/>
                        </w:rPr>
                        <w:t>. Por exemplo, a realização de um projeto de investigação coletiva pode gerar um resultado que pode influenciar a legislação (por exemplo, a legislação ambiental).</w:t>
                      </w:r>
                    </w:p>
                    <w:p w:rsidR="00B06BF7" w:rsidRPr="00E37A81" w:rsidRDefault="00B06BF7" w:rsidP="00A66F3C">
                      <w:pPr>
                        <w:pStyle w:val="Hlistbullet"/>
                        <w:rPr>
                          <w:sz w:val="16"/>
                          <w:szCs w:val="16"/>
                        </w:rPr>
                      </w:pPr>
                      <w:r w:rsidRPr="00E37A81">
                        <w:rPr>
                          <w:sz w:val="16"/>
                          <w:szCs w:val="16"/>
                        </w:rPr>
                        <w:t xml:space="preserve">A criação e o funcionamento dos GO podem dar origem a uma abordagem ainda mais holística de apoio à inovação através da combinação </w:t>
                      </w:r>
                      <w:r w:rsidRPr="00E37A81">
                        <w:rPr>
                          <w:b/>
                          <w:sz w:val="16"/>
                          <w:szCs w:val="16"/>
                        </w:rPr>
                        <w:t>das três vias</w:t>
                      </w:r>
                      <w:r w:rsidRPr="00E37A81">
                        <w:rPr>
                          <w:sz w:val="16"/>
                          <w:szCs w:val="16"/>
                        </w:rPr>
                        <w:t>: a identificação de novas ideias (o ponto de partida para os GO), o reforço da capacidade de inovação (o apoio de conselheiros/serviços de apoio à inovação) e a criação de um ambiente propício à inovação (os resultados dos projetos dos GO).</w:t>
                      </w:r>
                    </w:p>
                    <w:p w:rsidR="00B06BF7" w:rsidRPr="00E37A81" w:rsidRDefault="00B06BF7" w:rsidP="00C3334D">
                      <w:pPr>
                        <w:pStyle w:val="Normal12PTcouleurgris"/>
                        <w:ind w:left="284"/>
                        <w:rPr>
                          <w:color w:val="F07E31"/>
                          <w:sz w:val="16"/>
                          <w:szCs w:val="16"/>
                        </w:rPr>
                      </w:pPr>
                      <w:r w:rsidRPr="00E37A81">
                        <w:rPr>
                          <w:b/>
                          <w:color w:val="F07E31"/>
                          <w:sz w:val="16"/>
                          <w:szCs w:val="16"/>
                        </w:rPr>
                        <w:t>Exemplos de como a M19 apoia a inovação:</w:t>
                      </w:r>
                    </w:p>
                    <w:p w:rsidR="00B06BF7" w:rsidRPr="00E37A81" w:rsidRDefault="00B06BF7" w:rsidP="00A66F3C">
                      <w:pPr>
                        <w:pStyle w:val="Hlistbullet"/>
                        <w:rPr>
                          <w:sz w:val="16"/>
                          <w:szCs w:val="16"/>
                        </w:rPr>
                      </w:pPr>
                      <w:r w:rsidRPr="00E37A81">
                        <w:rPr>
                          <w:sz w:val="16"/>
                          <w:szCs w:val="16"/>
                        </w:rPr>
                        <w:t xml:space="preserve">Aplicação de novas formas de conceção da estratégia, incluindo diversas formas únicas de assegurar a participação das populações locais nas decisões estratégicas (por exemplo, várias atividades de animação relacionadas com a recolha de informações, várias sessões de trabalho e plataformas de debate, etc.) e, assim, contribuir para o </w:t>
                      </w:r>
                      <w:r w:rsidRPr="00E37A81">
                        <w:rPr>
                          <w:b/>
                          <w:sz w:val="16"/>
                          <w:szCs w:val="16"/>
                        </w:rPr>
                        <w:t>ambiente propício à inovação (via n.º 3)</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Execução de atividades de animação inovadoras, que vão além da conceção e execução da estratégia e asseguram a participação da população em geral em várias ações inovadoras dos GAL (por exemplo, centradas no reforço de uma forte identidade territorial envolvendo, por exemplo, o património natural e cultural) que prestam um </w:t>
                      </w:r>
                      <w:r w:rsidRPr="00E37A81">
                        <w:rPr>
                          <w:b/>
                          <w:sz w:val="16"/>
                          <w:szCs w:val="16"/>
                        </w:rPr>
                        <w:t>apoio adicional ao ambiente propício e cultivam potenciais ideias inovadoras (vias n.º 3 e 1)</w:t>
                      </w:r>
                      <w:r w:rsidRPr="00E37A81">
                        <w:rPr>
                          <w:sz w:val="16"/>
                          <w:szCs w:val="16"/>
                        </w:rPr>
                        <w:t>.</w:t>
                      </w:r>
                    </w:p>
                    <w:p w:rsidR="00B06BF7" w:rsidRPr="00E37A81" w:rsidRDefault="00B06BF7" w:rsidP="00A66F3C">
                      <w:pPr>
                        <w:pStyle w:val="Hlistbullet"/>
                        <w:rPr>
                          <w:sz w:val="16"/>
                          <w:szCs w:val="16"/>
                        </w:rPr>
                      </w:pPr>
                      <w:r w:rsidRPr="00E37A81">
                        <w:rPr>
                          <w:sz w:val="16"/>
                          <w:szCs w:val="16"/>
                        </w:rPr>
                        <w:t xml:space="preserve">Lançamento de projetos de cooperação inovadores, que permitem a transferência de novos conhecimentos, experiências e tecnologias no território dos GAL e proporcionam um espaço </w:t>
                      </w:r>
                      <w:r w:rsidRPr="00E37A81">
                        <w:rPr>
                          <w:b/>
                          <w:sz w:val="16"/>
                          <w:szCs w:val="16"/>
                        </w:rPr>
                        <w:t>para cultivar ideias potencialmente inovadoras (via n.º 1)</w:t>
                      </w:r>
                      <w:r w:rsidRPr="00E37A81">
                        <w:rPr>
                          <w:sz w:val="16"/>
                          <w:szCs w:val="16"/>
                        </w:rPr>
                        <w:t>.</w:t>
                      </w:r>
                    </w:p>
                  </w:txbxContent>
                </v:textbox>
                <w10:wrap type="tight"/>
              </v:shape>
            </w:pict>
          </mc:Fallback>
        </mc:AlternateContent>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t xml:space="preserve">Desafios específicos </w:t>
      </w:r>
    </w:p>
    <w:p w:rsidR="00A45935" w:rsidRPr="000A718F" w:rsidRDefault="00A45935" w:rsidP="00A66F3C">
      <w:pPr>
        <w:pStyle w:val="Hlistbullet"/>
      </w:pPr>
      <w:r>
        <w:rPr>
          <w:b/>
        </w:rPr>
        <w:t>Desenvolver</w:t>
      </w:r>
      <w:r>
        <w:rPr>
          <w:b/>
          <w:shd w:val="clear" w:color="auto" w:fill="FFFFFF"/>
        </w:rPr>
        <w:t xml:space="preserve"> elementos de avaliação adicionais e específicos a um programa</w:t>
      </w:r>
      <w:r>
        <w:rPr>
          <w:shd w:val="clear" w:color="auto" w:fill="FFFFFF"/>
        </w:rPr>
        <w:t xml:space="preserve">: A QAC n.º 1 está associada a um indicador de objetivo comum (T1) que pode não ser suficiente para </w:t>
      </w:r>
      <w:r>
        <w:rPr>
          <w:shd w:val="clear" w:color="auto" w:fill="FFFFFF"/>
        </w:rPr>
        <w:lastRenderedPageBreak/>
        <w:t xml:space="preserve">responder à QAC e pode, por conseguinte, precisar de ser complementada por indicadores adicionais para medir as despesas das medidas pertinentes relacionadas com a inovação. Simultaneamente, podem ser utilizados dois indicadores de resultados comuns para responder à QAC n.º 1 (O13 Número de beneficiários aconselhados e O16 Número de operações da PEI). Em função da lógica de intervenção específica, podem ser necessários mais elementos de avaliação para avaliar todos os aspetos relacionados com a inovação. </w:t>
      </w:r>
    </w:p>
    <w:p w:rsidR="00A45935" w:rsidRPr="000A718F" w:rsidRDefault="00A45935" w:rsidP="00A66F3C">
      <w:pPr>
        <w:pStyle w:val="Hlistbullet"/>
        <w:rPr>
          <w:rFonts w:eastAsia="Calibri"/>
          <w:shd w:val="clear" w:color="auto" w:fill="FFFFFF"/>
        </w:rPr>
      </w:pPr>
      <w:r>
        <w:rPr>
          <w:b/>
          <w:shd w:val="clear" w:color="auto" w:fill="FFFFFF"/>
        </w:rPr>
        <w:t xml:space="preserve">Atribuir as alterações observadas </w:t>
      </w:r>
      <w:r>
        <w:rPr>
          <w:shd w:val="clear" w:color="auto" w:fill="FFFFFF"/>
        </w:rPr>
        <w:t xml:space="preserve">no que diz respeito ao apoio à inovação, às </w:t>
      </w:r>
      <w:r>
        <w:rPr>
          <w:b/>
          <w:shd w:val="clear" w:color="auto" w:fill="FFFFFF"/>
        </w:rPr>
        <w:t>medidas</w:t>
      </w:r>
      <w:r>
        <w:rPr>
          <w:shd w:val="clear" w:color="auto" w:fill="FFFFFF"/>
        </w:rPr>
        <w:t xml:space="preserve"> M1, M2, M16 e M19.</w:t>
      </w:r>
    </w:p>
    <w:p w:rsidR="00A45935" w:rsidRPr="000A718F" w:rsidRDefault="00A45935" w:rsidP="00A66F3C">
      <w:pPr>
        <w:pStyle w:val="Hlistbullet"/>
        <w:rPr>
          <w:rFonts w:eastAsia="Calibri"/>
          <w:shd w:val="clear" w:color="auto" w:fill="FFFFFF"/>
        </w:rPr>
      </w:pPr>
      <w:r>
        <w:rPr>
          <w:b/>
          <w:shd w:val="clear" w:color="auto" w:fill="FFFFFF"/>
        </w:rPr>
        <w:t>Definir os contributos das medidas programadas ao abrigo de outros DI</w:t>
      </w:r>
      <w:r>
        <w:rPr>
          <w:shd w:val="clear" w:color="auto" w:fill="FFFFFF"/>
        </w:rPr>
        <w:t xml:space="preserve"> (que não o DI 1B) para apoiar a inovação.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Abordagem proposta para responder à QAC n.º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Lógica de intervenção </w:t>
      </w:r>
    </w:p>
    <w:p w:rsidR="00863DB0" w:rsidRDefault="00A45935" w:rsidP="00A66F3C">
      <w:pPr>
        <w:spacing w:after="120" w:line="280" w:lineRule="atLeast"/>
        <w:mirrorIndents/>
        <w:rPr>
          <w:rFonts w:eastAsia="Times New Roman" w:cs="Times New Roman"/>
          <w:szCs w:val="20"/>
        </w:rPr>
      </w:pPr>
      <w:r>
        <w:t xml:space="preserve">A lógica de intervenção associada à QAC n.º 1 também pode ser revista do ponto de vista da inovação, com base nos resultados da análise do potencial de inovação (ver o </w:t>
      </w:r>
      <w:hyperlink w:anchor="Screening_Potential" w:history="1">
        <w:r>
          <w:rPr>
            <w:rStyle w:val="Hyperlink"/>
            <w:sz w:val="20"/>
            <w:szCs w:val="20"/>
          </w:rPr>
          <w:t>Capítulo 2.2</w:t>
        </w:r>
      </w:hyperlink>
      <w:r>
        <w:t xml:space="preserve">) das medidas M1, M2, M16 e M19, que estão geralmente programadas ao abrigo de outros DI diferentes do DI 1A em combinação com outras medidas. Isto ajudará a definir os resultados do programa relativamente aos objetivos do DI 1A e a identificar os beneficiários e as partes interessadas do PDR que podem fornecer dados e informações. </w:t>
      </w:r>
    </w:p>
    <w:p w:rsidR="00863DB0" w:rsidRDefault="00863DB0">
      <w:pPr>
        <w:jc w:val="left"/>
        <w:rPr>
          <w:rFonts w:eastAsia="Times New Roman" w:cs="Times New Roman"/>
          <w:szCs w:val="20"/>
        </w:rPr>
      </w:pPr>
      <w:r>
        <w:br w:type="page"/>
      </w:r>
    </w:p>
    <w:p w:rsidR="00A45935" w:rsidRDefault="00096490" w:rsidP="00096490">
      <w:pPr>
        <w:pStyle w:val="HHeadingfigures"/>
        <w:numPr>
          <w:ilvl w:val="0"/>
          <w:numId w:val="0"/>
        </w:numPr>
        <w:ind w:left="1134"/>
      </w:pPr>
      <w:bookmarkStart w:id="108" w:name="_Toc503284761"/>
      <w:r>
        <w:lastRenderedPageBreak/>
        <w:t>Figura 8.</w:t>
      </w:r>
      <w:r>
        <w:tab/>
      </w:r>
      <w:r w:rsidR="00DD247A">
        <w:t>Exemplo de uma lógica de intervenção associada à QAC n.º 1</w:t>
      </w:r>
      <w:bookmarkEnd w:id="108"/>
      <w:r w:rsidR="00DD247A">
        <w:t xml:space="preserve"> </w:t>
      </w:r>
    </w:p>
    <w:p w:rsidR="00AB60A2" w:rsidRPr="00AB60A2" w:rsidRDefault="00AB60A2" w:rsidP="00AB60A2">
      <w:pPr>
        <w:pStyle w:val="HStandard"/>
      </w:pPr>
      <w:r w:rsidRPr="00AB60A2">
        <w:rPr>
          <w:lang w:val="en-GB" w:eastAsia="en-GB"/>
        </w:rPr>
        <w:drawing>
          <wp:inline distT="0" distB="0" distL="0" distR="0" wp14:anchorId="26E2C8EB" wp14:editId="65429D56">
            <wp:extent cx="5731510" cy="3219493"/>
            <wp:effectExtent l="0" t="0" r="254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19493"/>
                    </a:xfrm>
                    <a:prstGeom prst="rect">
                      <a:avLst/>
                    </a:prstGeom>
                    <a:noFill/>
                    <a:ln>
                      <a:noFill/>
                    </a:ln>
                  </pic:spPr>
                </pic:pic>
              </a:graphicData>
            </a:graphic>
          </wp:inline>
        </w:drawing>
      </w:r>
    </w:p>
    <w:p w:rsidR="007D2A0C" w:rsidRDefault="007D2A0C" w:rsidP="00690E70">
      <w:pPr>
        <w:spacing w:after="120" w:line="280" w:lineRule="atLeast"/>
        <w:mirrorIndents/>
        <w:jc w:val="center"/>
        <w:rPr>
          <w:rFonts w:eastAsia="Times New Roman" w:cs="Times New Roman"/>
          <w:i/>
          <w:sz w:val="16"/>
          <w:szCs w:val="16"/>
          <w:lang w:eastAsia="de-DE"/>
        </w:rPr>
      </w:pP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73919E89" wp14:editId="347BE5E1">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B06BF7" w:rsidRPr="00D33212" w:rsidRDefault="00B06BF7" w:rsidP="00863DB0">
                            <w:pPr>
                              <w:pStyle w:val="H-Standard"/>
                            </w:pPr>
                            <w:r>
                              <w:rPr>
                                <w:noProof/>
                                <w:lang w:val="en-GB" w:eastAsia="en-GB"/>
                              </w:rPr>
                              <w:drawing>
                                <wp:inline distT="0" distB="0" distL="0" distR="0" wp14:anchorId="403015AE" wp14:editId="0FBC8ECD">
                                  <wp:extent cx="353060" cy="359410"/>
                                  <wp:effectExtent l="0" t="0" r="8890" b="2540"/>
                                  <wp:docPr id="7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Neste exemplo, a submedida de M1, «formação e aquisição de competências» e a submedida de M2, «formação de conselheiros», foram identificadas como tendo potencial para apoiar a inovação através do reforço das capacidades de inovação. A combinação das medidas M16.7 e M16.8 tem potencial para apoiar a inovação através do cultivo de ideias inovadoras, ao passo que a M16.1 tem potencial para apoiar a inovação através das três vias. A submedida 19.2, que apoia as estratégias de DPCL, contribui para o ambiente propício. A submedida de cooperação LEADER (M 19.3) ajuda a cultivar ideias inovadoras num espírito de colaboração e reforça as capacidades de inovação.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9E89" id="Rectangle: Diagonal Corners Rounded 23" o:spid="_x0000_s1043" style="position:absolute;left:0;text-align:left;margin-left:0;margin-top:23.9pt;width:451.4pt;height:2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B06BF7" w:rsidRPr="00D33212" w:rsidRDefault="00B06BF7" w:rsidP="00863DB0">
                      <w:pPr>
                        <w:pStyle w:val="H-Standard"/>
                      </w:pPr>
                      <w:r>
                        <w:rPr>
                          <w:noProof/>
                          <w:lang w:val="en-GB" w:eastAsia="en-GB"/>
                        </w:rPr>
                        <w:drawing>
                          <wp:inline distT="0" distB="0" distL="0" distR="0" wp14:anchorId="403015AE" wp14:editId="0FBC8ECD">
                            <wp:extent cx="353060" cy="359410"/>
                            <wp:effectExtent l="0" t="0" r="8890" b="2540"/>
                            <wp:docPr id="7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Neste exemplo, a submedida de M1, «formação e aquisição de competências» e a submedida de M2, «formação de conselheiros», foram identificadas como tendo potencial para apoiar a inovação através do reforço das capacidades de inovação. A combinação das medidas M16.7 e M16.8 tem potencial para apoiar a inovação através do cultivo de ideias inovadoras, ao passo que a M16.1 tem potencial para apoiar a inovação através das três vias. A submedida 19.2, que apoia as estratégias de DPCL, contribui para o ambiente propício. A submedida de cooperação LEADER (M 19.3) ajuda a cultivar ideias inovadoras num espírito de colaboração e reforça as capacidades de inovação.</w:t>
                      </w:r>
                    </w:p>
                  </w:txbxContent>
                </v:textbox>
                <w10:wrap type="square"/>
              </v:shape>
            </w:pict>
          </mc:Fallback>
        </mc:AlternateContent>
      </w:r>
      <w:r>
        <w:rPr>
          <w:i/>
          <w:sz w:val="16"/>
          <w:szCs w:val="16"/>
        </w:rPr>
        <w:t>Fonte: Serviço Europeu de Assistência na Avaliação para o Desenvolvimento Rural, 2017.</w:t>
      </w:r>
    </w:p>
    <w:p w:rsidR="00A45935" w:rsidRDefault="003C4BA9" w:rsidP="008C0B17">
      <w:pPr>
        <w:numPr>
          <w:ilvl w:val="0"/>
          <w:numId w:val="55"/>
        </w:numPr>
        <w:spacing w:before="120" w:after="120" w:line="280" w:lineRule="atLeast"/>
        <w:ind w:left="567" w:hanging="567"/>
        <w:mirrorIndents/>
        <w:rPr>
          <w:rFonts w:eastAsia="Times New Roman" w:cs="Times New Roman"/>
          <w:b/>
          <w:szCs w:val="20"/>
        </w:rPr>
      </w:pPr>
      <w:r>
        <w:rPr>
          <w:b/>
          <w:szCs w:val="20"/>
        </w:rPr>
        <w:t>Elementos de avaliação</w:t>
      </w:r>
    </w:p>
    <w:p w:rsidR="00A45935" w:rsidRDefault="00734B11" w:rsidP="00E05D08">
      <w:pPr>
        <w:spacing w:before="120" w:after="120" w:line="280" w:lineRule="atLeast"/>
        <w:mirrorIndents/>
        <w:rPr>
          <w:rFonts w:eastAsia="Times New Roman" w:cs="Times New Roman"/>
          <w:szCs w:val="20"/>
        </w:rPr>
      </w:pPr>
      <w:r>
        <w:t xml:space="preserve">Os critérios de apreciação e indicadores comuns para a QAC n.º 1 permanecem ao nível dos resultados das operações no âmbito de M1, M2, e M16 e M19. Poderão ter de ser desenvolvidos critérios de apreciação e indicadores complementares a fim de avaliar os resultados destas medidas (ver </w:t>
      </w:r>
      <w:hyperlink w:anchor="Evaluation_elements" w:history="1">
        <w:r>
          <w:rPr>
            <w:rStyle w:val="Hyperlink"/>
            <w:sz w:val="20"/>
            <w:szCs w:val="20"/>
          </w:rPr>
          <w:t>Quadro n.º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CD7942" w:rsidP="00CD7942">
      <w:pPr>
        <w:pStyle w:val="HHeadingtables"/>
        <w:numPr>
          <w:ilvl w:val="0"/>
          <w:numId w:val="0"/>
        </w:numPr>
        <w:ind w:left="284"/>
      </w:pPr>
      <w:bookmarkStart w:id="109" w:name="Evaluation_elements"/>
      <w:bookmarkStart w:id="110" w:name="_Toc503284463"/>
      <w:r>
        <w:lastRenderedPageBreak/>
        <w:t>Quadro 1.</w:t>
      </w:r>
      <w:r>
        <w:tab/>
      </w:r>
      <w:r w:rsidR="00A45935">
        <w:t xml:space="preserve">Elementos de avaliação e fontes de informação </w:t>
      </w:r>
      <w:bookmarkEnd w:id="109"/>
      <w:r w:rsidR="00A45935">
        <w:t>em relação à QAC n.º 1</w:t>
      </w:r>
      <w:bookmarkEnd w:id="11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AB60A2" w:rsidRDefault="00A45935" w:rsidP="00E05D08">
            <w:pPr>
              <w:spacing w:after="120" w:line="280" w:lineRule="atLeast"/>
              <w:mirrorIndents/>
              <w:jc w:val="center"/>
              <w:rPr>
                <w:rFonts w:cs="Arial"/>
                <w:b/>
                <w:color w:val="FFFFFF"/>
                <w:sz w:val="16"/>
                <w:szCs w:val="16"/>
              </w:rPr>
            </w:pPr>
            <w:r w:rsidRPr="00AB60A2">
              <w:rPr>
                <w:b/>
                <w:color w:val="FFFFFF"/>
                <w:sz w:val="16"/>
                <w:szCs w:val="16"/>
              </w:rPr>
              <w:t>Critérios de apreciação</w:t>
            </w:r>
          </w:p>
        </w:tc>
        <w:tc>
          <w:tcPr>
            <w:tcW w:w="3118" w:type="dxa"/>
            <w:shd w:val="clear" w:color="auto" w:fill="F07E31"/>
          </w:tcPr>
          <w:p w:rsidR="00A45935" w:rsidRPr="00AB60A2" w:rsidRDefault="00A45935" w:rsidP="00E05D08">
            <w:pPr>
              <w:spacing w:after="120" w:line="280" w:lineRule="atLeast"/>
              <w:mirrorIndents/>
              <w:jc w:val="center"/>
              <w:rPr>
                <w:rFonts w:cs="Arial"/>
                <w:b/>
                <w:color w:val="FFFFFF"/>
                <w:sz w:val="16"/>
                <w:szCs w:val="16"/>
              </w:rPr>
            </w:pPr>
            <w:r w:rsidRPr="00AB60A2">
              <w:rPr>
                <w:b/>
                <w:color w:val="FFFFFF"/>
                <w:sz w:val="16"/>
                <w:szCs w:val="16"/>
              </w:rPr>
              <w:t>Indicadores</w:t>
            </w:r>
          </w:p>
        </w:tc>
        <w:tc>
          <w:tcPr>
            <w:tcW w:w="2835" w:type="dxa"/>
            <w:shd w:val="clear" w:color="auto" w:fill="F07E31"/>
          </w:tcPr>
          <w:p w:rsidR="00A45935" w:rsidRPr="00AB60A2" w:rsidRDefault="00A45935" w:rsidP="00E05D08">
            <w:pPr>
              <w:spacing w:after="120" w:line="280" w:lineRule="atLeast"/>
              <w:mirrorIndents/>
              <w:jc w:val="center"/>
              <w:rPr>
                <w:rFonts w:cs="Arial"/>
                <w:b/>
                <w:color w:val="FFFFFF"/>
                <w:sz w:val="16"/>
                <w:szCs w:val="16"/>
              </w:rPr>
            </w:pPr>
            <w:r w:rsidRPr="00AB60A2">
              <w:rPr>
                <w:b/>
                <w:color w:val="FFFFFF"/>
                <w:sz w:val="16"/>
                <w:szCs w:val="16"/>
              </w:rPr>
              <w:t>Necessidades de dados</w:t>
            </w:r>
          </w:p>
        </w:tc>
        <w:tc>
          <w:tcPr>
            <w:tcW w:w="5756" w:type="dxa"/>
            <w:shd w:val="clear" w:color="auto" w:fill="F07E31"/>
          </w:tcPr>
          <w:p w:rsidR="00A45935" w:rsidRPr="00AB60A2" w:rsidRDefault="00A45935" w:rsidP="00E05D08">
            <w:pPr>
              <w:spacing w:after="120" w:line="280" w:lineRule="atLeast"/>
              <w:mirrorIndents/>
              <w:jc w:val="center"/>
              <w:rPr>
                <w:rFonts w:cs="Arial"/>
                <w:b/>
                <w:color w:val="FFFFFF"/>
                <w:sz w:val="16"/>
                <w:szCs w:val="16"/>
              </w:rPr>
            </w:pPr>
            <w:r w:rsidRPr="00AB60A2">
              <w:rPr>
                <w:b/>
                <w:color w:val="FFFFFF"/>
                <w:sz w:val="16"/>
                <w:szCs w:val="16"/>
              </w:rPr>
              <w:t>Fontes de dados</w:t>
            </w:r>
          </w:p>
        </w:tc>
      </w:tr>
      <w:tr w:rsidR="00A45935" w:rsidRPr="00E05D08" w:rsidTr="00E05D08">
        <w:tc>
          <w:tcPr>
            <w:tcW w:w="14256" w:type="dxa"/>
            <w:gridSpan w:val="4"/>
            <w:shd w:val="clear" w:color="auto" w:fill="8BAB80"/>
          </w:tcPr>
          <w:p w:rsidR="00A45935" w:rsidRPr="00AB60A2" w:rsidRDefault="00A45935" w:rsidP="00E05D08">
            <w:pPr>
              <w:spacing w:after="120" w:line="280" w:lineRule="atLeast"/>
              <w:mirrorIndents/>
              <w:rPr>
                <w:rFonts w:cs="Arial"/>
                <w:b/>
                <w:color w:val="FFFFFF"/>
                <w:sz w:val="16"/>
                <w:szCs w:val="16"/>
              </w:rPr>
            </w:pPr>
            <w:r w:rsidRPr="00AB60A2">
              <w:rPr>
                <w:b/>
                <w:color w:val="FFFFFF"/>
                <w:sz w:val="16"/>
                <w:szCs w:val="16"/>
              </w:rPr>
              <w:t>Elementos de avaliação comuns (SCAA e elementos propostos no documento de trabalho «Common evaluation questions 2014-2020» (Questões de avaliação comuns 2014-2020))</w:t>
            </w:r>
          </w:p>
        </w:tc>
      </w:tr>
      <w:tr w:rsidR="00A45935" w:rsidRPr="00E05D08" w:rsidTr="00E05D08">
        <w:trPr>
          <w:trHeight w:val="1184"/>
        </w:trPr>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Os projetos do PDR têm sido inovadores e baseiam-se em conhecimentos adquiridos.</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T1: % de despesa nos termos dos artigos 14.º, 15.º e 35.º do Regulamento (UE) n.º 1305/2013 em relação às despesas totais do PDR.</w:t>
            </w:r>
          </w:p>
          <w:p w:rsidR="00A45935" w:rsidRPr="00AB60A2" w:rsidRDefault="00A45935" w:rsidP="007E63EF">
            <w:pPr>
              <w:spacing w:after="120" w:line="280" w:lineRule="atLeast"/>
              <w:jc w:val="left"/>
              <w:rPr>
                <w:rFonts w:eastAsia="Calibri" w:cs="Arial"/>
                <w:color w:val="57825E"/>
                <w:sz w:val="16"/>
                <w:szCs w:val="16"/>
                <w14:textFill>
                  <w14:solidFill>
                    <w14:srgbClr w14:val="57825E">
                      <w14:lumMod w14:val="75000"/>
                    </w14:srgbClr>
                  </w14:solidFill>
                </w14:textFill>
              </w:rPr>
            </w:pPr>
            <w:r w:rsidRPr="00AB60A2">
              <w:rPr>
                <w:color w:val="57825E"/>
                <w:sz w:val="16"/>
                <w:szCs w:val="16"/>
                <w:u w:val="single"/>
                <w14:textFill>
                  <w14:solidFill>
                    <w14:srgbClr w14:val="57825E">
                      <w14:lumMod w14:val="75000"/>
                    </w14:srgbClr>
                  </w14:solidFill>
                </w14:textFill>
              </w:rPr>
              <w:t>Indicador adicional</w:t>
            </w:r>
            <w:r w:rsidRPr="00AB60A2">
              <w:rPr>
                <w:color w:val="57825E"/>
                <w:sz w:val="16"/>
                <w:szCs w:val="16"/>
                <w14:textFill>
                  <w14:solidFill>
                    <w14:srgbClr w14:val="57825E">
                      <w14:lumMod w14:val="75000"/>
                    </w14:srgbClr>
                  </w14:solidFill>
                </w14:textFill>
              </w:rPr>
              <w:t xml:space="preserve">: % de projetos inovadores entre todos os projetos apoiados pelo PDR. </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Dados relativos às despesas realizadas para as medidas 1, 2 e 16.</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Sempre que possível, também devem ser recolhidos dados relativos às despesas com as submedidas que foram identificadas com potencial para apoiar a inovação.</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Sistema de acompanhamento do PDR </w:t>
            </w:r>
          </w:p>
          <w:p w:rsidR="00A45935" w:rsidRPr="00AB60A2" w:rsidRDefault="00A45935" w:rsidP="007E63EF">
            <w:pPr>
              <w:numPr>
                <w:ilvl w:val="0"/>
                <w:numId w:val="81"/>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1"/>
              </w:numPr>
              <w:suppressAutoHyphens/>
              <w:spacing w:before="40" w:after="40"/>
              <w:jc w:val="left"/>
              <w:rPr>
                <w:rFonts w:cs="Arial"/>
                <w:sz w:val="16"/>
                <w:szCs w:val="16"/>
              </w:rPr>
            </w:pPr>
            <w:r w:rsidRPr="00AB60A2">
              <w:rPr>
                <w:sz w:val="16"/>
                <w:szCs w:val="16"/>
              </w:rPr>
              <w:t>Pedidos de pagamento dos beneficiários (fim do projeto)</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Foram criados grupos operacionais.</w:t>
            </w:r>
          </w:p>
        </w:tc>
        <w:tc>
          <w:tcPr>
            <w:tcW w:w="3118" w:type="dxa"/>
          </w:tcPr>
          <w:p w:rsidR="00A45935" w:rsidRPr="00AB60A2" w:rsidRDefault="00A45935" w:rsidP="00F200A2">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O.16 Número de operações da PEI.</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Número de operações da PEI (item de dados O.16).</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Sistema de acompanhamento do PDR </w:t>
            </w:r>
          </w:p>
          <w:p w:rsidR="00A45935" w:rsidRPr="00AB60A2" w:rsidRDefault="00A45935" w:rsidP="007E63EF">
            <w:pPr>
              <w:numPr>
                <w:ilvl w:val="0"/>
                <w:numId w:val="82"/>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2"/>
              </w:numPr>
              <w:suppressAutoHyphens/>
              <w:spacing w:before="40" w:after="40"/>
              <w:jc w:val="left"/>
              <w:rPr>
                <w:rFonts w:cs="Arial"/>
                <w:sz w:val="16"/>
                <w:szCs w:val="16"/>
              </w:rPr>
            </w:pPr>
            <w:r w:rsidRPr="00AB60A2">
              <w:rPr>
                <w:sz w:val="16"/>
                <w:szCs w:val="16"/>
              </w:rPr>
              <w:t>Pedidos de pagamento dos beneficiários (fim do projeto)</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Variedade de parceiros envolvidos nos GO da PEI.</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O.16 Número e tipo de parceiros em operações da PEI.</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color w:val="57825E"/>
                <w:sz w:val="16"/>
                <w:szCs w:val="16"/>
                <w:u w:val="single"/>
                <w14:textFill>
                  <w14:solidFill>
                    <w14:srgbClr w14:val="57825E">
                      <w14:lumMod w14:val="75000"/>
                    </w14:srgbClr>
                  </w14:solidFill>
                </w14:textFill>
              </w:rPr>
              <w:t>Indicador adicional</w:t>
            </w:r>
            <w:r w:rsidRPr="00AB60A2">
              <w:rPr>
                <w:color w:val="57825E"/>
                <w:sz w:val="16"/>
                <w:szCs w:val="16"/>
                <w14:textFill>
                  <w14:solidFill>
                    <w14:srgbClr w14:val="57825E">
                      <w14:lumMod w14:val="75000"/>
                    </w14:srgbClr>
                  </w14:solidFill>
                </w14:textFill>
              </w:rPr>
              <w:t>: número e tipos de parceiros envolvidos em projetos de cooperação.</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Número e tipo de parceiros.</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Sistema de acompanhamento do PDR </w:t>
            </w:r>
          </w:p>
          <w:p w:rsidR="00A45935" w:rsidRPr="00AB60A2" w:rsidRDefault="00A45935" w:rsidP="007E63EF">
            <w:pPr>
              <w:numPr>
                <w:ilvl w:val="0"/>
                <w:numId w:val="83"/>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3"/>
              </w:numPr>
              <w:suppressAutoHyphens/>
              <w:spacing w:before="40" w:after="40"/>
              <w:jc w:val="left"/>
              <w:rPr>
                <w:rFonts w:cs="Arial"/>
                <w:sz w:val="16"/>
                <w:szCs w:val="16"/>
              </w:rPr>
            </w:pPr>
            <w:r w:rsidRPr="00AB60A2">
              <w:rPr>
                <w:sz w:val="16"/>
                <w:szCs w:val="16"/>
              </w:rPr>
              <w:t>Pedidos de pagamento dos beneficiários (fim do projeto)</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Resumos de práticas dos GO.</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Foram implementadas ações inovadoras e divulgadas pelos GO da PEI.</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O.16 Número de operações da PEI.</w:t>
            </w:r>
          </w:p>
          <w:p w:rsidR="00A45935" w:rsidRPr="00AB60A2" w:rsidRDefault="00A45935" w:rsidP="007E63EF">
            <w:pPr>
              <w:spacing w:after="120" w:line="280" w:lineRule="atLeast"/>
              <w:jc w:val="left"/>
              <w:rPr>
                <w:rFonts w:eastAsia="Calibri" w:cs="Arial"/>
                <w:color w:val="57825E"/>
                <w:sz w:val="16"/>
                <w:szCs w:val="16"/>
              </w:rPr>
            </w:pPr>
            <w:r w:rsidRPr="00AB60A2">
              <w:rPr>
                <w:color w:val="57825E"/>
                <w:sz w:val="16"/>
                <w:szCs w:val="16"/>
              </w:rPr>
              <w:t>Indicador adicional: número de ações inovadoras, apoiadas, implementadas e difundidas pelos GO da PEI dividido por tipo, setor, etc.</w:t>
            </w:r>
          </w:p>
          <w:p w:rsidR="00F200A2" w:rsidRPr="00AB60A2" w:rsidRDefault="00F200A2" w:rsidP="007E63EF">
            <w:pPr>
              <w:spacing w:after="120" w:line="280" w:lineRule="atLeast"/>
              <w:jc w:val="left"/>
              <w:rPr>
                <w:rFonts w:eastAsia="Calibri" w:cs="Arial"/>
                <w:sz w:val="16"/>
                <w:szCs w:val="16"/>
                <w14:textFill>
                  <w14:solidFill>
                    <w14:srgbClr w14:val="373737">
                      <w14:lumMod w14:val="75000"/>
                    </w14:srgbClr>
                  </w14:solidFill>
                </w14:textFill>
              </w:rPr>
            </w:pP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lastRenderedPageBreak/>
              <w:t xml:space="preserve"> </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lastRenderedPageBreak/>
              <w:t>Número de operações da PEI (item de dados O.16).</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Sistema de acompanhamento do PDR </w:t>
            </w:r>
          </w:p>
          <w:p w:rsidR="00A45935" w:rsidRPr="00AB60A2" w:rsidRDefault="00A45935" w:rsidP="007E63EF">
            <w:pPr>
              <w:numPr>
                <w:ilvl w:val="0"/>
                <w:numId w:val="84"/>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4"/>
              </w:numPr>
              <w:suppressAutoHyphens/>
              <w:spacing w:before="40" w:after="40"/>
              <w:jc w:val="left"/>
              <w:rPr>
                <w:rFonts w:cs="Arial"/>
                <w:sz w:val="16"/>
                <w:szCs w:val="16"/>
              </w:rPr>
            </w:pPr>
            <w:r w:rsidRPr="00AB60A2">
              <w:rPr>
                <w:sz w:val="16"/>
                <w:szCs w:val="16"/>
              </w:rPr>
              <w:t>Pedidos de pagamento dos beneficiários (fim do projeto)</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Resumos de práticas dos GO.</w:t>
            </w:r>
          </w:p>
        </w:tc>
      </w:tr>
      <w:tr w:rsidR="00A45935" w:rsidRPr="00E05D08" w:rsidTr="00E05D08">
        <w:tc>
          <w:tcPr>
            <w:tcW w:w="14256" w:type="dxa"/>
            <w:gridSpan w:val="4"/>
            <w:shd w:val="clear" w:color="auto" w:fill="8BAB80"/>
          </w:tcPr>
          <w:p w:rsidR="00A45935" w:rsidRPr="00AB60A2" w:rsidRDefault="00A45935" w:rsidP="00E05D08">
            <w:pPr>
              <w:spacing w:after="120" w:line="280" w:lineRule="atLeast"/>
              <w:rPr>
                <w:rFonts w:eastAsia="Calibri" w:cs="Arial"/>
                <w:b/>
                <w:color w:val="FFFFFF"/>
                <w:sz w:val="16"/>
                <w:szCs w:val="16"/>
                <w14:textFill>
                  <w14:solidFill>
                    <w14:srgbClr w14:val="FFFFFF">
                      <w14:lumMod w14:val="75000"/>
                      <w14:lumMod w14:val="75000"/>
                    </w14:srgbClr>
                  </w14:solidFill>
                </w14:textFill>
              </w:rPr>
            </w:pPr>
            <w:r w:rsidRPr="00AB60A2">
              <w:rPr>
                <w:b/>
                <w:color w:val="FFFFFF" w:themeColor="background1"/>
                <w:sz w:val="16"/>
                <w:szCs w:val="16"/>
              </w:rPr>
              <w:t>Elementos de avaliação adicionais (opcional)</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A composição dos grupos operacionais da PEI inclui as partes interessadas na inovação.</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Composição dos grupos operacionais da PEI (número e tipo de parceiros), de entre os quais são partes interessadas na inovação.</w:t>
            </w:r>
          </w:p>
        </w:tc>
        <w:tc>
          <w:tcPr>
            <w:tcW w:w="2835" w:type="dxa"/>
          </w:tcPr>
          <w:p w:rsidR="00A45935" w:rsidRPr="00AB60A2" w:rsidRDefault="00A45935" w:rsidP="007E63EF">
            <w:pPr>
              <w:suppressAutoHyphens/>
              <w:spacing w:before="40" w:after="40"/>
              <w:jc w:val="left"/>
              <w:rPr>
                <w:rFonts w:cs="Arial"/>
                <w:sz w:val="16"/>
                <w:szCs w:val="16"/>
              </w:rPr>
            </w:pPr>
            <w:r w:rsidRPr="00AB60A2">
              <w:rPr>
                <w:sz w:val="16"/>
                <w:szCs w:val="16"/>
              </w:rPr>
              <w:t>Número de parceiros dos GO.</w:t>
            </w:r>
          </w:p>
          <w:p w:rsidR="00A45935" w:rsidRPr="00AB60A2" w:rsidRDefault="00A45935" w:rsidP="007E63EF">
            <w:pPr>
              <w:suppressAutoHyphens/>
              <w:spacing w:before="40" w:after="40"/>
              <w:jc w:val="left"/>
              <w:rPr>
                <w:rFonts w:cs="Arial"/>
                <w:sz w:val="16"/>
                <w:szCs w:val="16"/>
              </w:rPr>
            </w:pPr>
            <w:r w:rsidRPr="00AB60A2">
              <w:rPr>
                <w:sz w:val="16"/>
                <w:szCs w:val="16"/>
              </w:rPr>
              <w:t>Tipo de parceiros dos GO.</w:t>
            </w:r>
          </w:p>
        </w:tc>
        <w:tc>
          <w:tcPr>
            <w:tcW w:w="5756" w:type="dxa"/>
          </w:tcPr>
          <w:p w:rsidR="00A45935" w:rsidRPr="00AB60A2" w:rsidRDefault="00A45935" w:rsidP="007E63EF">
            <w:pPr>
              <w:suppressAutoHyphens/>
              <w:spacing w:before="40" w:after="40"/>
              <w:jc w:val="left"/>
              <w:rPr>
                <w:rFonts w:cs="Arial"/>
                <w:sz w:val="16"/>
                <w:szCs w:val="16"/>
              </w:rPr>
            </w:pPr>
            <w:r w:rsidRPr="00AB60A2">
              <w:rPr>
                <w:sz w:val="16"/>
                <w:szCs w:val="16"/>
              </w:rPr>
              <w:t xml:space="preserve">Sistema de acompanhamento do PDR </w:t>
            </w:r>
          </w:p>
          <w:p w:rsidR="00A45935" w:rsidRPr="00AB60A2" w:rsidRDefault="00A45935" w:rsidP="007E63EF">
            <w:pPr>
              <w:numPr>
                <w:ilvl w:val="0"/>
                <w:numId w:val="85"/>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5"/>
              </w:numPr>
              <w:suppressAutoHyphens/>
              <w:spacing w:before="40" w:after="40"/>
              <w:jc w:val="left"/>
              <w:rPr>
                <w:rFonts w:cs="Arial"/>
                <w:sz w:val="16"/>
                <w:szCs w:val="16"/>
              </w:rPr>
            </w:pPr>
            <w:r w:rsidRPr="00AB60A2">
              <w:rPr>
                <w:sz w:val="16"/>
                <w:szCs w:val="16"/>
              </w:rPr>
              <w:t>Pedidos de pagamento dos beneficiários (fim do projeto)</w:t>
            </w:r>
          </w:p>
          <w:p w:rsidR="00A45935" w:rsidRPr="00AB60A2" w:rsidRDefault="00A45935" w:rsidP="007E63EF">
            <w:pPr>
              <w:suppressAutoHyphens/>
              <w:spacing w:before="40" w:after="40"/>
              <w:jc w:val="left"/>
              <w:rPr>
                <w:rFonts w:cs="Arial"/>
                <w:sz w:val="16"/>
                <w:szCs w:val="16"/>
              </w:rPr>
            </w:pPr>
            <w:r w:rsidRPr="00AB60A2">
              <w:rPr>
                <w:sz w:val="16"/>
                <w:szCs w:val="16"/>
              </w:rPr>
              <w:t>Inquéritos a grupos operacionais da PEI e com os GAL.</w:t>
            </w:r>
          </w:p>
          <w:p w:rsidR="00A45935" w:rsidRPr="00AB60A2" w:rsidRDefault="00A45935" w:rsidP="007E63EF">
            <w:pPr>
              <w:suppressAutoHyphens/>
              <w:spacing w:before="40" w:after="40"/>
              <w:jc w:val="left"/>
              <w:rPr>
                <w:rFonts w:cs="Arial"/>
                <w:sz w:val="16"/>
                <w:szCs w:val="16"/>
              </w:rPr>
            </w:pPr>
            <w:r w:rsidRPr="00AB60A2">
              <w:rPr>
                <w:sz w:val="16"/>
                <w:szCs w:val="16"/>
              </w:rPr>
              <w:t>Plataformas dos GO baseadas na Internet.</w:t>
            </w:r>
          </w:p>
          <w:p w:rsidR="00A45935" w:rsidRPr="00AB60A2" w:rsidRDefault="00A45935" w:rsidP="007E63EF">
            <w:pPr>
              <w:suppressAutoHyphens/>
              <w:spacing w:before="40" w:after="40"/>
              <w:jc w:val="left"/>
              <w:rPr>
                <w:rFonts w:cs="Arial"/>
                <w:sz w:val="16"/>
                <w:szCs w:val="16"/>
              </w:rPr>
            </w:pPr>
            <w:r w:rsidRPr="00AB60A2">
              <w:rPr>
                <w:sz w:val="16"/>
                <w:szCs w:val="16"/>
              </w:rPr>
              <w:t>Resumos de práticas dos GO.</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Os GAL apoiaram projetos de inovação.</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Número de projetos executados pelos GAL e respetivos beneficiários assinalados como inovadores (respeitando os critérios de elegibilidade e seleção).</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Dados de acompanhamento sobre os projetos dos GAL. </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Base de dados de operações dos GAL.</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As partes interessadas na inovação receberam formação.</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Número e tipo de partes interessadas na inovação que receberam formação.</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Número e tipo de partes interessadas que receberam formação.</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Sistema de acompanhamento do PDR </w:t>
            </w:r>
          </w:p>
          <w:p w:rsidR="00A45935" w:rsidRPr="00AB60A2" w:rsidRDefault="00A45935" w:rsidP="007E63EF">
            <w:pPr>
              <w:numPr>
                <w:ilvl w:val="0"/>
                <w:numId w:val="86"/>
              </w:numPr>
              <w:suppressAutoHyphens/>
              <w:spacing w:before="40" w:after="40"/>
              <w:jc w:val="left"/>
              <w:rPr>
                <w:rFonts w:cs="Arial"/>
                <w:sz w:val="16"/>
                <w:szCs w:val="16"/>
              </w:rPr>
            </w:pPr>
            <w:r w:rsidRPr="00AB60A2">
              <w:rPr>
                <w:sz w:val="16"/>
                <w:szCs w:val="16"/>
              </w:rPr>
              <w:t>Formulários de candidatura dos beneficiários (início do projeto)</w:t>
            </w:r>
          </w:p>
          <w:p w:rsidR="00A45935" w:rsidRPr="00AB60A2" w:rsidRDefault="00A45935" w:rsidP="007E63EF">
            <w:pPr>
              <w:numPr>
                <w:ilvl w:val="0"/>
                <w:numId w:val="86"/>
              </w:numPr>
              <w:suppressAutoHyphens/>
              <w:spacing w:before="40" w:after="40"/>
              <w:jc w:val="left"/>
              <w:rPr>
                <w:rFonts w:cs="Arial"/>
                <w:sz w:val="16"/>
                <w:szCs w:val="16"/>
              </w:rPr>
            </w:pPr>
            <w:r w:rsidRPr="00AB60A2">
              <w:rPr>
                <w:sz w:val="16"/>
                <w:szCs w:val="16"/>
              </w:rPr>
              <w:t>Pedidos de pagamento dos beneficiários (fim do projeto)</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Entrevistas, inquéritos com a autoridade de gestão e com organismos de formação.</w:t>
            </w:r>
          </w:p>
        </w:tc>
      </w:tr>
      <w:tr w:rsidR="00A45935" w:rsidRPr="00E05D08" w:rsidTr="00E05D08">
        <w:tc>
          <w:tcPr>
            <w:tcW w:w="2547"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Fatores de sucesso fundamentais para o apoio da inovação através das medidas M1, M2, M16 e M19.</w:t>
            </w:r>
          </w:p>
        </w:tc>
        <w:tc>
          <w:tcPr>
            <w:tcW w:w="3118"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Descrição dos principais fatores que contribuíram para apoiar a inovação nas zonas rurais.</w:t>
            </w:r>
          </w:p>
        </w:tc>
        <w:tc>
          <w:tcPr>
            <w:tcW w:w="2835"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Informação qualitativa.</w:t>
            </w:r>
          </w:p>
        </w:tc>
        <w:tc>
          <w:tcPr>
            <w:tcW w:w="5756" w:type="dxa"/>
          </w:tcPr>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Entrevistas, inquéritos e grupos de reflexão com os beneficiários das submedidas relacionadas com a inovação de M1, M2 e com os GO. </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PEI-AGRI e GAL.</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 xml:space="preserve">Resumos de práticas dos GO. </w:t>
            </w:r>
          </w:p>
          <w:p w:rsidR="00A45935" w:rsidRPr="00AB60A2" w:rsidRDefault="00A45935" w:rsidP="007E63EF">
            <w:pPr>
              <w:spacing w:after="120" w:line="280" w:lineRule="atLeast"/>
              <w:jc w:val="left"/>
              <w:rPr>
                <w:rFonts w:eastAsia="Calibri" w:cs="Arial"/>
                <w:sz w:val="16"/>
                <w:szCs w:val="16"/>
                <w14:textFill>
                  <w14:solidFill>
                    <w14:srgbClr w14:val="373737">
                      <w14:lumMod w14:val="75000"/>
                    </w14:srgbClr>
                  </w14:solidFill>
                </w14:textFill>
              </w:rPr>
            </w:pPr>
            <w:r w:rsidRPr="00AB60A2">
              <w:rPr>
                <w:sz w:val="16"/>
                <w:szCs w:val="16"/>
                <w14:textFill>
                  <w14:solidFill>
                    <w14:srgbClr w14:val="373737">
                      <w14:lumMod w14:val="75000"/>
                    </w14:srgbClr>
                  </w14:solidFill>
                </w14:textFill>
              </w:rPr>
              <w:t>Base de dados de operações dos GAL.</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Metodologia de avaliação proposta para responder à QAC n.º 1 </w:t>
      </w:r>
    </w:p>
    <w:p w:rsidR="00A45935" w:rsidRPr="00E05D08" w:rsidRDefault="00A45935" w:rsidP="00E05D08">
      <w:pPr>
        <w:spacing w:after="120" w:line="280" w:lineRule="atLeast"/>
        <w:mirrorIndents/>
        <w:rPr>
          <w:rFonts w:eastAsia="Times New Roman" w:cs="Times New Roman"/>
          <w:szCs w:val="20"/>
        </w:rPr>
      </w:pPr>
      <w:r>
        <w:t>O cálculo dos indicadores comuns associados à QAC n.º 1 encontra-se descrito no anexo 11 das Orientações «</w:t>
      </w:r>
      <w:hyperlink r:id="rId40" w:history="1">
        <w:r>
          <w:rPr>
            <w:color w:val="F07E31"/>
            <w:szCs w:val="20"/>
            <w:u w:val="single"/>
          </w:rPr>
          <w:t>Assessment of RDP results:</w:t>
        </w:r>
      </w:hyperlink>
      <w:hyperlink r:id="rId41" w:history="1">
        <w:r>
          <w:rPr>
            <w:color w:val="F07E31"/>
            <w:szCs w:val="20"/>
            <w:u w:val="single"/>
          </w:rPr>
          <w:t xml:space="preserve"> how to prepare for reporting on evaluation in 2017</w:t>
        </w:r>
      </w:hyperlink>
      <w:r>
        <w:t xml:space="preserve">”. </w:t>
      </w:r>
    </w:p>
    <w:p w:rsidR="00A45935" w:rsidRPr="00E05D08" w:rsidRDefault="00A45935" w:rsidP="00E05D08">
      <w:pPr>
        <w:spacing w:after="120" w:line="280" w:lineRule="atLeast"/>
        <w:mirrorIndents/>
        <w:rPr>
          <w:rFonts w:eastAsia="Times New Roman" w:cs="Times New Roman"/>
          <w:szCs w:val="20"/>
        </w:rPr>
      </w:pPr>
      <w:r>
        <w:t>Para a avaliação da parte da QAC n.º 1 relativa à inovação propõe-se o seguinte:</w:t>
      </w:r>
    </w:p>
    <w:p w:rsidR="00A45935" w:rsidRPr="00331223" w:rsidRDefault="00A45935" w:rsidP="00C202EC">
      <w:pPr>
        <w:pStyle w:val="Hlistbullet"/>
      </w:pPr>
      <w:r>
        <w:rPr>
          <w:b/>
        </w:rPr>
        <w:t xml:space="preserve">PASSO 1: </w:t>
      </w:r>
      <w:r>
        <w:t xml:space="preserve">identificar o potencial de inovação dos beneficiários das medidas/submedidas M1, M2, M16 e M19 (beneficiários que tenham executado operações classificadas como inovadoras). </w:t>
      </w:r>
    </w:p>
    <w:p w:rsidR="00A45935" w:rsidRPr="00331223" w:rsidRDefault="00A45935" w:rsidP="00C202EC">
      <w:pPr>
        <w:pStyle w:val="Hlistbullet"/>
      </w:pPr>
      <w:r>
        <w:rPr>
          <w:b/>
        </w:rPr>
        <w:t xml:space="preserve">PASSO 2: </w:t>
      </w:r>
      <w:r>
        <w:t xml:space="preserve">quantificar os indicadores de resultados e de objetivos utilizando os dados de acompanhamento da base de dados de operações do PDR/GAL sobre os beneficiários (que tenham executado operações classificadas como inovadoras). A fim de utilizar a base de dados de operações para a avaliação da inovação, as autoridades de gestão podem optar por acrescentar e recolher dados relacionados com a inovação. </w:t>
      </w:r>
    </w:p>
    <w:p w:rsidR="00A45935" w:rsidRPr="00331223" w:rsidRDefault="00A45935" w:rsidP="00C202EC">
      <w:pPr>
        <w:pStyle w:val="Hlistbullet"/>
      </w:pPr>
      <w:r>
        <w:rPr>
          <w:b/>
        </w:rPr>
        <w:t xml:space="preserve">PASSO 3: </w:t>
      </w:r>
      <w:r>
        <w:t xml:space="preserve">recolher provas para responder à QAC através dos métodos especificados. Por exemplo, inquéritos, grupos de reflexão e o método Delphi podem ajudar na recolha de dados para os critérios de apreciação e indicadores de resultados adicionais propostos. A questão da qualidade dos dados e da validade quando manifestada pelos beneficiários deve ser considerada aquando da aplicação destes métodos (ver </w:t>
      </w:r>
      <w:hyperlink w:anchor="Recommended_Methods" w:history="1">
        <w:r>
          <w:rPr>
            <w:rStyle w:val="Hyperlink"/>
            <w:sz w:val="20"/>
          </w:rPr>
          <w:t>Quadro n.º 2</w:t>
        </w:r>
      </w:hyperlink>
      <w:r>
        <w:t xml:space="preserve">). </w:t>
      </w:r>
    </w:p>
    <w:p w:rsidR="00A45935" w:rsidRPr="00C202EC" w:rsidRDefault="00A45935" w:rsidP="00C202EC">
      <w:pPr>
        <w:pStyle w:val="Hlistbullet"/>
        <w:rPr>
          <w:b/>
          <w:sz w:val="16"/>
        </w:rPr>
      </w:pPr>
      <w:r>
        <w:rPr>
          <w:b/>
        </w:rPr>
        <w:t xml:space="preserve">PASSO 4: </w:t>
      </w:r>
      <w:r>
        <w:t xml:space="preserve">analisar e interpretar as provas recolhidas e utilizá-las para responder à QAC n.º 1 em termos de apoio à inovação. </w:t>
      </w:r>
    </w:p>
    <w:p w:rsidR="00A45935" w:rsidRPr="00FA6691" w:rsidRDefault="00CD7942" w:rsidP="00CD7942">
      <w:pPr>
        <w:pStyle w:val="HHeadingtables"/>
        <w:numPr>
          <w:ilvl w:val="0"/>
          <w:numId w:val="0"/>
        </w:numPr>
        <w:ind w:left="284"/>
      </w:pPr>
      <w:bookmarkStart w:id="111" w:name="Recommended_Methods"/>
      <w:bookmarkStart w:id="112" w:name="_Toc503284464"/>
      <w:bookmarkEnd w:id="111"/>
      <w:r>
        <w:t>Quadro 2.</w:t>
      </w:r>
      <w:r>
        <w:tab/>
      </w:r>
      <w:r w:rsidR="00A45935">
        <w:t>Métodos recomendados para a QAC n.º 1</w:t>
      </w:r>
      <w:bookmarkEnd w:id="112"/>
      <w:r w:rsidR="00A45935">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Métodos</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Sugestões sobre a utilização dos métodos</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Inquéritos aos gestores das medidas M1 e M2 </w:t>
            </w:r>
          </w:p>
          <w:p w:rsidR="00A45935" w:rsidRPr="00385368" w:rsidRDefault="00A45935" w:rsidP="007E63EF">
            <w:pPr>
              <w:spacing w:after="120" w:line="280" w:lineRule="atLeast"/>
              <w:ind w:right="116"/>
              <w:mirrorIndents/>
              <w:jc w:val="left"/>
              <w:rPr>
                <w:sz w:val="18"/>
                <w:szCs w:val="18"/>
              </w:rPr>
            </w:pPr>
            <w:r>
              <w:rPr>
                <w:sz w:val="18"/>
                <w:szCs w:val="18"/>
              </w:rPr>
              <w:t>Inquéritos aos beneficiários das medidas M1 e M2</w:t>
            </w:r>
          </w:p>
          <w:p w:rsidR="00A45935" w:rsidRPr="00385368" w:rsidRDefault="00A45935" w:rsidP="007E63EF">
            <w:pPr>
              <w:spacing w:after="120" w:line="280" w:lineRule="atLeast"/>
              <w:ind w:right="116"/>
              <w:mirrorIndents/>
              <w:jc w:val="left"/>
              <w:rPr>
                <w:sz w:val="18"/>
                <w:szCs w:val="18"/>
              </w:rPr>
            </w:pPr>
            <w:r>
              <w:rPr>
                <w:sz w:val="18"/>
                <w:szCs w:val="18"/>
              </w:rPr>
              <w:t>Inquéritos sobre projetos de cooperação dos GO</w:t>
            </w:r>
          </w:p>
          <w:p w:rsidR="00A45935" w:rsidRPr="00385368" w:rsidRDefault="00A45935" w:rsidP="007E63EF">
            <w:pPr>
              <w:spacing w:after="120" w:line="280" w:lineRule="atLeast"/>
              <w:ind w:right="116"/>
              <w:mirrorIndents/>
              <w:jc w:val="left"/>
              <w:rPr>
                <w:sz w:val="18"/>
                <w:szCs w:val="18"/>
              </w:rPr>
            </w:pPr>
            <w:r>
              <w:rPr>
                <w:sz w:val="18"/>
                <w:szCs w:val="18"/>
              </w:rPr>
              <w:t xml:space="preserve">Inquéritos com os GAL e os respetivos beneficiários </w:t>
            </w:r>
          </w:p>
        </w:tc>
        <w:tc>
          <w:tcPr>
            <w:tcW w:w="6770" w:type="dxa"/>
          </w:tcPr>
          <w:p w:rsidR="00A45935" w:rsidRPr="00385368" w:rsidRDefault="00A45935" w:rsidP="00C202EC">
            <w:pPr>
              <w:pStyle w:val="Hlistbullet"/>
              <w:rPr>
                <w:sz w:val="18"/>
                <w:szCs w:val="18"/>
              </w:rPr>
            </w:pPr>
            <w:r>
              <w:rPr>
                <w:sz w:val="18"/>
                <w:szCs w:val="18"/>
              </w:rPr>
              <w:t xml:space="preserve">Selecionar os gestores/beneficiários de submedidas relacionadas com a inovação de M1 e M2 para a realização do inquérito. </w:t>
            </w:r>
          </w:p>
          <w:p w:rsidR="00A45935" w:rsidRPr="00385368" w:rsidRDefault="00A45935" w:rsidP="00C202EC">
            <w:pPr>
              <w:pStyle w:val="Hlistbullet"/>
              <w:rPr>
                <w:sz w:val="18"/>
                <w:szCs w:val="18"/>
              </w:rPr>
            </w:pPr>
            <w:r>
              <w:rPr>
                <w:sz w:val="18"/>
                <w:szCs w:val="18"/>
              </w:rPr>
              <w:t>Selecionar uma amostra de projetos de cooperação (por exemplo, por setor, dimensão dos GO, geografia, etc.) para recolher dados e informações junto dos beneficiários relativamente aos indicadores através do inquérito.</w:t>
            </w:r>
          </w:p>
          <w:p w:rsidR="00A45935" w:rsidRPr="00385368" w:rsidRDefault="00A45935" w:rsidP="00C202EC">
            <w:pPr>
              <w:pStyle w:val="Hlistbullet"/>
              <w:rPr>
                <w:sz w:val="18"/>
                <w:szCs w:val="18"/>
              </w:rPr>
            </w:pPr>
            <w:r>
              <w:rPr>
                <w:sz w:val="18"/>
                <w:szCs w:val="18"/>
              </w:rPr>
              <w:t>Conceber os inquéritos de forma a incluir questões abertas sobre a forma como as atividades das medidas M1 e M2, os GO e os GAL contribuíram para: a) a partilha de ideias inovadoras, b) o reforço da capacidade de inovação e c) a criação de um ambiente propício à inovação.</w:t>
            </w:r>
          </w:p>
          <w:p w:rsidR="00A45935" w:rsidRPr="00385368" w:rsidRDefault="00A45935" w:rsidP="00C202EC">
            <w:pPr>
              <w:pStyle w:val="Hlistbullet"/>
              <w:rPr>
                <w:sz w:val="18"/>
                <w:szCs w:val="18"/>
              </w:rPr>
            </w:pPr>
            <w:r>
              <w:rPr>
                <w:sz w:val="18"/>
                <w:szCs w:val="18"/>
              </w:rPr>
              <w:t>Utilizar as conclusões dos inquéritos para:</w:t>
            </w:r>
          </w:p>
          <w:p w:rsidR="00A45935" w:rsidRPr="00385368" w:rsidRDefault="00A45935" w:rsidP="00C202EC">
            <w:pPr>
              <w:pStyle w:val="Hlistbullet2"/>
              <w:rPr>
                <w:sz w:val="18"/>
                <w:szCs w:val="18"/>
              </w:rPr>
            </w:pPr>
            <w:r>
              <w:rPr>
                <w:sz w:val="18"/>
                <w:szCs w:val="18"/>
              </w:rPr>
              <w:t>avaliar de que forma diferentes tipos de ações de formação e de informação ao abrigo de M1 contribuem para apoiar a inovação;</w:t>
            </w:r>
          </w:p>
          <w:p w:rsidR="00A45935" w:rsidRPr="00385368" w:rsidRDefault="00A45935" w:rsidP="00C202EC">
            <w:pPr>
              <w:pStyle w:val="Hlistbullet2"/>
              <w:rPr>
                <w:sz w:val="18"/>
                <w:szCs w:val="18"/>
              </w:rPr>
            </w:pPr>
            <w:r>
              <w:rPr>
                <w:sz w:val="18"/>
                <w:szCs w:val="18"/>
              </w:rPr>
              <w:t>avaliar de que forma os serviços de aconselhamento contribuem para apoiar a inovação;</w:t>
            </w:r>
          </w:p>
          <w:p w:rsidR="00A45935" w:rsidRPr="00385368" w:rsidRDefault="00A45935" w:rsidP="00C202EC">
            <w:pPr>
              <w:pStyle w:val="Hlistbullet2"/>
              <w:rPr>
                <w:sz w:val="18"/>
                <w:szCs w:val="18"/>
              </w:rPr>
            </w:pPr>
            <w:r>
              <w:rPr>
                <w:sz w:val="18"/>
                <w:szCs w:val="18"/>
              </w:rPr>
              <w:t xml:space="preserve">avaliar de que forma os GO contribuem para a produção de resultados que possam ser utilizados; </w:t>
            </w:r>
          </w:p>
          <w:p w:rsidR="00A45935" w:rsidRPr="00385368" w:rsidRDefault="00A45935" w:rsidP="00C202EC">
            <w:pPr>
              <w:pStyle w:val="Hlistbullet2"/>
            </w:pPr>
            <w:r>
              <w:rPr>
                <w:sz w:val="18"/>
                <w:szCs w:val="18"/>
              </w:rPr>
              <w:t>avaliar de que forma os GAL promovem a inovação através de projetos apoiados por estratégias de DPCL ou de atividades realizadas pelos GAL no âmbito da sua animação.</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Grupos de reflexão</w:t>
            </w:r>
          </w:p>
        </w:tc>
        <w:tc>
          <w:tcPr>
            <w:tcW w:w="6770" w:type="dxa"/>
          </w:tcPr>
          <w:p w:rsidR="00A45935" w:rsidRPr="00385368" w:rsidRDefault="00A45935" w:rsidP="00C202EC">
            <w:pPr>
              <w:pStyle w:val="Hlistbullet"/>
              <w:rPr>
                <w:sz w:val="18"/>
                <w:szCs w:val="18"/>
              </w:rPr>
            </w:pPr>
            <w:r>
              <w:rPr>
                <w:sz w:val="18"/>
                <w:szCs w:val="18"/>
              </w:rPr>
              <w:t>Incluir agentes de inovação nos grupos de reflexão (por exemplo, serviços de apoio à inovação, conselheiros agindo na qualidade de mediadores da inovação, centros de investigação e inovação, etc.).</w:t>
            </w:r>
          </w:p>
          <w:p w:rsidR="00A45935" w:rsidRPr="00385368" w:rsidRDefault="00A45935" w:rsidP="00C202EC">
            <w:pPr>
              <w:pStyle w:val="Hlistbullet"/>
              <w:rPr>
                <w:sz w:val="18"/>
                <w:szCs w:val="18"/>
              </w:rPr>
            </w:pPr>
            <w:r>
              <w:rPr>
                <w:sz w:val="18"/>
                <w:szCs w:val="18"/>
              </w:rPr>
              <w:lastRenderedPageBreak/>
              <w:t>Analisar como as submedidas pertinentes de M1, M2, os GO e os GAL influenciam a capacidade de inovação e a criação de um ambiente propício à inovação.</w:t>
            </w:r>
          </w:p>
          <w:p w:rsidR="00A45935" w:rsidRPr="00385368" w:rsidRDefault="00A45935" w:rsidP="00C202EC">
            <w:pPr>
              <w:pStyle w:val="Hlistbullet"/>
              <w:rPr>
                <w:sz w:val="18"/>
                <w:szCs w:val="18"/>
              </w:rPr>
            </w:pPr>
            <w:r>
              <w:rPr>
                <w:sz w:val="18"/>
                <w:szCs w:val="18"/>
              </w:rPr>
              <w:t>Considerar a possibilidade de grupos de reflexão temáticos (por exemplo, um grupo de reflexão sobre mediação da inovação).</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Método Delphi</w:t>
            </w:r>
          </w:p>
        </w:tc>
        <w:tc>
          <w:tcPr>
            <w:tcW w:w="6770" w:type="dxa"/>
          </w:tcPr>
          <w:p w:rsidR="00A45935" w:rsidRPr="00385368" w:rsidRDefault="00A45935" w:rsidP="00C202EC">
            <w:pPr>
              <w:pStyle w:val="Hlistbullet"/>
              <w:rPr>
                <w:sz w:val="18"/>
                <w:szCs w:val="18"/>
              </w:rPr>
            </w:pPr>
            <w:r>
              <w:rPr>
                <w:sz w:val="18"/>
                <w:szCs w:val="18"/>
              </w:rPr>
              <w:t>Incluir peritos em matéria de inovação (por exemplo, envolvidos nas medidas e em projetos de cooperação, mas também outros peritos, como, por exemplo, académicos).</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Práticas de avaliação comunicadas nos RAE em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102EC92D" wp14:editId="6DE86E0E">
                <wp:extent cx="5878195" cy="6211613"/>
                <wp:effectExtent l="0" t="0" r="27305" b="17780"/>
                <wp:docPr id="60" name="Rectangle: Diagonal Corners Rounded 60"/>
                <wp:cNvGraphicFramePr/>
                <a:graphic xmlns:a="http://schemas.openxmlformats.org/drawingml/2006/main">
                  <a:graphicData uri="http://schemas.microsoft.com/office/word/2010/wordprocessingShape">
                    <wps:wsp>
                      <wps:cNvSpPr/>
                      <wps:spPr>
                        <a:xfrm>
                          <a:off x="0" y="0"/>
                          <a:ext cx="5878195" cy="6211613"/>
                        </a:xfrm>
                        <a:prstGeom prst="round2DiagRect">
                          <a:avLst>
                            <a:gd name="adj1" fmla="val 5521"/>
                            <a:gd name="adj2" fmla="val 0"/>
                          </a:avLst>
                        </a:prstGeom>
                        <a:noFill/>
                        <a:ln w="25400" cap="flat" cmpd="sng" algn="ctr">
                          <a:solidFill>
                            <a:srgbClr val="F07E31"/>
                          </a:solidFill>
                          <a:prstDash val="solid"/>
                        </a:ln>
                        <a:effectLst/>
                      </wps:spPr>
                      <wps:txbx>
                        <w:txbxContent>
                          <w:p w:rsidR="00B06BF7" w:rsidRPr="00C202EC" w:rsidRDefault="00B06BF7" w:rsidP="00E05D08">
                            <w:pPr>
                              <w:pStyle w:val="Normal12PTcouleurgris"/>
                              <w:ind w:left="567" w:hanging="567"/>
                              <w:rPr>
                                <w:b/>
                                <w:color w:val="F07E31"/>
                                <w:sz w:val="18"/>
                              </w:rPr>
                            </w:pPr>
                            <w:r>
                              <w:rPr>
                                <w:noProof/>
                                <w:color w:val="F07E31"/>
                                <w:lang w:val="en-GB" w:eastAsia="en-GB"/>
                              </w:rPr>
                              <w:drawing>
                                <wp:inline distT="0" distB="0" distL="0" distR="0" wp14:anchorId="07825B83" wp14:editId="2EFD62F1">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B06BF7" w:rsidRPr="00C202EC" w:rsidRDefault="00B06BF7" w:rsidP="00C202EC">
                            <w:pPr>
                              <w:pStyle w:val="Normal12PTcouleurgris"/>
                              <w:spacing w:after="120"/>
                              <w:ind w:left="567" w:hanging="567"/>
                              <w:rPr>
                                <w:b/>
                                <w:color w:val="F07E31"/>
                                <w:sz w:val="18"/>
                              </w:rPr>
                            </w:pPr>
                            <w:r>
                              <w:rPr>
                                <w:b/>
                                <w:color w:val="F07E31"/>
                                <w:sz w:val="18"/>
                              </w:rPr>
                              <w:t>Exemplos para identificar o potencial de inovação</w:t>
                            </w:r>
                          </w:p>
                          <w:p w:rsidR="00B06BF7" w:rsidRPr="00C202EC" w:rsidRDefault="00B06BF7" w:rsidP="00C202EC">
                            <w:pPr>
                              <w:pStyle w:val="Hlistbullet"/>
                              <w:rPr>
                                <w:sz w:val="18"/>
                                <w:szCs w:val="18"/>
                              </w:rPr>
                            </w:pPr>
                            <w:r w:rsidRPr="008F5600">
                              <w:rPr>
                                <w:b/>
                                <w:sz w:val="18"/>
                                <w:szCs w:val="18"/>
                              </w:rPr>
                              <w:t>Castela e Leão (ES)</w:t>
                            </w:r>
                            <w:r>
                              <w:rPr>
                                <w:sz w:val="18"/>
                                <w:szCs w:val="18"/>
                              </w:rPr>
                              <w:t xml:space="preserve"> - salienta o potencial de inovação dos GAL e recomenda a análise das estratégias de desenvolvimento local de modo a identificar os tipos de operações executadas no âmbito de estratégias que promovam o contributo dos GAL para os objetivos relacionados com a inovação do DI 1A.</w:t>
                            </w:r>
                            <w:r>
                              <w:rPr>
                                <w:b/>
                                <w:sz w:val="18"/>
                                <w:szCs w:val="18"/>
                              </w:rPr>
                              <w:t xml:space="preserve"> </w:t>
                            </w:r>
                          </w:p>
                          <w:p w:rsidR="00B06BF7" w:rsidRPr="00C202EC" w:rsidRDefault="00B06BF7" w:rsidP="00C202EC">
                            <w:pPr>
                              <w:pStyle w:val="Hlistbullet"/>
                              <w:rPr>
                                <w:sz w:val="18"/>
                                <w:szCs w:val="18"/>
                              </w:rPr>
                            </w:pPr>
                            <w:r w:rsidRPr="008F5600">
                              <w:rPr>
                                <w:b/>
                                <w:sz w:val="18"/>
                                <w:szCs w:val="18"/>
                              </w:rPr>
                              <w:t>Canárias (ES</w:t>
                            </w:r>
                            <w:r>
                              <w:rPr>
                                <w:sz w:val="18"/>
                                <w:szCs w:val="18"/>
                              </w:rPr>
                              <w:t>) - salienta igualmente o potencial de inovação dos GAL e recomenda a inclusão de uma variável no sistema de acompanhamento e avaliação que indica se as operações executadas pelos GAL no âmbito de estratégias de desenvolvimento local ao abrigo da medida M19 são inovadoras.</w:t>
                            </w:r>
                          </w:p>
                          <w:p w:rsidR="00B06BF7" w:rsidRPr="00C202EC" w:rsidRDefault="00B06BF7" w:rsidP="003F6478">
                            <w:pPr>
                              <w:pStyle w:val="HStandard"/>
                              <w:ind w:left="567" w:hanging="567"/>
                              <w:rPr>
                                <w:b/>
                                <w:color w:val="F07E31"/>
                                <w:sz w:val="18"/>
                                <w:szCs w:val="18"/>
                              </w:rPr>
                            </w:pPr>
                            <w:r>
                              <w:rPr>
                                <w:b/>
                                <w:color w:val="F07E31"/>
                                <w:sz w:val="18"/>
                                <w:szCs w:val="18"/>
                              </w:rPr>
                              <w:t xml:space="preserve">Exemplos de elementos de avaliação adicionais </w:t>
                            </w:r>
                          </w:p>
                          <w:p w:rsidR="00B06BF7" w:rsidRPr="00C202EC" w:rsidRDefault="00B06BF7" w:rsidP="00C202EC">
                            <w:pPr>
                              <w:pStyle w:val="Hlistbullet"/>
                              <w:rPr>
                                <w:sz w:val="18"/>
                                <w:szCs w:val="18"/>
                              </w:rPr>
                            </w:pPr>
                            <w:r w:rsidRPr="008F5600">
                              <w:rPr>
                                <w:b/>
                                <w:sz w:val="18"/>
                                <w:szCs w:val="18"/>
                              </w:rPr>
                              <w:t>Baviera (DE</w:t>
                            </w:r>
                            <w:r>
                              <w:rPr>
                                <w:sz w:val="18"/>
                                <w:szCs w:val="18"/>
                              </w:rPr>
                              <w:t xml:space="preserve">) - menciona a utilização de critérios de apreciação adicionais relacionados com a inovação ao nível dos GAL (por exemplo, novos projetos multissetoriais realizados pelos GAL, testaram-se novos processos/técnicas). Utilizou-se um indicador de resultados adicional (novas ideias/soluções, inovações - M19). O indicador foi quantificado e as informações foram recolhidas através de a) um inquérito em linha com gestores dos GAL; b) entrevistas semiestruturadas com gestores dos GAL selecionados. </w:t>
                            </w:r>
                          </w:p>
                          <w:p w:rsidR="00B06BF7" w:rsidRPr="00C202EC" w:rsidRDefault="00B06BF7" w:rsidP="00C202EC">
                            <w:pPr>
                              <w:pStyle w:val="Hlistbullet"/>
                              <w:rPr>
                                <w:sz w:val="18"/>
                                <w:szCs w:val="18"/>
                              </w:rPr>
                            </w:pPr>
                            <w:r w:rsidRPr="008F5600">
                              <w:rPr>
                                <w:b/>
                                <w:sz w:val="18"/>
                                <w:szCs w:val="18"/>
                              </w:rPr>
                              <w:t>República Checa</w:t>
                            </w:r>
                            <w:r>
                              <w:rPr>
                                <w:sz w:val="18"/>
                                <w:szCs w:val="18"/>
                              </w:rPr>
                              <w:t xml:space="preserve"> - descreve a recolha de dados para o indicador de resultados adicional «número de participantes que concluem atividades que incidiram sobre inovações» através da base de dados de operações. Menciona-se igualmente um inquérito realizado com os beneficiários dos projetos apoiados para a recolha de informações sobre a inovação.</w:t>
                            </w:r>
                          </w:p>
                          <w:p w:rsidR="00B06BF7" w:rsidRPr="00C202EC" w:rsidRDefault="00B06BF7" w:rsidP="00142A64">
                            <w:pPr>
                              <w:pStyle w:val="HStandard"/>
                              <w:rPr>
                                <w:b/>
                                <w:sz w:val="18"/>
                                <w:szCs w:val="18"/>
                              </w:rPr>
                            </w:pPr>
                            <w:r>
                              <w:rPr>
                                <w:b/>
                                <w:color w:val="F07E31"/>
                                <w:sz w:val="18"/>
                                <w:szCs w:val="18"/>
                              </w:rPr>
                              <w:t>Exemplos de métodos</w:t>
                            </w:r>
                          </w:p>
                          <w:p w:rsidR="00B06BF7" w:rsidRPr="00C202EC" w:rsidRDefault="00B06BF7" w:rsidP="00C202EC">
                            <w:pPr>
                              <w:pStyle w:val="Hlistbullet"/>
                              <w:rPr>
                                <w:sz w:val="18"/>
                                <w:szCs w:val="18"/>
                              </w:rPr>
                            </w:pPr>
                            <w:r w:rsidRPr="008F5600">
                              <w:rPr>
                                <w:b/>
                                <w:sz w:val="18"/>
                                <w:szCs w:val="18"/>
                              </w:rPr>
                              <w:t>Castela e Leão (ES)</w:t>
                            </w:r>
                            <w:r>
                              <w:rPr>
                                <w:sz w:val="18"/>
                                <w:szCs w:val="18"/>
                              </w:rPr>
                              <w:t xml:space="preserve"> - recomenda entrevistar cada gestor de medidas e incluir elementos de dados adicionais no sistema de acompanhamento para permitir avaliar a forma como diferentes operações incorporam elementos inovadores e contribuem para os objetivos de inovação.</w:t>
                            </w:r>
                          </w:p>
                          <w:p w:rsidR="00B06BF7" w:rsidRPr="00C202EC" w:rsidRDefault="00B06BF7" w:rsidP="00C202EC">
                            <w:pPr>
                              <w:pStyle w:val="Hlistbullet"/>
                            </w:pPr>
                            <w:r w:rsidRPr="008F5600">
                              <w:rPr>
                                <w:b/>
                                <w:sz w:val="18"/>
                                <w:szCs w:val="18"/>
                              </w:rPr>
                              <w:t>Castela-Mancha (ES</w:t>
                            </w:r>
                            <w:r>
                              <w:rPr>
                                <w:sz w:val="18"/>
                                <w:szCs w:val="18"/>
                              </w:rPr>
                              <w:t>) - utilizou um inquérito enviado a todos os participantes na formação a fim de avaliar, entre outros, os contributos da transferência de conhecimentos e das ações de informação para a inovação. O inquérito permitiu avaliar sessões de formação inovadoras.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2EC92D" id="Rectangle: Diagonal Corners Rounded 60" o:spid="_x0000_s1044" style="width:462.85pt;height:489.1pt;visibility:visible;mso-wrap-style:square;mso-left-percent:-10001;mso-top-percent:-10001;mso-position-horizontal:absolute;mso-position-horizontal-relative:char;mso-position-vertical:absolute;mso-position-vertical-relative:line;mso-left-percent:-10001;mso-top-percent:-10001;v-text-anchor:middle" coordsize="5878195,6211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" adj="-11796480,,5400" path="m324535,l5878195,r,l5878195,5887078v,179236,-145299,324535,-324535,324535l,6211613r,l,324535c,145299,145299,,324535,xe" filled="f" strokecolor="#f07e31" strokeweight="2pt">
                <v:stroke joinstyle="miter"/>
                <v:formulas/>
                <v:path arrowok="t" o:connecttype="custom" o:connectlocs="324535,0;5878195,0;5878195,0;5878195,5887078;5553660,6211613;0,6211613;0,6211613;0,324535;324535,0" o:connectangles="0,0,0,0,0,0,0,0,0" textboxrect="0,0,5878195,6211613"/>
                <v:textbox>
                  <w:txbxContent>
                    <w:p w:rsidR="00B06BF7" w:rsidRPr="00C202EC" w:rsidRDefault="00B06BF7" w:rsidP="00E05D08">
                      <w:pPr>
                        <w:pStyle w:val="Normal12PTcouleurgris"/>
                        <w:ind w:left="567" w:hanging="567"/>
                        <w:rPr>
                          <w:b/>
                          <w:color w:val="F07E31"/>
                          <w:sz w:val="18"/>
                        </w:rPr>
                      </w:pPr>
                      <w:r>
                        <w:rPr>
                          <w:noProof/>
                          <w:color w:val="F07E31"/>
                          <w:lang w:val="en-GB" w:eastAsia="en-GB"/>
                        </w:rPr>
                        <w:drawing>
                          <wp:inline distT="0" distB="0" distL="0" distR="0" wp14:anchorId="07825B83" wp14:editId="2EFD62F1">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B06BF7" w:rsidRPr="00C202EC" w:rsidRDefault="00B06BF7" w:rsidP="00C202EC">
                      <w:pPr>
                        <w:pStyle w:val="Normal12PTcouleurgris"/>
                        <w:spacing w:after="120"/>
                        <w:ind w:left="567" w:hanging="567"/>
                        <w:rPr>
                          <w:b/>
                          <w:color w:val="F07E31"/>
                          <w:sz w:val="18"/>
                        </w:rPr>
                      </w:pPr>
                      <w:r>
                        <w:rPr>
                          <w:b/>
                          <w:color w:val="F07E31"/>
                          <w:sz w:val="18"/>
                        </w:rPr>
                        <w:t>Exemplos para identificar o potencial de inovação</w:t>
                      </w:r>
                    </w:p>
                    <w:p w:rsidR="00B06BF7" w:rsidRPr="00C202EC" w:rsidRDefault="00B06BF7" w:rsidP="00C202EC">
                      <w:pPr>
                        <w:pStyle w:val="Hlistbullet"/>
                        <w:rPr>
                          <w:sz w:val="18"/>
                          <w:szCs w:val="18"/>
                        </w:rPr>
                      </w:pPr>
                      <w:r w:rsidRPr="008F5600">
                        <w:rPr>
                          <w:b/>
                          <w:sz w:val="18"/>
                          <w:szCs w:val="18"/>
                        </w:rPr>
                        <w:t>Castela e Leão (ES)</w:t>
                      </w:r>
                      <w:r>
                        <w:rPr>
                          <w:sz w:val="18"/>
                          <w:szCs w:val="18"/>
                        </w:rPr>
                        <w:t xml:space="preserve"> - salienta o potencial de inovação dos GAL e recomenda a análise das estratégias de desenvolvimento local de modo a identificar os tipos de operações executadas no âmbito de estratégias que promovam o contributo dos GAL para os objetivos relacionados com a inovação do DI 1A.</w:t>
                      </w:r>
                      <w:r>
                        <w:rPr>
                          <w:b/>
                          <w:sz w:val="18"/>
                          <w:szCs w:val="18"/>
                        </w:rPr>
                        <w:t xml:space="preserve"> </w:t>
                      </w:r>
                    </w:p>
                    <w:p w:rsidR="00B06BF7" w:rsidRPr="00C202EC" w:rsidRDefault="00B06BF7" w:rsidP="00C202EC">
                      <w:pPr>
                        <w:pStyle w:val="Hlistbullet"/>
                        <w:rPr>
                          <w:sz w:val="18"/>
                          <w:szCs w:val="18"/>
                        </w:rPr>
                      </w:pPr>
                      <w:r w:rsidRPr="008F5600">
                        <w:rPr>
                          <w:b/>
                          <w:sz w:val="18"/>
                          <w:szCs w:val="18"/>
                        </w:rPr>
                        <w:t>Canárias (ES</w:t>
                      </w:r>
                      <w:r>
                        <w:rPr>
                          <w:sz w:val="18"/>
                          <w:szCs w:val="18"/>
                        </w:rPr>
                        <w:t>) - salienta igualmente o potencial de inovação dos GAL e recomenda a inclusão de uma variável no sistema de acompanhamento e avaliação que indica se as operações executadas pelos GAL no âmbito de estratégias de desenvolvimento local ao abrigo da medida M19 são inovadoras.</w:t>
                      </w:r>
                    </w:p>
                    <w:p w:rsidR="00B06BF7" w:rsidRPr="00C202EC" w:rsidRDefault="00B06BF7" w:rsidP="003F6478">
                      <w:pPr>
                        <w:pStyle w:val="HStandard"/>
                        <w:ind w:left="567" w:hanging="567"/>
                        <w:rPr>
                          <w:b/>
                          <w:color w:val="F07E31"/>
                          <w:sz w:val="18"/>
                          <w:szCs w:val="18"/>
                        </w:rPr>
                      </w:pPr>
                      <w:r>
                        <w:rPr>
                          <w:b/>
                          <w:color w:val="F07E31"/>
                          <w:sz w:val="18"/>
                          <w:szCs w:val="18"/>
                        </w:rPr>
                        <w:t xml:space="preserve">Exemplos de elementos de avaliação adicionais </w:t>
                      </w:r>
                    </w:p>
                    <w:p w:rsidR="00B06BF7" w:rsidRPr="00C202EC" w:rsidRDefault="00B06BF7" w:rsidP="00C202EC">
                      <w:pPr>
                        <w:pStyle w:val="Hlistbullet"/>
                        <w:rPr>
                          <w:sz w:val="18"/>
                          <w:szCs w:val="18"/>
                        </w:rPr>
                      </w:pPr>
                      <w:r w:rsidRPr="008F5600">
                        <w:rPr>
                          <w:b/>
                          <w:sz w:val="18"/>
                          <w:szCs w:val="18"/>
                        </w:rPr>
                        <w:t>Baviera (DE</w:t>
                      </w:r>
                      <w:r>
                        <w:rPr>
                          <w:sz w:val="18"/>
                          <w:szCs w:val="18"/>
                        </w:rPr>
                        <w:t xml:space="preserve">) - menciona a utilização de critérios de apreciação adicionais relacionados com a inovação ao nível dos GAL (por exemplo, novos projetos multissetoriais realizados pelos GAL, testaram-se novos processos/técnicas). Utilizou-se um indicador de resultados adicional (novas ideias/soluções, inovações - M19). O indicador foi quantificado e as informações foram recolhidas através de a) um inquérito em linha com gestores dos GAL; b) entrevistas semiestruturadas com gestores dos GAL selecionados. </w:t>
                      </w:r>
                    </w:p>
                    <w:p w:rsidR="00B06BF7" w:rsidRPr="00C202EC" w:rsidRDefault="00B06BF7" w:rsidP="00C202EC">
                      <w:pPr>
                        <w:pStyle w:val="Hlistbullet"/>
                        <w:rPr>
                          <w:sz w:val="18"/>
                          <w:szCs w:val="18"/>
                        </w:rPr>
                      </w:pPr>
                      <w:r w:rsidRPr="008F5600">
                        <w:rPr>
                          <w:b/>
                          <w:sz w:val="18"/>
                          <w:szCs w:val="18"/>
                        </w:rPr>
                        <w:t>República Checa</w:t>
                      </w:r>
                      <w:r>
                        <w:rPr>
                          <w:sz w:val="18"/>
                          <w:szCs w:val="18"/>
                        </w:rPr>
                        <w:t xml:space="preserve"> - descreve a recolha de dados para o indicador de resultados adicional «número de participantes que concluem atividades que incidiram sobre inovações» através da base de dados de operações. Menciona-se igualmente um inquérito realizado com os beneficiários dos projetos apoiados para a recolha de informações sobre a inovação.</w:t>
                      </w:r>
                    </w:p>
                    <w:p w:rsidR="00B06BF7" w:rsidRPr="00C202EC" w:rsidRDefault="00B06BF7" w:rsidP="00142A64">
                      <w:pPr>
                        <w:pStyle w:val="HStandard"/>
                        <w:rPr>
                          <w:b/>
                          <w:sz w:val="18"/>
                          <w:szCs w:val="18"/>
                        </w:rPr>
                      </w:pPr>
                      <w:r>
                        <w:rPr>
                          <w:b/>
                          <w:color w:val="F07E31"/>
                          <w:sz w:val="18"/>
                          <w:szCs w:val="18"/>
                        </w:rPr>
                        <w:t>Exemplos de métodos</w:t>
                      </w:r>
                    </w:p>
                    <w:p w:rsidR="00B06BF7" w:rsidRPr="00C202EC" w:rsidRDefault="00B06BF7" w:rsidP="00C202EC">
                      <w:pPr>
                        <w:pStyle w:val="Hlistbullet"/>
                        <w:rPr>
                          <w:sz w:val="18"/>
                          <w:szCs w:val="18"/>
                        </w:rPr>
                      </w:pPr>
                      <w:r w:rsidRPr="008F5600">
                        <w:rPr>
                          <w:b/>
                          <w:sz w:val="18"/>
                          <w:szCs w:val="18"/>
                        </w:rPr>
                        <w:t>Castela e Leão (ES)</w:t>
                      </w:r>
                      <w:r>
                        <w:rPr>
                          <w:sz w:val="18"/>
                          <w:szCs w:val="18"/>
                        </w:rPr>
                        <w:t xml:space="preserve"> - recomenda entrevistar cada gestor de medidas e incluir elementos de dados adicionais no sistema de acompanhamento para permitir avaliar a forma como diferentes operações incorporam elementos inovadores e contribuem para os objetivos de inovação.</w:t>
                      </w:r>
                    </w:p>
                    <w:p w:rsidR="00B06BF7" w:rsidRPr="00C202EC" w:rsidRDefault="00B06BF7" w:rsidP="00C202EC">
                      <w:pPr>
                        <w:pStyle w:val="Hlistbullet"/>
                      </w:pPr>
                      <w:r w:rsidRPr="008F5600">
                        <w:rPr>
                          <w:b/>
                          <w:sz w:val="18"/>
                          <w:szCs w:val="18"/>
                        </w:rPr>
                        <w:t>Castela-Mancha (ES</w:t>
                      </w:r>
                      <w:r>
                        <w:rPr>
                          <w:sz w:val="18"/>
                          <w:szCs w:val="18"/>
                        </w:rPr>
                        <w:t>) - utilizou um inquérito enviado a todos os participantes na formação a fim de avaliar, entre outros, os contributos da transferência de conhecimentos e das ações de informação para a inovação. O inquérito permitiu avaliar sessões de formação inovadoras.</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Riscos e soluções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Riscos</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Soluções</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Alguns dados (por exemplo, o número final de projetos de cooperação) podem não estar disponíveis após o final do período de programação.</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Os tipos de estruturas de cooperação/GO criados (estrutura jurídica, composição, declaração de compromisso dos parceiros, etc.) podem ser analisados através de uma avaliação qualitativa como substituto do número final de estruturas de cooperação.</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As informações relativas à composição e ao tipo de parceiros em projetos de cooperação, ou de partes interessadas na inovação nas medidas M1 e M2, podem não estar registadas nos dados de acompanhamento.</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A composição e os tipos de parceiros podem ser avaliados através de inquéritos e entrevistas sobre operações apoiadas. Em alternativa, os formulários de candidatura de operações apoiadas podem fornecer dados úteis.</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O tipo de inovação criada e a sua utilização não podem ser registados nos quadros de acompanhamento.</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Inquéritos, grupos de reflexão e entrevistas com os grupos operacionais podem ajudar a calcular os tipos de inovação criados.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Conclusões e recomendações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As conclusões e as recomendações devem abordar, pelo menos, as seguintes questões políticas:</w:t>
      </w:r>
    </w:p>
    <w:p w:rsidR="00A45935" w:rsidRPr="00B41573" w:rsidRDefault="00A45935" w:rsidP="00AB16BB">
      <w:pPr>
        <w:pStyle w:val="Hlistbullet"/>
        <w:rPr>
          <w:rFonts w:eastAsia="Calibri"/>
          <w:shd w:val="clear" w:color="auto" w:fill="FFFFFF"/>
        </w:rPr>
      </w:pPr>
      <w:r>
        <w:rPr>
          <w:b/>
          <w:shd w:val="clear" w:color="auto" w:fill="FFFFFF"/>
        </w:rPr>
        <w:t>A realização do potencial de inovação</w:t>
      </w:r>
      <w:r>
        <w:rPr>
          <w:shd w:val="clear" w:color="auto" w:fill="FFFFFF"/>
        </w:rPr>
        <w:t xml:space="preserve"> (através das três vias) das medidas M1, M2, M16 e M19 e das respetivas submedidas identificadas.</w:t>
      </w:r>
    </w:p>
    <w:p w:rsidR="00A45935" w:rsidRPr="00B41573" w:rsidRDefault="00A45935" w:rsidP="00AB16BB">
      <w:pPr>
        <w:pStyle w:val="Hlistbullet"/>
        <w:rPr>
          <w:rFonts w:eastAsia="Calibri"/>
          <w:shd w:val="clear" w:color="auto" w:fill="FFFFFF"/>
        </w:rPr>
      </w:pPr>
      <w:r>
        <w:rPr>
          <w:b/>
          <w:shd w:val="clear" w:color="auto" w:fill="FFFFFF"/>
        </w:rPr>
        <w:t>O efeito das ações de formação e informação</w:t>
      </w:r>
      <w:r>
        <w:rPr>
          <w:shd w:val="clear" w:color="auto" w:fill="FFFFFF"/>
        </w:rPr>
        <w:t xml:space="preserve"> no âmbito da medida M1 e dos serviços de aconselhamento no âmbito da medida M2 em matéria de reforço da capacidade de inovação.</w:t>
      </w:r>
    </w:p>
    <w:p w:rsidR="00A45935" w:rsidRPr="00B41573" w:rsidRDefault="00A45935" w:rsidP="00AB16BB">
      <w:pPr>
        <w:pStyle w:val="Hlistbullet"/>
        <w:rPr>
          <w:rFonts w:eastAsia="Calibri"/>
          <w:shd w:val="clear" w:color="auto" w:fill="FFFFFF"/>
        </w:rPr>
      </w:pPr>
      <w:r>
        <w:rPr>
          <w:b/>
          <w:shd w:val="clear" w:color="auto" w:fill="FFFFFF"/>
        </w:rPr>
        <w:t>O efeito de projetos de cooperação</w:t>
      </w:r>
      <w:r>
        <w:rPr>
          <w:shd w:val="clear" w:color="auto" w:fill="FFFFFF"/>
        </w:rPr>
        <w:t>, especialmente dos GO, em matéria de apoio à inovação, mais especificamente:</w:t>
      </w:r>
    </w:p>
    <w:p w:rsidR="00A45935" w:rsidRPr="00E05D08" w:rsidRDefault="00A45935" w:rsidP="00AB16BB">
      <w:pPr>
        <w:pStyle w:val="Hlistbullet2"/>
        <w:rPr>
          <w:rFonts w:eastAsia="Calibri"/>
          <w:shd w:val="clear" w:color="auto" w:fill="FFFFFF"/>
        </w:rPr>
      </w:pPr>
      <w:r>
        <w:rPr>
          <w:shd w:val="clear" w:color="auto" w:fill="FFFFFF"/>
        </w:rPr>
        <w:t>o número, o âmbito, o teor e a duração de projetos dos GO podem fornecer conclusões úteis sobre a identificação de ideias inovadoras que devem ser postas em prática;</w:t>
      </w:r>
    </w:p>
    <w:p w:rsidR="00A45935" w:rsidRPr="00E05D08" w:rsidRDefault="00A45935" w:rsidP="00AB16BB">
      <w:pPr>
        <w:pStyle w:val="Hlistbullet2"/>
        <w:rPr>
          <w:rFonts w:eastAsia="Calibri"/>
          <w:shd w:val="clear" w:color="auto" w:fill="FFFFFF"/>
        </w:rPr>
      </w:pPr>
      <w:r>
        <w:rPr>
          <w:shd w:val="clear" w:color="auto" w:fill="FFFFFF"/>
        </w:rPr>
        <w:t>o número e o tipo de projetos dos GO, bem como a participação das partes interessadas na inovação, podem fornecer conclusões relevantes sobre as realizações da medida de cooperação em relação à capacidade de inovação nas zonas rurais;</w:t>
      </w:r>
    </w:p>
    <w:p w:rsidR="00A45935" w:rsidRPr="00E05D08" w:rsidRDefault="00A45935" w:rsidP="00AB16BB">
      <w:pPr>
        <w:pStyle w:val="Hlistbullet2"/>
        <w:rPr>
          <w:rFonts w:eastAsia="Calibri"/>
          <w:shd w:val="clear" w:color="auto" w:fill="FFFFFF"/>
        </w:rPr>
      </w:pPr>
      <w:r>
        <w:rPr>
          <w:shd w:val="clear" w:color="auto" w:fill="FFFFFF"/>
        </w:rPr>
        <w:t xml:space="preserve">as conclusões sobre em que medida os projetos dos GO produzem estruturas e procedimentos que facilitam a produção de inovação.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Os efeitos de atividades dos GAL </w:t>
      </w:r>
      <w:r>
        <w:rPr>
          <w:szCs w:val="20"/>
          <w:shd w:val="clear" w:color="auto" w:fill="FFFFFF"/>
        </w:rPr>
        <w:t xml:space="preserve">(incluindo a cooperação entre os GAL) e projetos executados através de estratégias de desenvolvimento promovido pelas comunidades locais (DPCL).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Mais informações</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8D2FD76" wp14:editId="21523A69">
                <wp:extent cx="5854700" cy="1727200"/>
                <wp:effectExtent l="0" t="0" r="12700" b="25400"/>
                <wp:docPr id="5" name="Rectangle: Diagonal Corners Rounded 5"/>
                <wp:cNvGraphicFramePr/>
                <a:graphic xmlns:a="http://schemas.openxmlformats.org/drawingml/2006/main">
                  <a:graphicData uri="http://schemas.microsoft.com/office/word/2010/wordprocessingShape">
                    <wps:wsp>
                      <wps:cNvSpPr/>
                      <wps:spPr>
                        <a:xfrm>
                          <a:off x="0" y="0"/>
                          <a:ext cx="5854700" cy="1727200"/>
                        </a:xfrm>
                        <a:prstGeom prst="round2DiagRect">
                          <a:avLst>
                            <a:gd name="adj1" fmla="val 11556"/>
                            <a:gd name="adj2" fmla="val 0"/>
                          </a:avLst>
                        </a:prstGeom>
                        <a:noFill/>
                        <a:ln w="25400" cap="flat" cmpd="sng" algn="ctr">
                          <a:solidFill>
                            <a:srgbClr val="59638E"/>
                          </a:solidFill>
                          <a:prstDash val="solid"/>
                        </a:ln>
                        <a:effectLst/>
                      </wps:spPr>
                      <wps:txbx>
                        <w:txbxContent>
                          <w:p w:rsidR="00B06BF7" w:rsidRDefault="00B06BF7" w:rsidP="00E05D08">
                            <w:pPr>
                              <w:pStyle w:val="HStandard"/>
                              <w:rPr>
                                <w:color w:val="000000"/>
                                <w:sz w:val="18"/>
                              </w:rPr>
                            </w:pPr>
                            <w:r>
                              <w:rPr>
                                <w:lang w:val="en-GB" w:eastAsia="en-GB"/>
                              </w:rPr>
                              <w:drawing>
                                <wp:inline distT="0" distB="0" distL="0" distR="0" wp14:anchorId="767D5B96" wp14:editId="422F7FF4">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color w:val="000000"/>
                                <w:sz w:val="18"/>
                                <w:lang w:val="en-GB"/>
                              </w:rPr>
                            </w:pPr>
                            <w:r w:rsidRPr="00A04B6A">
                              <w:rPr>
                                <w:lang w:val="en-GB"/>
                              </w:rPr>
                              <w:t xml:space="preserve">Orientações </w:t>
                            </w:r>
                            <w:hyperlink r:id="rId43" w:history="1">
                              <w:r w:rsidRPr="00A04B6A">
                                <w:rPr>
                                  <w:rStyle w:val="Hyperlink"/>
                                  <w:sz w:val="18"/>
                                  <w:lang w:val="en-GB"/>
                                </w:rPr>
                                <w:t>Assessment of RDP Results:</w:t>
                              </w:r>
                            </w:hyperlink>
                            <w:hyperlink r:id="rId44" w:history="1">
                              <w:r w:rsidRPr="00A04B6A">
                                <w:rPr>
                                  <w:rStyle w:val="Hyperlink"/>
                                  <w:sz w:val="18"/>
                                  <w:lang w:val="en-GB"/>
                                </w:rPr>
                                <w:t xml:space="preserve"> How to Prepare for Reporting on Evaluation in 2017</w:t>
                              </w:r>
                            </w:hyperlink>
                            <w:r w:rsidRPr="00A04B6A">
                              <w:rPr>
                                <w:sz w:val="18"/>
                                <w:lang w:val="en-GB"/>
                              </w:rPr>
                              <w:t>, anexo 11;</w:t>
                            </w:r>
                            <w:r w:rsidRPr="00A04B6A">
                              <w:rPr>
                                <w:color w:val="000000"/>
                                <w:sz w:val="18"/>
                                <w:lang w:val="en-GB"/>
                              </w:rPr>
                              <w:t xml:space="preserve"> </w:t>
                            </w:r>
                          </w:p>
                          <w:p w:rsidR="00B06BF7" w:rsidRPr="00730192" w:rsidRDefault="00B06BF7" w:rsidP="00E05D08">
                            <w:pPr>
                              <w:pStyle w:val="HStandard"/>
                              <w:rPr>
                                <w:sz w:val="18"/>
                              </w:rPr>
                            </w:pPr>
                            <w:r>
                              <w:t>Documento de orientação «</w:t>
                            </w:r>
                            <w:hyperlink r:id="rId45" w:history="1">
                              <w:r>
                                <w:rPr>
                                  <w:rStyle w:val="Hyperlink"/>
                                  <w:sz w:val="18"/>
                                </w:rPr>
                                <w:t>Cooperation measure</w:t>
                              </w:r>
                            </w:hyperlink>
                            <w:r>
                              <w:t>» (Medida de cooperação), artigo 35.º do Regulamento (UE) n.º 1305/2013, novembro de 2014</w:t>
                            </w:r>
                          </w:p>
                          <w:p w:rsidR="00B06BF7" w:rsidRPr="009D62F4" w:rsidRDefault="00B06BF7" w:rsidP="00E05D08">
                            <w:pPr>
                              <w:pStyle w:val="HStandard"/>
                              <w:rPr>
                                <w:sz w:val="18"/>
                                <w:szCs w:val="18"/>
                              </w:rPr>
                            </w:pPr>
                            <w:r>
                              <w:rPr>
                                <w:sz w:val="18"/>
                              </w:rPr>
                              <w:t xml:space="preserve">Documentos do seminário da REDR sobre a medida M 16 «Cooperação», junho de 2016, Bruxelas: </w:t>
                            </w:r>
                            <w:hyperlink r:id="rId46"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D2FD76" id="Rectangle: Diagonal Corners Rounded 5" o:spid="_x0000_s1045" style="width:461pt;height:136pt;visibility:visible;mso-wrap-style:square;mso-left-percent:-10001;mso-top-percent:-10001;mso-position-horizontal:absolute;mso-position-horizontal-relative:char;mso-position-vertical:absolute;mso-position-vertical-relative:line;mso-left-percent:-10001;mso-top-percent:-10001;v-text-anchor:middle" coordsize="5854700,172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" adj="-11796480,,5400" path="m199595,l5854700,r,l5854700,1527605v,110233,-89362,199595,-199595,199595l,1727200r,l,199595c,89362,89362,,199595,xe" filled="f" strokecolor="#59638e" strokeweight="2pt">
                <v:stroke joinstyle="miter"/>
                <v:formulas/>
                <v:path arrowok="t" o:connecttype="custom" o:connectlocs="199595,0;5854700,0;5854700,0;5854700,1527605;5655105,1727200;0,1727200;0,1727200;0,199595;199595,0" o:connectangles="0,0,0,0,0,0,0,0,0" textboxrect="0,0,5854700,1727200"/>
                <v:textbox>
                  <w:txbxContent>
                    <w:p w:rsidR="00B06BF7" w:rsidRDefault="00B06BF7" w:rsidP="00E05D08">
                      <w:pPr>
                        <w:pStyle w:val="HStandard"/>
                        <w:rPr>
                          <w:color w:val="000000"/>
                          <w:sz w:val="18"/>
                        </w:rPr>
                      </w:pPr>
                      <w:r>
                        <w:rPr>
                          <w:lang w:val="en-GB" w:eastAsia="en-GB"/>
                        </w:rPr>
                        <w:drawing>
                          <wp:inline distT="0" distB="0" distL="0" distR="0" wp14:anchorId="767D5B96" wp14:editId="422F7FF4">
                            <wp:extent cx="360465" cy="360000"/>
                            <wp:effectExtent l="0" t="0" r="1905" b="2540"/>
                            <wp:docPr id="3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color w:val="000000"/>
                          <w:sz w:val="18"/>
                          <w:lang w:val="en-GB"/>
                        </w:rPr>
                      </w:pPr>
                      <w:r w:rsidRPr="00A04B6A">
                        <w:rPr>
                          <w:lang w:val="en-GB"/>
                        </w:rPr>
                        <w:t xml:space="preserve">Orientações </w:t>
                      </w:r>
                      <w:hyperlink r:id="rId47" w:history="1">
                        <w:r w:rsidRPr="00A04B6A">
                          <w:rPr>
                            <w:rStyle w:val="Hyperlink"/>
                            <w:sz w:val="18"/>
                            <w:lang w:val="en-GB"/>
                          </w:rPr>
                          <w:t>Assessment of RDP Results:</w:t>
                        </w:r>
                      </w:hyperlink>
                      <w:hyperlink r:id="rId48" w:history="1">
                        <w:r w:rsidRPr="00A04B6A">
                          <w:rPr>
                            <w:rStyle w:val="Hyperlink"/>
                            <w:sz w:val="18"/>
                            <w:lang w:val="en-GB"/>
                          </w:rPr>
                          <w:t xml:space="preserve"> How to Prepare for Reporting on Evaluation in 2017</w:t>
                        </w:r>
                      </w:hyperlink>
                      <w:r w:rsidRPr="00A04B6A">
                        <w:rPr>
                          <w:sz w:val="18"/>
                          <w:lang w:val="en-GB"/>
                        </w:rPr>
                        <w:t>, anexo 11;</w:t>
                      </w:r>
                      <w:r w:rsidRPr="00A04B6A">
                        <w:rPr>
                          <w:color w:val="000000"/>
                          <w:sz w:val="18"/>
                          <w:lang w:val="en-GB"/>
                        </w:rPr>
                        <w:t xml:space="preserve"> </w:t>
                      </w:r>
                    </w:p>
                    <w:p w:rsidR="00B06BF7" w:rsidRPr="00730192" w:rsidRDefault="00B06BF7" w:rsidP="00E05D08">
                      <w:pPr>
                        <w:pStyle w:val="HStandard"/>
                        <w:rPr>
                          <w:sz w:val="18"/>
                        </w:rPr>
                      </w:pPr>
                      <w:r>
                        <w:t>Documento de orientação «</w:t>
                      </w:r>
                      <w:hyperlink r:id="rId49" w:history="1">
                        <w:r>
                          <w:rPr>
                            <w:rStyle w:val="Hyperlink"/>
                            <w:sz w:val="18"/>
                          </w:rPr>
                          <w:t>Cooperation measure</w:t>
                        </w:r>
                      </w:hyperlink>
                      <w:r>
                        <w:t>» (Medida de cooperação), artigo 35.º do Regulamento (UE) n.º 1305/2013, novembro de 2014</w:t>
                      </w:r>
                    </w:p>
                    <w:p w:rsidR="00B06BF7" w:rsidRPr="009D62F4" w:rsidRDefault="00B06BF7" w:rsidP="00E05D08">
                      <w:pPr>
                        <w:pStyle w:val="HStandard"/>
                        <w:rPr>
                          <w:sz w:val="18"/>
                          <w:szCs w:val="18"/>
                        </w:rPr>
                      </w:pPr>
                      <w:r>
                        <w:rPr>
                          <w:sz w:val="18"/>
                        </w:rPr>
                        <w:t xml:space="preserve">Documentos do seminário da REDR sobre a medida M 16 «Cooperação», junho de 2016, Bruxelas: </w:t>
                      </w:r>
                      <w:hyperlink r:id="rId50"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3C4BA9">
      <w:pPr>
        <w:pStyle w:val="HHeading3"/>
        <w:numPr>
          <w:ilvl w:val="2"/>
          <w:numId w:val="119"/>
        </w:numPr>
        <w:tabs>
          <w:tab w:val="clear" w:pos="567"/>
        </w:tabs>
        <w:spacing w:line="280" w:lineRule="exact"/>
        <w:ind w:left="567" w:hanging="567"/>
        <w:jc w:val="both"/>
      </w:pPr>
      <w:bookmarkStart w:id="113" w:name="_Toc501382132"/>
      <w:bookmarkStart w:id="114" w:name="_Toc508372666"/>
      <w:r>
        <w:t>QAC n.º 2: «Até que ponto as intervenções do PDR apoiaram o reforço das ligações entre a agricultura, a produção alimentar e a silvicultura e a investigação e a inovação, inclusive na perspetiva de uma melhor gestão e desempenho ambientais?»</w:t>
      </w:r>
      <w:bookmarkEnd w:id="113"/>
      <w:bookmarkEnd w:id="11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Compreender a QAC</w:t>
      </w:r>
    </w:p>
    <w:p w:rsidR="00A45935" w:rsidRPr="00E05D08" w:rsidRDefault="00A45935" w:rsidP="00E05D08">
      <w:pPr>
        <w:spacing w:after="120" w:line="280" w:lineRule="atLeast"/>
        <w:mirrorIndents/>
        <w:rPr>
          <w:rFonts w:eastAsia="Times New Roman" w:cs="Times New Roman"/>
          <w:szCs w:val="20"/>
        </w:rPr>
      </w:pPr>
      <w:r>
        <w:t>A QAC n.º 2 está sobretudo ligada à M16 e às suas 10 submedidas do artigo 35.º - Cooperação</w:t>
      </w:r>
      <w:r>
        <w:rPr>
          <w:rFonts w:eastAsia="Times New Roman" w:cs="Arial"/>
          <w:szCs w:val="20"/>
          <w:vertAlign w:val="superscript"/>
          <w:lang w:eastAsia="de-DE"/>
        </w:rPr>
        <w:footnoteReference w:id="52"/>
      </w:r>
      <w:r>
        <w:t xml:space="preserve">. </w:t>
      </w:r>
      <w:r w:rsidRPr="00984DC5">
        <w:rPr>
          <w:b/>
        </w:rPr>
        <w:t>As ligações entre a agricultura, a produção alimentar, a silvicultura, a investigação e a inovação</w:t>
      </w:r>
      <w:r>
        <w:t xml:space="preserve"> podem ser promovidas de três formas</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A cooperação entre uma vasta gama de intervenientes do setor agrícola e florestal, da cadeia alimentar e outros que contribuam para alcançar os objetivos da política de desenvolvimento rural, bem como os agrupamentos de produtores, as cooperativas e as organizações interprofissionais.</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A criação de polos e redes, que são mais específicos, mas importantes formas de cooperação.</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A criação dos GO da PEI-AGRI, uma nova componente da política de desenvolvimento rural, com vista a aproximar a investigação e a prática.</w:t>
      </w:r>
    </w:p>
    <w:p w:rsidR="00A45935" w:rsidRPr="00E05D08" w:rsidRDefault="00A45935" w:rsidP="00E05D08">
      <w:pPr>
        <w:spacing w:after="120" w:line="280" w:lineRule="atLeast"/>
        <w:mirrorIndents/>
        <w:rPr>
          <w:rFonts w:eastAsia="Times New Roman" w:cs="Times New Roman"/>
          <w:szCs w:val="20"/>
        </w:rPr>
      </w:pPr>
      <w:r>
        <w:t>O apoio da política de desenvolvimento rural a estas formas de cooperação evoluiu ao longo do tempo. No último período de programação, apoiaram-se formas de cooperação muito específicas (regimes de qualidade alimentar e agrupamentos de produtores) ou de cooperação a nível local (no âmbito do LEADER). A política atual promove as ligações entre um leque mais alargado de agentes e confere uma maior flexibilidade no âmbito e na composição das atividades de cooperação. Ao ligar a agricultura, a silvicultura e a cadeia alimentar a agentes de inovação/investigação, a política de desenvolvimento rural coloca uma forte tónica na inovação como uma via para atingir os objetivos do PDR. Por exemplo:</w:t>
      </w:r>
    </w:p>
    <w:p w:rsidR="00A45935" w:rsidRPr="00D35751" w:rsidRDefault="00A45935" w:rsidP="00AB16BB">
      <w:pPr>
        <w:pStyle w:val="Hlistbullet"/>
      </w:pPr>
      <w:r>
        <w:t>a associação da investigação e da prática pode ajudar a identificar a inovação suscetível de melhorar a execução do programa e contribuir para os objetivos do PDR;</w:t>
      </w:r>
    </w:p>
    <w:p w:rsidR="00EF1B0F" w:rsidRPr="00EF1B0F" w:rsidRDefault="00A45935" w:rsidP="00734B11">
      <w:pPr>
        <w:pStyle w:val="Hlistbullet"/>
      </w:pPr>
      <w:r>
        <w:t xml:space="preserve">a ênfase dada ao apoio concedido a projetos de cooperação pelos conselheiros e serviços de apoio à inovação (incluindo o apoio oferecido pelas RRN) pode contribuir para o reforço da capacidade de inovação e melhorar a competitividade e/ou o ambiente; </w:t>
      </w:r>
    </w:p>
    <w:p w:rsidR="00EF1B0F" w:rsidRDefault="008F5600" w:rsidP="00734B11">
      <w:pPr>
        <w:pStyle w:val="Hlistbullet"/>
      </w:pPr>
      <w:r w:rsidRPr="008F5600">
        <w:rPr>
          <w:b/>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344CBDE0" wp14:editId="7F1D16E8">
                <wp:simplePos x="0" y="0"/>
                <wp:positionH relativeFrom="column">
                  <wp:posOffset>93980</wp:posOffset>
                </wp:positionH>
                <wp:positionV relativeFrom="page">
                  <wp:posOffset>1938655</wp:posOffset>
                </wp:positionV>
                <wp:extent cx="5763260" cy="6626225"/>
                <wp:effectExtent l="0" t="0" r="27940" b="2222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626225"/>
                        </a:xfrm>
                        <a:prstGeom prst="round2DiagRect">
                          <a:avLst>
                            <a:gd name="adj1" fmla="val 5422"/>
                            <a:gd name="adj2" fmla="val 0"/>
                          </a:avLst>
                        </a:prstGeom>
                        <a:noFill/>
                        <a:ln w="25400" cap="flat" cmpd="sng" algn="ctr">
                          <a:solidFill>
                            <a:srgbClr val="F07E31"/>
                          </a:solidFill>
                          <a:prstDash val="solid"/>
                        </a:ln>
                        <a:effectLst/>
                      </wps:spPr>
                      <wps:txbx>
                        <w:txbxContent>
                          <w:p w:rsidR="00B06BF7" w:rsidRPr="007B4A6D" w:rsidRDefault="00B06BF7" w:rsidP="00E05D08">
                            <w:pPr>
                              <w:pStyle w:val="HStandard"/>
                              <w:ind w:left="567" w:hanging="567"/>
                              <w:rPr>
                                <w:b/>
                                <w:color w:val="648659"/>
                                <w:sz w:val="18"/>
                                <w:szCs w:val="18"/>
                              </w:rPr>
                            </w:pPr>
                            <w:r>
                              <w:rPr>
                                <w:sz w:val="18"/>
                                <w:szCs w:val="18"/>
                                <w:lang w:val="en-GB" w:eastAsia="en-GB"/>
                              </w:rPr>
                              <w:drawing>
                                <wp:inline distT="0" distB="0" distL="0" distR="0" wp14:anchorId="6B1BB027" wp14:editId="2041B438">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 medidas de cooperação utilizadas para uma melhor gestão ambiental</w:t>
                            </w:r>
                          </w:p>
                          <w:p w:rsidR="00B06BF7" w:rsidRPr="007B4A6D" w:rsidRDefault="00B06BF7" w:rsidP="00E05D08">
                            <w:pPr>
                              <w:pStyle w:val="HStandard"/>
                              <w:rPr>
                                <w:sz w:val="18"/>
                                <w:szCs w:val="18"/>
                              </w:rPr>
                            </w:pPr>
                            <w:r w:rsidRPr="008F5600">
                              <w:rPr>
                                <w:b/>
                                <w:sz w:val="18"/>
                                <w:szCs w:val="18"/>
                              </w:rPr>
                              <w:t>Finlândia</w:t>
                            </w:r>
                            <w:r>
                              <w:rPr>
                                <w:sz w:val="18"/>
                                <w:szCs w:val="18"/>
                              </w:rPr>
                              <w:t xml:space="preserve"> - a M16 complementa outras medidas do PDR para alcançar os objetivos das prioridades P4 e P5:</w:t>
                            </w:r>
                          </w:p>
                          <w:p w:rsidR="00B06BF7" w:rsidRPr="00055039" w:rsidRDefault="00B06BF7" w:rsidP="008C0B17">
                            <w:pPr>
                              <w:pStyle w:val="HStandard"/>
                              <w:numPr>
                                <w:ilvl w:val="0"/>
                                <w:numId w:val="24"/>
                              </w:numPr>
                              <w:ind w:left="567" w:hanging="567"/>
                              <w:rPr>
                                <w:sz w:val="18"/>
                                <w:szCs w:val="18"/>
                              </w:rPr>
                            </w:pPr>
                            <w:r>
                              <w:rPr>
                                <w:sz w:val="18"/>
                                <w:szCs w:val="18"/>
                              </w:rPr>
                              <w:t>58 % da M16, bem como partes da M1 e M2, utiliza-se para fomentar a eficiência energética;</w:t>
                            </w:r>
                          </w:p>
                          <w:p w:rsidR="00B06BF7" w:rsidRPr="00D66182" w:rsidRDefault="00B06BF7" w:rsidP="008C0B17">
                            <w:pPr>
                              <w:pStyle w:val="HStandard"/>
                              <w:numPr>
                                <w:ilvl w:val="0"/>
                                <w:numId w:val="24"/>
                              </w:numPr>
                              <w:ind w:left="567" w:hanging="567"/>
                              <w:rPr>
                                <w:sz w:val="18"/>
                                <w:szCs w:val="18"/>
                              </w:rPr>
                            </w:pPr>
                            <w:r>
                              <w:rPr>
                                <w:sz w:val="18"/>
                                <w:szCs w:val="18"/>
                              </w:rPr>
                              <w:t>49 % da M16, bem como partes da M1 e M2, utiliza-se para a captura e armazenamento de carbono;</w:t>
                            </w:r>
                          </w:p>
                          <w:p w:rsidR="00B06BF7" w:rsidRPr="000E1D4B" w:rsidRDefault="00B06BF7" w:rsidP="008C0B17">
                            <w:pPr>
                              <w:pStyle w:val="HStandard"/>
                              <w:numPr>
                                <w:ilvl w:val="0"/>
                                <w:numId w:val="24"/>
                              </w:numPr>
                              <w:ind w:left="567" w:hanging="567"/>
                              <w:rPr>
                                <w:sz w:val="18"/>
                                <w:szCs w:val="18"/>
                              </w:rPr>
                            </w:pPr>
                            <w:r>
                              <w:rPr>
                                <w:sz w:val="18"/>
                                <w:szCs w:val="18"/>
                              </w:rPr>
                              <w:t>10 % da M16, 84 % da M4, bem como partes da M1 e M2, utilizam-se para as fontes de energia renováveis e a gestão de resíduos;</w:t>
                            </w:r>
                          </w:p>
                          <w:p w:rsidR="00B06BF7" w:rsidRPr="000E1D4B" w:rsidRDefault="00B06BF7" w:rsidP="008C0B17">
                            <w:pPr>
                              <w:pStyle w:val="HStandard"/>
                              <w:numPr>
                                <w:ilvl w:val="0"/>
                                <w:numId w:val="24"/>
                              </w:numPr>
                              <w:ind w:left="567" w:hanging="567"/>
                              <w:rPr>
                                <w:sz w:val="18"/>
                                <w:szCs w:val="18"/>
                              </w:rPr>
                            </w:pPr>
                            <w:r>
                              <w:rPr>
                                <w:sz w:val="18"/>
                                <w:szCs w:val="18"/>
                              </w:rPr>
                              <w:t>5,5 % da M16, 89 % da M4, bem como partes da M1 e M2, utilizam-se para reduzir as emissões de GEE e de amoníaco.</w:t>
                            </w:r>
                          </w:p>
                          <w:p w:rsidR="00B06BF7" w:rsidRPr="000E1D4B" w:rsidRDefault="00B06BF7" w:rsidP="00E05D08">
                            <w:pPr>
                              <w:pStyle w:val="HStandard"/>
                              <w:rPr>
                                <w:sz w:val="18"/>
                                <w:szCs w:val="18"/>
                              </w:rPr>
                            </w:pPr>
                            <w:r>
                              <w:rPr>
                                <w:sz w:val="18"/>
                                <w:szCs w:val="18"/>
                              </w:rPr>
                              <w:t>As submedidas de cooperação (por exemplo, apoio a projetos-piloto M16.2, apoio a ações conjuntas para a atenuação e a adaptação às alterações climáticas e apoio a abordagens conjuntas a projetos e práticas ambientais M16.5) têm impactos primários sobre os DI 4A-C e DI 5A-E.</w:t>
                            </w:r>
                          </w:p>
                          <w:p w:rsidR="00B06BF7" w:rsidRPr="00AB16BB" w:rsidRDefault="00B06BF7" w:rsidP="00AB16BB">
                            <w:pPr>
                              <w:pStyle w:val="HSource"/>
                              <w:ind w:right="8"/>
                              <w:jc w:val="right"/>
                              <w:rPr>
                                <w:rFonts w:eastAsia="Calibri"/>
                                <w:sz w:val="14"/>
                                <w:szCs w:val="14"/>
                              </w:rPr>
                            </w:pPr>
                            <w:r>
                              <w:rPr>
                                <w:sz w:val="14"/>
                                <w:szCs w:val="14"/>
                              </w:rPr>
                              <w:t>Fonte: REDR (2016). Seminário sobre a M 16 Cooperação</w:t>
                            </w:r>
                            <w:r w:rsidRPr="00984DC5">
                              <w:rPr>
                                <w:sz w:val="14"/>
                                <w:szCs w:val="14"/>
                                <w:vertAlign w:val="superscript"/>
                              </w:rPr>
                              <w:t>54</w:t>
                            </w:r>
                            <w:r>
                              <w:rPr>
                                <w:sz w:val="14"/>
                                <w:szCs w:val="14"/>
                              </w:rPr>
                              <w:t>.</w:t>
                            </w:r>
                          </w:p>
                          <w:p w:rsidR="00B06BF7" w:rsidRPr="007B4A6D" w:rsidRDefault="00B06BF7" w:rsidP="00235D46">
                            <w:pPr>
                              <w:pStyle w:val="HStandard"/>
                              <w:spacing w:after="0"/>
                              <w:ind w:left="567" w:hanging="567"/>
                              <w:rPr>
                                <w:b/>
                                <w:sz w:val="18"/>
                                <w:szCs w:val="18"/>
                              </w:rPr>
                            </w:pPr>
                            <w:r>
                              <w:rPr>
                                <w:b/>
                                <w:color w:val="F07E31"/>
                                <w:sz w:val="18"/>
                                <w:szCs w:val="18"/>
                              </w:rPr>
                              <w:t>Exemplo:</w:t>
                            </w:r>
                            <w:r>
                              <w:rPr>
                                <w:color w:val="F07E31"/>
                                <w:sz w:val="18"/>
                                <w:szCs w:val="18"/>
                              </w:rPr>
                              <w:t xml:space="preserve"> </w:t>
                            </w:r>
                            <w:r>
                              <w:rPr>
                                <w:b/>
                                <w:color w:val="F07E31"/>
                                <w:sz w:val="18"/>
                                <w:szCs w:val="18"/>
                              </w:rPr>
                              <w:t>ligação entre investigadores e agricultores</w:t>
                            </w:r>
                            <w:r>
                              <w:rPr>
                                <w:color w:val="F07E31"/>
                                <w:sz w:val="18"/>
                                <w:szCs w:val="18"/>
                              </w:rPr>
                              <w:t xml:space="preserve"> </w:t>
                            </w:r>
                          </w:p>
                          <w:p w:rsidR="00B06BF7" w:rsidRPr="00D66182" w:rsidRDefault="00B06BF7" w:rsidP="00235D46">
                            <w:pPr>
                              <w:pStyle w:val="HStandard"/>
                              <w:rPr>
                                <w:sz w:val="18"/>
                                <w:szCs w:val="18"/>
                              </w:rPr>
                            </w:pPr>
                            <w:r w:rsidRPr="008F5600">
                              <w:rPr>
                                <w:b/>
                                <w:sz w:val="18"/>
                                <w:szCs w:val="18"/>
                              </w:rPr>
                              <w:t>Bélgica</w:t>
                            </w:r>
                            <w:r>
                              <w:rPr>
                                <w:sz w:val="18"/>
                                <w:szCs w:val="18"/>
                              </w:rPr>
                              <w:t xml:space="preserve"> - uma exploração suinícola inovadora contribui para reduzir as emissões de amoníaco. Foi fundamental estabelecer uma ligação entre investigadores e agricultores através de serviços de apoio à inovação para desenvolver e ensaiar estas técnicas de redução do amoníaco adicionando bactérias específicas ao estrume dos suínos, o que contribui igualmente para a realização dos objetivos ambientais do PDR. </w:t>
                            </w:r>
                          </w:p>
                          <w:p w:rsidR="00B06BF7" w:rsidRPr="00AB16BB" w:rsidRDefault="00B06BF7" w:rsidP="00AB16BB">
                            <w:pPr>
                              <w:pStyle w:val="HStandard"/>
                              <w:jc w:val="right"/>
                              <w:rPr>
                                <w:sz w:val="14"/>
                                <w:szCs w:val="14"/>
                                <w:vertAlign w:val="superscript"/>
                              </w:rPr>
                            </w:pPr>
                            <w:r>
                              <w:rPr>
                                <w:i/>
                                <w:sz w:val="14"/>
                                <w:szCs w:val="14"/>
                              </w:rPr>
                              <w:t>Fonte: PEI – Serviço de Orientação</w:t>
                            </w:r>
                            <w:r w:rsidRPr="00984DC5">
                              <w:rPr>
                                <w:i/>
                                <w:sz w:val="14"/>
                                <w:szCs w:val="14"/>
                                <w:vertAlign w:val="superscript"/>
                              </w:rPr>
                              <w:t>55</w:t>
                            </w:r>
                          </w:p>
                          <w:p w:rsidR="00B06BF7" w:rsidRPr="007B4A6D" w:rsidRDefault="00B06BF7" w:rsidP="00235D46">
                            <w:pPr>
                              <w:pStyle w:val="HStandard"/>
                              <w:rPr>
                                <w:b/>
                                <w:color w:val="F07E31"/>
                                <w:sz w:val="18"/>
                                <w:szCs w:val="18"/>
                              </w:rPr>
                            </w:pPr>
                            <w:r>
                              <w:rPr>
                                <w:b/>
                                <w:color w:val="F07E31"/>
                                <w:sz w:val="18"/>
                                <w:szCs w:val="18"/>
                              </w:rPr>
                              <w:t xml:space="preserve">Exemplo: serviços de apoio à inovação </w:t>
                            </w:r>
                          </w:p>
                          <w:p w:rsidR="00B06BF7" w:rsidRPr="007B4A6D" w:rsidRDefault="00B06BF7" w:rsidP="00235D46">
                            <w:pPr>
                              <w:pStyle w:val="HStandard"/>
                              <w:spacing w:after="0"/>
                              <w:rPr>
                                <w:b/>
                                <w:sz w:val="18"/>
                                <w:szCs w:val="18"/>
                              </w:rPr>
                            </w:pPr>
                            <w:r w:rsidRPr="008F5600">
                              <w:rPr>
                                <w:b/>
                                <w:sz w:val="18"/>
                                <w:szCs w:val="18"/>
                              </w:rPr>
                              <w:t>Hessen (DE</w:t>
                            </w:r>
                            <w:r>
                              <w:rPr>
                                <w:sz w:val="18"/>
                                <w:szCs w:val="18"/>
                              </w:rPr>
                              <w:t>) - serviços de apoio à inovação ajudaram a reforçar as capacidades de inovação através de:</w:t>
                            </w:r>
                          </w:p>
                          <w:p w:rsidR="00B06BF7" w:rsidRPr="00055039" w:rsidRDefault="00B06BF7" w:rsidP="00235D46">
                            <w:pPr>
                              <w:pStyle w:val="HStandard"/>
                              <w:numPr>
                                <w:ilvl w:val="0"/>
                                <w:numId w:val="24"/>
                              </w:numPr>
                              <w:ind w:left="567" w:hanging="567"/>
                              <w:rPr>
                                <w:sz w:val="18"/>
                                <w:szCs w:val="18"/>
                              </w:rPr>
                            </w:pPr>
                            <w:r>
                              <w:rPr>
                                <w:sz w:val="18"/>
                                <w:szCs w:val="18"/>
                              </w:rPr>
                              <w:t>apoio na execução da M16,</w:t>
                            </w:r>
                          </w:p>
                          <w:p w:rsidR="00B06BF7" w:rsidRPr="00D66182" w:rsidRDefault="00B06BF7" w:rsidP="00235D46">
                            <w:pPr>
                              <w:pStyle w:val="HStandard"/>
                              <w:numPr>
                                <w:ilvl w:val="0"/>
                                <w:numId w:val="24"/>
                              </w:numPr>
                              <w:ind w:left="567" w:hanging="567"/>
                              <w:rPr>
                                <w:sz w:val="18"/>
                                <w:szCs w:val="18"/>
                              </w:rPr>
                            </w:pPr>
                            <w:r>
                              <w:rPr>
                                <w:sz w:val="18"/>
                                <w:szCs w:val="18"/>
                              </w:rPr>
                              <w:t>informação e publicidade na região,</w:t>
                            </w:r>
                          </w:p>
                          <w:p w:rsidR="00B06BF7" w:rsidRPr="000E1D4B" w:rsidRDefault="00B06BF7" w:rsidP="00235D46">
                            <w:pPr>
                              <w:pStyle w:val="HStandard"/>
                              <w:numPr>
                                <w:ilvl w:val="0"/>
                                <w:numId w:val="24"/>
                              </w:numPr>
                              <w:ind w:left="567" w:hanging="567"/>
                              <w:rPr>
                                <w:sz w:val="18"/>
                                <w:szCs w:val="18"/>
                              </w:rPr>
                            </w:pPr>
                            <w:r>
                              <w:rPr>
                                <w:sz w:val="18"/>
                                <w:szCs w:val="18"/>
                              </w:rPr>
                              <w:t>ligação em rede entre as atividades de cooperação em Hessen, na Alemanha,</w:t>
                            </w:r>
                          </w:p>
                          <w:p w:rsidR="00B06BF7" w:rsidRPr="000E1D4B" w:rsidRDefault="00B06BF7" w:rsidP="00235D46">
                            <w:pPr>
                              <w:pStyle w:val="HStandard"/>
                              <w:numPr>
                                <w:ilvl w:val="0"/>
                                <w:numId w:val="24"/>
                              </w:numPr>
                              <w:ind w:left="567" w:hanging="567"/>
                              <w:rPr>
                                <w:sz w:val="18"/>
                                <w:szCs w:val="18"/>
                              </w:rPr>
                            </w:pPr>
                            <w:r>
                              <w:rPr>
                                <w:sz w:val="18"/>
                                <w:szCs w:val="18"/>
                              </w:rPr>
                              <w:t>apoio de atividades de cooperação durante a fase de preparação e de execução.</w:t>
                            </w:r>
                          </w:p>
                          <w:p w:rsidR="00B06BF7" w:rsidRPr="00AB16BB" w:rsidRDefault="00B06BF7" w:rsidP="00AB16BB">
                            <w:pPr>
                              <w:pStyle w:val="HSource"/>
                              <w:spacing w:before="0" w:after="0"/>
                              <w:ind w:right="11"/>
                              <w:jc w:val="right"/>
                              <w:rPr>
                                <w:rFonts w:eastAsia="Calibri"/>
                                <w:sz w:val="14"/>
                                <w:szCs w:val="14"/>
                              </w:rPr>
                            </w:pPr>
                            <w:r>
                              <w:rPr>
                                <w:sz w:val="14"/>
                                <w:szCs w:val="14"/>
                              </w:rPr>
                              <w:t xml:space="preserve">Fonte: REDR (2016) </w:t>
                            </w:r>
                          </w:p>
                          <w:p w:rsidR="00B06BF7" w:rsidRPr="00AB16BB" w:rsidRDefault="00B06BF7" w:rsidP="00AB16BB">
                            <w:pPr>
                              <w:pStyle w:val="HSource"/>
                              <w:spacing w:before="0" w:after="0"/>
                              <w:ind w:right="11"/>
                              <w:jc w:val="right"/>
                              <w:rPr>
                                <w:sz w:val="14"/>
                                <w:szCs w:val="14"/>
                              </w:rPr>
                            </w:pPr>
                            <w:r>
                              <w:rPr>
                                <w:sz w:val="14"/>
                                <w:szCs w:val="14"/>
                              </w:rPr>
                              <w:t>Seminário sobre a M 16 Cooperação</w:t>
                            </w:r>
                            <w:r w:rsidRPr="00984DC5">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BDE0" id="Rectangle: Diagonal Corners Rounded 24" o:spid="_x0000_s1046" style="position:absolute;left:0;text-align:left;margin-left:7.4pt;margin-top:152.65pt;width:453.8pt;height:5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62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" adj="-11796480,,5400" path="m312484,l5763260,r,l5763260,6313741v,172580,-139904,312484,-312484,312484l,6626225r,l,312484c,139904,139904,,312484,xe" filled="f" strokecolor="#f07e31" strokeweight="2pt">
                <v:stroke joinstyle="miter"/>
                <v:formulas/>
                <v:path arrowok="t" o:connecttype="custom" o:connectlocs="312484,0;5763260,0;5763260,0;5763260,6313741;5450776,6626225;0,6626225;0,6626225;0,312484;312484,0" o:connectangles="0,0,0,0,0,0,0,0,0" textboxrect="0,0,5763260,6626225"/>
                <v:textbox>
                  <w:txbxContent>
                    <w:p w:rsidR="00B06BF7" w:rsidRPr="007B4A6D" w:rsidRDefault="00B06BF7" w:rsidP="00E05D08">
                      <w:pPr>
                        <w:pStyle w:val="HStandard"/>
                        <w:ind w:left="567" w:hanging="567"/>
                        <w:rPr>
                          <w:b/>
                          <w:color w:val="648659"/>
                          <w:sz w:val="18"/>
                          <w:szCs w:val="18"/>
                        </w:rPr>
                      </w:pPr>
                      <w:r>
                        <w:rPr>
                          <w:sz w:val="18"/>
                          <w:szCs w:val="18"/>
                          <w:lang w:val="en-GB" w:eastAsia="en-GB"/>
                        </w:rPr>
                        <w:drawing>
                          <wp:inline distT="0" distB="0" distL="0" distR="0" wp14:anchorId="6B1BB027" wp14:editId="2041B438">
                            <wp:extent cx="353060" cy="359410"/>
                            <wp:effectExtent l="0" t="0" r="8890" b="2540"/>
                            <wp:docPr id="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 medidas de cooperação utilizadas para uma melhor gestão ambiental</w:t>
                      </w:r>
                    </w:p>
                    <w:p w:rsidR="00B06BF7" w:rsidRPr="007B4A6D" w:rsidRDefault="00B06BF7" w:rsidP="00E05D08">
                      <w:pPr>
                        <w:pStyle w:val="HStandard"/>
                        <w:rPr>
                          <w:sz w:val="18"/>
                          <w:szCs w:val="18"/>
                        </w:rPr>
                      </w:pPr>
                      <w:r w:rsidRPr="008F5600">
                        <w:rPr>
                          <w:b/>
                          <w:sz w:val="18"/>
                          <w:szCs w:val="18"/>
                        </w:rPr>
                        <w:t>Finlândia</w:t>
                      </w:r>
                      <w:r>
                        <w:rPr>
                          <w:sz w:val="18"/>
                          <w:szCs w:val="18"/>
                        </w:rPr>
                        <w:t xml:space="preserve"> - a M16 complementa outras medidas do PDR para alcançar os objetivos das prioridades P4 e P5:</w:t>
                      </w:r>
                    </w:p>
                    <w:p w:rsidR="00B06BF7" w:rsidRPr="00055039" w:rsidRDefault="00B06BF7" w:rsidP="008C0B17">
                      <w:pPr>
                        <w:pStyle w:val="HStandard"/>
                        <w:numPr>
                          <w:ilvl w:val="0"/>
                          <w:numId w:val="24"/>
                        </w:numPr>
                        <w:ind w:left="567" w:hanging="567"/>
                        <w:rPr>
                          <w:sz w:val="18"/>
                          <w:szCs w:val="18"/>
                        </w:rPr>
                      </w:pPr>
                      <w:r>
                        <w:rPr>
                          <w:sz w:val="18"/>
                          <w:szCs w:val="18"/>
                        </w:rPr>
                        <w:t>58 % da M16, bem como partes da M1 e M2, utiliza-se para fomentar a eficiência energética;</w:t>
                      </w:r>
                    </w:p>
                    <w:p w:rsidR="00B06BF7" w:rsidRPr="00D66182" w:rsidRDefault="00B06BF7" w:rsidP="008C0B17">
                      <w:pPr>
                        <w:pStyle w:val="HStandard"/>
                        <w:numPr>
                          <w:ilvl w:val="0"/>
                          <w:numId w:val="24"/>
                        </w:numPr>
                        <w:ind w:left="567" w:hanging="567"/>
                        <w:rPr>
                          <w:sz w:val="18"/>
                          <w:szCs w:val="18"/>
                        </w:rPr>
                      </w:pPr>
                      <w:r>
                        <w:rPr>
                          <w:sz w:val="18"/>
                          <w:szCs w:val="18"/>
                        </w:rPr>
                        <w:t>49 % da M16, bem como partes da M1 e M2, utiliza-se para a captura e armazenamento de carbono;</w:t>
                      </w:r>
                    </w:p>
                    <w:p w:rsidR="00B06BF7" w:rsidRPr="000E1D4B" w:rsidRDefault="00B06BF7" w:rsidP="008C0B17">
                      <w:pPr>
                        <w:pStyle w:val="HStandard"/>
                        <w:numPr>
                          <w:ilvl w:val="0"/>
                          <w:numId w:val="24"/>
                        </w:numPr>
                        <w:ind w:left="567" w:hanging="567"/>
                        <w:rPr>
                          <w:sz w:val="18"/>
                          <w:szCs w:val="18"/>
                        </w:rPr>
                      </w:pPr>
                      <w:r>
                        <w:rPr>
                          <w:sz w:val="18"/>
                          <w:szCs w:val="18"/>
                        </w:rPr>
                        <w:t>10 % da M16, 84 % da M4, bem como partes da M1 e M2, utilizam-se para as fontes de energia renováveis e a gestão de resíduos;</w:t>
                      </w:r>
                    </w:p>
                    <w:p w:rsidR="00B06BF7" w:rsidRPr="000E1D4B" w:rsidRDefault="00B06BF7" w:rsidP="008C0B17">
                      <w:pPr>
                        <w:pStyle w:val="HStandard"/>
                        <w:numPr>
                          <w:ilvl w:val="0"/>
                          <w:numId w:val="24"/>
                        </w:numPr>
                        <w:ind w:left="567" w:hanging="567"/>
                        <w:rPr>
                          <w:sz w:val="18"/>
                          <w:szCs w:val="18"/>
                        </w:rPr>
                      </w:pPr>
                      <w:r>
                        <w:rPr>
                          <w:sz w:val="18"/>
                          <w:szCs w:val="18"/>
                        </w:rPr>
                        <w:t>5,5 % da M16, 89 % da M4, bem como partes da M1 e M2, utilizam-se para reduzir as emissões de GEE e de amoníaco.</w:t>
                      </w:r>
                    </w:p>
                    <w:p w:rsidR="00B06BF7" w:rsidRPr="000E1D4B" w:rsidRDefault="00B06BF7" w:rsidP="00E05D08">
                      <w:pPr>
                        <w:pStyle w:val="HStandard"/>
                        <w:rPr>
                          <w:sz w:val="18"/>
                          <w:szCs w:val="18"/>
                        </w:rPr>
                      </w:pPr>
                      <w:r>
                        <w:rPr>
                          <w:sz w:val="18"/>
                          <w:szCs w:val="18"/>
                        </w:rPr>
                        <w:t>As submedidas de cooperação (por exemplo, apoio a projetos-piloto M16.2, apoio a ações conjuntas para a atenuação e a adaptação às alterações climáticas e apoio a abordagens conjuntas a projetos e práticas ambientais M16.5) têm impactos primários sobre os DI 4A-C e DI 5A-E.</w:t>
                      </w:r>
                    </w:p>
                    <w:p w:rsidR="00B06BF7" w:rsidRPr="00AB16BB" w:rsidRDefault="00B06BF7" w:rsidP="00AB16BB">
                      <w:pPr>
                        <w:pStyle w:val="HSource"/>
                        <w:ind w:right="8"/>
                        <w:jc w:val="right"/>
                        <w:rPr>
                          <w:rFonts w:eastAsia="Calibri"/>
                          <w:sz w:val="14"/>
                          <w:szCs w:val="14"/>
                        </w:rPr>
                      </w:pPr>
                      <w:r>
                        <w:rPr>
                          <w:sz w:val="14"/>
                          <w:szCs w:val="14"/>
                        </w:rPr>
                        <w:t>Fonte: REDR (2016). Seminário sobre a M 16 Cooperação</w:t>
                      </w:r>
                      <w:r w:rsidRPr="00984DC5">
                        <w:rPr>
                          <w:sz w:val="14"/>
                          <w:szCs w:val="14"/>
                          <w:vertAlign w:val="superscript"/>
                        </w:rPr>
                        <w:t>54</w:t>
                      </w:r>
                      <w:r>
                        <w:rPr>
                          <w:sz w:val="14"/>
                          <w:szCs w:val="14"/>
                        </w:rPr>
                        <w:t>.</w:t>
                      </w:r>
                    </w:p>
                    <w:p w:rsidR="00B06BF7" w:rsidRPr="007B4A6D" w:rsidRDefault="00B06BF7" w:rsidP="00235D46">
                      <w:pPr>
                        <w:pStyle w:val="HStandard"/>
                        <w:spacing w:after="0"/>
                        <w:ind w:left="567" w:hanging="567"/>
                        <w:rPr>
                          <w:b/>
                          <w:sz w:val="18"/>
                          <w:szCs w:val="18"/>
                        </w:rPr>
                      </w:pPr>
                      <w:r>
                        <w:rPr>
                          <w:b/>
                          <w:color w:val="F07E31"/>
                          <w:sz w:val="18"/>
                          <w:szCs w:val="18"/>
                        </w:rPr>
                        <w:t>Exemplo:</w:t>
                      </w:r>
                      <w:r>
                        <w:rPr>
                          <w:color w:val="F07E31"/>
                          <w:sz w:val="18"/>
                          <w:szCs w:val="18"/>
                        </w:rPr>
                        <w:t xml:space="preserve"> </w:t>
                      </w:r>
                      <w:r>
                        <w:rPr>
                          <w:b/>
                          <w:color w:val="F07E31"/>
                          <w:sz w:val="18"/>
                          <w:szCs w:val="18"/>
                        </w:rPr>
                        <w:t>ligação entre investigadores e agricultores</w:t>
                      </w:r>
                      <w:r>
                        <w:rPr>
                          <w:color w:val="F07E31"/>
                          <w:sz w:val="18"/>
                          <w:szCs w:val="18"/>
                        </w:rPr>
                        <w:t xml:space="preserve"> </w:t>
                      </w:r>
                    </w:p>
                    <w:p w:rsidR="00B06BF7" w:rsidRPr="00D66182" w:rsidRDefault="00B06BF7" w:rsidP="00235D46">
                      <w:pPr>
                        <w:pStyle w:val="HStandard"/>
                        <w:rPr>
                          <w:sz w:val="18"/>
                          <w:szCs w:val="18"/>
                        </w:rPr>
                      </w:pPr>
                      <w:r w:rsidRPr="008F5600">
                        <w:rPr>
                          <w:b/>
                          <w:sz w:val="18"/>
                          <w:szCs w:val="18"/>
                        </w:rPr>
                        <w:t>Bélgica</w:t>
                      </w:r>
                      <w:r>
                        <w:rPr>
                          <w:sz w:val="18"/>
                          <w:szCs w:val="18"/>
                        </w:rPr>
                        <w:t xml:space="preserve"> - uma exploração suinícola inovadora contribui para reduzir as emissões de amoníaco. Foi fundamental estabelecer uma ligação entre investigadores e agricultores através de serviços de apoio à inovação para desenvolver e ensaiar estas técnicas de redução do amoníaco adicionando bactérias específicas ao estrume dos suínos, o que contribui igualmente para a realização dos objetivos ambientais do PDR. </w:t>
                      </w:r>
                    </w:p>
                    <w:p w:rsidR="00B06BF7" w:rsidRPr="00AB16BB" w:rsidRDefault="00B06BF7" w:rsidP="00AB16BB">
                      <w:pPr>
                        <w:pStyle w:val="HStandard"/>
                        <w:jc w:val="right"/>
                        <w:rPr>
                          <w:sz w:val="14"/>
                          <w:szCs w:val="14"/>
                          <w:vertAlign w:val="superscript"/>
                        </w:rPr>
                      </w:pPr>
                      <w:r>
                        <w:rPr>
                          <w:i/>
                          <w:sz w:val="14"/>
                          <w:szCs w:val="14"/>
                        </w:rPr>
                        <w:t>Fonte: PEI – Serviço de Orientação</w:t>
                      </w:r>
                      <w:r w:rsidRPr="00984DC5">
                        <w:rPr>
                          <w:i/>
                          <w:sz w:val="14"/>
                          <w:szCs w:val="14"/>
                          <w:vertAlign w:val="superscript"/>
                        </w:rPr>
                        <w:t>55</w:t>
                      </w:r>
                    </w:p>
                    <w:p w:rsidR="00B06BF7" w:rsidRPr="007B4A6D" w:rsidRDefault="00B06BF7" w:rsidP="00235D46">
                      <w:pPr>
                        <w:pStyle w:val="HStandard"/>
                        <w:rPr>
                          <w:b/>
                          <w:color w:val="F07E31"/>
                          <w:sz w:val="18"/>
                          <w:szCs w:val="18"/>
                        </w:rPr>
                      </w:pPr>
                      <w:r>
                        <w:rPr>
                          <w:b/>
                          <w:color w:val="F07E31"/>
                          <w:sz w:val="18"/>
                          <w:szCs w:val="18"/>
                        </w:rPr>
                        <w:t xml:space="preserve">Exemplo: serviços de apoio à inovação </w:t>
                      </w:r>
                    </w:p>
                    <w:p w:rsidR="00B06BF7" w:rsidRPr="007B4A6D" w:rsidRDefault="00B06BF7" w:rsidP="00235D46">
                      <w:pPr>
                        <w:pStyle w:val="HStandard"/>
                        <w:spacing w:after="0"/>
                        <w:rPr>
                          <w:b/>
                          <w:sz w:val="18"/>
                          <w:szCs w:val="18"/>
                        </w:rPr>
                      </w:pPr>
                      <w:r w:rsidRPr="008F5600">
                        <w:rPr>
                          <w:b/>
                          <w:sz w:val="18"/>
                          <w:szCs w:val="18"/>
                        </w:rPr>
                        <w:t>Hessen (DE</w:t>
                      </w:r>
                      <w:r>
                        <w:rPr>
                          <w:sz w:val="18"/>
                          <w:szCs w:val="18"/>
                        </w:rPr>
                        <w:t>) - serviços de apoio à inovação ajudaram a reforçar as capacidades de inovação através de:</w:t>
                      </w:r>
                    </w:p>
                    <w:p w:rsidR="00B06BF7" w:rsidRPr="00055039" w:rsidRDefault="00B06BF7" w:rsidP="00235D46">
                      <w:pPr>
                        <w:pStyle w:val="HStandard"/>
                        <w:numPr>
                          <w:ilvl w:val="0"/>
                          <w:numId w:val="24"/>
                        </w:numPr>
                        <w:ind w:left="567" w:hanging="567"/>
                        <w:rPr>
                          <w:sz w:val="18"/>
                          <w:szCs w:val="18"/>
                        </w:rPr>
                      </w:pPr>
                      <w:r>
                        <w:rPr>
                          <w:sz w:val="18"/>
                          <w:szCs w:val="18"/>
                        </w:rPr>
                        <w:t>apoio na execução da M16,</w:t>
                      </w:r>
                    </w:p>
                    <w:p w:rsidR="00B06BF7" w:rsidRPr="00D66182" w:rsidRDefault="00B06BF7" w:rsidP="00235D46">
                      <w:pPr>
                        <w:pStyle w:val="HStandard"/>
                        <w:numPr>
                          <w:ilvl w:val="0"/>
                          <w:numId w:val="24"/>
                        </w:numPr>
                        <w:ind w:left="567" w:hanging="567"/>
                        <w:rPr>
                          <w:sz w:val="18"/>
                          <w:szCs w:val="18"/>
                        </w:rPr>
                      </w:pPr>
                      <w:r>
                        <w:rPr>
                          <w:sz w:val="18"/>
                          <w:szCs w:val="18"/>
                        </w:rPr>
                        <w:t>informação e publicidade na região,</w:t>
                      </w:r>
                    </w:p>
                    <w:p w:rsidR="00B06BF7" w:rsidRPr="000E1D4B" w:rsidRDefault="00B06BF7" w:rsidP="00235D46">
                      <w:pPr>
                        <w:pStyle w:val="HStandard"/>
                        <w:numPr>
                          <w:ilvl w:val="0"/>
                          <w:numId w:val="24"/>
                        </w:numPr>
                        <w:ind w:left="567" w:hanging="567"/>
                        <w:rPr>
                          <w:sz w:val="18"/>
                          <w:szCs w:val="18"/>
                        </w:rPr>
                      </w:pPr>
                      <w:r>
                        <w:rPr>
                          <w:sz w:val="18"/>
                          <w:szCs w:val="18"/>
                        </w:rPr>
                        <w:t>ligação em rede entre as atividades de cooperação em Hessen, na Alemanha,</w:t>
                      </w:r>
                    </w:p>
                    <w:p w:rsidR="00B06BF7" w:rsidRPr="000E1D4B" w:rsidRDefault="00B06BF7" w:rsidP="00235D46">
                      <w:pPr>
                        <w:pStyle w:val="HStandard"/>
                        <w:numPr>
                          <w:ilvl w:val="0"/>
                          <w:numId w:val="24"/>
                        </w:numPr>
                        <w:ind w:left="567" w:hanging="567"/>
                        <w:rPr>
                          <w:sz w:val="18"/>
                          <w:szCs w:val="18"/>
                        </w:rPr>
                      </w:pPr>
                      <w:r>
                        <w:rPr>
                          <w:sz w:val="18"/>
                          <w:szCs w:val="18"/>
                        </w:rPr>
                        <w:t>apoio de atividades de cooperação durante a fase de preparação e de execução.</w:t>
                      </w:r>
                    </w:p>
                    <w:p w:rsidR="00B06BF7" w:rsidRPr="00AB16BB" w:rsidRDefault="00B06BF7" w:rsidP="00AB16BB">
                      <w:pPr>
                        <w:pStyle w:val="HSource"/>
                        <w:spacing w:before="0" w:after="0"/>
                        <w:ind w:right="11"/>
                        <w:jc w:val="right"/>
                        <w:rPr>
                          <w:rFonts w:eastAsia="Calibri"/>
                          <w:sz w:val="14"/>
                          <w:szCs w:val="14"/>
                        </w:rPr>
                      </w:pPr>
                      <w:r>
                        <w:rPr>
                          <w:sz w:val="14"/>
                          <w:szCs w:val="14"/>
                        </w:rPr>
                        <w:t xml:space="preserve">Fonte: REDR (2016) </w:t>
                      </w:r>
                    </w:p>
                    <w:p w:rsidR="00B06BF7" w:rsidRPr="00AB16BB" w:rsidRDefault="00B06BF7" w:rsidP="00AB16BB">
                      <w:pPr>
                        <w:pStyle w:val="HSource"/>
                        <w:spacing w:before="0" w:after="0"/>
                        <w:ind w:right="11"/>
                        <w:jc w:val="right"/>
                        <w:rPr>
                          <w:sz w:val="14"/>
                          <w:szCs w:val="14"/>
                        </w:rPr>
                      </w:pPr>
                      <w:r>
                        <w:rPr>
                          <w:sz w:val="14"/>
                          <w:szCs w:val="14"/>
                        </w:rPr>
                        <w:t>Seminário sobre a M 16 Cooperação</w:t>
                      </w:r>
                      <w:r w:rsidRPr="00984DC5">
                        <w:rPr>
                          <w:sz w:val="14"/>
                          <w:szCs w:val="14"/>
                          <w:vertAlign w:val="superscript"/>
                        </w:rPr>
                        <w:t>56</w:t>
                      </w:r>
                      <w:r>
                        <w:rPr>
                          <w:sz w:val="14"/>
                          <w:szCs w:val="14"/>
                        </w:rPr>
                        <w:t xml:space="preserve">. </w:t>
                      </w:r>
                    </w:p>
                  </w:txbxContent>
                </v:textbox>
                <w10:wrap type="square" anchory="page"/>
              </v:shape>
            </w:pict>
          </mc:Fallback>
        </mc:AlternateContent>
      </w:r>
      <w:r w:rsidR="00A45935" w:rsidRPr="008F5600">
        <w:rPr>
          <w:b/>
        </w:rPr>
        <w:t xml:space="preserve">a cooperação para uma melhor gestão e desempenho ambientais constitui </w:t>
      </w:r>
      <w:r w:rsidR="00A45935">
        <w:t>outro foco da QAC n.º 2. O âmbito dos projetos de cooperação inclui a proteção e a melhoria dos recursos (água, solo, ar), da biodiversidade e do ambiente natural, bem como a atenuação das alterações climáticas e a adaptação às mesmas. Para efeitos das alterações climáticas, a gestão ambiental pode incluir ações relacionadas com a eficiência e a poupança de água e de energia.</w:t>
      </w:r>
    </w:p>
    <w:p w:rsidR="00A45935" w:rsidRPr="00A66638" w:rsidRDefault="00A66638" w:rsidP="00EF1B0F">
      <w:pPr>
        <w:pStyle w:val="Hlistbullet"/>
        <w:numPr>
          <w:ilvl w:val="0"/>
          <w:numId w:val="0"/>
        </w:numPr>
        <w:rPr>
          <w:color w:val="FFFFFF" w:themeColor="background1"/>
        </w:rPr>
      </w:pP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Desafios específicos </w:t>
      </w:r>
    </w:p>
    <w:p w:rsidR="00A45935" w:rsidRPr="00183E9B" w:rsidRDefault="00A45935" w:rsidP="00AB16BB">
      <w:pPr>
        <w:pStyle w:val="Hlistbullet"/>
      </w:pPr>
      <w:r w:rsidRPr="008F5600">
        <w:rPr>
          <w:b/>
          <w:shd w:val="clear" w:color="auto" w:fill="FFFFFF"/>
        </w:rPr>
        <w:t>Desenvolver elementos de avaliação adicionais e específicos do programa</w:t>
      </w:r>
      <w:r>
        <w:rPr>
          <w:shd w:val="clear" w:color="auto" w:fill="FFFFFF"/>
        </w:rPr>
        <w:t xml:space="preserve">: </w:t>
      </w:r>
      <w:r>
        <w:rPr>
          <w:color w:val="545454"/>
          <w:shd w:val="clear" w:color="auto" w:fill="FFFFFF"/>
        </w:rPr>
        <w:t xml:space="preserve">a QAC n.º 2 está associada apenas a um único indicador de objetivo comum (T2: </w:t>
      </w:r>
      <w:r>
        <w:t xml:space="preserve">número total de operações de cooperação apoiadas ao abrigo da medida de cooperação) </w:t>
      </w:r>
      <w:r>
        <w:rPr>
          <w:color w:val="545454"/>
          <w:shd w:val="clear" w:color="auto" w:fill="FFFFFF"/>
        </w:rPr>
        <w:t>que podem não ser suficientes para responder à QAC.</w:t>
      </w:r>
    </w:p>
    <w:p w:rsidR="00A45935" w:rsidRPr="00183E9B" w:rsidRDefault="00A45935" w:rsidP="00AB16BB">
      <w:pPr>
        <w:pStyle w:val="Hlistbullet"/>
        <w:rPr>
          <w:rFonts w:eastAsia="Calibri"/>
          <w:shd w:val="clear" w:color="auto" w:fill="FFFFFF"/>
        </w:rPr>
      </w:pPr>
      <w:r>
        <w:rPr>
          <w:b/>
          <w:shd w:val="clear" w:color="auto" w:fill="FFFFFF"/>
        </w:rPr>
        <w:t xml:space="preserve">Atribuir as alterações observadas </w:t>
      </w:r>
      <w:r>
        <w:rPr>
          <w:shd w:val="clear" w:color="auto" w:fill="FFFFFF"/>
        </w:rPr>
        <w:t>a ligações entre a</w:t>
      </w:r>
      <w:r>
        <w:rPr>
          <w:b/>
          <w:shd w:val="clear" w:color="auto" w:fill="FFFFFF"/>
        </w:rPr>
        <w:t xml:space="preserve"> </w:t>
      </w:r>
      <w:r>
        <w:rPr>
          <w:shd w:val="clear" w:color="auto" w:fill="FFFFFF"/>
        </w:rPr>
        <w:t>agricultura, a silvicultura e a investigação e a inovação. Estas são as associadas à gestão e desempenho ambientais</w:t>
      </w:r>
      <w:r>
        <w:rPr>
          <w:b/>
          <w:shd w:val="clear" w:color="auto" w:fill="FFFFFF"/>
        </w:rPr>
        <w:t xml:space="preserve">, </w:t>
      </w:r>
      <w:r>
        <w:rPr>
          <w:shd w:val="clear" w:color="auto" w:fill="FFFFFF"/>
        </w:rPr>
        <w:t xml:space="preserve">à medida de cooperação M16 e ao seu contributo para a realização dos objetivos do PDR. </w:t>
      </w:r>
    </w:p>
    <w:p w:rsidR="00A45935" w:rsidRPr="00183E9B" w:rsidRDefault="00A45935" w:rsidP="00AB16BB">
      <w:pPr>
        <w:pStyle w:val="Hlistbullet"/>
        <w:rPr>
          <w:rFonts w:eastAsia="Calibri"/>
          <w:shd w:val="clear" w:color="auto" w:fill="FFFFFF"/>
        </w:rPr>
      </w:pPr>
      <w:r>
        <w:rPr>
          <w:b/>
          <w:shd w:val="clear" w:color="auto" w:fill="FFFFFF"/>
        </w:rPr>
        <w:t xml:space="preserve">Recolha dos contributos das medidas programadas ao abrigo de DI diferentes do DI 1B </w:t>
      </w:r>
      <w:r>
        <w:rPr>
          <w:shd w:val="clear" w:color="auto" w:fill="FFFFFF"/>
        </w:rPr>
        <w:t>(incluindo as submedidas de M16) concebidas para reforçar as ligações existentes entre a</w:t>
      </w:r>
      <w:r>
        <w:rPr>
          <w:b/>
          <w:shd w:val="clear" w:color="auto" w:fill="FFFFFF"/>
        </w:rPr>
        <w:t xml:space="preserve"> </w:t>
      </w:r>
      <w:r>
        <w:rPr>
          <w:shd w:val="clear" w:color="auto" w:fill="FFFFFF"/>
        </w:rPr>
        <w:t xml:space="preserve">agricultura, a silvicultura, a investigação e a inovação, nomeadamente, as associadas à gestão e desempenho ambientais.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Abordagem proposta para responder à QAC n.º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Lógica de intervenção </w:t>
      </w:r>
    </w:p>
    <w:p w:rsidR="00A45935" w:rsidRPr="00E05D08" w:rsidRDefault="00A45935" w:rsidP="00E05D08">
      <w:pPr>
        <w:spacing w:after="120" w:line="280" w:lineRule="atLeast"/>
        <w:mirrorIndents/>
        <w:rPr>
          <w:rFonts w:eastAsia="Times New Roman" w:cs="Times New Roman"/>
          <w:szCs w:val="20"/>
        </w:rPr>
      </w:pPr>
      <w:r>
        <w:t xml:space="preserve">No exemplo </w:t>
      </w:r>
      <w:r>
        <w:rPr>
          <w:i/>
        </w:rPr>
        <w:t>infra</w:t>
      </w:r>
      <w:r>
        <w:t xml:space="preserve">, a lógica de intervenção associada à QAC n.º 2 é composta por submedidas da M16, tal como programado no âmbito do DI 1B ou de outros DI que contribuem para os objetivos do DI 1B. </w:t>
      </w:r>
    </w:p>
    <w:p w:rsidR="00A45935" w:rsidRPr="00E05D08" w:rsidRDefault="00A45935" w:rsidP="00E05D08">
      <w:pPr>
        <w:spacing w:after="120" w:line="280" w:lineRule="atLeast"/>
        <w:mirrorIndents/>
        <w:rPr>
          <w:rFonts w:eastAsia="Times New Roman" w:cs="Times New Roman"/>
          <w:szCs w:val="20"/>
        </w:rPr>
      </w:pPr>
      <w:r>
        <w:t xml:space="preserve">Um possível ponto de partida para a revisão da lógica de intervenção é a análise do potencial de inovação das submedidas de M16 para fomentar a inovação através das três vias. </w:t>
      </w:r>
    </w:p>
    <w:p w:rsidR="00A45935" w:rsidRDefault="00096490" w:rsidP="00096490">
      <w:pPr>
        <w:pStyle w:val="HHeadingfigures"/>
        <w:numPr>
          <w:ilvl w:val="0"/>
          <w:numId w:val="0"/>
        </w:numPr>
        <w:ind w:left="851"/>
      </w:pPr>
      <w:bookmarkStart w:id="115" w:name="_Toc503284762"/>
      <w:r>
        <w:t>Figura 9.</w:t>
      </w:r>
      <w:r>
        <w:tab/>
      </w:r>
      <w:r w:rsidR="00BE1F31">
        <w:t>Exemplo de potencial de inovação de cada submedida de M16</w:t>
      </w:r>
      <w:bookmarkEnd w:id="115"/>
    </w:p>
    <w:p w:rsidR="008F5600" w:rsidRPr="008F5600" w:rsidRDefault="008F5600" w:rsidP="008F5600">
      <w:pPr>
        <w:pStyle w:val="HStandard"/>
      </w:pPr>
      <w:r w:rsidRPr="008F5600">
        <w:rPr>
          <w:lang w:val="en-GB" w:eastAsia="en-GB"/>
        </w:rPr>
        <w:drawing>
          <wp:inline distT="0" distB="0" distL="0" distR="0" wp14:anchorId="37BAD5CA" wp14:editId="15A86600">
            <wp:extent cx="5731510" cy="3219493"/>
            <wp:effectExtent l="0" t="0" r="254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219493"/>
                    </a:xfrm>
                    <a:prstGeom prst="rect">
                      <a:avLst/>
                    </a:prstGeom>
                    <a:noFill/>
                    <a:ln>
                      <a:noFill/>
                    </a:ln>
                  </pic:spPr>
                </pic:pic>
              </a:graphicData>
            </a:graphic>
          </wp:inline>
        </w:drawing>
      </w:r>
    </w:p>
    <w:p w:rsidR="00A45935" w:rsidRPr="00E05D08" w:rsidRDefault="00A45935" w:rsidP="002C2C15">
      <w:pPr>
        <w:spacing w:after="120" w:line="280" w:lineRule="atLeast"/>
        <w:mirrorIndents/>
        <w:jc w:val="center"/>
        <w:rPr>
          <w:rFonts w:eastAsia="Times New Roman" w:cs="Times New Roman"/>
          <w:szCs w:val="20"/>
          <w:lang w:eastAsia="de-DE"/>
        </w:rPr>
      </w:pP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Fonte: Serviço Europeu de Assistência na Avaliação para o Desenvolvimento Rural,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4969449E" wp14:editId="667A40EE">
                <wp:simplePos x="0" y="0"/>
                <wp:positionH relativeFrom="column">
                  <wp:posOffset>-47625</wp:posOffset>
                </wp:positionH>
                <wp:positionV relativeFrom="paragraph">
                  <wp:posOffset>971550</wp:posOffset>
                </wp:positionV>
                <wp:extent cx="5733415" cy="1991360"/>
                <wp:effectExtent l="0" t="0" r="19685" b="2794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91360"/>
                        </a:xfrm>
                        <a:prstGeom prst="round2DiagRect">
                          <a:avLst>
                            <a:gd name="adj1" fmla="val 11556"/>
                            <a:gd name="adj2" fmla="val 0"/>
                          </a:avLst>
                        </a:prstGeom>
                        <a:noFill/>
                        <a:ln w="25400" cap="flat" cmpd="sng" algn="ctr">
                          <a:solidFill>
                            <a:srgbClr val="F07E31"/>
                          </a:solidFill>
                          <a:prstDash val="solid"/>
                        </a:ln>
                        <a:effectLst/>
                      </wps:spPr>
                      <wps:txbx>
                        <w:txbxContent>
                          <w:p w:rsidR="00B06BF7" w:rsidRPr="00A10ACC" w:rsidRDefault="00B06BF7" w:rsidP="00E05D08">
                            <w:pPr>
                              <w:pStyle w:val="HStandard"/>
                              <w:rPr>
                                <w:sz w:val="18"/>
                              </w:rPr>
                            </w:pPr>
                            <w:r>
                              <w:rPr>
                                <w:lang w:val="en-GB" w:eastAsia="en-GB"/>
                              </w:rPr>
                              <w:drawing>
                                <wp:inline distT="0" distB="0" distL="0" distR="0" wp14:anchorId="4F0788E8" wp14:editId="6F1C121B">
                                  <wp:extent cx="353060" cy="359410"/>
                                  <wp:effectExtent l="0" t="0" r="8890" b="2540"/>
                                  <wp:docPr id="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O exemplo demonstra o potencial de inovação das submedidas de M16 (na medida em que poderiam estar programadas ao abrigo de qualquer DI de desenvolvimento rural) que contribuem para o objetivo político do DI 1B. Embora todas as dez submedidas de M16 contribuam para reforçar as ligações existentes entre a agricultura, a produção alimentar, a silvicultura, a investigação e a inovação, apenas as submedidas 5, 6, 8 e 9 apresentam potencial para contribuir para o reforço dessas ligações para a gestão e o desempenho ambientais. Relativamente às três vias de inovação, as submedidas 1, 5, 6, 7, 8, fomentam o cultivo de ideias inovadoras (Via n.º 1). A submedida 1 também fomenta o reforço das capacidades e a criação de um ambiente propício (Vias n.º 2 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49E" id="Rectangle: Diagonal Corners Rounded 83" o:spid="_x0000_s1047" style="position:absolute;left:0;text-align:left;margin-left:-3.75pt;margin-top:76.5pt;width:451.45pt;height:15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91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" adj="-11796480,,5400" path="m230122,l5733415,r,l5733415,1761238v,127093,-103029,230122,-230122,230122l,1991360r,l,230122c,103029,103029,,230122,xe" filled="f" strokecolor="#f07e31" strokeweight="2pt">
                <v:stroke joinstyle="miter"/>
                <v:formulas/>
                <v:path arrowok="t" o:connecttype="custom" o:connectlocs="230122,0;5733415,0;5733415,0;5733415,1761238;5503293,1991360;0,1991360;0,1991360;0,230122;230122,0" o:connectangles="0,0,0,0,0,0,0,0,0" textboxrect="0,0,5733415,1991360"/>
                <v:textbox>
                  <w:txbxContent>
                    <w:p w:rsidR="00B06BF7" w:rsidRPr="00A10ACC" w:rsidRDefault="00B06BF7" w:rsidP="00E05D08">
                      <w:pPr>
                        <w:pStyle w:val="HStandard"/>
                        <w:rPr>
                          <w:sz w:val="18"/>
                        </w:rPr>
                      </w:pPr>
                      <w:r>
                        <w:rPr>
                          <w:lang w:val="en-GB" w:eastAsia="en-GB"/>
                        </w:rPr>
                        <w:drawing>
                          <wp:inline distT="0" distB="0" distL="0" distR="0" wp14:anchorId="4F0788E8" wp14:editId="6F1C121B">
                            <wp:extent cx="353060" cy="359410"/>
                            <wp:effectExtent l="0" t="0" r="8890" b="2540"/>
                            <wp:docPr id="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O exemplo demonstra o potencial de inovação das submedidas de M16 (na medida em que poderiam estar programadas ao abrigo de qualquer DI de desenvolvimento rural) que contribuem para o objetivo político do DI 1B. Embora todas as dez submedidas de M16 contribuam para reforçar as ligações existentes entre a agricultura, a produção alimentar, a silvicultura, a investigação e a inovação, apenas as submedidas 5, 6, 8 e 9 apresentam potencial para contribuir para o reforço dessas ligações para a gestão e o desempenho ambientais. Relativamente às três vias de inovação, as submedidas 1, 5, 6, 7, 8, fomentam o cultivo de ideias inovadoras (Via n.º 1). A submedida 1 também fomenta o reforço das capacidades e a criação de um ambiente propício (Vias n.º 2 e 3).</w:t>
                      </w:r>
                    </w:p>
                  </w:txbxContent>
                </v:textbox>
                <w10:wrap type="square"/>
              </v:shape>
            </w:pict>
          </mc:Fallback>
        </mc:AlternateContent>
      </w:r>
      <w:r>
        <w:t>Além disso, todas as submedidas de M16 programadas ao abrigo de outros DI, que não o DI 1B, devem ser incluídas na avaliação da consecução dos aspetos relacionados com a inovação da QAC n.º 2. Por exemplo, se a M16.1 estiver programada ao abrigo do DI 2A, os contributos para as ligações entre agricultores, investigadores e conselheiros de inovação podem ser tidos em consideração na avaliação da QAC n.º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Elementos de avaliação </w:t>
      </w:r>
    </w:p>
    <w:p w:rsidR="00A45935" w:rsidRDefault="00734B11" w:rsidP="00E05D08">
      <w:pPr>
        <w:spacing w:after="120" w:line="280" w:lineRule="atLeast"/>
        <w:mirrorIndents/>
      </w:pPr>
      <w:r>
        <w:t xml:space="preserve">Os critérios de apreciação e indicadores comuns para a QAC n.º 2 permanecem ao nível dos resultados das operações no âmbito da medida de cooperação. Poderá ser necessário desenvolver critérios de apreciação e indicadores adicionais a fim de avaliar os resultados destas medidas. O quadro </w:t>
      </w:r>
      <w:r>
        <w:rPr>
          <w:i/>
        </w:rPr>
        <w:t>infra</w:t>
      </w:r>
      <w:r>
        <w:t xml:space="preserve"> enumera os critérios de apreciação, os indicadores e os requisitos em matéria de dados necessários para responder à QAC n.º 2.</w:t>
      </w:r>
    </w:p>
    <w:p w:rsidR="008F5600" w:rsidRPr="00E05D08" w:rsidRDefault="008F5600" w:rsidP="00E05D08">
      <w:pPr>
        <w:spacing w:after="120" w:line="280" w:lineRule="atLeast"/>
        <w:mirrorIndents/>
        <w:rPr>
          <w:rFonts w:eastAsia="Times New Roman" w:cs="Times New Roman"/>
          <w:szCs w:val="20"/>
        </w:rPr>
        <w:sectPr w:rsidR="008F5600" w:rsidRPr="00E05D08" w:rsidSect="00055039">
          <w:endnotePr>
            <w:numFmt w:val="decimal"/>
          </w:endnotePr>
          <w:type w:val="continuous"/>
          <w:pgSz w:w="11906" w:h="16838" w:code="9"/>
          <w:pgMar w:top="1134" w:right="1440" w:bottom="1440" w:left="1440" w:header="567" w:footer="1021" w:gutter="0"/>
          <w:cols w:space="708"/>
          <w:noEndnote/>
          <w:docGrid w:linePitch="360"/>
        </w:sectPr>
      </w:pPr>
    </w:p>
    <w:p w:rsidR="00A45935" w:rsidRPr="009A2DAD" w:rsidRDefault="00CD7942" w:rsidP="00CD7942">
      <w:pPr>
        <w:pStyle w:val="HHeadingtables"/>
        <w:numPr>
          <w:ilvl w:val="0"/>
          <w:numId w:val="0"/>
        </w:numPr>
        <w:ind w:left="284"/>
      </w:pPr>
      <w:bookmarkStart w:id="116" w:name="_Toc503284465"/>
      <w:r>
        <w:lastRenderedPageBreak/>
        <w:t xml:space="preserve">Quadro </w:t>
      </w:r>
      <w:r w:rsidR="00A41C35">
        <w:t>3</w:t>
      </w:r>
      <w:r w:rsidR="00EB2EBF">
        <w:t>.</w:t>
      </w:r>
      <w:r>
        <w:tab/>
      </w:r>
      <w:r w:rsidR="00A45935">
        <w:t>Critérios de apreciação, indicadores e necessidades de dados e fontes</w:t>
      </w:r>
      <w:bookmarkEnd w:id="116"/>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Critérios de apreciação</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Indicadores</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Necessidades de dados</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Fontes de dados</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Elementos de avaliação comuns (SCAA e documento de trabalho proposto «Common evaluation questions 2014-2020» (Questões de avaliação comuns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Estabeleceu-se uma colaboração a longo prazo entre entidades no domínio da agricultura, da produção alimentar e da silvicultura e instituições de investigação e inovação.</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número total de operações de cooperação apoiadas no âmbito da medida de cooperação (artigo 35.º do Regulamento (UE) n.º 1305/2013) (agrupamentos, redes/polos, projetos-piloto).</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Indicador adicional:</w:t>
            </w:r>
            <w:r>
              <w:rPr>
                <w:color w:val="57825E"/>
                <w:sz w:val="18"/>
                <w:szCs w:val="18"/>
              </w:rPr>
              <w:t xml:space="preserve"> número e tipos de parceiros participantes em projetos de cooperação, incluindo as respetivas funções e responsabilidades.</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Número de operações da PEI (item de dados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Número de outras operações de cooperação (agrupamentos, redes/polos, projetos-piloto) a apoiar no âmbito da medida M16 «Cooperação» (item de dados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Tipos de parceiros participantes e respetivo número.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Sistema de acompanhamento do PDR</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Formulários de candidatura dos beneficiários (início do projeto)</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Pedidos de pagamento dos beneficiários (fim do projeto)</w:t>
            </w:r>
          </w:p>
        </w:tc>
      </w:tr>
      <w:tr w:rsidR="00A45935" w:rsidRPr="00E05D08" w:rsidTr="005520BA">
        <w:tc>
          <w:tcPr>
            <w:tcW w:w="3578" w:type="dxa"/>
            <w:tcBorders>
              <w:top w:val="nil"/>
              <w:bottom w:val="single" w:sz="4" w:space="0" w:color="808080"/>
            </w:tcBorders>
          </w:tcPr>
          <w:p w:rsidR="00A45935" w:rsidRPr="00A04B6A"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Número de operações apoiadas.</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Número total de operações apoiadas.</w:t>
            </w:r>
          </w:p>
          <w:p w:rsidR="00A45935" w:rsidRPr="00385368" w:rsidRDefault="00A45935" w:rsidP="007E63EF">
            <w:pPr>
              <w:spacing w:after="120" w:line="280" w:lineRule="atLeast"/>
              <w:ind w:left="11" w:right="12"/>
              <w:mirrorIndents/>
              <w:jc w:val="left"/>
              <w:rPr>
                <w:rFonts w:cs="Arial"/>
                <w:sz w:val="18"/>
                <w:szCs w:val="18"/>
              </w:rPr>
            </w:pPr>
            <w:r>
              <w:rPr>
                <w:sz w:val="18"/>
                <w:szCs w:val="18"/>
              </w:rPr>
              <w:t>Número de operações de cooperação apoiadas (O.16 + 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Sistema de acompanhamento do PDR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Formulários de candidatura dos beneficiários (início do projeto)</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Pedidos de pagamento dos beneficiários (fim do projeto)</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Executaram-se operações de cooperação entre a agricultura, a produção alimentar, a silvicultura e a investigação e a inovação tendo em vista uma melhor gestão e desempenho ambientais.</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número total de operações de cooperação apoiadas no âmbito da medida de cooperação (artigo 35.º do Regulamento (UE) n.º 1305/2013) (agrupamentos, redes/polos, projetos-piloto).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Indicador adicional:</w:t>
            </w:r>
            <w:r>
              <w:rPr>
                <w:color w:val="57825E"/>
                <w:sz w:val="18"/>
                <w:szCs w:val="18"/>
              </w:rPr>
              <w:t xml:space="preserve"> % de operações de cooperação que continuam após apoio </w:t>
            </w:r>
            <w:r>
              <w:rPr>
                <w:color w:val="57825E"/>
                <w:sz w:val="18"/>
                <w:szCs w:val="18"/>
              </w:rPr>
              <w:lastRenderedPageBreak/>
              <w:t>do PDR incluindo para fins de gestão e desempenho ambiental melhorados.</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Indicador adicional:</w:t>
            </w:r>
            <w:r>
              <w:rPr>
                <w:color w:val="57825E"/>
                <w:sz w:val="18"/>
                <w:szCs w:val="18"/>
              </w:rPr>
              <w:t xml:space="preserve"> número e tipos de parceiros envolvidos em projetos de cooperação, incluindo as respetivas funções e responsabilidades.</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Número de operações da PEI (item de dados O.16) que visam uma melhor gestão e desempenho ambientais.</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Número de outras operações de cooperação (agrupamentos, redes/polos, projetos-piloto) a apoiar no âmbito da medida M16 «Cooperação» (item de </w:t>
            </w:r>
            <w:r>
              <w:rPr>
                <w:sz w:val="18"/>
                <w:szCs w:val="18"/>
              </w:rPr>
              <w:lastRenderedPageBreak/>
              <w:t>dados O.17) que visam uma melhor gestão e desempenho ambientais.</w:t>
            </w:r>
          </w:p>
          <w:p w:rsidR="00A45935" w:rsidRPr="00385368" w:rsidRDefault="00A45935" w:rsidP="007E63EF">
            <w:pPr>
              <w:spacing w:after="120" w:line="280" w:lineRule="atLeast"/>
              <w:ind w:left="11" w:right="12"/>
              <w:mirrorIndents/>
              <w:jc w:val="left"/>
              <w:rPr>
                <w:rFonts w:cs="Arial"/>
                <w:sz w:val="18"/>
                <w:szCs w:val="18"/>
              </w:rPr>
            </w:pPr>
            <w:r>
              <w:rPr>
                <w:sz w:val="18"/>
                <w:szCs w:val="18"/>
              </w:rPr>
              <w:t>Tipos de parceiros envolvidos e o respetivo número.</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Sistema de acompanhamento do PDR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Formulários de candidatura dos beneficiários (início do projeto)</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Pedidos de pagamento dos beneficiários (fim do projeto)</w:t>
            </w:r>
          </w:p>
        </w:tc>
      </w:tr>
      <w:tr w:rsidR="00A45935" w:rsidRPr="00E05D08" w:rsidTr="005520BA">
        <w:tc>
          <w:tcPr>
            <w:tcW w:w="3578" w:type="dxa"/>
            <w:tcBorders>
              <w:top w:val="single" w:sz="4" w:space="0" w:color="808080"/>
            </w:tcBorders>
          </w:tcPr>
          <w:p w:rsidR="00A45935" w:rsidRPr="00A04B6A"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Número de operações apoiadas</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Número total de operações apoiadas.</w:t>
            </w:r>
          </w:p>
          <w:p w:rsidR="00A45935" w:rsidRPr="00385368" w:rsidRDefault="00A45935" w:rsidP="007E63EF">
            <w:pPr>
              <w:spacing w:after="120" w:line="280" w:lineRule="atLeast"/>
              <w:ind w:left="11" w:right="12"/>
              <w:mirrorIndents/>
              <w:jc w:val="left"/>
              <w:rPr>
                <w:rFonts w:cs="Arial"/>
                <w:sz w:val="18"/>
                <w:szCs w:val="18"/>
              </w:rPr>
            </w:pPr>
            <w:r>
              <w:rPr>
                <w:sz w:val="18"/>
                <w:szCs w:val="18"/>
              </w:rPr>
              <w:t>Número de operações de cooperação apoiadas (O.16 + 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Sistema de acompanhamento do PDR</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Formulários de candidatura dos beneficiários (início do projeto)</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Pedidos de pagamento dos beneficiários (fim do projeto)</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Elementos de avaliação adicionais (opcional)</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Os projetos de cooperação melhoraram a capacidade de inovação, incluindo no domínio da gestão e desempenho ambientais.</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O número e tipo de inovações produzidos por projetos de cooperação, entre os quais os centrados na gestão e desempenho ambientais.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Número de inovações produzidas.</w:t>
            </w:r>
          </w:p>
          <w:p w:rsidR="00A45935" w:rsidRPr="00385368" w:rsidRDefault="00A45935" w:rsidP="007E63EF">
            <w:pPr>
              <w:spacing w:after="120" w:line="280" w:lineRule="atLeast"/>
              <w:ind w:left="11" w:right="12"/>
              <w:mirrorIndents/>
              <w:jc w:val="left"/>
              <w:rPr>
                <w:rFonts w:cs="Arial"/>
                <w:sz w:val="18"/>
                <w:szCs w:val="18"/>
              </w:rPr>
            </w:pPr>
            <w:r>
              <w:rPr>
                <w:sz w:val="18"/>
                <w:szCs w:val="18"/>
              </w:rPr>
              <w:t>Número de inovações para uma melhor gestão e desempenho ambientais.</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Inquéritos.</w:t>
            </w:r>
          </w:p>
          <w:p w:rsidR="00A45935" w:rsidRPr="00385368" w:rsidRDefault="00A45935" w:rsidP="007E63EF">
            <w:pPr>
              <w:spacing w:after="120" w:line="280" w:lineRule="atLeast"/>
              <w:ind w:right="31"/>
              <w:mirrorIndents/>
              <w:jc w:val="left"/>
              <w:rPr>
                <w:rFonts w:cs="Arial"/>
                <w:sz w:val="18"/>
                <w:szCs w:val="18"/>
              </w:rPr>
            </w:pPr>
            <w:r>
              <w:rPr>
                <w:sz w:val="18"/>
                <w:szCs w:val="18"/>
              </w:rPr>
              <w:t>Entrevistas e grupos de reflexão com os participantes em projetos de cooperação.</w:t>
            </w:r>
          </w:p>
          <w:p w:rsidR="00A45935" w:rsidRPr="00E05D08" w:rsidRDefault="00A45935" w:rsidP="007E63EF">
            <w:pPr>
              <w:spacing w:after="120" w:line="280" w:lineRule="atLeast"/>
              <w:ind w:right="31"/>
              <w:mirrorIndents/>
              <w:jc w:val="left"/>
              <w:rPr>
                <w:rFonts w:cs="Arial"/>
                <w:sz w:val="18"/>
                <w:szCs w:val="18"/>
              </w:rPr>
            </w:pPr>
            <w:r>
              <w:rPr>
                <w:sz w:val="18"/>
                <w:szCs w:val="18"/>
              </w:rPr>
              <w:t>SIG.</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Metodologia de avaliação proposta </w:t>
      </w:r>
    </w:p>
    <w:p w:rsidR="00A45935" w:rsidRPr="00E05D08" w:rsidRDefault="00A45935" w:rsidP="00E05D08">
      <w:pPr>
        <w:spacing w:after="120" w:line="280" w:lineRule="atLeast"/>
        <w:mirrorIndents/>
        <w:rPr>
          <w:rFonts w:eastAsia="Times New Roman" w:cs="Times New Roman"/>
          <w:color w:val="F07E31"/>
          <w:szCs w:val="20"/>
          <w:u w:val="single"/>
        </w:rPr>
      </w:pPr>
      <w:r>
        <w:t>O cálculo dos indicadores comuns associados à QAC n.º 2 encontra-se descrito no anexo 11 das Orientações «</w:t>
      </w:r>
      <w:hyperlink r:id="rId52" w:history="1">
        <w:r>
          <w:rPr>
            <w:color w:val="F07E31"/>
            <w:szCs w:val="20"/>
            <w:u w:val="single"/>
          </w:rPr>
          <w:t>Assessment of RDP results:</w:t>
        </w:r>
      </w:hyperlink>
      <w:hyperlink r:id="rId53" w:history="1">
        <w:r>
          <w:rPr>
            <w:color w:val="F07E31"/>
            <w:szCs w:val="20"/>
            <w:u w:val="single"/>
          </w:rPr>
          <w:t xml:space="preserve"> how to prepare for reporting on evaluation in 2017</w:t>
        </w:r>
      </w:hyperlink>
      <w:r>
        <w:t>»</w:t>
      </w:r>
    </w:p>
    <w:p w:rsidR="00A45935" w:rsidRPr="00E05D08" w:rsidRDefault="00A45935" w:rsidP="00E05D08">
      <w:pPr>
        <w:spacing w:after="120" w:line="280" w:lineRule="atLeast"/>
        <w:mirrorIndents/>
        <w:rPr>
          <w:rFonts w:eastAsia="Times New Roman" w:cs="Times New Roman"/>
          <w:szCs w:val="20"/>
        </w:rPr>
      </w:pPr>
      <w:r>
        <w:t>Para a avaliação da parte da QAC n.º 2 relativa à inovação propõe-se o seguinte:</w:t>
      </w:r>
    </w:p>
    <w:p w:rsidR="00A45935" w:rsidRPr="008F1F04" w:rsidRDefault="00A45935" w:rsidP="00547012">
      <w:pPr>
        <w:pStyle w:val="Hlistbullet"/>
      </w:pPr>
      <w:r>
        <w:rPr>
          <w:b/>
        </w:rPr>
        <w:t xml:space="preserve">PASSO 1: </w:t>
      </w:r>
      <w:r w:rsidRPr="008F5600">
        <w:rPr>
          <w:b/>
        </w:rPr>
        <w:t>identificar os beneficiários da M16</w:t>
      </w:r>
      <w:r>
        <w:t xml:space="preserve"> e das respetivas submedidas em conformidade com os resultados de identificação do respetivo potencial de inovação (beneficiários que tenham executado operações classificadas como inovadoras). </w:t>
      </w:r>
    </w:p>
    <w:p w:rsidR="00A45935" w:rsidRPr="008F1F04" w:rsidRDefault="00A45935" w:rsidP="00547012">
      <w:pPr>
        <w:pStyle w:val="Hlistbullet"/>
      </w:pPr>
      <w:r>
        <w:rPr>
          <w:b/>
        </w:rPr>
        <w:t xml:space="preserve">PASSO 2: </w:t>
      </w:r>
      <w:r w:rsidRPr="00070489">
        <w:rPr>
          <w:b/>
        </w:rPr>
        <w:t>quantificar os indicadores de resultados e de objetivos</w:t>
      </w:r>
      <w:r>
        <w:t xml:space="preserve"> utilizando os dados de acompanhamento da base de dados de operações do PDR sobre os GO. A fim de utilizar a base de dados de operações para a avaliação da inovação, as autoridades de gestão podem acrescentar e recolher dados relacionados com os GO e com a inovação. </w:t>
      </w:r>
    </w:p>
    <w:p w:rsidR="00A45935" w:rsidRPr="008F1F04" w:rsidRDefault="00A45935" w:rsidP="00547012">
      <w:pPr>
        <w:pStyle w:val="Hlistbullet"/>
      </w:pPr>
      <w:r>
        <w:rPr>
          <w:b/>
        </w:rPr>
        <w:t xml:space="preserve">PASSO 3: </w:t>
      </w:r>
      <w:r w:rsidRPr="00070489">
        <w:rPr>
          <w:b/>
        </w:rPr>
        <w:t>recolher provas para responder à QAC</w:t>
      </w:r>
      <w:r>
        <w:t xml:space="preserve"> através dos métodos especificados. Conceber questões abertas para utilização dos métodos incluídos no quadro abaixo (inquéritos, grupos de reflexão e o método Delphi) respeitando os critérios de apreciação e indicadores propostos, bem como os resultados da identificação do potencial de inovação.</w:t>
      </w:r>
    </w:p>
    <w:p w:rsidR="00A45935" w:rsidRPr="008F1F04" w:rsidRDefault="00A45935" w:rsidP="00547012">
      <w:pPr>
        <w:pStyle w:val="Hlistbullet"/>
      </w:pPr>
      <w:r>
        <w:rPr>
          <w:b/>
        </w:rPr>
        <w:t xml:space="preserve">PASSO 4: </w:t>
      </w:r>
      <w:r w:rsidRPr="00070489">
        <w:rPr>
          <w:b/>
        </w:rPr>
        <w:t>analisar e interpretar as provas recolhidas</w:t>
      </w:r>
      <w:r>
        <w:t xml:space="preserve"> e utilizá-las para responder à QAC n.º 2 em termos de reforço das ligações relativas à inovação.</w:t>
      </w:r>
    </w:p>
    <w:p w:rsidR="00A45935" w:rsidRPr="00897804" w:rsidRDefault="00EB2EBF" w:rsidP="00EB2EBF">
      <w:pPr>
        <w:pStyle w:val="HHeadingtables"/>
        <w:numPr>
          <w:ilvl w:val="0"/>
          <w:numId w:val="0"/>
        </w:numPr>
        <w:ind w:left="284"/>
      </w:pPr>
      <w:bookmarkStart w:id="117" w:name="_Toc503284466"/>
      <w:r>
        <w:t>Quadro 4.</w:t>
      </w:r>
      <w:r>
        <w:tab/>
      </w:r>
      <w:r w:rsidR="00A45935">
        <w:t>Métodos recomendados para a QAC n.º 2</w:t>
      </w:r>
      <w:bookmarkEnd w:id="117"/>
      <w:r w:rsidR="00A45935">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E37A81">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Métodos</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Sugestões sobre a utilização dos métodos</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Inquérito aos projetos de cooperação e aos beneficiários finais</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Selecionar uma amostra de projetos de cooperação (por exemplo, por setor, dimensão dos GO, geografia, etc.) a fim de recolher dados e informações junto dos beneficiários relativamente aos indicadores através de um inquérito.</w:t>
            </w:r>
          </w:p>
          <w:p w:rsidR="00A45935" w:rsidRPr="00385368" w:rsidRDefault="00A45935" w:rsidP="008C0B17">
            <w:pPr>
              <w:numPr>
                <w:ilvl w:val="0"/>
                <w:numId w:val="21"/>
              </w:numPr>
              <w:spacing w:before="60" w:after="120" w:line="280" w:lineRule="atLeast"/>
              <w:ind w:left="459"/>
              <w:rPr>
                <w:sz w:val="18"/>
                <w:szCs w:val="18"/>
              </w:rPr>
            </w:pPr>
            <w:r>
              <w:rPr>
                <w:sz w:val="18"/>
                <w:szCs w:val="18"/>
              </w:rPr>
              <w:t>Selecionar, entre outros, projetos de cooperação que possam ter uma incidência sobre a gestão e desempenho ambientais (por exemplo, submedidas 5, 6, 8 e 9 ou os grupos operacionais neste domínio - M16.1).</w:t>
            </w:r>
          </w:p>
          <w:p w:rsidR="00A45935" w:rsidRPr="00385368" w:rsidRDefault="00A45935" w:rsidP="008C0B17">
            <w:pPr>
              <w:numPr>
                <w:ilvl w:val="0"/>
                <w:numId w:val="21"/>
              </w:numPr>
              <w:spacing w:before="60" w:after="120" w:line="280" w:lineRule="atLeast"/>
              <w:ind w:left="459"/>
              <w:rPr>
                <w:sz w:val="18"/>
                <w:szCs w:val="18"/>
              </w:rPr>
            </w:pPr>
            <w:r>
              <w:rPr>
                <w:sz w:val="18"/>
                <w:szCs w:val="18"/>
              </w:rPr>
              <w:t>Conceber os inquéritos de forma a incluir questões abertas sobre a forma como os projetos de cooperação contribuem para: a) a partilha de ideias inovadoras, b) o reforço da capacidade de inovação e c) a criação de um ambiente propício à inovação.</w:t>
            </w:r>
          </w:p>
          <w:p w:rsidR="00A45935" w:rsidRPr="00385368" w:rsidRDefault="00A45935" w:rsidP="008C0B17">
            <w:pPr>
              <w:numPr>
                <w:ilvl w:val="0"/>
                <w:numId w:val="21"/>
              </w:numPr>
              <w:spacing w:before="60" w:after="120" w:line="280" w:lineRule="atLeast"/>
              <w:ind w:left="459"/>
            </w:pPr>
            <w:r>
              <w:rPr>
                <w:sz w:val="18"/>
                <w:szCs w:val="18"/>
              </w:rPr>
              <w:t>Utilizar as conclusões dos inquéritos para: avaliar como as diferentes formas de projetos de cooperação (cooperação entre os diferentes agentes, polos e redes e grupos operacionais) contribuem para o reforço das ligações existentes entre a investigação/inovação e a prática.</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Grupos de reflexão estruturados</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Orientar os grupos de reflexão com agentes de inovação (por exemplo, serviços de apoio à inovação, conselheiros agindo na qualidade de mediadores da inovação, investigadores e centros de inovação, etc.).</w:t>
            </w:r>
          </w:p>
          <w:p w:rsidR="00A45935" w:rsidRPr="00385368" w:rsidRDefault="00A45935" w:rsidP="008C0B17">
            <w:pPr>
              <w:numPr>
                <w:ilvl w:val="0"/>
                <w:numId w:val="22"/>
              </w:numPr>
              <w:spacing w:before="60" w:after="120" w:line="280" w:lineRule="atLeast"/>
              <w:ind w:left="459"/>
              <w:rPr>
                <w:sz w:val="18"/>
                <w:szCs w:val="18"/>
              </w:rPr>
            </w:pPr>
            <w:r>
              <w:rPr>
                <w:sz w:val="18"/>
                <w:szCs w:val="18"/>
              </w:rPr>
              <w:t>Analisar de que forma as relações entre as partes interessadas influenciam a capacidade de inovar e criam um ambiente propício à inovação.</w:t>
            </w:r>
          </w:p>
          <w:p w:rsidR="00A45935" w:rsidRPr="00385368" w:rsidRDefault="00A45935" w:rsidP="008C0B17">
            <w:pPr>
              <w:numPr>
                <w:ilvl w:val="0"/>
                <w:numId w:val="22"/>
              </w:numPr>
              <w:spacing w:before="60" w:after="120" w:line="280" w:lineRule="atLeast"/>
              <w:ind w:left="459"/>
              <w:rPr>
                <w:sz w:val="18"/>
                <w:szCs w:val="18"/>
              </w:rPr>
            </w:pPr>
            <w:r>
              <w:rPr>
                <w:sz w:val="18"/>
                <w:szCs w:val="18"/>
              </w:rPr>
              <w:t>Considerar a possibilidade de grupos de reflexão temáticos (por exemplo, um grupo de reflexão para projetos de cooperação que trata de questões ambientais, outro para os grupos operacionais da PEI, etc.).</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Método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Organizar um processo Delphi com peritos em matéria de inovação (por exemplo, participantes em projetos de cooperação, mas também académicos, etc.) para chegar a decisões quanto aos critérios pertinentes.</w:t>
            </w:r>
          </w:p>
        </w:tc>
      </w:tr>
    </w:tbl>
    <w:p w:rsidR="00A45935" w:rsidRPr="00E05D08" w:rsidRDefault="00A45935" w:rsidP="00E05D08">
      <w:pPr>
        <w:spacing w:after="0" w:line="240" w:lineRule="auto"/>
        <w:rPr>
          <w:rFonts w:eastAsia="Times New Roman" w:cs="Times New Roman"/>
          <w:sz w:val="18"/>
          <w:szCs w:val="24"/>
        </w:rPr>
      </w:pP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7B19DB00" wp14:editId="29F38876">
                <wp:extent cx="5707380" cy="4771696"/>
                <wp:effectExtent l="0" t="0" r="26670" b="10160"/>
                <wp:docPr id="26" name="Rectangle: Diagonal Corners Rounded 26"/>
                <wp:cNvGraphicFramePr/>
                <a:graphic xmlns:a="http://schemas.openxmlformats.org/drawingml/2006/main">
                  <a:graphicData uri="http://schemas.microsoft.com/office/word/2010/wordprocessingShape">
                    <wps:wsp>
                      <wps:cNvSpPr/>
                      <wps:spPr>
                        <a:xfrm>
                          <a:off x="0" y="0"/>
                          <a:ext cx="5707380" cy="4771696"/>
                        </a:xfrm>
                        <a:prstGeom prst="round2DiagRect">
                          <a:avLst>
                            <a:gd name="adj1" fmla="val 7299"/>
                            <a:gd name="adj2" fmla="val 0"/>
                          </a:avLst>
                        </a:prstGeom>
                        <a:noFill/>
                        <a:ln w="25400" cap="flat" cmpd="sng" algn="ctr">
                          <a:solidFill>
                            <a:srgbClr val="F07E31"/>
                          </a:solidFill>
                          <a:prstDash val="solid"/>
                        </a:ln>
                        <a:effectLst/>
                      </wps:spPr>
                      <wps:txbx>
                        <w:txbxContent>
                          <w:p w:rsidR="00B06BF7" w:rsidRPr="001954EB" w:rsidRDefault="00B06BF7" w:rsidP="00E05D08">
                            <w:pPr>
                              <w:pStyle w:val="HStandard"/>
                              <w:rPr>
                                <w:b/>
                                <w:color w:val="F07E31"/>
                                <w:sz w:val="18"/>
                                <w:szCs w:val="18"/>
                              </w:rPr>
                            </w:pPr>
                            <w:r>
                              <w:rPr>
                                <w:sz w:val="18"/>
                                <w:szCs w:val="18"/>
                                <w:lang w:val="en-GB" w:eastAsia="en-GB"/>
                              </w:rPr>
                              <w:drawing>
                                <wp:inline distT="0" distB="0" distL="0" distR="0" wp14:anchorId="0652A50C" wp14:editId="2B9273FC">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Exemplos dos RAE apresentados em 2017</w:t>
                            </w:r>
                          </w:p>
                          <w:p w:rsidR="00B06BF7" w:rsidRPr="00547012" w:rsidRDefault="00B06BF7" w:rsidP="00E05D08">
                            <w:pPr>
                              <w:rPr>
                                <w:rFonts w:cs="Arial"/>
                                <w:sz w:val="18"/>
                                <w:szCs w:val="18"/>
                              </w:rPr>
                            </w:pPr>
                            <w:r w:rsidRPr="00070489">
                              <w:rPr>
                                <w:b/>
                                <w:sz w:val="18"/>
                                <w:szCs w:val="18"/>
                              </w:rPr>
                              <w:t>Meclemburgo-Pomerânia Ocidental (DE)</w:t>
                            </w:r>
                            <w:r>
                              <w:rPr>
                                <w:sz w:val="18"/>
                                <w:szCs w:val="18"/>
                              </w:rPr>
                              <w:t xml:space="preserve"> - utiliza três critérios de apreciação em relação à inovação:</w:t>
                            </w:r>
                          </w:p>
                          <w:p w:rsidR="00B06BF7" w:rsidRPr="001954EB" w:rsidRDefault="00B06BF7" w:rsidP="008C0B17">
                            <w:pPr>
                              <w:numPr>
                                <w:ilvl w:val="0"/>
                                <w:numId w:val="57"/>
                              </w:numPr>
                              <w:rPr>
                                <w:rFonts w:cs="Arial"/>
                                <w:sz w:val="18"/>
                                <w:szCs w:val="18"/>
                              </w:rPr>
                            </w:pPr>
                            <w:r>
                              <w:rPr>
                                <w:sz w:val="18"/>
                                <w:szCs w:val="18"/>
                              </w:rPr>
                              <w:t xml:space="preserve">os processos apoiados pelo PDR são inovadores e baseados nos conhecimentos obtidos; </w:t>
                            </w:r>
                          </w:p>
                          <w:p w:rsidR="00B06BF7" w:rsidRPr="001954EB" w:rsidRDefault="00B06BF7" w:rsidP="008C0B17">
                            <w:pPr>
                              <w:numPr>
                                <w:ilvl w:val="0"/>
                                <w:numId w:val="57"/>
                              </w:numPr>
                              <w:rPr>
                                <w:rFonts w:cs="Arial"/>
                                <w:sz w:val="18"/>
                                <w:szCs w:val="18"/>
                              </w:rPr>
                            </w:pPr>
                            <w:r>
                              <w:rPr>
                                <w:sz w:val="18"/>
                                <w:szCs w:val="18"/>
                              </w:rPr>
                              <w:t>as ações inovadoras são executadas e difundidas através dos GO;</w:t>
                            </w:r>
                          </w:p>
                          <w:p w:rsidR="00B06BF7" w:rsidRPr="001954EB" w:rsidRDefault="00B06BF7" w:rsidP="008C0B17">
                            <w:pPr>
                              <w:numPr>
                                <w:ilvl w:val="0"/>
                                <w:numId w:val="57"/>
                              </w:numPr>
                              <w:rPr>
                                <w:rFonts w:cs="Arial"/>
                                <w:sz w:val="18"/>
                                <w:szCs w:val="18"/>
                              </w:rPr>
                            </w:pPr>
                            <w:r>
                              <w:rPr>
                                <w:sz w:val="18"/>
                                <w:szCs w:val="18"/>
                              </w:rPr>
                              <w:t>os resultados obtidos colocam os parceiros envolvidos numa melhor posição no mercado através da inovação.</w:t>
                            </w:r>
                          </w:p>
                          <w:p w:rsidR="00B06BF7" w:rsidRPr="00547012" w:rsidRDefault="00B06BF7" w:rsidP="00E05D08">
                            <w:pPr>
                              <w:rPr>
                                <w:rFonts w:cs="Arial"/>
                                <w:sz w:val="18"/>
                                <w:szCs w:val="18"/>
                              </w:rPr>
                            </w:pPr>
                            <w:r>
                              <w:rPr>
                                <w:sz w:val="18"/>
                                <w:szCs w:val="18"/>
                              </w:rPr>
                              <w:t>São utilizados vários métodos para recolher informações junto dos GO da PEI, que abrangem diferentes dimensões das inovações e visam avaliar a qualidade e os efeitos dos GO:</w:t>
                            </w:r>
                          </w:p>
                          <w:p w:rsidR="00B06BF7" w:rsidRPr="001954EB" w:rsidRDefault="00B06BF7" w:rsidP="008C0B17">
                            <w:pPr>
                              <w:numPr>
                                <w:ilvl w:val="0"/>
                                <w:numId w:val="58"/>
                              </w:numPr>
                              <w:rPr>
                                <w:rFonts w:cs="Arial"/>
                                <w:sz w:val="18"/>
                                <w:szCs w:val="18"/>
                              </w:rPr>
                            </w:pPr>
                            <w:r>
                              <w:rPr>
                                <w:sz w:val="18"/>
                                <w:szCs w:val="18"/>
                              </w:rPr>
                              <w:t>análise de base (avaliação de condições de enquadramento, entrevistas com os intervenientes, etc.);</w:t>
                            </w:r>
                          </w:p>
                          <w:p w:rsidR="00B06BF7" w:rsidRPr="001954EB" w:rsidRDefault="00B06BF7" w:rsidP="008C0B17">
                            <w:pPr>
                              <w:numPr>
                                <w:ilvl w:val="0"/>
                                <w:numId w:val="58"/>
                              </w:numPr>
                              <w:rPr>
                                <w:rFonts w:cs="Arial"/>
                                <w:sz w:val="18"/>
                                <w:szCs w:val="18"/>
                              </w:rPr>
                            </w:pPr>
                            <w:r>
                              <w:rPr>
                                <w:sz w:val="18"/>
                                <w:szCs w:val="18"/>
                              </w:rPr>
                              <w:t xml:space="preserve">avaliação das características e tipos de inovação através da análise dos critérios de seleção e estudos de casos; </w:t>
                            </w:r>
                          </w:p>
                          <w:p w:rsidR="00B06BF7" w:rsidRPr="001954EB" w:rsidRDefault="00B06BF7" w:rsidP="008C0B17">
                            <w:pPr>
                              <w:numPr>
                                <w:ilvl w:val="0"/>
                                <w:numId w:val="58"/>
                              </w:numPr>
                              <w:rPr>
                                <w:rFonts w:cs="Arial"/>
                                <w:sz w:val="18"/>
                                <w:szCs w:val="18"/>
                              </w:rPr>
                            </w:pPr>
                            <w:r>
                              <w:rPr>
                                <w:sz w:val="18"/>
                                <w:szCs w:val="18"/>
                              </w:rPr>
                              <w:t>análise dos resultados obtidos e da sua divulgação (inquérito e autoavaliação dos GO).</w:t>
                            </w:r>
                          </w:p>
                          <w:p w:rsidR="00B06BF7" w:rsidRPr="00547012" w:rsidRDefault="00B06BF7" w:rsidP="00E05D08">
                            <w:pPr>
                              <w:rPr>
                                <w:rFonts w:cs="Arial"/>
                                <w:sz w:val="18"/>
                                <w:szCs w:val="18"/>
                              </w:rPr>
                            </w:pPr>
                            <w:r>
                              <w:rPr>
                                <w:sz w:val="18"/>
                                <w:szCs w:val="18"/>
                              </w:rPr>
                              <w:t xml:space="preserve">As fontes de dados e de informações incluem dados de acompanhamento, formulários de candidatura, documentação de projetos, dados estatísticos primários recolhidos através de inquéritos, dados estatísticos secundários provenientes de várias fontes. </w:t>
                            </w:r>
                          </w:p>
                          <w:p w:rsidR="00B06BF7" w:rsidRPr="00547012" w:rsidRDefault="00B06BF7" w:rsidP="00E05D08">
                            <w:pPr>
                              <w:rPr>
                                <w:rFonts w:cs="Arial"/>
                                <w:sz w:val="18"/>
                                <w:szCs w:val="18"/>
                              </w:rPr>
                            </w:pPr>
                            <w:r>
                              <w:rPr>
                                <w:sz w:val="18"/>
                                <w:szCs w:val="18"/>
                              </w:rPr>
                              <w:t xml:space="preserve">O inquérito junto dos beneficiários (OG da PEI) é realizado antes e após a intervenção. </w:t>
                            </w:r>
                          </w:p>
                          <w:p w:rsidR="00B06BF7" w:rsidRPr="001954EB" w:rsidRDefault="00B06BF7" w:rsidP="00E05D08">
                            <w:pPr>
                              <w:pStyle w:val="HStandard"/>
                              <w:rPr>
                                <w:sz w:val="18"/>
                                <w:szCs w:val="18"/>
                              </w:rPr>
                            </w:pPr>
                            <w:r w:rsidRPr="00070489">
                              <w:rPr>
                                <w:b/>
                                <w:sz w:val="18"/>
                                <w:szCs w:val="18"/>
                              </w:rPr>
                              <w:t>República Checa</w:t>
                            </w:r>
                            <w:r>
                              <w:rPr>
                                <w:sz w:val="18"/>
                                <w:szCs w:val="18"/>
                              </w:rPr>
                              <w:t xml:space="preserve"> - sugere a utilização de uma abordagem baseada em estudos de caso para recolher informações dos GO e de projetos de cooperação relacionados com a inovação.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19DB00" id="Rectangle: Diagonal Corners Rounded 26" o:spid="_x0000_s1048" style="width:449.4pt;height:375.7pt;visibility:visible;mso-wrap-style:square;mso-left-percent:-10001;mso-top-percent:-10001;mso-position-horizontal:absolute;mso-position-horizontal-relative:char;mso-position-vertical:absolute;mso-position-vertical-relative:line;mso-left-percent:-10001;mso-top-percent:-10001;v-text-anchor:middle" coordsize="5707380,4771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" adj="-11796480,,5400" path="m348286,l5707380,r,l5707380,4423410v,192353,-155933,348286,-348286,348286l,4771696r,l,348286c,155933,155933,,348286,xe" filled="f" strokecolor="#f07e31" strokeweight="2pt">
                <v:stroke joinstyle="miter"/>
                <v:formulas/>
                <v:path arrowok="t" o:connecttype="custom" o:connectlocs="348286,0;5707380,0;5707380,0;5707380,4423410;5359094,4771696;0,4771696;0,4771696;0,348286;348286,0" o:connectangles="0,0,0,0,0,0,0,0,0" textboxrect="0,0,5707380,4771696"/>
                <v:textbox>
                  <w:txbxContent>
                    <w:p w:rsidR="00B06BF7" w:rsidRPr="001954EB" w:rsidRDefault="00B06BF7" w:rsidP="00E05D08">
                      <w:pPr>
                        <w:pStyle w:val="HStandard"/>
                        <w:rPr>
                          <w:b/>
                          <w:color w:val="F07E31"/>
                          <w:sz w:val="18"/>
                          <w:szCs w:val="18"/>
                        </w:rPr>
                      </w:pPr>
                      <w:r>
                        <w:rPr>
                          <w:sz w:val="18"/>
                          <w:szCs w:val="18"/>
                          <w:lang w:val="en-GB" w:eastAsia="en-GB"/>
                        </w:rPr>
                        <w:drawing>
                          <wp:inline distT="0" distB="0" distL="0" distR="0" wp14:anchorId="0652A50C" wp14:editId="2B9273FC">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Exemplos dos RAE apresentados em 2017</w:t>
                      </w:r>
                    </w:p>
                    <w:p w:rsidR="00B06BF7" w:rsidRPr="00547012" w:rsidRDefault="00B06BF7" w:rsidP="00E05D08">
                      <w:pPr>
                        <w:rPr>
                          <w:rFonts w:cs="Arial"/>
                          <w:sz w:val="18"/>
                          <w:szCs w:val="18"/>
                        </w:rPr>
                      </w:pPr>
                      <w:r w:rsidRPr="00070489">
                        <w:rPr>
                          <w:b/>
                          <w:sz w:val="18"/>
                          <w:szCs w:val="18"/>
                        </w:rPr>
                        <w:t>Meclemburgo-Pomerânia Ocidental (DE)</w:t>
                      </w:r>
                      <w:r>
                        <w:rPr>
                          <w:sz w:val="18"/>
                          <w:szCs w:val="18"/>
                        </w:rPr>
                        <w:t xml:space="preserve"> - utiliza três critérios de apreciação em relação à inovação:</w:t>
                      </w:r>
                    </w:p>
                    <w:p w:rsidR="00B06BF7" w:rsidRPr="001954EB" w:rsidRDefault="00B06BF7" w:rsidP="008C0B17">
                      <w:pPr>
                        <w:numPr>
                          <w:ilvl w:val="0"/>
                          <w:numId w:val="57"/>
                        </w:numPr>
                        <w:rPr>
                          <w:rFonts w:cs="Arial"/>
                          <w:sz w:val="18"/>
                          <w:szCs w:val="18"/>
                        </w:rPr>
                      </w:pPr>
                      <w:r>
                        <w:rPr>
                          <w:sz w:val="18"/>
                          <w:szCs w:val="18"/>
                        </w:rPr>
                        <w:t xml:space="preserve">os processos apoiados pelo PDR são inovadores e baseados nos conhecimentos obtidos; </w:t>
                      </w:r>
                    </w:p>
                    <w:p w:rsidR="00B06BF7" w:rsidRPr="001954EB" w:rsidRDefault="00B06BF7" w:rsidP="008C0B17">
                      <w:pPr>
                        <w:numPr>
                          <w:ilvl w:val="0"/>
                          <w:numId w:val="57"/>
                        </w:numPr>
                        <w:rPr>
                          <w:rFonts w:cs="Arial"/>
                          <w:sz w:val="18"/>
                          <w:szCs w:val="18"/>
                        </w:rPr>
                      </w:pPr>
                      <w:r>
                        <w:rPr>
                          <w:sz w:val="18"/>
                          <w:szCs w:val="18"/>
                        </w:rPr>
                        <w:t>as ações inovadoras são executadas e difundidas através dos GO;</w:t>
                      </w:r>
                    </w:p>
                    <w:p w:rsidR="00B06BF7" w:rsidRPr="001954EB" w:rsidRDefault="00B06BF7" w:rsidP="008C0B17">
                      <w:pPr>
                        <w:numPr>
                          <w:ilvl w:val="0"/>
                          <w:numId w:val="57"/>
                        </w:numPr>
                        <w:rPr>
                          <w:rFonts w:cs="Arial"/>
                          <w:sz w:val="18"/>
                          <w:szCs w:val="18"/>
                        </w:rPr>
                      </w:pPr>
                      <w:r>
                        <w:rPr>
                          <w:sz w:val="18"/>
                          <w:szCs w:val="18"/>
                        </w:rPr>
                        <w:t>os resultados obtidos colocam os parceiros envolvidos numa melhor posição no mercado através da inovação.</w:t>
                      </w:r>
                    </w:p>
                    <w:p w:rsidR="00B06BF7" w:rsidRPr="00547012" w:rsidRDefault="00B06BF7" w:rsidP="00E05D08">
                      <w:pPr>
                        <w:rPr>
                          <w:rFonts w:cs="Arial"/>
                          <w:sz w:val="18"/>
                          <w:szCs w:val="18"/>
                        </w:rPr>
                      </w:pPr>
                      <w:r>
                        <w:rPr>
                          <w:sz w:val="18"/>
                          <w:szCs w:val="18"/>
                        </w:rPr>
                        <w:t>São utilizados vários métodos para recolher informações junto dos GO da PEI, que abrangem diferentes dimensões das inovações e visam avaliar a qualidade e os efeitos dos GO:</w:t>
                      </w:r>
                    </w:p>
                    <w:p w:rsidR="00B06BF7" w:rsidRPr="001954EB" w:rsidRDefault="00B06BF7" w:rsidP="008C0B17">
                      <w:pPr>
                        <w:numPr>
                          <w:ilvl w:val="0"/>
                          <w:numId w:val="58"/>
                        </w:numPr>
                        <w:rPr>
                          <w:rFonts w:cs="Arial"/>
                          <w:sz w:val="18"/>
                          <w:szCs w:val="18"/>
                        </w:rPr>
                      </w:pPr>
                      <w:r>
                        <w:rPr>
                          <w:sz w:val="18"/>
                          <w:szCs w:val="18"/>
                        </w:rPr>
                        <w:t>análise de base (avaliação de condições de enquadramento, entrevistas com os intervenientes, etc.);</w:t>
                      </w:r>
                    </w:p>
                    <w:p w:rsidR="00B06BF7" w:rsidRPr="001954EB" w:rsidRDefault="00B06BF7" w:rsidP="008C0B17">
                      <w:pPr>
                        <w:numPr>
                          <w:ilvl w:val="0"/>
                          <w:numId w:val="58"/>
                        </w:numPr>
                        <w:rPr>
                          <w:rFonts w:cs="Arial"/>
                          <w:sz w:val="18"/>
                          <w:szCs w:val="18"/>
                        </w:rPr>
                      </w:pPr>
                      <w:r>
                        <w:rPr>
                          <w:sz w:val="18"/>
                          <w:szCs w:val="18"/>
                        </w:rPr>
                        <w:t xml:space="preserve">avaliação das características e tipos de inovação através da análise dos critérios de seleção e estudos de casos; </w:t>
                      </w:r>
                    </w:p>
                    <w:p w:rsidR="00B06BF7" w:rsidRPr="001954EB" w:rsidRDefault="00B06BF7" w:rsidP="008C0B17">
                      <w:pPr>
                        <w:numPr>
                          <w:ilvl w:val="0"/>
                          <w:numId w:val="58"/>
                        </w:numPr>
                        <w:rPr>
                          <w:rFonts w:cs="Arial"/>
                          <w:sz w:val="18"/>
                          <w:szCs w:val="18"/>
                        </w:rPr>
                      </w:pPr>
                      <w:r>
                        <w:rPr>
                          <w:sz w:val="18"/>
                          <w:szCs w:val="18"/>
                        </w:rPr>
                        <w:t>análise dos resultados obtidos e da sua divulgação (inquérito e autoavaliação dos GO).</w:t>
                      </w:r>
                    </w:p>
                    <w:p w:rsidR="00B06BF7" w:rsidRPr="00547012" w:rsidRDefault="00B06BF7" w:rsidP="00E05D08">
                      <w:pPr>
                        <w:rPr>
                          <w:rFonts w:cs="Arial"/>
                          <w:sz w:val="18"/>
                          <w:szCs w:val="18"/>
                        </w:rPr>
                      </w:pPr>
                      <w:r>
                        <w:rPr>
                          <w:sz w:val="18"/>
                          <w:szCs w:val="18"/>
                        </w:rPr>
                        <w:t xml:space="preserve">As fontes de dados e de informações incluem dados de acompanhamento, formulários de candidatura, documentação de projetos, dados estatísticos primários recolhidos através de inquéritos, dados estatísticos secundários provenientes de várias fontes. </w:t>
                      </w:r>
                    </w:p>
                    <w:p w:rsidR="00B06BF7" w:rsidRPr="00547012" w:rsidRDefault="00B06BF7" w:rsidP="00E05D08">
                      <w:pPr>
                        <w:rPr>
                          <w:rFonts w:cs="Arial"/>
                          <w:sz w:val="18"/>
                          <w:szCs w:val="18"/>
                        </w:rPr>
                      </w:pPr>
                      <w:r>
                        <w:rPr>
                          <w:sz w:val="18"/>
                          <w:szCs w:val="18"/>
                        </w:rPr>
                        <w:t xml:space="preserve">O inquérito junto dos beneficiários (OG da PEI) é realizado antes e após a intervenção. </w:t>
                      </w:r>
                    </w:p>
                    <w:p w:rsidR="00B06BF7" w:rsidRPr="001954EB" w:rsidRDefault="00B06BF7" w:rsidP="00E05D08">
                      <w:pPr>
                        <w:pStyle w:val="HStandard"/>
                        <w:rPr>
                          <w:sz w:val="18"/>
                          <w:szCs w:val="18"/>
                        </w:rPr>
                      </w:pPr>
                      <w:r w:rsidRPr="00070489">
                        <w:rPr>
                          <w:b/>
                          <w:sz w:val="18"/>
                          <w:szCs w:val="18"/>
                        </w:rPr>
                        <w:t>República Checa</w:t>
                      </w:r>
                      <w:r>
                        <w:rPr>
                          <w:sz w:val="18"/>
                          <w:szCs w:val="18"/>
                        </w:rPr>
                        <w:t xml:space="preserve"> - sugere a utilização de uma abordagem baseada em estudos de caso para recolher informações dos GO e de projetos de cooperação relacionados com a inovação.</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Riscos e soluções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Riscos</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Soluções</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Para alguns indicadores, os dados podem não estar disponíveis até ter decorrido o período de programação (por exemplo, o número de operações de cooperação que prosseguem após o apoio do PDR).</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Os tipos de estruturas de cooperação criadas (estrutura jurídica, composição, declaração de compromisso dos parceiros, etc.) podem ser analisados através de uma avaliação qualitativa (por exemplo, utilizando grupos de reflexão ou entrevistas com parceiros dos GO).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Recolher informações relativamente a alguns indicadores, que poderão não ter sido incluídas no sistema de acompanhamento do PDR (por exemplo, indicadores adicionais).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A recolha de informações pode ser efetuada através de inquéritos e entrevistas. </w:t>
            </w:r>
          </w:p>
          <w:p w:rsidR="00A45935" w:rsidRPr="00385368" w:rsidRDefault="00A45935" w:rsidP="00E05D08">
            <w:pPr>
              <w:spacing w:after="120" w:line="280" w:lineRule="atLeast"/>
              <w:ind w:left="27" w:right="47"/>
              <w:mirrorIndents/>
              <w:rPr>
                <w:sz w:val="18"/>
                <w:szCs w:val="18"/>
              </w:rPr>
            </w:pPr>
            <w:r>
              <w:rPr>
                <w:sz w:val="18"/>
                <w:szCs w:val="18"/>
              </w:rPr>
              <w:t xml:space="preserve">Em alternativa, as autoridades de gestão podem ponderar a inclusão da recolha de dados para indicadores adicionais através da base de dados de operações. </w:t>
            </w:r>
          </w:p>
        </w:tc>
      </w:tr>
    </w:tbl>
    <w:p w:rsidR="00E37A81" w:rsidRPr="00E37A81" w:rsidRDefault="00E37A81" w:rsidP="00E37A81">
      <w:pPr>
        <w:spacing w:before="120" w:after="120" w:line="280" w:lineRule="atLeast"/>
        <w:mirrorIndents/>
        <w:rPr>
          <w:rFonts w:eastAsia="Times New Roman" w:cs="Times New Roman"/>
          <w:b/>
          <w:szCs w:val="20"/>
        </w:r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Conclusões e recomendações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As principais conclusões e recomendações devem abordar, pelo menos, as seguintes questões políticas:</w:t>
      </w:r>
    </w:p>
    <w:p w:rsidR="00A45935" w:rsidRPr="00E54929" w:rsidRDefault="00A45935" w:rsidP="00547012">
      <w:pPr>
        <w:pStyle w:val="Hlistbullet"/>
        <w:rPr>
          <w:rFonts w:eastAsia="Calibri"/>
          <w:shd w:val="clear" w:color="auto" w:fill="FFFFFF"/>
        </w:rPr>
      </w:pPr>
      <w:r>
        <w:rPr>
          <w:b/>
          <w:shd w:val="clear" w:color="auto" w:fill="FFFFFF"/>
        </w:rPr>
        <w:t>A tendência do PDR para utilizar a medida de cooperação para identificar a inovação em zonas rurais.</w:t>
      </w:r>
      <w:r>
        <w:rPr>
          <w:shd w:val="clear" w:color="auto" w:fill="FFFFFF"/>
        </w:rPr>
        <w:t xml:space="preserve"> A criação de um grupo operacional, por exemplo, demonstra que foi identificada uma ideia inovadora e esta pode ser executada associando a investigação e a prática. O âmbito, o teor e a duração do projeto elaborado e executado pelo GO fornece informações úteis para retirar conclusões adicionais a este respeito.</w:t>
      </w:r>
    </w:p>
    <w:p w:rsidR="00A45935" w:rsidRPr="00E54929" w:rsidRDefault="00A45935" w:rsidP="00547012">
      <w:pPr>
        <w:pStyle w:val="Hlistbullet"/>
        <w:rPr>
          <w:rFonts w:eastAsia="Calibri"/>
          <w:shd w:val="clear" w:color="auto" w:fill="FFFFFF"/>
        </w:rPr>
      </w:pPr>
      <w:r>
        <w:rPr>
          <w:b/>
          <w:shd w:val="clear" w:color="auto" w:fill="FFFFFF"/>
        </w:rPr>
        <w:t>Os efeitos dos projetos de cooperação sobre a capacidade de inovação.</w:t>
      </w:r>
      <w:r>
        <w:rPr>
          <w:shd w:val="clear" w:color="auto" w:fill="FFFFFF"/>
        </w:rPr>
        <w:t xml:space="preserve"> A análise do número e do tipo de projetos de cooperação, bem como a participação das partes interessadas na inovação, podem fornecer conclusões sobre as realizações da medida de cooperação em relação à capacidade de inovação em zonas rurais.</w:t>
      </w:r>
    </w:p>
    <w:p w:rsidR="00A45935" w:rsidRPr="00E54929" w:rsidRDefault="00A45935" w:rsidP="00547012">
      <w:pPr>
        <w:pStyle w:val="Hlistbullet"/>
        <w:rPr>
          <w:rFonts w:eastAsia="Calibri"/>
          <w:shd w:val="clear" w:color="auto" w:fill="FFFFFF"/>
        </w:rPr>
      </w:pPr>
      <w:r>
        <w:rPr>
          <w:b/>
          <w:shd w:val="clear" w:color="auto" w:fill="FFFFFF"/>
        </w:rPr>
        <w:t>Os efeitos dos projetos de cooperação sobre a criação de um ambiente propício à inovação</w:t>
      </w:r>
      <w:r>
        <w:rPr>
          <w:shd w:val="clear" w:color="auto" w:fill="FFFFFF"/>
        </w:rPr>
        <w:t xml:space="preserve"> (ou seja, em que medida os projetos de cooperação permitiram a criação de estruturas e de procedimentos que facilitem a geração de ideias inovadoras). Tal inclui, por exemplo, as estruturas e os métodos de mediação da inovação, o estabelecimento de ligações permanentes entre as PME, serviços de inovação e os organismos de financiamento, etc.</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Mais informações</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7EC6DB46" wp14:editId="2DD7066A">
                <wp:extent cx="5981700" cy="1841500"/>
                <wp:effectExtent l="0" t="0" r="19050" b="25400"/>
                <wp:docPr id="27" name="Rectangle: Diagonal Corners Rounded 27"/>
                <wp:cNvGraphicFramePr/>
                <a:graphic xmlns:a="http://schemas.openxmlformats.org/drawingml/2006/main">
                  <a:graphicData uri="http://schemas.microsoft.com/office/word/2010/wordprocessingShape">
                    <wps:wsp>
                      <wps:cNvSpPr/>
                      <wps:spPr>
                        <a:xfrm>
                          <a:off x="0" y="0"/>
                          <a:ext cx="5981700" cy="1841500"/>
                        </a:xfrm>
                        <a:prstGeom prst="round2DiagRect">
                          <a:avLst>
                            <a:gd name="adj1" fmla="val 11556"/>
                            <a:gd name="adj2" fmla="val 0"/>
                          </a:avLst>
                        </a:prstGeom>
                        <a:noFill/>
                        <a:ln w="25400" cap="flat" cmpd="sng" algn="ctr">
                          <a:solidFill>
                            <a:srgbClr val="59638E"/>
                          </a:solidFill>
                          <a:prstDash val="solid"/>
                        </a:ln>
                        <a:effectLst/>
                      </wps:spPr>
                      <wps:txbx>
                        <w:txbxContent>
                          <w:p w:rsidR="00B06BF7" w:rsidRDefault="00B06BF7" w:rsidP="00E05D08">
                            <w:pPr>
                              <w:pStyle w:val="HStandard"/>
                              <w:rPr>
                                <w:color w:val="000000"/>
                                <w:sz w:val="18"/>
                              </w:rPr>
                            </w:pPr>
                            <w:r>
                              <w:rPr>
                                <w:lang w:val="en-GB" w:eastAsia="en-GB"/>
                              </w:rPr>
                              <w:drawing>
                                <wp:inline distT="0" distB="0" distL="0" distR="0" wp14:anchorId="416373A2" wp14:editId="1F57D7BC">
                                  <wp:extent cx="360465" cy="360000"/>
                                  <wp:effectExtent l="0" t="0" r="1905" b="2540"/>
                                  <wp:docPr id="3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sz w:val="18"/>
                                <w:szCs w:val="18"/>
                                <w:lang w:val="en-GB"/>
                              </w:rPr>
                            </w:pPr>
                            <w:r w:rsidRPr="00A04B6A">
                              <w:rPr>
                                <w:lang w:val="en-GB"/>
                              </w:rPr>
                              <w:t>Orientações «</w:t>
                            </w:r>
                            <w:hyperlink r:id="rId54" w:history="1">
                              <w:r w:rsidRPr="00A04B6A">
                                <w:rPr>
                                  <w:rStyle w:val="Hyperlink"/>
                                  <w:sz w:val="18"/>
                                  <w:szCs w:val="18"/>
                                  <w:lang w:val="en-GB"/>
                                </w:rPr>
                                <w:t>Assessment of RDP results:</w:t>
                              </w:r>
                            </w:hyperlink>
                            <w:hyperlink r:id="rId55" w:history="1">
                              <w:r w:rsidRPr="00A04B6A">
                                <w:rPr>
                                  <w:rStyle w:val="Hyperlink"/>
                                  <w:sz w:val="18"/>
                                  <w:szCs w:val="18"/>
                                  <w:lang w:val="en-GB"/>
                                </w:rPr>
                                <w:t xml:space="preserve"> How to prepare for reporting on evaluation in 2017</w:t>
                              </w:r>
                            </w:hyperlink>
                            <w:r w:rsidRPr="00A04B6A">
                              <w:rPr>
                                <w:sz w:val="18"/>
                                <w:szCs w:val="18"/>
                                <w:lang w:val="en-GB"/>
                              </w:rPr>
                              <w:t xml:space="preserve">», anexo 11; </w:t>
                            </w:r>
                          </w:p>
                          <w:p w:rsidR="00B06BF7" w:rsidRDefault="00B06BF7" w:rsidP="00E05D08">
                            <w:pPr>
                              <w:pStyle w:val="HStandard"/>
                              <w:rPr>
                                <w:sz w:val="18"/>
                                <w:szCs w:val="18"/>
                              </w:rPr>
                            </w:pPr>
                            <w:r>
                              <w:t>Documento de orientação «</w:t>
                            </w:r>
                            <w:hyperlink r:id="rId56" w:history="1">
                              <w:r>
                                <w:rPr>
                                  <w:rStyle w:val="Hyperlink"/>
                                  <w:sz w:val="18"/>
                                </w:rPr>
                                <w:t>Cooperation measure</w:t>
                              </w:r>
                            </w:hyperlink>
                            <w:r>
                              <w:t>» (Medida de cooperação), artigo 35.º do Regulamento (UE) n.º 1305/2013, novembro de 2014;</w:t>
                            </w:r>
                          </w:p>
                          <w:p w:rsidR="00B06BF7" w:rsidRPr="000041C9" w:rsidRDefault="00B06BF7" w:rsidP="00E05D08">
                            <w:pPr>
                              <w:pStyle w:val="HStandard"/>
                              <w:rPr>
                                <w:sz w:val="18"/>
                                <w:szCs w:val="18"/>
                              </w:rPr>
                            </w:pPr>
                            <w:r>
                              <w:rPr>
                                <w:sz w:val="18"/>
                                <w:szCs w:val="18"/>
                              </w:rPr>
                              <w:t xml:space="preserve">Documentos do seminário da REDR sobre a medida M 16 «Cooperação», junho de 2016, Bruxelas: </w:t>
                            </w:r>
                            <w:hyperlink r:id="rId57"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C6DB46" id="Rectangle: Diagonal Corners Rounded 27" o:spid="_x0000_s1049" style="width:471pt;height:145pt;visibility:visible;mso-wrap-style:square;mso-left-percent:-10001;mso-top-percent:-10001;mso-position-horizontal:absolute;mso-position-horizontal-relative:char;mso-position-vertical:absolute;mso-position-vertical-relative:line;mso-left-percent:-10001;mso-top-percent:-10001;v-text-anchor:middle" coordsize="5981700,184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" adj="-11796480,,5400" path="m212804,l5981700,r,l5981700,1628696v,117528,-95276,212804,-212804,212804l,1841500r,l,212804c,95276,95276,,212804,xe" filled="f" strokecolor="#59638e" strokeweight="2pt">
                <v:stroke joinstyle="miter"/>
                <v:formulas/>
                <v:path arrowok="t" o:connecttype="custom" o:connectlocs="212804,0;5981700,0;5981700,0;5981700,1628696;5768896,1841500;0,1841500;0,1841500;0,212804;212804,0" o:connectangles="0,0,0,0,0,0,0,0,0" textboxrect="0,0,5981700,1841500"/>
                <v:textbox>
                  <w:txbxContent>
                    <w:p w:rsidR="00B06BF7" w:rsidRDefault="00B06BF7" w:rsidP="00E05D08">
                      <w:pPr>
                        <w:pStyle w:val="HStandard"/>
                        <w:rPr>
                          <w:color w:val="000000"/>
                          <w:sz w:val="18"/>
                        </w:rPr>
                      </w:pPr>
                      <w:r>
                        <w:rPr>
                          <w:lang w:val="en-GB" w:eastAsia="en-GB"/>
                        </w:rPr>
                        <w:drawing>
                          <wp:inline distT="0" distB="0" distL="0" distR="0" wp14:anchorId="416373A2" wp14:editId="1F57D7BC">
                            <wp:extent cx="360465" cy="360000"/>
                            <wp:effectExtent l="0" t="0" r="1905" b="2540"/>
                            <wp:docPr id="3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sz w:val="18"/>
                          <w:szCs w:val="18"/>
                          <w:lang w:val="en-GB"/>
                        </w:rPr>
                      </w:pPr>
                      <w:r w:rsidRPr="00A04B6A">
                        <w:rPr>
                          <w:lang w:val="en-GB"/>
                        </w:rPr>
                        <w:t>Orientações «</w:t>
                      </w:r>
                      <w:hyperlink r:id="rId58" w:history="1">
                        <w:r w:rsidRPr="00A04B6A">
                          <w:rPr>
                            <w:rStyle w:val="Hyperlink"/>
                            <w:sz w:val="18"/>
                            <w:szCs w:val="18"/>
                            <w:lang w:val="en-GB"/>
                          </w:rPr>
                          <w:t>Assessment of RDP results:</w:t>
                        </w:r>
                      </w:hyperlink>
                      <w:hyperlink r:id="rId59" w:history="1">
                        <w:r w:rsidRPr="00A04B6A">
                          <w:rPr>
                            <w:rStyle w:val="Hyperlink"/>
                            <w:sz w:val="18"/>
                            <w:szCs w:val="18"/>
                            <w:lang w:val="en-GB"/>
                          </w:rPr>
                          <w:t xml:space="preserve"> How to prepare for reporting on evaluation in 2017</w:t>
                        </w:r>
                      </w:hyperlink>
                      <w:r w:rsidRPr="00A04B6A">
                        <w:rPr>
                          <w:sz w:val="18"/>
                          <w:szCs w:val="18"/>
                          <w:lang w:val="en-GB"/>
                        </w:rPr>
                        <w:t xml:space="preserve">», anexo 11; </w:t>
                      </w:r>
                    </w:p>
                    <w:p w:rsidR="00B06BF7" w:rsidRDefault="00B06BF7" w:rsidP="00E05D08">
                      <w:pPr>
                        <w:pStyle w:val="HStandard"/>
                        <w:rPr>
                          <w:sz w:val="18"/>
                          <w:szCs w:val="18"/>
                        </w:rPr>
                      </w:pPr>
                      <w:r>
                        <w:t>Documento de orientação «</w:t>
                      </w:r>
                      <w:hyperlink r:id="rId60" w:history="1">
                        <w:r>
                          <w:rPr>
                            <w:rStyle w:val="Hyperlink"/>
                            <w:sz w:val="18"/>
                          </w:rPr>
                          <w:t>Cooperation measure</w:t>
                        </w:r>
                      </w:hyperlink>
                      <w:r>
                        <w:t>» (Medida de cooperação), artigo 35.º do Regulamento (UE) n.º 1305/2013, novembro de 2014;</w:t>
                      </w:r>
                    </w:p>
                    <w:p w:rsidR="00B06BF7" w:rsidRPr="000041C9" w:rsidRDefault="00B06BF7" w:rsidP="00E05D08">
                      <w:pPr>
                        <w:pStyle w:val="HStandard"/>
                        <w:rPr>
                          <w:sz w:val="18"/>
                          <w:szCs w:val="18"/>
                        </w:rPr>
                      </w:pPr>
                      <w:r>
                        <w:rPr>
                          <w:sz w:val="18"/>
                          <w:szCs w:val="18"/>
                        </w:rPr>
                        <w:t xml:space="preserve">Documentos do seminário da REDR sobre a medida M 16 «Cooperação», junho de 2016, Bruxelas: </w:t>
                      </w:r>
                      <w:hyperlink r:id="rId61" w:history="1">
                        <w:r>
                          <w:rPr>
                            <w:rStyle w:val="Hyperlink"/>
                            <w:sz w:val="18"/>
                            <w:szCs w:val="18"/>
                          </w:rPr>
                          <w:t>http://enrd.ec.europa.eu/news-events/events/enrd-workshop-measure-16-cooperation_en</w:t>
                        </w:r>
                      </w:hyperlink>
                    </w:p>
                  </w:txbxContent>
                </v:textbox>
                <w10:anchorlock/>
              </v:shape>
            </w:pict>
          </mc:Fallback>
        </mc:AlternateContent>
      </w:r>
      <w:bookmarkStart w:id="118" w:name="_Toc501382133"/>
    </w:p>
    <w:p w:rsidR="00D50380" w:rsidRDefault="00D50380" w:rsidP="0079071D">
      <w:pPr>
        <w:pStyle w:val="HHeading3"/>
        <w:numPr>
          <w:ilvl w:val="2"/>
          <w:numId w:val="119"/>
        </w:numPr>
        <w:tabs>
          <w:tab w:val="clear" w:pos="567"/>
        </w:tabs>
        <w:spacing w:before="480" w:line="280" w:lineRule="exact"/>
        <w:ind w:left="567" w:hanging="567"/>
      </w:pPr>
      <w:bookmarkStart w:id="119" w:name="CEQ_NRN"/>
      <w:bookmarkStart w:id="120" w:name="_Toc508372667"/>
      <w:bookmarkEnd w:id="119"/>
      <w:r>
        <w:t>QAC n.º 21: «Até que ponto a rede rural nacional contribuiu para a realização dos objetivos fixados no artigo 54.º, n.º 2, do Regulamento (UE) n.º 1305/2013?».</w:t>
      </w:r>
      <w:bookmarkEnd w:id="120"/>
    </w:p>
    <w:bookmarkEnd w:id="118"/>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Compreender a QAC</w:t>
      </w:r>
    </w:p>
    <w:p w:rsidR="00A45935" w:rsidRPr="00E05D08" w:rsidRDefault="00A45935" w:rsidP="00E05D08">
      <w:pPr>
        <w:spacing w:after="120" w:line="280" w:lineRule="atLeast"/>
        <w:mirrorIndents/>
        <w:rPr>
          <w:rFonts w:eastAsia="Calibri" w:cs="Times New Roman"/>
          <w:szCs w:val="20"/>
        </w:rPr>
      </w:pPr>
      <w:r>
        <w:t>Esta questão remete para a realização dos quatro objetivos da RRN</w:t>
      </w:r>
      <w:r>
        <w:rPr>
          <w:rFonts w:eastAsia="Times New Roman" w:cs="Times New Roman"/>
          <w:szCs w:val="20"/>
          <w:vertAlign w:val="superscript"/>
          <w:lang w:eastAsia="de-DE"/>
        </w:rPr>
        <w:footnoteReference w:id="57"/>
      </w:r>
      <w:r>
        <w:t>. Estas orientações</w:t>
      </w:r>
      <w:r>
        <w:rPr>
          <w:rFonts w:eastAsia="Times New Roman" w:cs="Times New Roman"/>
          <w:szCs w:val="20"/>
          <w:vertAlign w:val="superscript"/>
          <w:lang w:eastAsia="de-DE"/>
        </w:rPr>
        <w:footnoteReference w:id="58"/>
      </w:r>
      <w:r>
        <w:t xml:space="preserve"> analisam a QAC n.º 21 relativamente ao objetivo da RRN de «fomentar a inovação na agricultura, na produção alimentar, nas florestas e nas zonas rurais» para efeitos de avaliação da inovação, conforme fomentado pelas RRN a partir de 2019. </w:t>
      </w:r>
    </w:p>
    <w:p w:rsidR="00A45935" w:rsidRPr="00E05D08" w:rsidRDefault="00A45935" w:rsidP="00E05D08">
      <w:pPr>
        <w:spacing w:after="120" w:line="280" w:lineRule="atLeast"/>
        <w:mirrorIndents/>
        <w:rPr>
          <w:rFonts w:eastAsia="Calibri" w:cs="Times New Roman"/>
          <w:szCs w:val="20"/>
        </w:rPr>
      </w:pPr>
      <w:r>
        <w:t xml:space="preserve">A rede rural nacional (RRN) funciona através de vários grupos de ações estabelecidos no plano de ação da RRN e, entre os diversos tipos de partes interessadas, inclui também os agentes da inovação. </w:t>
      </w:r>
      <w:r>
        <w:lastRenderedPageBreak/>
        <w:t>Por conseguinte, é importante reconhecer que grupos de ações</w:t>
      </w:r>
      <w:r>
        <w:rPr>
          <w:rFonts w:eastAsia="Calibri" w:cs="Times New Roman"/>
          <w:szCs w:val="20"/>
          <w:vertAlign w:val="superscript"/>
        </w:rPr>
        <w:footnoteReference w:id="59"/>
      </w:r>
      <w:r>
        <w:t xml:space="preserve"> têm potencial para fomentar a inovação através das três vias (ver o </w:t>
      </w:r>
      <w:hyperlink w:anchor="Innovation_RD" w:history="1">
        <w:r>
          <w:rPr>
            <w:rStyle w:val="Hyperlink"/>
            <w:sz w:val="20"/>
            <w:szCs w:val="20"/>
          </w:rPr>
          <w:t>Capítulo 1.1</w:t>
        </w:r>
      </w:hyperlink>
      <w:r>
        <w:t xml:space="preserve">) e que tipos de partes interessadas do sistema de inovação estão envolvidos e podem ser afetados por estas ações em termos de fomento da inovação. </w:t>
      </w:r>
    </w:p>
    <w:p w:rsidR="001327F5" w:rsidRDefault="00A45935" w:rsidP="00E05D08">
      <w:pPr>
        <w:spacing w:after="120" w:line="280" w:lineRule="atLeast"/>
        <w:mirrorIndents/>
        <w:rPr>
          <w:rFonts w:eastAsia="Calibri" w:cs="Times New Roman"/>
          <w:szCs w:val="20"/>
        </w:rPr>
      </w:pPr>
      <w:r>
        <w:t>As ações incluídas no plano de ação da RRN estariam distribuídas por sete grupos de atividades, tal como estipulado no Regulamento</w:t>
      </w:r>
      <w:r>
        <w:rPr>
          <w:rFonts w:eastAsia="Calibri" w:cs="Times New Roman"/>
          <w:szCs w:val="20"/>
          <w:vertAlign w:val="superscript"/>
        </w:rPr>
        <w:footnoteReference w:id="60"/>
      </w:r>
      <w:r>
        <w:t xml:space="preserve">. Nas caixas </w:t>
      </w:r>
      <w:r>
        <w:rPr>
          <w:i/>
        </w:rPr>
        <w:t>infra</w:t>
      </w:r>
      <w:r>
        <w:t xml:space="preserve"> são fornecidos exemplos sobre a forma como estas atividades poderão estar relacionadas com o fomento da inovação.</w:t>
      </w:r>
    </w:p>
    <w:p w:rsidR="001327F5" w:rsidRPr="00E05D08" w:rsidRDefault="001327F5" w:rsidP="001327F5">
      <w:pPr>
        <w:spacing w:after="120" w:line="280" w:lineRule="atLeast"/>
        <w:mirrorIndents/>
        <w:rPr>
          <w:rFonts w:eastAsia="Calibri" w:cs="Times New Roman"/>
          <w:szCs w:val="20"/>
        </w:rPr>
      </w:pPr>
      <w:r>
        <w:t>As redes rurais nacionais, no âmbito da assistência técnica, estão consagradas ao apoio e acompanhamento da execução dos PDR e contribuem diretamente para fomentar a inovação como um objetivo transversal. No entanto, as RRN também podem trabalhar em sinergia com outros agentes da inovação para o desenvolvimento rural, como os GAL do LEADER ou PEI-AGRI (ver exemplo na caixa).</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34016" behindDoc="1" locked="0" layoutInCell="1" allowOverlap="1" wp14:anchorId="2D1DDF42" wp14:editId="6E0ABD24">
                <wp:simplePos x="0" y="0"/>
                <wp:positionH relativeFrom="column">
                  <wp:posOffset>0</wp:posOffset>
                </wp:positionH>
                <wp:positionV relativeFrom="paragraph">
                  <wp:posOffset>300990</wp:posOffset>
                </wp:positionV>
                <wp:extent cx="5780405" cy="6957695"/>
                <wp:effectExtent l="0" t="0" r="10795" b="14605"/>
                <wp:wrapTight wrapText="bothSides">
                  <wp:wrapPolygon edited="0">
                    <wp:start x="854" y="0"/>
                    <wp:lineTo x="0" y="355"/>
                    <wp:lineTo x="0" y="21586"/>
                    <wp:lineTo x="20786" y="21586"/>
                    <wp:lineTo x="21569" y="21290"/>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957695"/>
                        </a:xfrm>
                        <a:prstGeom prst="round2DiagRect">
                          <a:avLst>
                            <a:gd name="adj1" fmla="val 6054"/>
                            <a:gd name="adj2" fmla="val 0"/>
                          </a:avLst>
                        </a:prstGeom>
                        <a:noFill/>
                        <a:ln w="25400" cap="flat" cmpd="sng" algn="ctr">
                          <a:solidFill>
                            <a:srgbClr val="F07E31"/>
                          </a:solidFill>
                          <a:prstDash val="solid"/>
                        </a:ln>
                        <a:effectLst/>
                      </wps:spPr>
                      <wps:txbx>
                        <w:txbxContent>
                          <w:p w:rsidR="00B06BF7" w:rsidRPr="0079762F" w:rsidRDefault="00B06BF7" w:rsidP="00E05D08">
                            <w:pPr>
                              <w:pStyle w:val="HStandard"/>
                              <w:ind w:left="567" w:hanging="567"/>
                              <w:rPr>
                                <w:i/>
                                <w:sz w:val="18"/>
                                <w:szCs w:val="18"/>
                              </w:rPr>
                            </w:pPr>
                            <w:r>
                              <w:rPr>
                                <w:sz w:val="18"/>
                                <w:szCs w:val="18"/>
                                <w:lang w:val="en-GB" w:eastAsia="en-GB"/>
                              </w:rPr>
                              <w:drawing>
                                <wp:inline distT="0" distB="0" distL="0" distR="0" wp14:anchorId="7AE065DA" wp14:editId="0DB065B1">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Promover novas ideias e a partilha de inovações:</w:t>
                            </w:r>
                          </w:p>
                          <w:p w:rsidR="00B06BF7" w:rsidRPr="0079762F" w:rsidRDefault="00B06BF7" w:rsidP="008C0B17">
                            <w:pPr>
                              <w:pStyle w:val="HStandard"/>
                              <w:numPr>
                                <w:ilvl w:val="0"/>
                                <w:numId w:val="26"/>
                              </w:numPr>
                              <w:ind w:left="567" w:hanging="567"/>
                              <w:rPr>
                                <w:sz w:val="18"/>
                                <w:szCs w:val="18"/>
                              </w:rPr>
                            </w:pPr>
                            <w:r>
                              <w:rPr>
                                <w:sz w:val="18"/>
                                <w:szCs w:val="18"/>
                              </w:rPr>
                              <w:t>A recolha de exemplos de projetos que abrangem todas as prioridades dos PDR: podem incidir, por exemplo, sobre projetos inovadores ou sobre a criação de bases de dados de projetos inovadores, contribuindo, por conseguinte, para a identificação e a partilha das inovações.</w:t>
                            </w:r>
                          </w:p>
                          <w:p w:rsidR="00B06BF7" w:rsidRPr="0079762F" w:rsidRDefault="00B06BF7" w:rsidP="008C0B17">
                            <w:pPr>
                              <w:pStyle w:val="HStandard"/>
                              <w:numPr>
                                <w:ilvl w:val="0"/>
                                <w:numId w:val="26"/>
                              </w:numPr>
                              <w:ind w:left="567" w:hanging="567"/>
                              <w:rPr>
                                <w:sz w:val="18"/>
                                <w:szCs w:val="18"/>
                              </w:rPr>
                            </w:pPr>
                            <w:r>
                              <w:rPr>
                                <w:sz w:val="18"/>
                                <w:szCs w:val="18"/>
                              </w:rPr>
                              <w:t>Facilitação dos intercâmbios temáticos e analíticos entre as partes interessadas no desenvolvimento rural, bem como a partilha e divulgação dos resultados. Esses intercâmbios também podem fomentar a inovação ao cultivar e partilhar novas ideias e ao criar as condições necessárias para o desenvolvimento de novos conhecimentos.</w:t>
                            </w:r>
                          </w:p>
                          <w:p w:rsidR="00B06BF7" w:rsidRDefault="00B06BF7" w:rsidP="008C0B17">
                            <w:pPr>
                              <w:pStyle w:val="HStandard"/>
                              <w:numPr>
                                <w:ilvl w:val="0"/>
                                <w:numId w:val="26"/>
                              </w:numPr>
                              <w:ind w:left="567" w:hanging="567"/>
                              <w:rPr>
                                <w:sz w:val="18"/>
                                <w:szCs w:val="18"/>
                              </w:rPr>
                            </w:pPr>
                            <w:r>
                              <w:rPr>
                                <w:sz w:val="18"/>
                                <w:szCs w:val="18"/>
                              </w:rPr>
                              <w:t>Publicidade e informação sobre o PDR, bem como atividades de informação e comunicação destinadas ao público em geral. Estas podem incluir, entre outras, informações sobre as realizações relacionadas com a inovação do PDR, as realizações dos GO da PEI, a forma como as estratégias de DPCL e as parcerias fomentam a inovação, bem como exemplos de tais parcerias e projetos inovadores do LEADER/DPCL, etc.</w:t>
                            </w:r>
                          </w:p>
                          <w:p w:rsidR="00B06BF7" w:rsidRPr="00E05D08" w:rsidRDefault="00B06BF7" w:rsidP="008A0CFF">
                            <w:pPr>
                              <w:pStyle w:val="HStandard"/>
                              <w:rPr>
                                <w:b/>
                                <w:color w:val="F07E31"/>
                                <w:sz w:val="18"/>
                                <w:szCs w:val="18"/>
                              </w:rPr>
                            </w:pPr>
                            <w:r>
                              <w:rPr>
                                <w:b/>
                                <w:color w:val="F07E31"/>
                                <w:sz w:val="18"/>
                                <w:szCs w:val="18"/>
                              </w:rPr>
                              <w:t>Reforço da capacidade de inovação:</w:t>
                            </w:r>
                          </w:p>
                          <w:p w:rsidR="00B06BF7" w:rsidRPr="0079762F" w:rsidRDefault="00B06BF7" w:rsidP="008A0CFF">
                            <w:pPr>
                              <w:pStyle w:val="HStandard"/>
                              <w:numPr>
                                <w:ilvl w:val="0"/>
                                <w:numId w:val="26"/>
                              </w:numPr>
                              <w:rPr>
                                <w:sz w:val="18"/>
                                <w:szCs w:val="18"/>
                              </w:rPr>
                            </w:pPr>
                            <w:r>
                              <w:rPr>
                                <w:sz w:val="18"/>
                                <w:szCs w:val="18"/>
                              </w:rPr>
                              <w:t>Prestação de atividades de formação e de ligação em rede para conselheiros e serviços de apoio à inovação, centradas na inovação na agricultura, na silvicultura e noutros setores abrangidos pelo PDR. A formação de conselheiros e de serviços de apoio à inovação podem, por exemplo, facilitar a criação dos GO da PEI e, por conseguinte, contribuir para o reforço da capacidade de inovação nas zonas rurais, uma vez que é expectável que os GO desenvolvam projetos inovadores.</w:t>
                            </w:r>
                          </w:p>
                          <w:p w:rsidR="00B06BF7" w:rsidRPr="00ED3BAD" w:rsidRDefault="00B06BF7" w:rsidP="008A0CFF">
                            <w:pPr>
                              <w:pStyle w:val="HStandard"/>
                              <w:numPr>
                                <w:ilvl w:val="0"/>
                                <w:numId w:val="26"/>
                              </w:numPr>
                              <w:rPr>
                                <w:sz w:val="18"/>
                                <w:szCs w:val="18"/>
                              </w:rPr>
                            </w:pPr>
                            <w:r>
                              <w:rPr>
                                <w:sz w:val="18"/>
                                <w:szCs w:val="18"/>
                              </w:rPr>
                              <w:t>Prestação de atividades de formação e de ligação em rede para os GAL e, em especial, a assistência técnica à cooperação interregional e transnacional, a facilitação da cooperação entre os GAL e a busca de parceiros ao abrigo da M16 (cooperação). A RRN pode, por exemplo, facilitar os esforços de cooperação que apoiam a experimentação e a inovação.</w:t>
                            </w:r>
                          </w:p>
                          <w:p w:rsidR="00B06BF7" w:rsidRPr="0079762F" w:rsidRDefault="00B06BF7" w:rsidP="008A0CFF">
                            <w:pPr>
                              <w:pStyle w:val="HStandard"/>
                              <w:ind w:left="567" w:hanging="567"/>
                              <w:rPr>
                                <w:i/>
                                <w:sz w:val="18"/>
                                <w:szCs w:val="18"/>
                              </w:rPr>
                            </w:pPr>
                            <w:r>
                              <w:rPr>
                                <w:b/>
                                <w:color w:val="F07E31"/>
                                <w:sz w:val="18"/>
                                <w:szCs w:val="18"/>
                              </w:rPr>
                              <w:t>Criação de um ambiente propício à inovação:</w:t>
                            </w:r>
                          </w:p>
                          <w:p w:rsidR="00B06BF7" w:rsidRPr="00ED3BAD" w:rsidRDefault="00B06BF7" w:rsidP="008A0CFF">
                            <w:pPr>
                              <w:pStyle w:val="HStandard"/>
                              <w:numPr>
                                <w:ilvl w:val="0"/>
                                <w:numId w:val="29"/>
                              </w:numPr>
                              <w:ind w:left="567" w:hanging="567"/>
                              <w:rPr>
                                <w:sz w:val="18"/>
                                <w:szCs w:val="18"/>
                              </w:rPr>
                            </w:pPr>
                            <w:r>
                              <w:rPr>
                                <w:sz w:val="18"/>
                                <w:szCs w:val="18"/>
                              </w:rPr>
                              <w:t>A participação e contribuição para as atividades das redes europeias, nomeadamente a REDR e a PEI-AGRI, podem proporcionar um ambiente propício à inovação através dessas redes.</w:t>
                            </w:r>
                          </w:p>
                          <w:p w:rsidR="00B06BF7" w:rsidRPr="00547012" w:rsidRDefault="00B06BF7" w:rsidP="00547012">
                            <w:pPr>
                              <w:pStyle w:val="HStandard"/>
                              <w:numPr>
                                <w:ilvl w:val="0"/>
                                <w:numId w:val="29"/>
                              </w:numPr>
                              <w:ind w:left="567" w:hanging="567"/>
                              <w:rPr>
                                <w:sz w:val="18"/>
                                <w:szCs w:val="18"/>
                              </w:rPr>
                            </w:pPr>
                            <w:r>
                              <w:rPr>
                                <w:sz w:val="18"/>
                                <w:szCs w:val="18"/>
                              </w:rPr>
                              <w:t>As RRN podem fomentar a inovação ligando os agentes de inovação (agricultores, investigadores, ONG, GAL, etc.), recolhendo informações, animando iniciativas de caráter ascendente, ajudando a aperfeiçoar ideias inovadoras e proporcionando apoio no sentido de encontrar parceiros e financiamento, na medida em que todos estes aspetos contribuem para um ambiente propício à inovação.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DF42" id="Rectangle: Diagonal Corners Rounded 28" o:spid="_x0000_s1050" style="position:absolute;left:0;text-align:left;margin-left:0;margin-top:23.7pt;width:455.15pt;height:547.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957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" adj="-11796480,,5400" path="m349946,l5780405,r,l5780405,6607749v,193270,-156676,349946,-349946,349946l,6957695r,l,349946c,156676,156676,,349946,xe" filled="f" strokecolor="#f07e31" strokeweight="2pt">
                <v:stroke joinstyle="miter"/>
                <v:formulas/>
                <v:path arrowok="t" o:connecttype="custom" o:connectlocs="349946,0;5780405,0;5780405,0;5780405,6607749;5430459,6957695;0,6957695;0,6957695;0,349946;349946,0" o:connectangles="0,0,0,0,0,0,0,0,0" textboxrect="0,0,5780405,6957695"/>
                <v:textbox>
                  <w:txbxContent>
                    <w:p w:rsidR="00B06BF7" w:rsidRPr="0079762F" w:rsidRDefault="00B06BF7" w:rsidP="00E05D08">
                      <w:pPr>
                        <w:pStyle w:val="HStandard"/>
                        <w:ind w:left="567" w:hanging="567"/>
                        <w:rPr>
                          <w:i/>
                          <w:sz w:val="18"/>
                          <w:szCs w:val="18"/>
                        </w:rPr>
                      </w:pPr>
                      <w:r>
                        <w:rPr>
                          <w:sz w:val="18"/>
                          <w:szCs w:val="18"/>
                          <w:lang w:val="en-GB" w:eastAsia="en-GB"/>
                        </w:rPr>
                        <w:drawing>
                          <wp:inline distT="0" distB="0" distL="0" distR="0" wp14:anchorId="7AE065DA" wp14:editId="0DB065B1">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Promover novas ideias e a partilha de inovações:</w:t>
                      </w:r>
                    </w:p>
                    <w:p w:rsidR="00B06BF7" w:rsidRPr="0079762F" w:rsidRDefault="00B06BF7" w:rsidP="008C0B17">
                      <w:pPr>
                        <w:pStyle w:val="HStandard"/>
                        <w:numPr>
                          <w:ilvl w:val="0"/>
                          <w:numId w:val="26"/>
                        </w:numPr>
                        <w:ind w:left="567" w:hanging="567"/>
                        <w:rPr>
                          <w:sz w:val="18"/>
                          <w:szCs w:val="18"/>
                        </w:rPr>
                      </w:pPr>
                      <w:r>
                        <w:rPr>
                          <w:sz w:val="18"/>
                          <w:szCs w:val="18"/>
                        </w:rPr>
                        <w:t>A recolha de exemplos de projetos que abrangem todas as prioridades dos PDR: podem incidir, por exemplo, sobre projetos inovadores ou sobre a criação de bases de dados de projetos inovadores, contribuindo, por conseguinte, para a identificação e a partilha das inovações.</w:t>
                      </w:r>
                    </w:p>
                    <w:p w:rsidR="00B06BF7" w:rsidRPr="0079762F" w:rsidRDefault="00B06BF7" w:rsidP="008C0B17">
                      <w:pPr>
                        <w:pStyle w:val="HStandard"/>
                        <w:numPr>
                          <w:ilvl w:val="0"/>
                          <w:numId w:val="26"/>
                        </w:numPr>
                        <w:ind w:left="567" w:hanging="567"/>
                        <w:rPr>
                          <w:sz w:val="18"/>
                          <w:szCs w:val="18"/>
                        </w:rPr>
                      </w:pPr>
                      <w:r>
                        <w:rPr>
                          <w:sz w:val="18"/>
                          <w:szCs w:val="18"/>
                        </w:rPr>
                        <w:t>Facilitação dos intercâmbios temáticos e analíticos entre as partes interessadas no desenvolvimento rural, bem como a partilha e divulgação dos resultados. Esses intercâmbios também podem fomentar a inovação ao cultivar e partilhar novas ideias e ao criar as condições necessárias para o desenvolvimento de novos conhecimentos.</w:t>
                      </w:r>
                    </w:p>
                    <w:p w:rsidR="00B06BF7" w:rsidRDefault="00B06BF7" w:rsidP="008C0B17">
                      <w:pPr>
                        <w:pStyle w:val="HStandard"/>
                        <w:numPr>
                          <w:ilvl w:val="0"/>
                          <w:numId w:val="26"/>
                        </w:numPr>
                        <w:ind w:left="567" w:hanging="567"/>
                        <w:rPr>
                          <w:sz w:val="18"/>
                          <w:szCs w:val="18"/>
                        </w:rPr>
                      </w:pPr>
                      <w:r>
                        <w:rPr>
                          <w:sz w:val="18"/>
                          <w:szCs w:val="18"/>
                        </w:rPr>
                        <w:t>Publicidade e informação sobre o PDR, bem como atividades de informação e comunicação destinadas ao público em geral. Estas podem incluir, entre outras, informações sobre as realizações relacionadas com a inovação do PDR, as realizações dos GO da PEI, a forma como as estratégias de DPCL e as parcerias fomentam a inovação, bem como exemplos de tais parcerias e projetos inovadores do LEADER/DPCL, etc.</w:t>
                      </w:r>
                    </w:p>
                    <w:p w:rsidR="00B06BF7" w:rsidRPr="00E05D08" w:rsidRDefault="00B06BF7" w:rsidP="008A0CFF">
                      <w:pPr>
                        <w:pStyle w:val="HStandard"/>
                        <w:rPr>
                          <w:b/>
                          <w:color w:val="F07E31"/>
                          <w:sz w:val="18"/>
                          <w:szCs w:val="18"/>
                        </w:rPr>
                      </w:pPr>
                      <w:r>
                        <w:rPr>
                          <w:b/>
                          <w:color w:val="F07E31"/>
                          <w:sz w:val="18"/>
                          <w:szCs w:val="18"/>
                        </w:rPr>
                        <w:t>Reforço da capacidade de inovação:</w:t>
                      </w:r>
                    </w:p>
                    <w:p w:rsidR="00B06BF7" w:rsidRPr="0079762F" w:rsidRDefault="00B06BF7" w:rsidP="008A0CFF">
                      <w:pPr>
                        <w:pStyle w:val="HStandard"/>
                        <w:numPr>
                          <w:ilvl w:val="0"/>
                          <w:numId w:val="26"/>
                        </w:numPr>
                        <w:rPr>
                          <w:sz w:val="18"/>
                          <w:szCs w:val="18"/>
                        </w:rPr>
                      </w:pPr>
                      <w:r>
                        <w:rPr>
                          <w:sz w:val="18"/>
                          <w:szCs w:val="18"/>
                        </w:rPr>
                        <w:t>Prestação de atividades de formação e de ligação em rede para conselheiros e serviços de apoio à inovação, centradas na inovação na agricultura, na silvicultura e noutros setores abrangidos pelo PDR. A formação de conselheiros e de serviços de apoio à inovação podem, por exemplo, facilitar a criação dos GO da PEI e, por conseguinte, contribuir para o reforço da capacidade de inovação nas zonas rurais, uma vez que é expectável que os GO desenvolvam projetos inovadores.</w:t>
                      </w:r>
                    </w:p>
                    <w:p w:rsidR="00B06BF7" w:rsidRPr="00ED3BAD" w:rsidRDefault="00B06BF7" w:rsidP="008A0CFF">
                      <w:pPr>
                        <w:pStyle w:val="HStandard"/>
                        <w:numPr>
                          <w:ilvl w:val="0"/>
                          <w:numId w:val="26"/>
                        </w:numPr>
                        <w:rPr>
                          <w:sz w:val="18"/>
                          <w:szCs w:val="18"/>
                        </w:rPr>
                      </w:pPr>
                      <w:r>
                        <w:rPr>
                          <w:sz w:val="18"/>
                          <w:szCs w:val="18"/>
                        </w:rPr>
                        <w:t>Prestação de atividades de formação e de ligação em rede para os GAL e, em especial, a assistência técnica à cooperação interregional e transnacional, a facilitação da cooperação entre os GAL e a busca de parceiros ao abrigo da M16 (cooperação). A RRN pode, por exemplo, facilitar os esforços de cooperação que apoiam a experimentação e a inovação.</w:t>
                      </w:r>
                    </w:p>
                    <w:p w:rsidR="00B06BF7" w:rsidRPr="0079762F" w:rsidRDefault="00B06BF7" w:rsidP="008A0CFF">
                      <w:pPr>
                        <w:pStyle w:val="HStandard"/>
                        <w:ind w:left="567" w:hanging="567"/>
                        <w:rPr>
                          <w:i/>
                          <w:sz w:val="18"/>
                          <w:szCs w:val="18"/>
                        </w:rPr>
                      </w:pPr>
                      <w:r>
                        <w:rPr>
                          <w:b/>
                          <w:color w:val="F07E31"/>
                          <w:sz w:val="18"/>
                          <w:szCs w:val="18"/>
                        </w:rPr>
                        <w:t>Criação de um ambiente propício à inovação:</w:t>
                      </w:r>
                    </w:p>
                    <w:p w:rsidR="00B06BF7" w:rsidRPr="00ED3BAD" w:rsidRDefault="00B06BF7" w:rsidP="008A0CFF">
                      <w:pPr>
                        <w:pStyle w:val="HStandard"/>
                        <w:numPr>
                          <w:ilvl w:val="0"/>
                          <w:numId w:val="29"/>
                        </w:numPr>
                        <w:ind w:left="567" w:hanging="567"/>
                        <w:rPr>
                          <w:sz w:val="18"/>
                          <w:szCs w:val="18"/>
                        </w:rPr>
                      </w:pPr>
                      <w:r>
                        <w:rPr>
                          <w:sz w:val="18"/>
                          <w:szCs w:val="18"/>
                        </w:rPr>
                        <w:t>A participação e contribuição para as atividades das redes europeias, nomeadamente a REDR e a PEI-AGRI, podem proporcionar um ambiente propício à inovação através dessas redes.</w:t>
                      </w:r>
                    </w:p>
                    <w:p w:rsidR="00B06BF7" w:rsidRPr="00547012" w:rsidRDefault="00B06BF7" w:rsidP="00547012">
                      <w:pPr>
                        <w:pStyle w:val="HStandard"/>
                        <w:numPr>
                          <w:ilvl w:val="0"/>
                          <w:numId w:val="29"/>
                        </w:numPr>
                        <w:ind w:left="567" w:hanging="567"/>
                        <w:rPr>
                          <w:sz w:val="18"/>
                          <w:szCs w:val="18"/>
                        </w:rPr>
                      </w:pPr>
                      <w:r>
                        <w:rPr>
                          <w:sz w:val="18"/>
                          <w:szCs w:val="18"/>
                        </w:rPr>
                        <w:t>As RRN podem fomentar a inovação ligando os agentes de inovação (agricultores, investigadores, ONG, GAL, etc.), recolhendo informações, animando iniciativas de caráter ascendente, ajudando a aperfeiçoar ideias inovadoras e proporcionando apoio no sentido de encontrar parceiros e financiamento, na medida em que todos estes aspetos contribuem para um ambiente propício à inovação.</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Importa referir que esta questão da avaliação se refere ao facto de as RRN fomentarem a inovação não só na agricultura mas que esta abrange as zonas rurais na sua totalidade. As RRN podem estar ativas de muitas formas para fomentar a inovação e trazer «algo de novo» às comunidades rurais, do seguinte modo:</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Trabalhando com as organizações rurais e com as empresas para gerar novas ideias e abordagens para fazer face a necessidades comuns;</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Capitalizando boas práticas, associando profissionais de desenvolvimento rural a peritos, universidades e institutos de investigação pertinentes;</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Proporcionando formação sobre temas específicos relacionados com a inovação;</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Ajudando os GAL e as partes interessadas do LEADER a apoiar a inovação como um princípio fundamental das suas estratégias de desenvolvimento local e a «incubar» novas ideias e abordagens. </w:t>
      </w:r>
    </w:p>
    <w:p w:rsidR="00A45935" w:rsidRPr="00E05D08" w:rsidRDefault="00A45935" w:rsidP="00E05D08">
      <w:pPr>
        <w:spacing w:after="120" w:line="280" w:lineRule="atLeast"/>
        <w:mirrorIndents/>
        <w:rPr>
          <w:rFonts w:eastAsia="Times New Roman" w:cs="Times New Roman"/>
          <w:szCs w:val="20"/>
        </w:rPr>
      </w:pPr>
      <w:r>
        <w:t>Antes de abordar a QAC n.º 21, importa clarificar estes aspetos e compreender devidamente o modo como uma dada RRN pode fomentar a inovação através das suas atividades.</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Desafios específicos </w:t>
      </w:r>
    </w:p>
    <w:p w:rsidR="00A45935" w:rsidRPr="00C9522B" w:rsidRDefault="00A45935" w:rsidP="00547012">
      <w:pPr>
        <w:pStyle w:val="Hlistbullet"/>
      </w:pPr>
      <w:r>
        <w:rPr>
          <w:b/>
          <w:shd w:val="clear" w:color="auto" w:fill="FFFFFF"/>
        </w:rPr>
        <w:t>Desenvolver elementos de avaliação adicionais e específicos do programa para avaliar a inovação em relação às RRN</w:t>
      </w:r>
      <w:r>
        <w:rPr>
          <w:shd w:val="clear" w:color="auto" w:fill="FFFFFF"/>
        </w:rPr>
        <w:t xml:space="preserve">. Como </w:t>
      </w:r>
      <w:r>
        <w:t xml:space="preserve">conceber e utilizar indicadores adicionais (de resultados e impactos) além dos indicadores de resultados já facultados pelo SCAA para responder à QAC n.º 21, tendo em vista o fomento da inovação? </w:t>
      </w:r>
    </w:p>
    <w:p w:rsidR="00A45935" w:rsidRPr="00C9522B" w:rsidRDefault="00A45935" w:rsidP="00547012">
      <w:pPr>
        <w:pStyle w:val="Hlistbullet"/>
      </w:pPr>
      <w:r>
        <w:rPr>
          <w:b/>
          <w:shd w:val="clear" w:color="auto" w:fill="FFFFFF"/>
        </w:rPr>
        <w:t xml:space="preserve">Atribuir os processos de inovação às intervenções da RRN. </w:t>
      </w:r>
      <w:r>
        <w:rPr>
          <w:shd w:val="clear" w:color="auto" w:fill="FFFFFF"/>
        </w:rPr>
        <w:t>Como medir até que ponto se pode atribuir (direta ou indiretamente) os processos de inovação gerados nas zonas rurais às atividades das RRN?</w:t>
      </w:r>
    </w:p>
    <w:p w:rsidR="00A45935" w:rsidRPr="00C9522B" w:rsidRDefault="00A45935" w:rsidP="00547012">
      <w:pPr>
        <w:pStyle w:val="Hlistbullet"/>
      </w:pPr>
      <w:r w:rsidRPr="005D5864">
        <w:rPr>
          <w:b/>
        </w:rPr>
        <w:t>Atribuir à RRN o fomento da inovação através do PDR</w:t>
      </w:r>
      <w:r>
        <w:t xml:space="preserve">, nomeadamente, avaliando em que medida o fomento da inovação através do PDR pode estar associada às atividades da RRN. Isto significa que os efeitos das atividades da RRN sobre o fomento da inovação devem ser isolados dos efeitos de outras intervenções do PDR (outras medidas, etc.).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Abordagem proposta para responder à QAC n.º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Lógica de intervenção </w:t>
      </w:r>
    </w:p>
    <w:p w:rsidR="00A45935" w:rsidRPr="00E05D08" w:rsidRDefault="00A45935" w:rsidP="00E05D08">
      <w:pPr>
        <w:spacing w:after="120" w:line="280" w:lineRule="atLeast"/>
        <w:mirrorIndents/>
        <w:rPr>
          <w:rFonts w:eastAsia="Times New Roman" w:cs="Times New Roman"/>
          <w:szCs w:val="20"/>
        </w:rPr>
      </w:pPr>
      <w:r>
        <w:t>A abordagem do PDR para a inovação conforme estabelecida durante a conceção do programa</w:t>
      </w:r>
      <w:r>
        <w:rPr>
          <w:rFonts w:eastAsia="Times New Roman" w:cs="Times New Roman"/>
          <w:szCs w:val="20"/>
          <w:vertAlign w:val="superscript"/>
          <w:lang w:eastAsia="de-DE"/>
        </w:rPr>
        <w:footnoteReference w:id="61"/>
      </w:r>
      <w:r>
        <w:t xml:space="preserve"> inclui igualmente a RRN. Na preparação da avaliação a comunicar no relatório anual de execução (RAE) que será apresentado em 2019, o grupo de ações da RRN incluído no plano de ação da RRN é avaliado em termos do seu potencial para fomentar a inovação da mesma forma que as medidas do PDR. Tal diz respeito ao potencial da RRN para: a) identificar e partilhar novas ideias, b) reforçar a capacidade de inovação e c) criar um ambiente propício à inovação. Por conseguinte, todas as atividades executadas no âmbito do grupo de ações da RRN que demonstraram ter potencial de inovação, são assumidas como fazendo parte da lógica de intervenção subjacente da RRN relacionada com a inovação.</w:t>
      </w:r>
    </w:p>
    <w:p w:rsidR="00A45935" w:rsidRPr="00E05D08" w:rsidRDefault="00A45935" w:rsidP="006E2A31">
      <w:pPr>
        <w:pStyle w:val="HStandard"/>
        <w:rPr>
          <w:b/>
          <w:sz w:val="16"/>
        </w:rPr>
      </w:pPr>
      <w:r>
        <w:t xml:space="preserve">A figura </w:t>
      </w:r>
      <w:r>
        <w:rPr>
          <w:i/>
        </w:rPr>
        <w:t>infra</w:t>
      </w:r>
      <w:r>
        <w:t xml:space="preserve"> ilustra a lógica de intervenção da RRN relacionada com a inovação e a forma como esta pode ser reconstruída a partir da lógica de intervenção atual da RRN ou do plano de ação da RRN. </w:t>
      </w:r>
      <w:r>
        <w:br w:type="page"/>
      </w:r>
    </w:p>
    <w:p w:rsidR="00A45935" w:rsidRDefault="00096490" w:rsidP="00096490">
      <w:pPr>
        <w:pStyle w:val="HHeadingfigures"/>
        <w:numPr>
          <w:ilvl w:val="0"/>
          <w:numId w:val="0"/>
        </w:numPr>
        <w:ind w:left="851"/>
      </w:pPr>
      <w:bookmarkStart w:id="121" w:name="_Toc503284763"/>
      <w:r>
        <w:lastRenderedPageBreak/>
        <w:t>Figura 10.</w:t>
      </w:r>
      <w:r>
        <w:tab/>
      </w:r>
      <w:r w:rsidR="00A45935">
        <w:t>Lógica de intervenção da RRN relativamente à inovação</w:t>
      </w:r>
      <w:bookmarkEnd w:id="121"/>
    </w:p>
    <w:p w:rsidR="005D5864" w:rsidRPr="005D5864" w:rsidRDefault="005D5864" w:rsidP="005D5864">
      <w:pPr>
        <w:pStyle w:val="HStandard"/>
      </w:pPr>
      <w:r w:rsidRPr="005D5864">
        <w:rPr>
          <w:lang w:val="en-GB" w:eastAsia="en-GB"/>
        </w:rPr>
        <w:drawing>
          <wp:inline distT="0" distB="0" distL="0" distR="0" wp14:anchorId="22AAE885" wp14:editId="11A6FC14">
            <wp:extent cx="5731510" cy="3219493"/>
            <wp:effectExtent l="0" t="0" r="254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219493"/>
                    </a:xfrm>
                    <a:prstGeom prst="rect">
                      <a:avLst/>
                    </a:prstGeom>
                    <a:noFill/>
                    <a:ln>
                      <a:noFill/>
                    </a:ln>
                  </pic:spPr>
                </pic:pic>
              </a:graphicData>
            </a:graphic>
          </wp:inline>
        </w:drawing>
      </w:r>
    </w:p>
    <w:p w:rsidR="00A45935" w:rsidRPr="00E05D08" w:rsidRDefault="00A45935" w:rsidP="00E05D08">
      <w:pPr>
        <w:spacing w:before="240" w:after="120" w:line="280" w:lineRule="atLeast"/>
        <w:ind w:left="-142"/>
        <w:mirrorIndents/>
        <w:jc w:val="center"/>
        <w:rPr>
          <w:rFonts w:eastAsia="Times New Roman" w:cs="Times New Roman"/>
          <w:b/>
          <w:szCs w:val="20"/>
        </w:rPr>
      </w:pP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Fonte: Serviço Europeu de Assistência na Avaliação para o Desenvolvimento Rural, 2017.</w:t>
      </w:r>
    </w:p>
    <w:p w:rsidR="00A45935" w:rsidRPr="00E05D08" w:rsidRDefault="00A45935" w:rsidP="00E05D08">
      <w:pPr>
        <w:spacing w:before="120" w:after="120" w:line="280" w:lineRule="atLeast"/>
        <w:mirrorIndents/>
        <w:rPr>
          <w:rFonts w:eastAsia="Times New Roman" w:cs="Times New Roman"/>
          <w:szCs w:val="20"/>
        </w:rPr>
      </w:pPr>
      <w:r>
        <w:t>Com base na figura é possível reconstruir uma lógica de intervenção da RRN relacionada com a inovação do seguinte modo:</w:t>
      </w:r>
    </w:p>
    <w:p w:rsidR="00A45935" w:rsidRPr="00BC2432" w:rsidRDefault="00A45935" w:rsidP="00676B41">
      <w:pPr>
        <w:pStyle w:val="Hlistbullet"/>
      </w:pPr>
      <w:r w:rsidRPr="005D5864">
        <w:rPr>
          <w:b/>
        </w:rPr>
        <w:t>PASSO 1</w:t>
      </w:r>
      <w:r>
        <w:t xml:space="preserve">: identificar as necessidades em termos de inovação do território do PDR que podem ser resolvidas através de redes rurais. </w:t>
      </w:r>
    </w:p>
    <w:p w:rsidR="00A45935" w:rsidRPr="00BC2432" w:rsidRDefault="00A45935" w:rsidP="00676B41">
      <w:pPr>
        <w:pStyle w:val="Hlistbullet"/>
      </w:pPr>
      <w:r>
        <w:rPr>
          <w:b/>
        </w:rPr>
        <w:t>PASSO 2:</w:t>
      </w:r>
      <w:r>
        <w:t xml:space="preserve"> ligar as atividades conforme listadas no plano de ação da RRN (e predefinidas no quadro regulamentar do período de programação de 2014 a 2020</w:t>
      </w:r>
      <w:r>
        <w:rPr>
          <w:rFonts w:cs="Arial"/>
          <w:vertAlign w:val="superscript"/>
        </w:rPr>
        <w:footnoteReference w:id="62"/>
      </w:r>
      <w:r>
        <w:t xml:space="preserve">) às três vias e, consequentemente, ao objetivo global de fomentar a inovação através da RRN (com base na análise do potencial de inovação das medidas – ver o </w:t>
      </w:r>
      <w:hyperlink w:anchor="Screening_Potential" w:history="1">
        <w:r>
          <w:rPr>
            <w:rStyle w:val="Hyperlink"/>
            <w:sz w:val="20"/>
          </w:rPr>
          <w:t>Capítulo 2.2</w:t>
        </w:r>
      </w:hyperlink>
      <w:r>
        <w:t>).</w:t>
      </w:r>
    </w:p>
    <w:p w:rsidR="00A45935" w:rsidRPr="00BC2432" w:rsidRDefault="00A45935" w:rsidP="00676B41">
      <w:pPr>
        <w:pStyle w:val="Hlistbullet"/>
      </w:pPr>
      <w:r>
        <w:rPr>
          <w:b/>
        </w:rPr>
        <w:t>PASSO 3:</w:t>
      </w:r>
      <w:r>
        <w:t xml:space="preserve"> Utilizar a teoria da mudança para definir as realizações previstas, tal como geradas através das atividades, que conduzem aos resultados previstos relacionados com as três vias. Os impactos ligados aos objetivos comuns da RRN e aos objetivos do PDR.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Elementos de avaliação </w:t>
      </w:r>
    </w:p>
    <w:p w:rsidR="00A45935" w:rsidRPr="00E05D08" w:rsidRDefault="00A45935" w:rsidP="00676B41">
      <w:pPr>
        <w:spacing w:after="120" w:line="280" w:lineRule="atLeast"/>
        <w:ind w:left="142"/>
        <w:mirrorIndents/>
        <w:rPr>
          <w:rFonts w:eastAsia="Times New Roman" w:cs="Times New Roman"/>
          <w:szCs w:val="20"/>
        </w:rPr>
      </w:pPr>
      <w:r>
        <w:t>Existe um critério de apreciação para responder à QAC n.º 21, nomeadamente, «A inovação na agricultura, na produção alimentar, nas florestas e nas zonas rurais foi fomentada pela RRN»</w:t>
      </w:r>
      <w:r>
        <w:rPr>
          <w:rFonts w:eastAsia="Times New Roman" w:cs="Times New Roman"/>
          <w:szCs w:val="20"/>
          <w:vertAlign w:val="superscript"/>
          <w:lang w:eastAsia="de-DE"/>
        </w:rPr>
        <w:footnoteReference w:id="63"/>
      </w:r>
      <w:r>
        <w:t>. Este é apoiado por dois indicadores comuns de resultados</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Número de intercâmbios temáticos e analíticos estabelecidos com o apoio da RRN (O24)</w:t>
      </w:r>
    </w:p>
    <w:p w:rsidR="00A45935" w:rsidRPr="005D0347" w:rsidRDefault="00A45935" w:rsidP="008C0B17">
      <w:pPr>
        <w:numPr>
          <w:ilvl w:val="0"/>
          <w:numId w:val="95"/>
        </w:numPr>
        <w:tabs>
          <w:tab w:val="left" w:pos="426"/>
        </w:tabs>
        <w:ind w:left="426" w:hanging="284"/>
        <w:mirrorIndents/>
        <w:rPr>
          <w:szCs w:val="20"/>
        </w:rPr>
      </w:pPr>
      <w:r>
        <w:t>Número de atividades da REDR em que participou a RRN (O26)</w:t>
      </w:r>
    </w:p>
    <w:p w:rsidR="00A45935" w:rsidRPr="00E05D08" w:rsidRDefault="00A45935" w:rsidP="00E05D08">
      <w:pPr>
        <w:spacing w:after="120" w:line="280" w:lineRule="atLeast"/>
        <w:mirrorIndents/>
        <w:rPr>
          <w:rFonts w:eastAsia="Times New Roman" w:cs="Times New Roman"/>
          <w:szCs w:val="20"/>
        </w:rPr>
      </w:pPr>
      <w:r>
        <w:t>No Quadro 5 são propostos critérios de apreciação e indicadores complementares. Para o efeito, o critério de apreciação atual foi dividido em vários, ao longo das três vias de inovação.</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EB2EBF" w:rsidP="00EB2EBF">
      <w:pPr>
        <w:pStyle w:val="HHeadingtables"/>
        <w:numPr>
          <w:ilvl w:val="0"/>
          <w:numId w:val="0"/>
        </w:numPr>
        <w:ind w:left="284"/>
      </w:pPr>
      <w:bookmarkStart w:id="122" w:name="_Toc503284467"/>
      <w:r>
        <w:lastRenderedPageBreak/>
        <w:t>Quadro 5.</w:t>
      </w:r>
      <w:r>
        <w:tab/>
      </w:r>
      <w:r w:rsidR="00A45935">
        <w:t>Critérios de apreciação, indicadores e dados propostos para responder à QAC n.º 21</w:t>
      </w:r>
      <w:bookmarkEnd w:id="122"/>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Critérios de apreciação</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Indicadores</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Dados necessários</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Fontes de dados</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Elementos de avaliação comuns (SCAA e documento de trabalho proposto «Common evaluation questions 2014-2020» (Questões de avaliação comuns 2014-2020))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inovação na agricultura, na produção alimentar, nas florestas e nas zonas rurais foi fomentada pela RRN.</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Número de intercâmbios temáticos e analíticos estabelecidos com o apoio da RRN (os relacionados com a inovação).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Número de ferramentas de comunicação das RRN (as relacionadas com a inovação).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Número de atividades da REDR em que a RRN participou (as relacionadas com a inovação).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Indicador adicional:</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 de projetos inovadores incentivados pela RRN do número total de projetos inovadores apoiados pelo PDR.</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Dados sobre intercâmbios temáticos e analíticos inovadores criados pela RRN.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Dados sobre ferramentas de comunicação relacionadas com a inovação criados pela RRN.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Informações sobre atividades da REDR relacionadas com a inovação em que a RRN participou.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Dados sobre projetos de inovação do PDR iniciados/apoiados pela RRN.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Sistema de acompanhamento do PDR.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Acompanhamento e autoavaliação da RRN.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Acompanhamento da REDR (estatísticas de rede).</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Elementos de avaliação adicionais associados ao contributo da RRN para a identificação e a partilha da inovação (facultativo)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atividades de publicidade, informação e comunicação realizadas pela RRN relativas à inovação no PDR aumentaram.</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atividades de publicidade, informação e comunicação relativas à inovação realizadas pela RRN.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atividades de publicidade, informação e comunicação por tema.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Acompanhamento e autoavaliação das RRN.</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Entrevistas.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Publicações das RRN.</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Critérios de apreciação</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Indicadores</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Dados necessários</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Fontes de dados</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Elementos de avaliação adicionais associados ao contributo da RRN para a capacidade de inovação (facultativo)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atividades da RRN relativas à formação e à ligação em rede aumentaram para: a) os conselheiros e serviços de apoio à inovação e/ou b) os GAL.</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atividades de formação e de ligação em rede da RRN para: a) os conselheiros e serviços de apoio à inovação e/ou b) os GAL.</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atividades de formação e de ligação em rede, por grupo-alvo.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RRN (acompanhamento, autoavaliação, entrevistas, publicações).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Os GAL (entrevistas, inquéritos, grupos de reflexão).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 capacidade dos conselheiros e serviços de apoio à inovação para facilitar o estabelecimento dos GO melhorou devido às atividades da RRN.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dos GO que foi criado com o apoio de conselheiros/serviços de apoio à inovação que receberam atividades de formação/ligação em rede pela RRN.</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dos GO criado com o apoio de conselheiros/serviços de apoio à inovação.</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dos GO criados com o apoio de conselheiros/serviços de apoio à inovação que receberam atividades de formação/ligação em rede pela RRN.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RRN (acompanhamento, autoavaliação, entrevistas, publicações).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Inquéritos/grupos de reflexão com os GO.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Inquéritos/grupos de reflexão para conselheiros (serviços de apoio à inovação).</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Elementos de avaliação adicionais associados ao contributo da RRN para a criação de um ambiente propício à inovação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participação da RRN em atividades da REDR relacionadas com a inovação aumentou.</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Número de atividades da REDR em que participou a RRN (O.26), entre as quais sobre temas da inovação.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atividades da REDR em que participou a RRN (item de dados O.26), por tema.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Quadros de acompanhamento.</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RRN (acompanhamento, autoavaliação, entrevistas, publicações).</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 participação da RRN em atividades da PEI aumentou.</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e tipo de contributos da RRN para a PEI-AGRI, entre os quais: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fornecimento de exemplos de projetos/boas práticas direcionados para a inovação;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organização de reuniões em matéria de inovação;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eventos de ligação em rede entre partes interessadas na inovação, nomeadamente, os GAL e os GO;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intercâmbios transfronteiriços de informações sobre projetos, iniciativas de investigação, redes temáticas e possibilidades de financiamento no âmbito do Programa-Quadro Horizonte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atividades de apoio aos serviços de apoio à inovação para incentivar ações inovadoras e criar os GO;</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apoio em matéria de procura de parceiros.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Número de contributos da RRN para a PEI por tipo, tal como estipulado pelo artigo 35.º, n.º 2, alíneas a) a f), do Regulamento (UE) n.º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As RRN (acompanhamento, autoavaliação, entrevistas, publicações).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Estrutura de ligação em rede a nível dos Estados-Membros para serviços de apoio à inovação (se distinto da RRN).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Serviço de Orientação da PEI.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Inquéritos/grupos de reflexão com projetos dos GO.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Maior colaboração, intercâmbio e ligação em rede entre os parceiros do projeto de inovação.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Número de grupos de cooperação/parcerias/redes adicionais entre os parceiros do projeto de inovação incentivados pela RRN.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Número de redes, parcerias e/ou grupos de cooperação entre os parceiros do projeto de inovação suportados pela RRN.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Base de dados da RRN.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Inquéritos/grupos de reflexão.</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Metodologia de avaliação proposta </w:t>
      </w:r>
    </w:p>
    <w:p w:rsidR="00A45935" w:rsidRPr="00E05D08" w:rsidRDefault="00A45935" w:rsidP="00E05D08">
      <w:pPr>
        <w:spacing w:after="120" w:line="280" w:lineRule="atLeast"/>
        <w:mirrorIndents/>
        <w:rPr>
          <w:rFonts w:eastAsia="Times New Roman" w:cs="Arial"/>
          <w:szCs w:val="20"/>
        </w:rPr>
      </w:pPr>
      <w:r>
        <w:t>Recomendamos as seguintes etapas para responder à QAC n.º 21:</w:t>
      </w:r>
    </w:p>
    <w:p w:rsidR="00A45935" w:rsidRPr="007707EC" w:rsidRDefault="00A45935" w:rsidP="00676B41">
      <w:pPr>
        <w:pStyle w:val="Hlistbullet"/>
      </w:pPr>
      <w:r>
        <w:rPr>
          <w:b/>
        </w:rPr>
        <w:t xml:space="preserve">PASSO 1: </w:t>
      </w:r>
      <w:r w:rsidRPr="005D5864">
        <w:rPr>
          <w:b/>
        </w:rPr>
        <w:t>recolher informação para identificar o contributo da RRN para fomentar a inovação</w:t>
      </w:r>
      <w:r>
        <w:t xml:space="preserve"> junto das partes interessadas envolvidas nas ações da RRN com potencial de inovação. Tal pode ser feito utilizando critérios de apreciação e indicadores e através da aplicação dos métodos indicados no Quadro 6 abaixo.</w:t>
      </w:r>
    </w:p>
    <w:p w:rsidR="00A45935" w:rsidRPr="007707EC" w:rsidRDefault="00A45935" w:rsidP="00676B41">
      <w:pPr>
        <w:pStyle w:val="Hlistbullet"/>
      </w:pPr>
      <w:r>
        <w:rPr>
          <w:b/>
        </w:rPr>
        <w:t xml:space="preserve">PASSO 2: </w:t>
      </w:r>
      <w:r w:rsidRPr="005D5864">
        <w:rPr>
          <w:b/>
        </w:rPr>
        <w:t>quantificar os indicadores de resultados e os indicadores específicos da RRN associados à inovação</w:t>
      </w:r>
      <w:r>
        <w:t xml:space="preserve"> utilizando dados de acompanhamento sobre as atividades da RRN da base de dados de operações do PDR e do sistema de acompanhamento das RRN. </w:t>
      </w:r>
    </w:p>
    <w:p w:rsidR="00A45935" w:rsidRPr="007707EC" w:rsidRDefault="00A45935" w:rsidP="00676B41">
      <w:pPr>
        <w:pStyle w:val="Hlistbullet"/>
      </w:pPr>
      <w:r>
        <w:rPr>
          <w:b/>
        </w:rPr>
        <w:t xml:space="preserve">PASSO 3: </w:t>
      </w:r>
      <w:r w:rsidRPr="005D5864">
        <w:rPr>
          <w:b/>
        </w:rPr>
        <w:t>aplicar a teoria da mudança para comparar as conclusões com o potencial de inovação</w:t>
      </w:r>
      <w:r>
        <w:t xml:space="preserve"> das atividades da RRN identificadas no início do processo de avaliação com as atividades da RRN executadas. Tal inclui o desenvolvimento de um calendário e de uma narrativa de causalidade que descreva os resultados das atividades da RRN em relação às vias de inovação e o modo como se concretizaram (utilizando também as informações fornecidas pelo sistema de acompanhamento).</w:t>
      </w:r>
      <w:r>
        <w:rPr>
          <w:b/>
        </w:rPr>
        <w:t xml:space="preserve"> </w:t>
      </w:r>
      <w:r>
        <w:t>Validar o que precede utilizando técnicas de triangulação.</w:t>
      </w:r>
    </w:p>
    <w:p w:rsidR="00A45935" w:rsidRPr="007707EC" w:rsidRDefault="00A45935" w:rsidP="00676B41">
      <w:pPr>
        <w:pStyle w:val="Hlistbullet"/>
      </w:pPr>
      <w:r>
        <w:rPr>
          <w:b/>
        </w:rPr>
        <w:t xml:space="preserve">PASSO 4: </w:t>
      </w:r>
      <w:r w:rsidRPr="005D5864">
        <w:rPr>
          <w:b/>
        </w:rPr>
        <w:t>responder à QAC avaliando em que medida a RRN contribuiu para fomentar a inovação</w:t>
      </w:r>
      <w:r>
        <w:t xml:space="preserve"> através de diferentes grupos de atividades, utilizando uma escala de Likert</w:t>
      </w:r>
      <w:r>
        <w:rPr>
          <w:rFonts w:cs="Arial"/>
          <w:vertAlign w:val="superscript"/>
        </w:rPr>
        <w:footnoteReference w:id="65"/>
      </w:r>
      <w:r>
        <w:t>. O avaliador deve igualmente classificar o nível de confiança que a parte interessada inquirida/entrevistada tem nas conclusões utilizando uma escala semelhante de cinco pontos. As classificações atribuídas terão de ser justificadas.</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79B0CD9D" wp14:editId="0ECD0124">
                <wp:extent cx="5828030" cy="3373820"/>
                <wp:effectExtent l="0" t="0" r="20320" b="17145"/>
                <wp:docPr id="550" name="Rectangle: Diagonal Corners Rounded 550"/>
                <wp:cNvGraphicFramePr/>
                <a:graphic xmlns:a="http://schemas.openxmlformats.org/drawingml/2006/main">
                  <a:graphicData uri="http://schemas.microsoft.com/office/word/2010/wordprocessingShape">
                    <wps:wsp>
                      <wps:cNvSpPr/>
                      <wps:spPr>
                        <a:xfrm>
                          <a:off x="0" y="0"/>
                          <a:ext cx="5828030" cy="3373820"/>
                        </a:xfrm>
                        <a:prstGeom prst="round2DiagRect">
                          <a:avLst>
                            <a:gd name="adj1" fmla="val 6942"/>
                            <a:gd name="adj2" fmla="val 0"/>
                          </a:avLst>
                        </a:prstGeom>
                        <a:noFill/>
                        <a:ln w="25400" cap="flat" cmpd="sng" algn="ctr">
                          <a:solidFill>
                            <a:srgbClr val="F07E31"/>
                          </a:solidFill>
                          <a:prstDash val="solid"/>
                        </a:ln>
                        <a:effectLst/>
                      </wps:spPr>
                      <wps:txbx>
                        <w:txbxContent>
                          <w:p w:rsidR="00B06BF7" w:rsidRPr="00E05D08" w:rsidRDefault="00B06BF7" w:rsidP="00E05D08">
                            <w:pPr>
                              <w:pStyle w:val="HStandard"/>
                              <w:ind w:left="567" w:hanging="567"/>
                              <w:rPr>
                                <w:b/>
                                <w:color w:val="F07E31"/>
                                <w:sz w:val="18"/>
                                <w:szCs w:val="18"/>
                              </w:rPr>
                            </w:pPr>
                            <w:r>
                              <w:rPr>
                                <w:sz w:val="18"/>
                                <w:szCs w:val="18"/>
                                <w:lang w:val="en-GB" w:eastAsia="en-GB"/>
                              </w:rPr>
                              <w:drawing>
                                <wp:inline distT="0" distB="0" distL="0" distR="0" wp14:anchorId="696FEC80" wp14:editId="05D0D31B">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Exemplos dos RAE apresentados em 2017</w:t>
                            </w:r>
                          </w:p>
                          <w:p w:rsidR="00B06BF7" w:rsidRPr="005D5864" w:rsidRDefault="00B06BF7" w:rsidP="00E05D08">
                            <w:pPr>
                              <w:pStyle w:val="HStandard"/>
                              <w:rPr>
                                <w:sz w:val="16"/>
                                <w:szCs w:val="16"/>
                              </w:rPr>
                            </w:pPr>
                            <w:r w:rsidRPr="005D5864">
                              <w:rPr>
                                <w:b/>
                                <w:sz w:val="16"/>
                                <w:szCs w:val="16"/>
                              </w:rPr>
                              <w:t>República Checa</w:t>
                            </w:r>
                            <w:r w:rsidRPr="005D5864">
                              <w:rPr>
                                <w:sz w:val="16"/>
                                <w:szCs w:val="16"/>
                              </w:rPr>
                              <w:t xml:space="preserve"> - menciona estudos de casos com base em informações recolhidas junto dos beneficiários de projetos inovadores. Propõe rastrear os dados relativos a projetos inovadores em termos dos indicadores de resultados O.24 e O.25 através da base de dados de operações e utilizá-los na avaliação em 2019:</w:t>
                            </w:r>
                          </w:p>
                          <w:p w:rsidR="00B06BF7" w:rsidRPr="005D5864" w:rsidRDefault="00B06BF7" w:rsidP="008C0B17">
                            <w:pPr>
                              <w:pStyle w:val="HStandard"/>
                              <w:numPr>
                                <w:ilvl w:val="0"/>
                                <w:numId w:val="49"/>
                              </w:numPr>
                              <w:tabs>
                                <w:tab w:val="left" w:pos="5702"/>
                              </w:tabs>
                              <w:ind w:left="567" w:hanging="567"/>
                              <w:rPr>
                                <w:sz w:val="16"/>
                                <w:szCs w:val="16"/>
                              </w:rPr>
                            </w:pPr>
                            <w:r w:rsidRPr="005D5864">
                              <w:rPr>
                                <w:sz w:val="16"/>
                                <w:szCs w:val="16"/>
                              </w:rPr>
                              <w:t xml:space="preserve">O.24 - Número de intercâmbios temáticos e analíticos entre as partes interessadas no desenvolvimento rural criados com o apoio da RRN – intercâmbios focados sobre conselheiros e serviços de apoio à inovação. </w:t>
                            </w:r>
                          </w:p>
                          <w:p w:rsidR="00B06BF7" w:rsidRPr="005D5864" w:rsidRDefault="00B06BF7" w:rsidP="008C0B17">
                            <w:pPr>
                              <w:pStyle w:val="HStandard"/>
                              <w:numPr>
                                <w:ilvl w:val="0"/>
                                <w:numId w:val="49"/>
                              </w:numPr>
                              <w:tabs>
                                <w:tab w:val="left" w:pos="5702"/>
                              </w:tabs>
                              <w:ind w:left="567" w:hanging="567"/>
                              <w:rPr>
                                <w:sz w:val="16"/>
                                <w:szCs w:val="16"/>
                              </w:rPr>
                            </w:pPr>
                            <w:r w:rsidRPr="005D5864">
                              <w:rPr>
                                <w:sz w:val="16"/>
                                <w:szCs w:val="16"/>
                              </w:rPr>
                              <w:t>O.25 - Número de ferramentas de comunicação das RRN focadas em conselheiros e serviços de apoio à inovação.</w:t>
                            </w:r>
                          </w:p>
                          <w:p w:rsidR="00B06BF7" w:rsidRPr="005D5864" w:rsidRDefault="00B06BF7" w:rsidP="00E05D08">
                            <w:pPr>
                              <w:pStyle w:val="HStandard"/>
                              <w:rPr>
                                <w:sz w:val="16"/>
                                <w:szCs w:val="16"/>
                              </w:rPr>
                            </w:pPr>
                            <w:r w:rsidRPr="005D5864">
                              <w:rPr>
                                <w:b/>
                                <w:sz w:val="16"/>
                                <w:szCs w:val="16"/>
                              </w:rPr>
                              <w:t>Eslováquia</w:t>
                            </w:r>
                            <w:r w:rsidRPr="005D5864">
                              <w:rPr>
                                <w:sz w:val="16"/>
                                <w:szCs w:val="16"/>
                              </w:rPr>
                              <w:t xml:space="preserve"> - descreve as entrevistas com os agentes envolvidos (RRN e os participantes nas atividades da RRN) para a recolha de dados para os indicadores adicionais: Percentagem (%) de projetos inovadores apoiados pela RRN do número total de projetos inovadores apoiados pelo PDR. </w:t>
                            </w:r>
                          </w:p>
                          <w:p w:rsidR="00B06BF7" w:rsidRPr="005D5864" w:rsidRDefault="00B06BF7" w:rsidP="00E05D08">
                            <w:pPr>
                              <w:pStyle w:val="HStandard"/>
                              <w:rPr>
                                <w:sz w:val="16"/>
                                <w:szCs w:val="16"/>
                              </w:rPr>
                            </w:pPr>
                            <w:r w:rsidRPr="005D5864">
                              <w:rPr>
                                <w:b/>
                                <w:sz w:val="16"/>
                                <w:szCs w:val="16"/>
                              </w:rPr>
                              <w:t>Castela e Leão (ES)</w:t>
                            </w:r>
                            <w:r w:rsidRPr="005D5864">
                              <w:rPr>
                                <w:sz w:val="16"/>
                                <w:szCs w:val="16"/>
                              </w:rPr>
                              <w:t xml:space="preserve"> - recomenda introduzir no sistema de acompanhamento um indicador que meça o número de participantes em projetos da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B0CD9D" id="Rectangle: Diagonal Corners Rounded 550" o:spid="_x0000_s1051" style="width:458.9pt;height:265.65pt;visibility:visible;mso-wrap-style:square;mso-left-percent:-10001;mso-top-percent:-10001;mso-position-horizontal:absolute;mso-position-horizontal-relative:char;mso-position-vertical:absolute;mso-position-vertical-relative:line;mso-left-percent:-10001;mso-top-percent:-10001;v-text-anchor:middle" coordsize="5828030,3373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" adj="-11796480,,5400" path="m234211,l5828030,r,l5828030,3139609v,129351,-104860,234211,-234211,234211l,3373820r,l,234211c,104860,104860,,234211,xe" filled="f" strokecolor="#f07e31" strokeweight="2pt">
                <v:stroke joinstyle="miter"/>
                <v:formulas/>
                <v:path arrowok="t" o:connecttype="custom" o:connectlocs="234211,0;5828030,0;5828030,0;5828030,3139609;5593819,3373820;0,3373820;0,3373820;0,234211;234211,0" o:connectangles="0,0,0,0,0,0,0,0,0" textboxrect="0,0,5828030,3373820"/>
                <v:textbox>
                  <w:txbxContent>
                    <w:p w:rsidR="00B06BF7" w:rsidRPr="00E05D08" w:rsidRDefault="00B06BF7" w:rsidP="00E05D08">
                      <w:pPr>
                        <w:pStyle w:val="HStandard"/>
                        <w:ind w:left="567" w:hanging="567"/>
                        <w:rPr>
                          <w:b/>
                          <w:color w:val="F07E31"/>
                          <w:sz w:val="18"/>
                          <w:szCs w:val="18"/>
                        </w:rPr>
                      </w:pPr>
                      <w:r>
                        <w:rPr>
                          <w:sz w:val="18"/>
                          <w:szCs w:val="18"/>
                          <w:lang w:val="en-GB" w:eastAsia="en-GB"/>
                        </w:rPr>
                        <w:drawing>
                          <wp:inline distT="0" distB="0" distL="0" distR="0" wp14:anchorId="696FEC80" wp14:editId="05D0D31B">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Exemplos dos RAE apresentados em 2017</w:t>
                      </w:r>
                    </w:p>
                    <w:p w:rsidR="00B06BF7" w:rsidRPr="005D5864" w:rsidRDefault="00B06BF7" w:rsidP="00E05D08">
                      <w:pPr>
                        <w:pStyle w:val="HStandard"/>
                        <w:rPr>
                          <w:sz w:val="16"/>
                          <w:szCs w:val="16"/>
                        </w:rPr>
                      </w:pPr>
                      <w:r w:rsidRPr="005D5864">
                        <w:rPr>
                          <w:b/>
                          <w:sz w:val="16"/>
                          <w:szCs w:val="16"/>
                        </w:rPr>
                        <w:t>República Checa</w:t>
                      </w:r>
                      <w:r w:rsidRPr="005D5864">
                        <w:rPr>
                          <w:sz w:val="16"/>
                          <w:szCs w:val="16"/>
                        </w:rPr>
                        <w:t xml:space="preserve"> - menciona estudos de casos com base em informações recolhidas junto dos beneficiários de projetos inovadores. Propõe rastrear os dados relativos a projetos inovadores em termos dos indicadores de resultados O.24 e O.25 através da base de dados de operações e utilizá-los na avaliação em 2019:</w:t>
                      </w:r>
                    </w:p>
                    <w:p w:rsidR="00B06BF7" w:rsidRPr="005D5864" w:rsidRDefault="00B06BF7" w:rsidP="008C0B17">
                      <w:pPr>
                        <w:pStyle w:val="HStandard"/>
                        <w:numPr>
                          <w:ilvl w:val="0"/>
                          <w:numId w:val="49"/>
                        </w:numPr>
                        <w:tabs>
                          <w:tab w:val="left" w:pos="5702"/>
                        </w:tabs>
                        <w:ind w:left="567" w:hanging="567"/>
                        <w:rPr>
                          <w:sz w:val="16"/>
                          <w:szCs w:val="16"/>
                        </w:rPr>
                      </w:pPr>
                      <w:r w:rsidRPr="005D5864">
                        <w:rPr>
                          <w:sz w:val="16"/>
                          <w:szCs w:val="16"/>
                        </w:rPr>
                        <w:t xml:space="preserve">O.24 - Número de intercâmbios temáticos e analíticos entre as partes interessadas no desenvolvimento rural criados com o apoio da RRN – intercâmbios focados sobre conselheiros e serviços de apoio à inovação. </w:t>
                      </w:r>
                    </w:p>
                    <w:p w:rsidR="00B06BF7" w:rsidRPr="005D5864" w:rsidRDefault="00B06BF7" w:rsidP="008C0B17">
                      <w:pPr>
                        <w:pStyle w:val="HStandard"/>
                        <w:numPr>
                          <w:ilvl w:val="0"/>
                          <w:numId w:val="49"/>
                        </w:numPr>
                        <w:tabs>
                          <w:tab w:val="left" w:pos="5702"/>
                        </w:tabs>
                        <w:ind w:left="567" w:hanging="567"/>
                        <w:rPr>
                          <w:sz w:val="16"/>
                          <w:szCs w:val="16"/>
                        </w:rPr>
                      </w:pPr>
                      <w:r w:rsidRPr="005D5864">
                        <w:rPr>
                          <w:sz w:val="16"/>
                          <w:szCs w:val="16"/>
                        </w:rPr>
                        <w:t>O.25 - Número de ferramentas de comunicação das RRN focadas em conselheiros e serviços de apoio à inovação.</w:t>
                      </w:r>
                    </w:p>
                    <w:p w:rsidR="00B06BF7" w:rsidRPr="005D5864" w:rsidRDefault="00B06BF7" w:rsidP="00E05D08">
                      <w:pPr>
                        <w:pStyle w:val="HStandard"/>
                        <w:rPr>
                          <w:sz w:val="16"/>
                          <w:szCs w:val="16"/>
                        </w:rPr>
                      </w:pPr>
                      <w:r w:rsidRPr="005D5864">
                        <w:rPr>
                          <w:b/>
                          <w:sz w:val="16"/>
                          <w:szCs w:val="16"/>
                        </w:rPr>
                        <w:t>Eslováquia</w:t>
                      </w:r>
                      <w:r w:rsidRPr="005D5864">
                        <w:rPr>
                          <w:sz w:val="16"/>
                          <w:szCs w:val="16"/>
                        </w:rPr>
                        <w:t xml:space="preserve"> - descreve as entrevistas com os agentes envolvidos (RRN e os participantes nas atividades da RRN) para a recolha de dados para os indicadores adicionais: Percentagem (%) de projetos inovadores apoiados pela RRN do número total de projetos inovadores apoiados pelo PDR. </w:t>
                      </w:r>
                    </w:p>
                    <w:p w:rsidR="00B06BF7" w:rsidRPr="005D5864" w:rsidRDefault="00B06BF7" w:rsidP="00E05D08">
                      <w:pPr>
                        <w:pStyle w:val="HStandard"/>
                        <w:rPr>
                          <w:sz w:val="16"/>
                          <w:szCs w:val="16"/>
                        </w:rPr>
                      </w:pPr>
                      <w:r w:rsidRPr="005D5864">
                        <w:rPr>
                          <w:b/>
                          <w:sz w:val="16"/>
                          <w:szCs w:val="16"/>
                        </w:rPr>
                        <w:t>Castela e Leão (ES)</w:t>
                      </w:r>
                      <w:r w:rsidRPr="005D5864">
                        <w:rPr>
                          <w:sz w:val="16"/>
                          <w:szCs w:val="16"/>
                        </w:rPr>
                        <w:t xml:space="preserve"> - recomenda introduzir no sistema de acompanhamento um indicador que meça o número de participantes em projetos da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As orientações «</w:t>
      </w:r>
      <w:hyperlink r:id="rId63" w:history="1">
        <w:r>
          <w:rPr>
            <w:rStyle w:val="Hyperlink"/>
            <w:sz w:val="20"/>
            <w:szCs w:val="20"/>
          </w:rPr>
          <w:t>Evaluation of National Rural Networks 2014-2020</w:t>
        </w:r>
      </w:hyperlink>
      <w:r>
        <w:rPr>
          <w:rFonts w:eastAsia="Times New Roman" w:cs="Times New Roman"/>
          <w:szCs w:val="20"/>
          <w:vertAlign w:val="superscript"/>
          <w:lang w:eastAsia="de-DE"/>
        </w:rPr>
        <w:footnoteReference w:id="66"/>
      </w:r>
      <w:r>
        <w:t xml:space="preserve">» (Avaliação das redes rurais nacionais 2014-2020) fornecem uma descrição pormenorizada dos métodos e ferramentas de avaliação das RRN. Estas propõem uma abordagem mista que combina métodos quantitativos e </w:t>
      </w:r>
      <w:r>
        <w:lastRenderedPageBreak/>
        <w:t xml:space="preserve">qualitativos que incluem inquéritos, métodos assentes no diálogo, métodos analíticos e métodos de diagnóstico. </w:t>
      </w:r>
    </w:p>
    <w:p w:rsidR="00A45935" w:rsidRPr="00E05D08" w:rsidRDefault="00A45935" w:rsidP="00E05D08">
      <w:pPr>
        <w:spacing w:after="120" w:line="280" w:lineRule="atLeast"/>
        <w:mirrorIndents/>
        <w:rPr>
          <w:rFonts w:eastAsia="Times New Roman" w:cs="Times New Roman"/>
          <w:szCs w:val="20"/>
        </w:rPr>
      </w:pPr>
      <w:r>
        <w:t>O quadro que se segue fornece uma breve síntese dos métodos para resposta à QAC n.º 21 relativamente ao objetivo de inovação d) das RRN. Poderá encontrar uma descrição completa destes métodos nas orientações «</w:t>
      </w:r>
      <w:hyperlink r:id="rId64" w:history="1">
        <w:r>
          <w:rPr>
            <w:rStyle w:val="Hyperlink"/>
            <w:sz w:val="20"/>
            <w:szCs w:val="20"/>
          </w:rPr>
          <w:t>Evaluation of National Rural Networks 2014-2020</w:t>
        </w:r>
      </w:hyperlink>
      <w:r>
        <w:t>» (Avaliação das redes rurais nacionais 2014-2020).</w:t>
      </w:r>
    </w:p>
    <w:p w:rsidR="00A45935" w:rsidRPr="00D57D0A" w:rsidRDefault="00EB2EBF" w:rsidP="00EB2EBF">
      <w:pPr>
        <w:pStyle w:val="HHeadingtables"/>
        <w:numPr>
          <w:ilvl w:val="0"/>
          <w:numId w:val="0"/>
        </w:numPr>
        <w:ind w:left="284"/>
      </w:pPr>
      <w:bookmarkStart w:id="123" w:name="_Toc503284468"/>
      <w:r>
        <w:t>Quadro 6.</w:t>
      </w:r>
      <w:r>
        <w:tab/>
      </w:r>
      <w:r w:rsidR="00A45935">
        <w:t>Métodos recomendados para a QAC n.º 21</w:t>
      </w:r>
      <w:bookmarkEnd w:id="123"/>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FD3B66" w:rsidTr="00E05D08">
        <w:trPr>
          <w:tblHeader/>
        </w:trPr>
        <w:tc>
          <w:tcPr>
            <w:tcW w:w="2405" w:type="dxa"/>
            <w:shd w:val="clear" w:color="auto" w:fill="F07E31"/>
          </w:tcPr>
          <w:p w:rsidR="00A45935" w:rsidRPr="00FD3B66" w:rsidRDefault="00A45935" w:rsidP="00E05D08">
            <w:pPr>
              <w:spacing w:after="120" w:line="280" w:lineRule="atLeast"/>
              <w:mirrorIndents/>
              <w:jc w:val="center"/>
              <w:rPr>
                <w:rFonts w:cs="Arial"/>
                <w:b/>
                <w:color w:val="FFFFFF"/>
                <w:sz w:val="16"/>
                <w:szCs w:val="16"/>
              </w:rPr>
            </w:pPr>
            <w:r w:rsidRPr="00FD3B66">
              <w:rPr>
                <w:b/>
                <w:color w:val="FFFFFF"/>
                <w:sz w:val="16"/>
                <w:szCs w:val="16"/>
              </w:rPr>
              <w:t>Método</w:t>
            </w:r>
          </w:p>
        </w:tc>
        <w:tc>
          <w:tcPr>
            <w:tcW w:w="6612" w:type="dxa"/>
            <w:shd w:val="clear" w:color="auto" w:fill="F07E31"/>
          </w:tcPr>
          <w:p w:rsidR="00A45935" w:rsidRPr="00FD3B66" w:rsidRDefault="00A45935" w:rsidP="00E05D08">
            <w:pPr>
              <w:spacing w:after="120" w:line="280" w:lineRule="atLeast"/>
              <w:mirrorIndents/>
              <w:jc w:val="center"/>
              <w:rPr>
                <w:rFonts w:cs="Arial"/>
                <w:b/>
                <w:color w:val="FFFFFF"/>
                <w:sz w:val="16"/>
                <w:szCs w:val="16"/>
              </w:rPr>
            </w:pPr>
            <w:r w:rsidRPr="00FD3B66">
              <w:rPr>
                <w:b/>
                <w:color w:val="FFFFFF"/>
                <w:sz w:val="16"/>
                <w:szCs w:val="16"/>
              </w:rPr>
              <w:t>Sugestões de utilização de cada método para responder à QAC n.º 21</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b/>
                <w:sz w:val="16"/>
                <w:szCs w:val="16"/>
              </w:rPr>
            </w:pPr>
            <w:r w:rsidRPr="00FD3B66">
              <w:rPr>
                <w:b/>
                <w:sz w:val="16"/>
                <w:szCs w:val="16"/>
              </w:rPr>
              <w:t>Inquéritos</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Podem ser utilizados para a recolha de dados e de informações sobre a inovação que não se encontrem nas bases de dados de acompanhamento, particularmente no que se refere aos indicadores adicionais.</w:t>
            </w:r>
          </w:p>
          <w:p w:rsidR="00A45935" w:rsidRPr="00FD3B66" w:rsidRDefault="00A45935" w:rsidP="00E05D08">
            <w:pPr>
              <w:spacing w:after="120" w:line="280" w:lineRule="atLeast"/>
              <w:rPr>
                <w:rFonts w:eastAsia="Calibri" w:cs="Arial"/>
                <w:sz w:val="16"/>
                <w:szCs w:val="16"/>
              </w:rPr>
            </w:pPr>
            <w:r w:rsidRPr="00FD3B66">
              <w:rPr>
                <w:sz w:val="16"/>
                <w:szCs w:val="16"/>
              </w:rPr>
              <w:t>Os inquéritos podem ser dirigidos às RRN, aos GO da PEI, aos beneficiários dos projetos e a outras partes interessadas na inovação.</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b/>
                <w:sz w:val="16"/>
                <w:szCs w:val="16"/>
              </w:rPr>
            </w:pPr>
            <w:r w:rsidRPr="00FD3B66">
              <w:rPr>
                <w:b/>
                <w:sz w:val="16"/>
                <w:szCs w:val="16"/>
              </w:rPr>
              <w:t>Grupos de reflexão (método assente no diálogo)</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Utilizados como um meio para métodos de avaliação assentes no diálogo, podem ser organizados do seguinte modo para a QAC n.º 21:</w:t>
            </w:r>
          </w:p>
          <w:p w:rsidR="00A45935" w:rsidRPr="00FD3B66" w:rsidRDefault="00A45935" w:rsidP="008C0B17">
            <w:pPr>
              <w:numPr>
                <w:ilvl w:val="0"/>
                <w:numId w:val="40"/>
              </w:numPr>
              <w:spacing w:before="60" w:after="120" w:line="280" w:lineRule="atLeast"/>
              <w:ind w:left="317"/>
              <w:rPr>
                <w:rFonts w:cs="Arial"/>
                <w:sz w:val="16"/>
                <w:szCs w:val="16"/>
              </w:rPr>
            </w:pPr>
            <w:r w:rsidRPr="00FD3B66">
              <w:rPr>
                <w:sz w:val="16"/>
                <w:szCs w:val="16"/>
              </w:rPr>
              <w:t xml:space="preserve">Numa arquitetura de dois planos, criando grupos de reflexão a diferentes níveis (ou seja, conselheiros/serviços de apoio à inovação e os GAL). Os dois níveis podem beneficiar de atividades de formação e de ligação em rede por parte da RRN. </w:t>
            </w:r>
          </w:p>
          <w:p w:rsidR="00A45935" w:rsidRPr="00FD3B66" w:rsidRDefault="00A45935" w:rsidP="008C0B17">
            <w:pPr>
              <w:numPr>
                <w:ilvl w:val="0"/>
                <w:numId w:val="40"/>
              </w:numPr>
              <w:spacing w:before="60" w:after="120" w:line="280" w:lineRule="atLeast"/>
              <w:ind w:left="317"/>
              <w:rPr>
                <w:rFonts w:cs="Arial"/>
                <w:sz w:val="16"/>
                <w:szCs w:val="16"/>
              </w:rPr>
            </w:pPr>
            <w:r w:rsidRPr="00FD3B66">
              <w:rPr>
                <w:sz w:val="16"/>
                <w:szCs w:val="16"/>
              </w:rPr>
              <w:t>Focados sobre a área temática da inovação (por exemplo, criar grupos de pessoas com diversas perspetivas para validar atividades da RRN destinadas a fomentar a inovação).</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b/>
                <w:sz w:val="16"/>
                <w:szCs w:val="16"/>
              </w:rPr>
            </w:pPr>
            <w:r w:rsidRPr="00FD3B66">
              <w:rPr>
                <w:b/>
                <w:sz w:val="16"/>
                <w:szCs w:val="16"/>
              </w:rPr>
              <w:t>Análise funcional de redes (método de diagnóstico)</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Combinar um inquérito em linha efetuado aos GO (distinguindo os que receberam algum tipo de apoio – função de mediação, formação, etc. – da RRN e os que não receberam qualquer apoio) com uma série de entrevistas aprofundadas com GO selecionados. Em alternativa, pode ser organizado um grupo de reflexão com o intuito de refletir sobre os resultados preliminares do inquérito em linha.</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b/>
                <w:sz w:val="16"/>
                <w:szCs w:val="16"/>
              </w:rPr>
            </w:pPr>
            <w:r w:rsidRPr="00FD3B66">
              <w:rPr>
                <w:b/>
                <w:sz w:val="16"/>
                <w:szCs w:val="16"/>
              </w:rPr>
              <w:t>Análise das partes interessadas (método de diagnóstico)</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 xml:space="preserve">Pode ser direcionada às partes interessadas na inovação a diferentes níveis: a estrutura da RRN ou de rede a nível do Estado-Membro para serviços de apoio à inovação (se distinto da RRN); os coordenadores das redes temáticas, os coordenadores dos GO e mesmo o Serviço de Orientação da PEI. </w:t>
            </w:r>
          </w:p>
          <w:p w:rsidR="00A45935" w:rsidRPr="00FD3B66" w:rsidRDefault="00A45935" w:rsidP="00E05D08">
            <w:pPr>
              <w:spacing w:after="120" w:line="280" w:lineRule="atLeast"/>
              <w:rPr>
                <w:rFonts w:eastAsia="Calibri" w:cs="Arial"/>
                <w:sz w:val="16"/>
                <w:szCs w:val="16"/>
              </w:rPr>
            </w:pPr>
            <w:r w:rsidRPr="00FD3B66">
              <w:rPr>
                <w:sz w:val="16"/>
                <w:szCs w:val="16"/>
              </w:rPr>
              <w:t>A análise das partes interessadas ajudará a recolher informação sobre esses indicadores quando os dados não são recolhidos através da base de dados de acompanhamento. No caso da QAC n.º 21, apenas três indicadores de resultados podem ser quantificados utilizando dados de monitorização e, mesmo nesse caso, os dados podem ser demasiado genéricos e não abordar os elementos de inovação. Por exemplo, o número de intercâmbios temáticos e analíticos estabelecidos com o apoio da RRN (O.24) pode ser registado na base de dados de acompanhamento, mas sem referência a quais desses intercâmbios incidiram sobre temas de inovação.</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sz w:val="16"/>
                <w:szCs w:val="16"/>
              </w:rPr>
            </w:pPr>
            <w:r w:rsidRPr="00FD3B66">
              <w:rPr>
                <w:b/>
                <w:sz w:val="16"/>
                <w:szCs w:val="16"/>
              </w:rPr>
              <w:t>Análise das redes sociais (ARS)</w:t>
            </w:r>
            <w:r w:rsidRPr="00FD3B66">
              <w:rPr>
                <w:sz w:val="16"/>
                <w:szCs w:val="16"/>
              </w:rPr>
              <w:t xml:space="preserve"> (método de diagnóstico)</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 xml:space="preserve">A ARS pode ser realizada relativamente a um aspeto temático, nomeadamente, o fomento dos objetivos de inovação da RRN, através da análise das parcelas da rede de inovação (por exemplo, identificando os principais agentes da inovação no âmbito da rede), a avaliação das respetivas características estruturais (por exemplo, a centralidade ou periferia das partes interessadas na inovação) e relativamente a sobreposições entre as </w:t>
            </w:r>
            <w:r w:rsidRPr="00FD3B66">
              <w:rPr>
                <w:sz w:val="16"/>
                <w:szCs w:val="16"/>
              </w:rPr>
              <w:lastRenderedPageBreak/>
              <w:t>mesmas (por exemplo, para a identificação dos principais elementos de ligação) e a sua discussão num grupo de reflexão.</w:t>
            </w:r>
          </w:p>
          <w:p w:rsidR="00A45935" w:rsidRPr="00FD3B66" w:rsidRDefault="00A45935" w:rsidP="00E05D08">
            <w:pPr>
              <w:spacing w:after="120" w:line="280" w:lineRule="atLeast"/>
              <w:rPr>
                <w:rFonts w:eastAsia="Calibri" w:cs="Arial"/>
                <w:sz w:val="16"/>
                <w:szCs w:val="16"/>
              </w:rPr>
            </w:pPr>
            <w:r w:rsidRPr="00FD3B66">
              <w:rPr>
                <w:sz w:val="16"/>
                <w:szCs w:val="16"/>
              </w:rPr>
              <w:t>A ARS pode ajudar a medir o envolvimento de partes interessadas na inovação na RRN e a avaliar a eficácia das realizações relacionadas com a inovação (por exemplo, intercâmbios temáticos e analíticos em matéria de inovação, atividades de formação e ligação em rede sobre inovação e a recolha de exemplos de projetos relacionados com a inovação).</w:t>
            </w:r>
          </w:p>
        </w:tc>
      </w:tr>
      <w:tr w:rsidR="00A45935" w:rsidRPr="00FD3B66" w:rsidTr="00E05D08">
        <w:tc>
          <w:tcPr>
            <w:tcW w:w="2405" w:type="dxa"/>
            <w:vAlign w:val="center"/>
          </w:tcPr>
          <w:p w:rsidR="00A45935" w:rsidRPr="00FD3B66" w:rsidRDefault="00A45935" w:rsidP="00BC211C">
            <w:pPr>
              <w:spacing w:after="120" w:line="280" w:lineRule="atLeast"/>
              <w:jc w:val="left"/>
              <w:rPr>
                <w:rFonts w:eastAsia="Calibri" w:cs="Arial"/>
                <w:b/>
                <w:sz w:val="16"/>
                <w:szCs w:val="16"/>
              </w:rPr>
            </w:pPr>
            <w:r w:rsidRPr="00FD3B66">
              <w:rPr>
                <w:b/>
                <w:sz w:val="16"/>
                <w:szCs w:val="16"/>
              </w:rPr>
              <w:lastRenderedPageBreak/>
              <w:t>Estudos de casos</w:t>
            </w:r>
          </w:p>
        </w:tc>
        <w:tc>
          <w:tcPr>
            <w:tcW w:w="6612" w:type="dxa"/>
          </w:tcPr>
          <w:p w:rsidR="00A45935" w:rsidRPr="00FD3B66" w:rsidRDefault="00A45935" w:rsidP="00E05D08">
            <w:pPr>
              <w:spacing w:after="120" w:line="280" w:lineRule="atLeast"/>
              <w:rPr>
                <w:rFonts w:eastAsia="Calibri" w:cs="Arial"/>
                <w:sz w:val="16"/>
                <w:szCs w:val="16"/>
              </w:rPr>
            </w:pPr>
            <w:r w:rsidRPr="00FD3B66">
              <w:rPr>
                <w:sz w:val="16"/>
                <w:szCs w:val="16"/>
              </w:rPr>
              <w:t>Os estudos de casos podem ser adaptados e utilizados em qualquer avaliação. Estes oferecem a possibilidade de combinar vários métodos e são muito flexíveis na sua conceção. No caso da QAC n.º 21, propõe-se que se desenvolvam estudos de caso em torno das seguintes questões/critérios associados à inovação:</w:t>
            </w:r>
          </w:p>
          <w:p w:rsidR="00A45935" w:rsidRPr="00FD3B66" w:rsidRDefault="00A45935" w:rsidP="008C0B17">
            <w:pPr>
              <w:numPr>
                <w:ilvl w:val="0"/>
                <w:numId w:val="41"/>
              </w:numPr>
              <w:spacing w:before="60" w:after="120" w:line="280" w:lineRule="atLeast"/>
              <w:ind w:left="360"/>
              <w:rPr>
                <w:sz w:val="16"/>
                <w:szCs w:val="16"/>
              </w:rPr>
            </w:pPr>
            <w:r w:rsidRPr="00FD3B66">
              <w:rPr>
                <w:sz w:val="16"/>
                <w:szCs w:val="16"/>
              </w:rPr>
              <w:t>Analisar o papel das RRN na criação de grupos operacionais e, por conseguinte, no fomento da inovação na agricultura, nas florestas e nas zonas rurais.</w:t>
            </w:r>
          </w:p>
          <w:p w:rsidR="00A45935" w:rsidRPr="00FD3B66" w:rsidRDefault="00A45935" w:rsidP="008C0B17">
            <w:pPr>
              <w:numPr>
                <w:ilvl w:val="0"/>
                <w:numId w:val="41"/>
              </w:numPr>
              <w:spacing w:before="60" w:after="120" w:line="280" w:lineRule="atLeast"/>
              <w:ind w:left="360"/>
              <w:rPr>
                <w:sz w:val="16"/>
                <w:szCs w:val="16"/>
              </w:rPr>
            </w:pPr>
            <w:r w:rsidRPr="00FD3B66">
              <w:rPr>
                <w:sz w:val="16"/>
                <w:szCs w:val="16"/>
              </w:rPr>
              <w:t>Analisar os contributos da RRN na promoção de conselheiros e de serviços de apoio à inovação como «formadores» em processos de inovação interativos (por exemplo, definição de ideias práticas, agindo na qualidade de mediadores, facilitadores e divulgadores de novos conhecimentos).</w:t>
            </w:r>
          </w:p>
          <w:p w:rsidR="00A45935" w:rsidRPr="00FD3B66" w:rsidRDefault="00A45935" w:rsidP="008C0B17">
            <w:pPr>
              <w:numPr>
                <w:ilvl w:val="0"/>
                <w:numId w:val="41"/>
              </w:numPr>
              <w:spacing w:before="60" w:after="120" w:line="280" w:lineRule="atLeast"/>
              <w:ind w:left="360"/>
              <w:rPr>
                <w:sz w:val="16"/>
                <w:szCs w:val="16"/>
              </w:rPr>
            </w:pPr>
            <w:r w:rsidRPr="00FD3B66">
              <w:rPr>
                <w:sz w:val="16"/>
                <w:szCs w:val="16"/>
              </w:rPr>
              <w:t>Analisar o papel das RRN em redes temáticas, que ligam os grupos operacionais e, assim, avaliar as ligações com o programa Horizonte 2020.</w:t>
            </w:r>
          </w:p>
        </w:tc>
      </w:tr>
    </w:tbl>
    <w:p w:rsidR="00A45935" w:rsidRPr="00FD3B66" w:rsidRDefault="00A45935" w:rsidP="00676B41">
      <w:pPr>
        <w:numPr>
          <w:ilvl w:val="0"/>
          <w:numId w:val="60"/>
        </w:numPr>
        <w:spacing w:before="120" w:after="120" w:line="280" w:lineRule="atLeast"/>
        <w:ind w:left="567" w:hanging="567"/>
        <w:mirrorIndents/>
        <w:rPr>
          <w:rFonts w:eastAsia="Times New Roman" w:cs="Times New Roman"/>
          <w:b/>
          <w:szCs w:val="20"/>
        </w:rPr>
      </w:pPr>
      <w:r w:rsidRPr="00FD3B66">
        <w:rPr>
          <w:b/>
          <w:szCs w:val="20"/>
        </w:rPr>
        <w:t>Riscos e soluções</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FD3B66" w:rsidTr="00E37A81">
        <w:trPr>
          <w:tblHeader/>
        </w:trPr>
        <w:tc>
          <w:tcPr>
            <w:tcW w:w="4508" w:type="dxa"/>
            <w:shd w:val="clear" w:color="auto" w:fill="F07E31"/>
          </w:tcPr>
          <w:p w:rsidR="00A45935" w:rsidRPr="00FD3B66" w:rsidRDefault="00A45935" w:rsidP="00E05D08">
            <w:pPr>
              <w:spacing w:after="120" w:line="280" w:lineRule="atLeast"/>
              <w:mirrorIndents/>
              <w:jc w:val="center"/>
              <w:rPr>
                <w:b/>
                <w:color w:val="FFFFFF"/>
                <w:sz w:val="16"/>
                <w:szCs w:val="16"/>
              </w:rPr>
            </w:pPr>
            <w:r w:rsidRPr="00FD3B66">
              <w:rPr>
                <w:b/>
                <w:color w:val="FFFFFF"/>
                <w:sz w:val="16"/>
                <w:szCs w:val="16"/>
              </w:rPr>
              <w:t>Riscos</w:t>
            </w:r>
          </w:p>
        </w:tc>
        <w:tc>
          <w:tcPr>
            <w:tcW w:w="4509" w:type="dxa"/>
            <w:shd w:val="clear" w:color="auto" w:fill="F07E31"/>
          </w:tcPr>
          <w:p w:rsidR="00A45935" w:rsidRPr="00FD3B66" w:rsidRDefault="00A45935" w:rsidP="00E05D08">
            <w:pPr>
              <w:spacing w:after="120" w:line="280" w:lineRule="atLeast"/>
              <w:mirrorIndents/>
              <w:jc w:val="center"/>
              <w:rPr>
                <w:b/>
                <w:color w:val="FFFFFF"/>
                <w:sz w:val="16"/>
                <w:szCs w:val="16"/>
              </w:rPr>
            </w:pPr>
            <w:r w:rsidRPr="00FD3B66">
              <w:rPr>
                <w:b/>
                <w:color w:val="FFFFFF"/>
                <w:sz w:val="16"/>
                <w:szCs w:val="16"/>
              </w:rPr>
              <w:t>Soluções</w:t>
            </w:r>
          </w:p>
        </w:tc>
      </w:tr>
      <w:tr w:rsidR="00A45935" w:rsidRPr="00FD3B66" w:rsidTr="00E05D08">
        <w:trPr>
          <w:trHeight w:val="699"/>
        </w:trPr>
        <w:tc>
          <w:tcPr>
            <w:tcW w:w="4508" w:type="dxa"/>
          </w:tcPr>
          <w:p w:rsidR="00A45935" w:rsidRPr="00FD3B66" w:rsidRDefault="00A45935" w:rsidP="00E05D08">
            <w:pPr>
              <w:spacing w:after="120" w:line="280" w:lineRule="atLeast"/>
              <w:rPr>
                <w:rFonts w:eastAsia="Calibri" w:cs="Arial"/>
                <w:sz w:val="16"/>
                <w:szCs w:val="16"/>
              </w:rPr>
            </w:pPr>
            <w:r w:rsidRPr="00FD3B66">
              <w:rPr>
                <w:sz w:val="16"/>
                <w:szCs w:val="16"/>
              </w:rPr>
              <w:t>Devem estar disponíveis dados relativos aos três indicadores comuns de resultados mas, muito provavelmente, não centrados na inovação. Por exemplo, os dados sobre intercâmbios temáticos e analíticos podem não ser recolhidos por tema, mais especificamente o tema da inovação. Do mesmo modo, os dados relativos às ferramentas de comunicação podem não estar discriminados por tema (por exemplo, comunicação de resultados da inovação).</w:t>
            </w:r>
          </w:p>
        </w:tc>
        <w:tc>
          <w:tcPr>
            <w:tcW w:w="4509" w:type="dxa"/>
          </w:tcPr>
          <w:p w:rsidR="00A45935" w:rsidRPr="00FD3B66" w:rsidRDefault="00A45935" w:rsidP="007E63EF">
            <w:pPr>
              <w:spacing w:after="120" w:line="280" w:lineRule="atLeast"/>
              <w:rPr>
                <w:sz w:val="16"/>
                <w:szCs w:val="16"/>
              </w:rPr>
            </w:pPr>
            <w:r w:rsidRPr="00FD3B66">
              <w:rPr>
                <w:sz w:val="16"/>
                <w:szCs w:val="16"/>
              </w:rPr>
              <w:t>As autoridades de gestão poderiam incluir a componente da inovação para os três indicadores comuns de resultados nas bases de dados de monitorização</w:t>
            </w:r>
            <w:r w:rsidRPr="00FD3B66">
              <w:rPr>
                <w:rFonts w:eastAsia="Calibri" w:cs="Arial"/>
                <w:sz w:val="16"/>
                <w:szCs w:val="16"/>
                <w:vertAlign w:val="superscript"/>
              </w:rPr>
              <w:footnoteReference w:id="67"/>
            </w:r>
            <w:r w:rsidRPr="00FD3B66">
              <w:rPr>
                <w:sz w:val="16"/>
                <w:szCs w:val="16"/>
              </w:rPr>
              <w:t>.</w:t>
            </w:r>
          </w:p>
        </w:tc>
      </w:tr>
      <w:tr w:rsidR="00A45935" w:rsidRPr="00FD3B66" w:rsidTr="00E05D08">
        <w:tc>
          <w:tcPr>
            <w:tcW w:w="4508" w:type="dxa"/>
          </w:tcPr>
          <w:p w:rsidR="00A45935" w:rsidRPr="00FD3B66" w:rsidRDefault="00A45935" w:rsidP="00E05D08">
            <w:pPr>
              <w:spacing w:after="120" w:line="280" w:lineRule="atLeast"/>
              <w:rPr>
                <w:rFonts w:eastAsia="Calibri" w:cs="Arial"/>
                <w:sz w:val="16"/>
                <w:szCs w:val="16"/>
              </w:rPr>
            </w:pPr>
            <w:r w:rsidRPr="00FD3B66">
              <w:rPr>
                <w:sz w:val="16"/>
                <w:szCs w:val="16"/>
              </w:rPr>
              <w:t>Para todos os outros indicadores propostos, os dados não seriam recolhidos para efeitos de acompanhamento, exceto se uma autoridade de gestão/RRN assim o decidir além dos elementos de dados comuns.</w:t>
            </w:r>
          </w:p>
        </w:tc>
        <w:tc>
          <w:tcPr>
            <w:tcW w:w="4509" w:type="dxa"/>
          </w:tcPr>
          <w:p w:rsidR="00A45935" w:rsidRPr="00FD3B66" w:rsidRDefault="00A45935" w:rsidP="00E05D08">
            <w:pPr>
              <w:spacing w:after="120" w:line="280" w:lineRule="atLeast"/>
              <w:rPr>
                <w:rFonts w:eastAsia="Calibri" w:cs="Arial"/>
                <w:sz w:val="16"/>
                <w:szCs w:val="16"/>
              </w:rPr>
            </w:pPr>
            <w:r w:rsidRPr="00FD3B66">
              <w:rPr>
                <w:sz w:val="16"/>
                <w:szCs w:val="16"/>
              </w:rPr>
              <w:t>Numa fase de execução inicial, as RRN devem assinalar as suas atividades que são orientadas para fomentar a inovação (por exemplo, formação de partes interessadas na inovação, intercâmbios temáticos em matéria de inovação, a recolha de boas práticas em matéria de inovação, apoio à criação dos GO, etc.).</w:t>
            </w:r>
          </w:p>
        </w:tc>
      </w:tr>
      <w:tr w:rsidR="00A45935" w:rsidRPr="00FD3B66" w:rsidTr="00E05D08">
        <w:tc>
          <w:tcPr>
            <w:tcW w:w="4508" w:type="dxa"/>
          </w:tcPr>
          <w:p w:rsidR="00A45935" w:rsidRPr="00FD3B66" w:rsidRDefault="00A45935" w:rsidP="00E05D08">
            <w:pPr>
              <w:spacing w:after="120" w:line="280" w:lineRule="atLeast"/>
              <w:rPr>
                <w:rFonts w:eastAsia="Calibri" w:cs="Arial"/>
                <w:sz w:val="16"/>
                <w:szCs w:val="16"/>
              </w:rPr>
            </w:pPr>
            <w:r w:rsidRPr="00FD3B66">
              <w:rPr>
                <w:sz w:val="16"/>
                <w:szCs w:val="16"/>
              </w:rPr>
              <w:t>Depender de apenas um método (qualitativo ou quantitativo) para analisar os dados pode não fornecer resultados fiáveis.</w:t>
            </w:r>
          </w:p>
        </w:tc>
        <w:tc>
          <w:tcPr>
            <w:tcW w:w="4509" w:type="dxa"/>
          </w:tcPr>
          <w:p w:rsidR="00A45935" w:rsidRPr="00FD3B66" w:rsidRDefault="00A45935" w:rsidP="00E05D08">
            <w:pPr>
              <w:spacing w:after="120" w:line="280" w:lineRule="atLeast"/>
              <w:rPr>
                <w:rFonts w:eastAsia="Calibri" w:cs="Arial"/>
                <w:sz w:val="16"/>
                <w:szCs w:val="16"/>
              </w:rPr>
            </w:pPr>
            <w:r w:rsidRPr="00FD3B66">
              <w:rPr>
                <w:sz w:val="16"/>
                <w:szCs w:val="16"/>
              </w:rPr>
              <w:t xml:space="preserve">Deve utilizar-se uma combinação de métodos de avaliação, que recolham informações de forma contínua ou ex post, como os sugeridos anteriormente (inquéritos, grupos de reflexão, métodos de diagnóstico, estudos de casos) e que </w:t>
            </w:r>
            <w:r w:rsidRPr="00FD3B66">
              <w:rPr>
                <w:sz w:val="16"/>
                <w:szCs w:val="16"/>
              </w:rPr>
              <w:lastRenderedPageBreak/>
              <w:t>permitam a triangulação e a obtenção de resultados mais sólidos.</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Conclusões e recomendações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As conclusões e recomendações devem estar relacionadas com os seguintes pontos:</w:t>
      </w:r>
    </w:p>
    <w:p w:rsidR="00A45935" w:rsidRPr="00E72529" w:rsidRDefault="00A45935" w:rsidP="00676B41">
      <w:pPr>
        <w:pStyle w:val="Hlistbullet"/>
        <w:rPr>
          <w:rFonts w:eastAsia="Calibri"/>
          <w:shd w:val="clear" w:color="auto" w:fill="FFFFFF"/>
        </w:rPr>
      </w:pPr>
      <w:r>
        <w:rPr>
          <w:b/>
          <w:shd w:val="clear" w:color="auto" w:fill="FFFFFF"/>
        </w:rPr>
        <w:t>o contributo das RRN para fomentar a inovação</w:t>
      </w:r>
      <w:r>
        <w:rPr>
          <w:shd w:val="clear" w:color="auto" w:fill="FFFFFF"/>
        </w:rPr>
        <w:t xml:space="preserve"> na agricultura, na produção alimentar, nas florestas e nas zonas rurais;</w:t>
      </w:r>
    </w:p>
    <w:p w:rsidR="00A45935" w:rsidRPr="00E72529" w:rsidRDefault="00A45935" w:rsidP="00676B41">
      <w:pPr>
        <w:pStyle w:val="Hlistbullet"/>
        <w:rPr>
          <w:rFonts w:eastAsia="Calibri"/>
          <w:shd w:val="clear" w:color="auto" w:fill="FFFFFF"/>
        </w:rPr>
      </w:pPr>
      <w:r>
        <w:rPr>
          <w:b/>
          <w:shd w:val="clear" w:color="auto" w:fill="FFFFFF"/>
        </w:rPr>
        <w:t>os principais fatores e condições</w:t>
      </w:r>
      <w:r>
        <w:rPr>
          <w:shd w:val="clear" w:color="auto" w:fill="FFFFFF"/>
        </w:rPr>
        <w:t xml:space="preserve"> que fazem das RRN os principais agentes nos processos de inovação interativos;</w:t>
      </w:r>
    </w:p>
    <w:p w:rsidR="00A45935" w:rsidRPr="00E72529" w:rsidRDefault="00A45935" w:rsidP="00676B41">
      <w:pPr>
        <w:pStyle w:val="Hlistbullet"/>
        <w:rPr>
          <w:rFonts w:eastAsia="Calibri"/>
          <w:shd w:val="clear" w:color="auto" w:fill="FFFFFF"/>
        </w:rPr>
      </w:pPr>
      <w:r>
        <w:rPr>
          <w:b/>
          <w:shd w:val="clear" w:color="auto" w:fill="FFFFFF"/>
        </w:rPr>
        <w:t>o papel das RRN no sistema de inovação</w:t>
      </w:r>
      <w:r>
        <w:rPr>
          <w:shd w:val="clear" w:color="auto" w:fill="FFFFFF"/>
        </w:rPr>
        <w:t>: 1) identificando a inovação através da recolha e divulgação de boas práticas, 2) reforçando a capacidade de inovação através de formação, ligação em rede, intercâmbios temáticos e analíticos e 3) criando um ambiente propício à inovação através do apoio e da animação dos GO da PEI.</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Mais informações</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69B18B48" wp14:editId="5B3934C0">
                <wp:extent cx="5625465" cy="3050439"/>
                <wp:effectExtent l="0" t="0" r="13335" b="17145"/>
                <wp:docPr id="552" name="Rectangle: Diagonal Corners Rounded 552"/>
                <wp:cNvGraphicFramePr/>
                <a:graphic xmlns:a="http://schemas.openxmlformats.org/drawingml/2006/main">
                  <a:graphicData uri="http://schemas.microsoft.com/office/word/2010/wordprocessingShape">
                    <wps:wsp>
                      <wps:cNvSpPr/>
                      <wps:spPr>
                        <a:xfrm>
                          <a:off x="0" y="0"/>
                          <a:ext cx="5625465" cy="3050439"/>
                        </a:xfrm>
                        <a:prstGeom prst="round2DiagRect">
                          <a:avLst>
                            <a:gd name="adj1" fmla="val 9900"/>
                            <a:gd name="adj2" fmla="val 0"/>
                          </a:avLst>
                        </a:prstGeom>
                        <a:noFill/>
                        <a:ln w="25400" cap="flat" cmpd="sng" algn="ctr">
                          <a:solidFill>
                            <a:srgbClr val="59638E"/>
                          </a:solidFill>
                          <a:prstDash val="solid"/>
                        </a:ln>
                        <a:effectLst/>
                      </wps:spPr>
                      <wps:txbx>
                        <w:txbxContent>
                          <w:p w:rsidR="00B06BF7" w:rsidRDefault="00B06BF7" w:rsidP="00E05D08">
                            <w:pPr>
                              <w:pStyle w:val="HStandard"/>
                              <w:rPr>
                                <w:color w:val="000000"/>
                                <w:sz w:val="18"/>
                              </w:rPr>
                            </w:pPr>
                            <w:r>
                              <w:rPr>
                                <w:lang w:val="en-GB" w:eastAsia="en-GB"/>
                              </w:rPr>
                              <w:drawing>
                                <wp:inline distT="0" distB="0" distL="0" distR="0" wp14:anchorId="46BB7D50" wp14:editId="21C334D0">
                                  <wp:extent cx="360465" cy="360000"/>
                                  <wp:effectExtent l="0" t="0" r="1905" b="2540"/>
                                  <wp:docPr id="4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sz w:val="18"/>
                                <w:szCs w:val="18"/>
                                <w:lang w:val="en-GB"/>
                              </w:rPr>
                            </w:pPr>
                            <w:r>
                              <w:rPr>
                                <w:sz w:val="18"/>
                                <w:szCs w:val="18"/>
                              </w:rPr>
                              <w:t xml:space="preserve">Serviço Europeu de Assistência na Avaliação (2016). </w:t>
                            </w:r>
                            <w:r w:rsidRPr="00A04B6A">
                              <w:rPr>
                                <w:lang w:val="en-GB"/>
                              </w:rPr>
                              <w:t>Orientações «</w:t>
                            </w:r>
                            <w:hyperlink r:id="rId65" w:history="1">
                              <w:r w:rsidRPr="00A04B6A">
                                <w:rPr>
                                  <w:color w:val="F07E31"/>
                                  <w:sz w:val="18"/>
                                  <w:szCs w:val="18"/>
                                  <w:u w:val="single"/>
                                  <w:lang w:val="en-GB"/>
                                </w:rPr>
                                <w:t>Assessment of RDP results:</w:t>
                              </w:r>
                            </w:hyperlink>
                            <w:hyperlink r:id="rId66" w:history="1">
                              <w:r w:rsidRPr="00A04B6A">
                                <w:rPr>
                                  <w:color w:val="F07E31"/>
                                  <w:sz w:val="18"/>
                                  <w:szCs w:val="18"/>
                                  <w:u w:val="single"/>
                                  <w:lang w:val="en-GB"/>
                                </w:rPr>
                                <w:t xml:space="preserve"> How to prepare for reporting on evaluation in 2017</w:t>
                              </w:r>
                            </w:hyperlink>
                            <w:r w:rsidRPr="00A04B6A">
                              <w:rPr>
                                <w:sz w:val="18"/>
                                <w:szCs w:val="18"/>
                                <w:lang w:val="en-GB"/>
                              </w:rPr>
                              <w:t xml:space="preserve">», anexo 11 </w:t>
                            </w:r>
                          </w:p>
                          <w:p w:rsidR="00B06BF7" w:rsidRPr="006F1763" w:rsidRDefault="00B06BF7" w:rsidP="00E05D08">
                            <w:pPr>
                              <w:pStyle w:val="HStandard"/>
                              <w:rPr>
                                <w:sz w:val="18"/>
                                <w:szCs w:val="18"/>
                              </w:rPr>
                            </w:pPr>
                            <w:r>
                              <w:rPr>
                                <w:sz w:val="18"/>
                                <w:szCs w:val="18"/>
                              </w:rPr>
                              <w:t>REDR (2014).</w:t>
                            </w:r>
                            <w:hyperlink r:id="rId67" w:history="1">
                              <w:r>
                                <w:rPr>
                                  <w:rStyle w:val="Hyperlink"/>
                                  <w:sz w:val="18"/>
                                  <w:szCs w:val="18"/>
                                </w:rPr>
                                <w:t xml:space="preserve"> NRN Guidebook</w:t>
                              </w:r>
                            </w:hyperlink>
                            <w:r>
                              <w:rPr>
                                <w:sz w:val="18"/>
                                <w:szCs w:val="18"/>
                              </w:rPr>
                              <w:t>. Luxemburgo, Serviço das Publicações</w:t>
                            </w:r>
                          </w:p>
                          <w:p w:rsidR="00B06BF7" w:rsidRPr="006F1763" w:rsidRDefault="00B06BF7" w:rsidP="00E05D08">
                            <w:pPr>
                              <w:pStyle w:val="HStandard"/>
                              <w:rPr>
                                <w:sz w:val="18"/>
                                <w:szCs w:val="18"/>
                              </w:rPr>
                            </w:pPr>
                            <w:r>
                              <w:t>Serviço Europeu de Assistência na Avaliação (2016), Orientações «</w:t>
                            </w:r>
                            <w:hyperlink r:id="rId68" w:history="1">
                              <w:r>
                                <w:rPr>
                                  <w:rStyle w:val="Hyperlink"/>
                                  <w:sz w:val="18"/>
                                  <w:szCs w:val="18"/>
                                </w:rPr>
                                <w:t>Evaluation of National Rural Networks 2014-2020</w:t>
                              </w:r>
                            </w:hyperlink>
                            <w:r>
                              <w:t>» (Avaliação das redes rurais nacionais 2014-2020).</w:t>
                            </w:r>
                          </w:p>
                          <w:p w:rsidR="00B06BF7" w:rsidRPr="00A04B6A" w:rsidRDefault="00B06BF7" w:rsidP="00E05D08">
                            <w:pPr>
                              <w:pStyle w:val="HStandard"/>
                              <w:rPr>
                                <w:sz w:val="18"/>
                                <w:szCs w:val="18"/>
                                <w:lang w:val="en-GB"/>
                              </w:rPr>
                            </w:pPr>
                            <w:r>
                              <w:rPr>
                                <w:sz w:val="18"/>
                                <w:szCs w:val="18"/>
                              </w:rPr>
                              <w:t xml:space="preserve">Comissão Europeia, DG Agricultura e Desenvolvimento Rural (2014). </w:t>
                            </w:r>
                            <w:hyperlink r:id="rId69" w:history="1">
                              <w:r w:rsidRPr="00A04B6A">
                                <w:rPr>
                                  <w:rStyle w:val="Hyperlink"/>
                                  <w:sz w:val="18"/>
                                  <w:szCs w:val="18"/>
                                  <w:lang w:val="en-GB"/>
                                </w:rPr>
                                <w:t>Guidelines on programming for innovation and the implementation of the EIP for agricultural productivity and sustainability</w:t>
                              </w:r>
                            </w:hyperlink>
                          </w:p>
                          <w:p w:rsidR="00B06BF7" w:rsidRPr="006F1763" w:rsidRDefault="00B06BF7" w:rsidP="00E05D08">
                            <w:pPr>
                              <w:pStyle w:val="HStandard"/>
                              <w:rPr>
                                <w:sz w:val="18"/>
                                <w:szCs w:val="18"/>
                              </w:rPr>
                            </w:pPr>
                            <w:r>
                              <w:rPr>
                                <w:sz w:val="18"/>
                                <w:szCs w:val="18"/>
                              </w:rPr>
                              <w:t xml:space="preserve">Serviço Europeu de Assistência na Avaliação (2014). Intervention logic and evaluation framework for 2014-2020 National Rural Networks (Lógica de intervenção e quadro de avaliação para as redes rurais nacionais 2014-2020). </w:t>
                            </w:r>
                            <w:r>
                              <w:t xml:space="preserve">Documento de referência apresentado no </w:t>
                            </w:r>
                            <w:hyperlink r:id="rId70" w:history="1">
                              <w:r>
                                <w:rPr>
                                  <w:rStyle w:val="Hyperlink"/>
                                  <w:sz w:val="18"/>
                                  <w:szCs w:val="18"/>
                                </w:rPr>
                                <w:t>Good Practice Workshop «National Rural Networks:</w:t>
                              </w:r>
                            </w:hyperlink>
                            <w:hyperlink r:id="rId71" w:history="1">
                              <w:r>
                                <w:rPr>
                                  <w:rStyle w:val="Hyperlink"/>
                                  <w:sz w:val="18"/>
                                  <w:szCs w:val="18"/>
                                </w:rPr>
                                <w:t xml:space="preserve"> How to show their benefits</w:t>
                              </w:r>
                            </w:hyperlink>
                            <w:r>
                              <w:rPr>
                                <w:color w:val="F07E31"/>
                                <w:sz w:val="18"/>
                                <w:szCs w:val="18"/>
                              </w:rPr>
                              <w:t>”</w:t>
                            </w:r>
                            <w:r>
                              <w:rPr>
                                <w:sz w:val="18"/>
                                <w:szCs w:val="18"/>
                              </w:rPr>
                              <w:t>, Roma (Itália), 10 e 11 de abril de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B18B48" id="Rectangle: Diagonal Corners Rounded 552" o:spid="_x0000_s1052" style="width:442.95pt;height:240.2pt;visibility:visible;mso-wrap-style:square;mso-left-percent:-10001;mso-top-percent:-10001;mso-position-horizontal:absolute;mso-position-horizontal-relative:char;mso-position-vertical:absolute;mso-position-vertical-relative:line;mso-left-percent:-10001;mso-top-percent:-10001;v-text-anchor:middle" coordsize="5625465,30504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" adj="-11796480,,5400" path="m301993,l5625465,r,l5625465,2748446v,166786,-135207,301993,-301993,301993l,3050439r,l,301993c,135207,135207,,301993,xe" filled="f" strokecolor="#59638e" strokeweight="2pt">
                <v:stroke joinstyle="miter"/>
                <v:formulas/>
                <v:path arrowok="t" o:connecttype="custom" o:connectlocs="301993,0;5625465,0;5625465,0;5625465,2748446;5323472,3050439;0,3050439;0,3050439;0,301993;301993,0" o:connectangles="0,0,0,0,0,0,0,0,0" textboxrect="0,0,5625465,3050439"/>
                <v:textbox>
                  <w:txbxContent>
                    <w:p w:rsidR="00B06BF7" w:rsidRDefault="00B06BF7" w:rsidP="00E05D08">
                      <w:pPr>
                        <w:pStyle w:val="HStandard"/>
                        <w:rPr>
                          <w:color w:val="000000"/>
                          <w:sz w:val="18"/>
                        </w:rPr>
                      </w:pPr>
                      <w:r>
                        <w:rPr>
                          <w:lang w:val="en-GB" w:eastAsia="en-GB"/>
                        </w:rPr>
                        <w:drawing>
                          <wp:inline distT="0" distB="0" distL="0" distR="0" wp14:anchorId="46BB7D50" wp14:editId="21C334D0">
                            <wp:extent cx="360465" cy="360000"/>
                            <wp:effectExtent l="0" t="0" r="1905" b="2540"/>
                            <wp:docPr id="4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E05D08">
                      <w:pPr>
                        <w:pStyle w:val="HStandard"/>
                        <w:rPr>
                          <w:sz w:val="18"/>
                          <w:szCs w:val="18"/>
                          <w:lang w:val="en-GB"/>
                        </w:rPr>
                      </w:pPr>
                      <w:r>
                        <w:rPr>
                          <w:sz w:val="18"/>
                          <w:szCs w:val="18"/>
                        </w:rPr>
                        <w:t xml:space="preserve">Serviço Europeu de Assistência na Avaliação (2016). </w:t>
                      </w:r>
                      <w:r w:rsidRPr="00A04B6A">
                        <w:rPr>
                          <w:lang w:val="en-GB"/>
                        </w:rPr>
                        <w:t>Orientações «</w:t>
                      </w:r>
                      <w:hyperlink r:id="rId72" w:history="1">
                        <w:r w:rsidRPr="00A04B6A">
                          <w:rPr>
                            <w:color w:val="F07E31"/>
                            <w:sz w:val="18"/>
                            <w:szCs w:val="18"/>
                            <w:u w:val="single"/>
                            <w:lang w:val="en-GB"/>
                          </w:rPr>
                          <w:t>Assessment of RDP results:</w:t>
                        </w:r>
                      </w:hyperlink>
                      <w:hyperlink r:id="rId73" w:history="1">
                        <w:r w:rsidRPr="00A04B6A">
                          <w:rPr>
                            <w:color w:val="F07E31"/>
                            <w:sz w:val="18"/>
                            <w:szCs w:val="18"/>
                            <w:u w:val="single"/>
                            <w:lang w:val="en-GB"/>
                          </w:rPr>
                          <w:t xml:space="preserve"> How to prepare for reporting on evaluation in 2017</w:t>
                        </w:r>
                      </w:hyperlink>
                      <w:r w:rsidRPr="00A04B6A">
                        <w:rPr>
                          <w:sz w:val="18"/>
                          <w:szCs w:val="18"/>
                          <w:lang w:val="en-GB"/>
                        </w:rPr>
                        <w:t xml:space="preserve">», anexo 11 </w:t>
                      </w:r>
                    </w:p>
                    <w:p w:rsidR="00B06BF7" w:rsidRPr="006F1763" w:rsidRDefault="00B06BF7" w:rsidP="00E05D08">
                      <w:pPr>
                        <w:pStyle w:val="HStandard"/>
                        <w:rPr>
                          <w:sz w:val="18"/>
                          <w:szCs w:val="18"/>
                        </w:rPr>
                      </w:pPr>
                      <w:r>
                        <w:rPr>
                          <w:sz w:val="18"/>
                          <w:szCs w:val="18"/>
                        </w:rPr>
                        <w:t>REDR (2014).</w:t>
                      </w:r>
                      <w:hyperlink r:id="rId74" w:history="1">
                        <w:r>
                          <w:rPr>
                            <w:rStyle w:val="Hyperlink"/>
                            <w:sz w:val="18"/>
                            <w:szCs w:val="18"/>
                          </w:rPr>
                          <w:t xml:space="preserve"> NRN Guidebook</w:t>
                        </w:r>
                      </w:hyperlink>
                      <w:r>
                        <w:rPr>
                          <w:sz w:val="18"/>
                          <w:szCs w:val="18"/>
                        </w:rPr>
                        <w:t>. Luxemburgo, Serviço das Publicações</w:t>
                      </w:r>
                    </w:p>
                    <w:p w:rsidR="00B06BF7" w:rsidRPr="006F1763" w:rsidRDefault="00B06BF7" w:rsidP="00E05D08">
                      <w:pPr>
                        <w:pStyle w:val="HStandard"/>
                        <w:rPr>
                          <w:sz w:val="18"/>
                          <w:szCs w:val="18"/>
                        </w:rPr>
                      </w:pPr>
                      <w:r>
                        <w:t>Serviço Europeu de Assistência na Avaliação (2016), Orientações «</w:t>
                      </w:r>
                      <w:hyperlink r:id="rId75" w:history="1">
                        <w:r>
                          <w:rPr>
                            <w:rStyle w:val="Hyperlink"/>
                            <w:sz w:val="18"/>
                            <w:szCs w:val="18"/>
                          </w:rPr>
                          <w:t>Evaluation of National Rural Networks 2014-2020</w:t>
                        </w:r>
                      </w:hyperlink>
                      <w:r>
                        <w:t>» (Avaliação das redes rurais nacionais 2014-2020).</w:t>
                      </w:r>
                    </w:p>
                    <w:p w:rsidR="00B06BF7" w:rsidRPr="00A04B6A" w:rsidRDefault="00B06BF7" w:rsidP="00E05D08">
                      <w:pPr>
                        <w:pStyle w:val="HStandard"/>
                        <w:rPr>
                          <w:sz w:val="18"/>
                          <w:szCs w:val="18"/>
                          <w:lang w:val="en-GB"/>
                        </w:rPr>
                      </w:pPr>
                      <w:r>
                        <w:rPr>
                          <w:sz w:val="18"/>
                          <w:szCs w:val="18"/>
                        </w:rPr>
                        <w:t xml:space="preserve">Comissão Europeia, DG Agricultura e Desenvolvimento Rural (2014). </w:t>
                      </w:r>
                      <w:hyperlink r:id="rId76" w:history="1">
                        <w:r w:rsidRPr="00A04B6A">
                          <w:rPr>
                            <w:rStyle w:val="Hyperlink"/>
                            <w:sz w:val="18"/>
                            <w:szCs w:val="18"/>
                            <w:lang w:val="en-GB"/>
                          </w:rPr>
                          <w:t>Guidelines on programming for innovation and the implementation of the EIP for agricultural productivity and sustainability</w:t>
                        </w:r>
                      </w:hyperlink>
                    </w:p>
                    <w:p w:rsidR="00B06BF7" w:rsidRPr="006F1763" w:rsidRDefault="00B06BF7" w:rsidP="00E05D08">
                      <w:pPr>
                        <w:pStyle w:val="HStandard"/>
                        <w:rPr>
                          <w:sz w:val="18"/>
                          <w:szCs w:val="18"/>
                        </w:rPr>
                      </w:pPr>
                      <w:r>
                        <w:rPr>
                          <w:sz w:val="18"/>
                          <w:szCs w:val="18"/>
                        </w:rPr>
                        <w:t xml:space="preserve">Serviço Europeu de Assistência na Avaliação (2014). Intervention logic and evaluation framework for 2014-2020 National Rural Networks (Lógica de intervenção e quadro de avaliação para as redes rurais nacionais 2014-2020). </w:t>
                      </w:r>
                      <w:r>
                        <w:t xml:space="preserve">Documento de referência apresentado no </w:t>
                      </w:r>
                      <w:hyperlink r:id="rId77" w:history="1">
                        <w:r>
                          <w:rPr>
                            <w:rStyle w:val="Hyperlink"/>
                            <w:sz w:val="18"/>
                            <w:szCs w:val="18"/>
                          </w:rPr>
                          <w:t>Good Practice Workshop «National Rural Networks:</w:t>
                        </w:r>
                      </w:hyperlink>
                      <w:hyperlink r:id="rId78" w:history="1">
                        <w:r>
                          <w:rPr>
                            <w:rStyle w:val="Hyperlink"/>
                            <w:sz w:val="18"/>
                            <w:szCs w:val="18"/>
                          </w:rPr>
                          <w:t xml:space="preserve"> How to show their benefits</w:t>
                        </w:r>
                      </w:hyperlink>
                      <w:r>
                        <w:rPr>
                          <w:color w:val="F07E31"/>
                          <w:sz w:val="18"/>
                          <w:szCs w:val="18"/>
                        </w:rPr>
                        <w:t>”</w:t>
                      </w:r>
                      <w:r>
                        <w:rPr>
                          <w:sz w:val="18"/>
                          <w:szCs w:val="18"/>
                        </w:rPr>
                        <w:t>, Roma (Itália), 10 e 11 de abril de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4" w:name="_Toc501382134"/>
      <w:bookmarkStart w:id="125" w:name="_Toc508372668"/>
      <w:r>
        <w:t>QAC n.º 23: «Até que ponto o PDR contribuiu para a realização do grande objetivo da Estratégia UE 2020 de investimento de 3 % do PIB da UE em investigação, desenvolvimento e inovação?»</w:t>
      </w:r>
      <w:bookmarkEnd w:id="124"/>
      <w:bookmarkEnd w:id="125"/>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Compreender a QAC</w:t>
      </w:r>
    </w:p>
    <w:p w:rsidR="00A45935" w:rsidRPr="00E05D08" w:rsidRDefault="00A45935" w:rsidP="00E05D08">
      <w:pPr>
        <w:spacing w:after="120" w:line="280" w:lineRule="atLeast"/>
        <w:mirrorIndents/>
        <w:rPr>
          <w:rFonts w:eastAsia="Times New Roman" w:cs="Times New Roman"/>
          <w:szCs w:val="20"/>
        </w:rPr>
      </w:pPr>
      <w:r>
        <w:t xml:space="preserve">Esta QAC está relacionada com um dos cinco grandes objetivos da Estratégia UE 2020: «dedicar 3 % do PIB da UE à I&amp;D e inovação». Para compreender a questão, devem ser reconhecidos o contexto e a medição do grande objetivo e, mais importante ainda, a sua intenção de melhorar as condições para a inovação, a investigação e o desenvolvimento, através da combinação de fundos públicos e privados. </w:t>
      </w:r>
    </w:p>
    <w:p w:rsidR="00A45935" w:rsidRPr="00E05D08" w:rsidRDefault="00A45935" w:rsidP="00E05D08">
      <w:pPr>
        <w:spacing w:after="120" w:line="280" w:lineRule="atLeast"/>
        <w:mirrorIndents/>
        <w:rPr>
          <w:rFonts w:eastAsia="Times New Roman" w:cs="Times New Roman"/>
          <w:szCs w:val="20"/>
        </w:rPr>
      </w:pPr>
      <w:r>
        <w:lastRenderedPageBreak/>
        <w:t xml:space="preserve">O grande objetivo está associado às prioridades da Estratégia Europa 2020 para um crescimento inteligente, sustentável e inclusivo, baseado no conhecimento e na inovação. A atenção centrou-se sobre a necessidade de os setores público e privado investirem em I&amp;D, com maior incidência </w:t>
      </w:r>
      <w:r w:rsidRPr="00B83BA7">
        <w:rPr>
          <w:b/>
        </w:rPr>
        <w:t>na contribuição do que no impacto</w:t>
      </w:r>
      <w:r>
        <w:rPr>
          <w:rFonts w:eastAsia="Times New Roman" w:cs="Times New Roman"/>
          <w:szCs w:val="20"/>
          <w:vertAlign w:val="superscript"/>
          <w:lang w:eastAsia="de-DE"/>
        </w:rPr>
        <w:footnoteReference w:id="68"/>
      </w:r>
      <w:r>
        <w:t xml:space="preserve">. É obviamente necessário melhorar as condições que regem a I&amp;D privada na UE e muitas das medidas propostas na presente estratégia visam isso mesmo. É igualmente claro que, se a I&amp;D e a inovação fossem abordadas em conjunto, obteríamos uma gama de despesas mais ampla, que seria mais relevante para as atividades empresariais e para os fatores determinantes da produtividade. A Comissão propõe a manutenção do objetivo de 3 % e simultaneamente desenvolverá um indicador que reflita a intensidade da I&amp;D e inovação. </w:t>
      </w:r>
    </w:p>
    <w:p w:rsidR="00A45935" w:rsidRPr="00E05D08" w:rsidRDefault="00A45935" w:rsidP="00E05D08">
      <w:pPr>
        <w:spacing w:after="120" w:line="280" w:lineRule="atLeast"/>
        <w:mirrorIndents/>
        <w:rPr>
          <w:rFonts w:eastAsia="Times New Roman" w:cs="Times New Roman"/>
          <w:szCs w:val="20"/>
        </w:rPr>
      </w:pPr>
      <w:r>
        <w:t>Este grande objetivo traduziu-se nos Estados-Membros da UE em objetivos nacionais que refletem diferentes situações e circunstâncias, para que cada Estado-Membro possa verificar o seu próprio progresso alcançado na realização dos objetivos da Estratégia Europa 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Desafios específicos </w:t>
      </w:r>
    </w:p>
    <w:p w:rsidR="00A45935" w:rsidRPr="006C63CD" w:rsidRDefault="00A45935" w:rsidP="00676B41">
      <w:pPr>
        <w:pStyle w:val="Hlistbullet"/>
      </w:pPr>
      <w:r>
        <w:rPr>
          <w:b/>
        </w:rPr>
        <w:t xml:space="preserve">Gestão de dados para obter uma elevada qualidade dos dados em matéria de I&amp;D e inovação: </w:t>
      </w:r>
      <w:r>
        <w:t>o Eurostat publica regularmente um relatório de progresso exaustivo relativo ao indicador do grande objetivo</w:t>
      </w:r>
      <w:r>
        <w:rPr>
          <w:vertAlign w:val="superscript"/>
        </w:rPr>
        <w:footnoteReference w:id="70"/>
      </w:r>
      <w:r>
        <w:t>. A recolha de dados é orientada pelo Manual de Frascati (OCDE)</w:t>
      </w:r>
      <w:r>
        <w:rPr>
          <w:vertAlign w:val="superscript"/>
        </w:rPr>
        <w:footnoteReference w:id="71"/>
      </w:r>
      <w:r>
        <w:t xml:space="preserve"> e pelos regulamentos específicos da UE</w:t>
      </w:r>
      <w:r>
        <w:rPr>
          <w:vertAlign w:val="superscript"/>
        </w:rPr>
        <w:footnoteReference w:id="72"/>
      </w:r>
      <w:r>
        <w:t>. O Manual de Frascati constitui igualmente a base para recolher dados sobre o indicador de substituição do indicador do grande objetivo «despesa interna bruta em I&amp;D (GERD)», a cargo do Eurostat</w:t>
      </w:r>
      <w:r>
        <w:rPr>
          <w:vertAlign w:val="superscript"/>
        </w:rPr>
        <w:footnoteReference w:id="73"/>
      </w:r>
      <w:r>
        <w:t xml:space="preserve">. Inclui as despesas </w:t>
      </w:r>
      <w:r>
        <w:rPr>
          <w:color w:val="333333"/>
          <w:shd w:val="clear" w:color="auto" w:fill="FFFFFF"/>
        </w:rPr>
        <w:t>em matéria de investigação e desenvolvimento por empresas, instituições de ensino superior, bem como pelas administrações públicas e organizações sem fins lucrativos privadas.</w:t>
      </w:r>
      <w:r>
        <w:t xml:space="preserve"> A «GERD» é fornecida pelo Eurostat para os níveis NUTS 1 e NUTS 2. O indicador «% do total da GERD» mostra as </w:t>
      </w:r>
      <w:r>
        <w:rPr>
          <w:color w:val="333333"/>
          <w:shd w:val="clear" w:color="auto" w:fill="FFFFFF"/>
        </w:rPr>
        <w:t>percentagens relativas das diferentes fontes de financiamento em I&amp;D: indústria, governo, ensino superior e setor privado sem fins lucrativos. A quinta fonte de fundos apresentada é a GERD financiada a partir do estrangeiro. «</w:t>
      </w:r>
      <w:r>
        <w:t>% do total da GERD»</w:t>
      </w:r>
      <w:r>
        <w:rPr>
          <w:color w:val="333333"/>
          <w:shd w:val="clear" w:color="auto" w:fill="FFFFFF"/>
        </w:rPr>
        <w:t xml:space="preserve"> é fornecida para o nível NUTS 1. Embora o Eurostat publique os dados mais recentes, há um desfasamento de 2 a 3 anos. </w:t>
      </w:r>
      <w:r>
        <w:t xml:space="preserve">O Eurostat não fornece dados relativos à GERD e à % do total da GERD por setor económico (por exemplo, indústria alimentar, agricultura). Embora as estatísticas se refiram explicitamente a despesas de investigação e de desenvolvimento, de facto, até certo ponto, estas também incluem despesas com a inovação, tal como estipulado pela Estratégia Europa 2020. Para o financiamento de programas </w:t>
      </w:r>
      <w:r>
        <w:rPr>
          <w:color w:val="333333"/>
          <w:shd w:val="clear" w:color="auto" w:fill="FFFFFF"/>
        </w:rPr>
        <w:t>que</w:t>
      </w:r>
      <w:r>
        <w:t xml:space="preserve"> promovem a inovação, um ponto de referência é o Manual de Frascati. Este avalia as medidas científicas, tecnológicas e de inovação. No entanto, a linha entre atividades de I&amp;D e a inovação nem sempre é totalmente clara. </w:t>
      </w:r>
    </w:p>
    <w:p w:rsidR="00A45935" w:rsidRPr="006C63CD" w:rsidRDefault="00A45935" w:rsidP="00676B41">
      <w:pPr>
        <w:pStyle w:val="Hlistbullet"/>
      </w:pPr>
      <w:r>
        <w:rPr>
          <w:b/>
        </w:rPr>
        <w:t xml:space="preserve">Avaliar o contributo do PDR para o grande objetivo: </w:t>
      </w:r>
      <w:r>
        <w:t xml:space="preserve">o desafio consiste em traduzir de forma adequada e realista os contributos dos PDR para o grande objetivo tendo em conta a orientação dos programas para a Estratégia Europa 2020. Nesta tarefa de avaliação, também é necessário ter em consideração as características das intervenções do FEADER e as especificidades das zonas rurais e dos setores em que estes operam. Uma vez que, normalmente, as zonas rurais são estruturalmente mais débeis do que as zonas urbanas e que a Estratégia Europa 2020 se baseia em investimentos em domínios e setores de crescimento, será expectável uma contribuição relativamente inferior dos PDR comparativamente a outros programas </w:t>
      </w:r>
      <w:r>
        <w:lastRenderedPageBreak/>
        <w:t>operacionais</w:t>
      </w:r>
      <w:r>
        <w:rPr>
          <w:vertAlign w:val="superscript"/>
        </w:rPr>
        <w:footnoteReference w:id="74"/>
      </w:r>
      <w:r>
        <w:t xml:space="preserve">. No entanto, o que pode parecer menos importante para as economias nacionais pode ser de grande valor para o PIB em zonas rurais e para o seu desenvolvimento futuro. Por conseguinte, importa calcular o grande objetivo para os contributos do PDR e responder à QAC.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Abordagem proposta para responder à QAC n.º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Lógica de intervenção </w:t>
      </w:r>
    </w:p>
    <w:p w:rsidR="00697455" w:rsidRDefault="00A45935" w:rsidP="00E05D08">
      <w:pPr>
        <w:spacing w:after="120" w:line="280" w:lineRule="atLeast"/>
        <w:mirrorIndents/>
        <w:rPr>
          <w:rFonts w:eastAsia="Times New Roman" w:cs="Times New Roman"/>
          <w:szCs w:val="20"/>
        </w:rPr>
      </w:pPr>
      <w:r>
        <w:t xml:space="preserve">Todos as medidas/submedidas do PDR que contribuem para fomentar a inovação através das três vias em zonas rurais, tal como identificado na análise do seu potencial de inovação (ver o </w:t>
      </w:r>
      <w:hyperlink w:anchor="Screening_Potential" w:history="1">
        <w:r>
          <w:rPr>
            <w:rStyle w:val="Hyperlink"/>
            <w:sz w:val="20"/>
            <w:szCs w:val="20"/>
          </w:rPr>
          <w:t>Capítulo 2.2</w:t>
        </w:r>
      </w:hyperlink>
      <w:r>
        <w:t xml:space="preserve">) devem ser tidas em conta como parte da lógica de intervenção associada à QAC n.º 23. Isto vai além das medidas que são, antes de mais, consideradas medidas para fomentar a inovação - M1, M2 e M16 -, podendo também abranger outras medidas de investimento, comercialização e medidas baseadas na zona, cuja aplicação poderia apoiar a inovação (por exemplo, através de critérios de seleção de projetos relacionados com a inovação). As operações executadas ao abrigo destas medidas e submedidas são tidas em consideração para a contabilização das despesas de I&amp;D e inovação, e utiliza-se a avaliação do grande objetivo ou dos seus indicadores de substituição (GERD) e adicionais para responder à QAC n.º 23 (conforme identificado na análise do potencial de inovação – ver o </w:t>
      </w:r>
      <w:hyperlink w:anchor="Screening_Potential" w:history="1">
        <w:r>
          <w:rPr>
            <w:rStyle w:val="Hyperlink"/>
            <w:sz w:val="20"/>
            <w:szCs w:val="20"/>
          </w:rPr>
          <w:t>Capítulo 2.2</w:t>
        </w:r>
      </w:hyperlink>
      <w:r>
        <w:t xml:space="preserve">). </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Elementos de avaliação associados à QAC n.º 23</w:t>
      </w:r>
    </w:p>
    <w:p w:rsidR="00A45935" w:rsidRPr="00E05D08" w:rsidRDefault="00A45935" w:rsidP="00E05D08">
      <w:pPr>
        <w:spacing w:after="120" w:line="280" w:lineRule="atLeast"/>
        <w:mirrorIndents/>
        <w:rPr>
          <w:rFonts w:eastAsia="Times New Roman" w:cs="Times New Roman"/>
          <w:szCs w:val="20"/>
        </w:rPr>
      </w:pPr>
      <w:r>
        <w:t xml:space="preserve">O documento de trabalho </w:t>
      </w:r>
      <w:hyperlink r:id="rId79" w:history="1">
        <w:r>
          <w:rPr>
            <w:rStyle w:val="Hyperlink"/>
            <w:sz w:val="20"/>
            <w:szCs w:val="20"/>
          </w:rPr>
          <w:t>Common Evaluation Questions for RDPs 2014-2020</w:t>
        </w:r>
      </w:hyperlink>
      <w:r>
        <w:t xml:space="preserve"> (Questões de avaliação comuns para os PDR 2014-2020) sugere dois critérios de apreciação (os investimentos em I&amp;D aumentaram e a inovação foi fomentada), dois indicadores SCAA comuns (T1 - despesas relacionadas com os artigos 14.º e 35.º e T2 - Número total de operações de cooperação apoiadas ao abrigo da medida de cooperação) e um indicador adicional (despesas do PDR em I&amp;D em % do PIB) para responder à QAC n.º 23. No entanto, estes elementos não podem incluir na íntegra os contributos do PDR para o grande objetivo. </w:t>
      </w:r>
    </w:p>
    <w:p w:rsidR="00A45935" w:rsidRPr="00E05D08" w:rsidRDefault="00A45935" w:rsidP="00E05D08">
      <w:pPr>
        <w:spacing w:after="120" w:line="280" w:lineRule="atLeast"/>
        <w:mirrorIndents/>
        <w:rPr>
          <w:rFonts w:eastAsia="Times New Roman" w:cs="Times New Roman"/>
          <w:szCs w:val="20"/>
        </w:rPr>
      </w:pPr>
      <w:r>
        <w:t xml:space="preserve">Por esse motivo, as presentes orientações propõem elementos de avaliação adicionais para responder à questão QAC n.º 23 (ver </w:t>
      </w:r>
      <w:hyperlink w:anchor="JC_Indic_data" w:history="1">
        <w:r>
          <w:rPr>
            <w:rStyle w:val="Hyperlink"/>
            <w:sz w:val="20"/>
            <w:szCs w:val="20"/>
          </w:rPr>
          <w:t>Quadro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headerReference w:type="first" r:id="rId80"/>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EB2EBF" w:rsidP="00EB2EBF">
      <w:pPr>
        <w:pStyle w:val="HHeadingtables"/>
        <w:numPr>
          <w:ilvl w:val="0"/>
          <w:numId w:val="0"/>
        </w:numPr>
        <w:ind w:left="284"/>
      </w:pPr>
      <w:bookmarkStart w:id="127" w:name="JC_Indic_data"/>
      <w:bookmarkStart w:id="128" w:name="_Toc503284469"/>
      <w:bookmarkEnd w:id="127"/>
      <w:r>
        <w:lastRenderedPageBreak/>
        <w:t>Quadro 7.</w:t>
      </w:r>
      <w:r>
        <w:tab/>
      </w:r>
      <w:r w:rsidR="00A45935">
        <w:t>Critérios de apreciação, indicadores e dados necessários para responder à QAC n.º 23</w:t>
      </w:r>
      <w:bookmarkEnd w:id="128"/>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FD3B66" w:rsidTr="00E05D08">
        <w:trPr>
          <w:trHeight w:val="294"/>
        </w:trPr>
        <w:tc>
          <w:tcPr>
            <w:tcW w:w="3684" w:type="dxa"/>
            <w:shd w:val="clear" w:color="auto" w:fill="F07E31"/>
            <w:vAlign w:val="center"/>
            <w:hideMark/>
          </w:tcPr>
          <w:p w:rsidR="00A45935" w:rsidRPr="00FD3B66" w:rsidRDefault="00734B11" w:rsidP="00E05D08">
            <w:pPr>
              <w:spacing w:before="60" w:after="0" w:line="240" w:lineRule="auto"/>
              <w:jc w:val="center"/>
              <w:rPr>
                <w:rFonts w:eastAsia="Times New Roman" w:cs="Arial"/>
                <w:b/>
                <w:bCs/>
                <w:color w:val="FFFFFF"/>
                <w:sz w:val="12"/>
                <w:szCs w:val="12"/>
              </w:rPr>
            </w:pPr>
            <w:r w:rsidRPr="00FD3B66">
              <w:rPr>
                <w:b/>
                <w:bCs/>
                <w:color w:val="FFFFFF"/>
                <w:sz w:val="12"/>
                <w:szCs w:val="12"/>
              </w:rPr>
              <w:t xml:space="preserve">Critérios de apreciação </w:t>
            </w:r>
          </w:p>
        </w:tc>
        <w:tc>
          <w:tcPr>
            <w:tcW w:w="3684" w:type="dxa"/>
            <w:shd w:val="clear" w:color="auto" w:fill="F07E31"/>
            <w:vAlign w:val="center"/>
            <w:hideMark/>
          </w:tcPr>
          <w:p w:rsidR="00A45935" w:rsidRPr="00FD3B66" w:rsidRDefault="00A45935" w:rsidP="00E05D08">
            <w:pPr>
              <w:spacing w:before="60" w:after="0" w:line="240" w:lineRule="auto"/>
              <w:jc w:val="center"/>
              <w:rPr>
                <w:rFonts w:eastAsia="Times New Roman" w:cs="Arial"/>
                <w:color w:val="FFFFFF"/>
                <w:sz w:val="12"/>
                <w:szCs w:val="12"/>
              </w:rPr>
            </w:pPr>
            <w:r w:rsidRPr="00FD3B66">
              <w:rPr>
                <w:b/>
                <w:bCs/>
                <w:color w:val="FFFFFF"/>
                <w:sz w:val="12"/>
                <w:szCs w:val="12"/>
              </w:rPr>
              <w:t>Indicadores</w:t>
            </w:r>
          </w:p>
        </w:tc>
        <w:tc>
          <w:tcPr>
            <w:tcW w:w="3684" w:type="dxa"/>
            <w:shd w:val="clear" w:color="auto" w:fill="F07E31"/>
            <w:vAlign w:val="center"/>
          </w:tcPr>
          <w:p w:rsidR="00A45935" w:rsidRPr="00FD3B66" w:rsidRDefault="00A45935" w:rsidP="00E05D08">
            <w:pPr>
              <w:spacing w:before="60" w:after="0" w:line="240" w:lineRule="auto"/>
              <w:jc w:val="center"/>
              <w:rPr>
                <w:rFonts w:eastAsia="Times New Roman" w:cs="Arial"/>
                <w:b/>
                <w:bCs/>
                <w:color w:val="FFFFFF"/>
                <w:sz w:val="12"/>
                <w:szCs w:val="12"/>
              </w:rPr>
            </w:pPr>
            <w:r w:rsidRPr="00FD3B66">
              <w:rPr>
                <w:b/>
                <w:bCs/>
                <w:color w:val="FFFFFF"/>
                <w:sz w:val="12"/>
                <w:szCs w:val="12"/>
              </w:rPr>
              <w:t>Necessidades de dados</w:t>
            </w:r>
          </w:p>
        </w:tc>
        <w:tc>
          <w:tcPr>
            <w:tcW w:w="3685" w:type="dxa"/>
            <w:shd w:val="clear" w:color="auto" w:fill="F07E31"/>
            <w:vAlign w:val="center"/>
          </w:tcPr>
          <w:p w:rsidR="00A45935" w:rsidRPr="00FD3B66" w:rsidRDefault="00A45935" w:rsidP="00E05D08">
            <w:pPr>
              <w:spacing w:before="60" w:after="0" w:line="240" w:lineRule="auto"/>
              <w:jc w:val="center"/>
              <w:rPr>
                <w:rFonts w:eastAsia="Times New Roman" w:cs="Arial"/>
                <w:b/>
                <w:bCs/>
                <w:color w:val="FFFFFF"/>
                <w:sz w:val="12"/>
                <w:szCs w:val="12"/>
              </w:rPr>
            </w:pPr>
            <w:r w:rsidRPr="00FD3B66">
              <w:rPr>
                <w:b/>
                <w:bCs/>
                <w:color w:val="FFFFFF"/>
                <w:sz w:val="12"/>
                <w:szCs w:val="12"/>
              </w:rPr>
              <w:t>Fontes de dados</w:t>
            </w:r>
          </w:p>
        </w:tc>
      </w:tr>
      <w:tr w:rsidR="00A45935" w:rsidRPr="00FD3B66" w:rsidTr="00E05D08">
        <w:trPr>
          <w:trHeight w:val="418"/>
        </w:trPr>
        <w:tc>
          <w:tcPr>
            <w:tcW w:w="14737" w:type="dxa"/>
            <w:gridSpan w:val="4"/>
            <w:shd w:val="clear" w:color="auto" w:fill="8BAB80"/>
            <w:vAlign w:val="center"/>
          </w:tcPr>
          <w:p w:rsidR="00A45935" w:rsidRPr="00FD3B66" w:rsidRDefault="00A45935" w:rsidP="00E05D08">
            <w:pPr>
              <w:spacing w:after="120" w:line="280" w:lineRule="atLeast"/>
              <w:mirrorIndents/>
              <w:rPr>
                <w:rFonts w:eastAsia="Times New Roman" w:cs="Arial"/>
                <w:b/>
                <w:color w:val="FFFFFF"/>
                <w:sz w:val="12"/>
                <w:szCs w:val="12"/>
              </w:rPr>
            </w:pPr>
            <w:r w:rsidRPr="00FD3B66">
              <w:rPr>
                <w:b/>
                <w:color w:val="FFFFFF"/>
                <w:sz w:val="12"/>
                <w:szCs w:val="12"/>
              </w:rPr>
              <w:t>Elementos de avaliação comuns (SCAA e documento de trabalho proposto «Common evaluation questions 2014-2020» (Questões de avaliação comuns 2014-2020))</w:t>
            </w:r>
          </w:p>
        </w:tc>
      </w:tr>
      <w:tr w:rsidR="00A45935" w:rsidRPr="00FD3B66" w:rsidTr="00E05D08">
        <w:trPr>
          <w:trHeight w:val="1928"/>
        </w:trPr>
        <w:tc>
          <w:tcPr>
            <w:tcW w:w="3684" w:type="dxa"/>
            <w:shd w:val="clear" w:color="auto" w:fill="auto"/>
            <w:vAlign w:val="center"/>
          </w:tcPr>
          <w:p w:rsidR="00A45935" w:rsidRPr="00FD3B66" w:rsidRDefault="00A45935" w:rsidP="00BA4FCD">
            <w:pPr>
              <w:spacing w:after="120" w:line="280" w:lineRule="atLeast"/>
              <w:jc w:val="left"/>
              <w:rPr>
                <w:rFonts w:eastAsia="Times New Roman" w:cs="Arial"/>
                <w:sz w:val="12"/>
                <w:szCs w:val="12"/>
              </w:rPr>
            </w:pPr>
            <w:r w:rsidRPr="00FD3B66">
              <w:rPr>
                <w:sz w:val="12"/>
                <w:szCs w:val="12"/>
              </w:rPr>
              <w:t>O investimento em matéria de I&amp;D aumentou</w:t>
            </w:r>
            <w:r w:rsidRPr="00FD3B66">
              <w:rPr>
                <w:rFonts w:eastAsia="Times New Roman" w:cs="Arial"/>
                <w:sz w:val="12"/>
                <w:szCs w:val="12"/>
                <w:vertAlign w:val="superscript"/>
                <w:lang w:eastAsia="de-AT"/>
              </w:rPr>
              <w:footnoteReference w:id="75"/>
            </w:r>
            <w:r w:rsidRPr="00FD3B66">
              <w:rPr>
                <w:sz w:val="12"/>
                <w:szCs w:val="12"/>
              </w:rPr>
              <w:t>.</w:t>
            </w:r>
          </w:p>
          <w:p w:rsidR="00A45935" w:rsidRPr="00FD3B66" w:rsidRDefault="00A45935" w:rsidP="00697455">
            <w:pPr>
              <w:spacing w:after="120" w:line="280" w:lineRule="atLeast"/>
              <w:jc w:val="left"/>
              <w:rPr>
                <w:rFonts w:eastAsia="Times New Roman" w:cs="Arial"/>
                <w:sz w:val="12"/>
                <w:szCs w:val="12"/>
              </w:rPr>
            </w:pPr>
            <w:r w:rsidRPr="00FD3B66">
              <w:rPr>
                <w:sz w:val="12"/>
                <w:szCs w:val="12"/>
              </w:rPr>
              <w:t xml:space="preserve">A inovação foi fomentada. </w:t>
            </w:r>
          </w:p>
        </w:tc>
        <w:tc>
          <w:tcPr>
            <w:tcW w:w="3684" w:type="dxa"/>
            <w:shd w:val="clear" w:color="auto" w:fill="auto"/>
            <w:vAlign w:val="center"/>
            <w:hideMark/>
          </w:tcPr>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T1: % de despesa nos termos dos artigos 14.º, 15.º e 35.º do Regulamento (UE) n.º 1305/2013 em relação às despesas totais para o PDR.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T2: número total de operações de projetos de cooperação apoiadas no âmbito da medida de cooperação (artigo 35.º do Regulamento (UE) n.º 1305/2013) (agrupamentos, redes/polos, projetos-piloto). </w:t>
            </w:r>
          </w:p>
          <w:p w:rsidR="001120E4" w:rsidRPr="00FD3B66" w:rsidRDefault="001120E4" w:rsidP="00BA4FCD">
            <w:pPr>
              <w:spacing w:after="120" w:line="280" w:lineRule="atLeast"/>
              <w:jc w:val="left"/>
              <w:rPr>
                <w:rFonts w:eastAsia="Times New Roman" w:cs="Arial"/>
                <w:color w:val="57825E"/>
                <w:sz w:val="12"/>
                <w:szCs w:val="12"/>
              </w:rPr>
            </w:pPr>
            <w:r w:rsidRPr="00FD3B66">
              <w:rPr>
                <w:color w:val="57825E"/>
                <w:sz w:val="12"/>
                <w:szCs w:val="12"/>
                <w:u w:val="single"/>
              </w:rPr>
              <w:t>Indicador adicional:</w:t>
            </w:r>
            <w:r w:rsidRPr="00FD3B66">
              <w:rPr>
                <w:color w:val="57825E"/>
                <w:sz w:val="12"/>
                <w:szCs w:val="12"/>
              </w:rPr>
              <w:t xml:space="preserve"> </w:t>
            </w:r>
          </w:p>
          <w:p w:rsidR="00A45935" w:rsidRPr="00FD3B66" w:rsidRDefault="001120E4" w:rsidP="00BA4FCD">
            <w:pPr>
              <w:spacing w:after="120" w:line="280" w:lineRule="atLeast"/>
              <w:jc w:val="left"/>
              <w:rPr>
                <w:rFonts w:eastAsia="Times New Roman" w:cs="Arial"/>
                <w:sz w:val="12"/>
                <w:szCs w:val="12"/>
              </w:rPr>
            </w:pPr>
            <w:r w:rsidRPr="00FD3B66">
              <w:rPr>
                <w:color w:val="57825E"/>
                <w:sz w:val="12"/>
                <w:szCs w:val="12"/>
              </w:rPr>
              <w:t>Despesas do PDR em I&amp;D em % do PIB (GERD «desenvolvimento rural»).</w:t>
            </w:r>
            <w:r w:rsidRPr="00FD3B66">
              <w:rPr>
                <w:sz w:val="12"/>
                <w:szCs w:val="12"/>
              </w:rPr>
              <w:t xml:space="preserve"> </w:t>
            </w:r>
          </w:p>
        </w:tc>
        <w:tc>
          <w:tcPr>
            <w:tcW w:w="3684" w:type="dxa"/>
          </w:tcPr>
          <w:p w:rsidR="00A45935" w:rsidRPr="00FD3B66" w:rsidRDefault="00A45935" w:rsidP="00BA4FCD">
            <w:pPr>
              <w:spacing w:after="120" w:line="280" w:lineRule="atLeast"/>
              <w:jc w:val="left"/>
              <w:rPr>
                <w:rFonts w:eastAsia="Times New Roman" w:cs="Arial"/>
                <w:sz w:val="12"/>
                <w:szCs w:val="12"/>
              </w:rPr>
            </w:pPr>
            <w:r w:rsidRPr="00FD3B66">
              <w:rPr>
                <w:sz w:val="12"/>
                <w:szCs w:val="12"/>
              </w:rPr>
              <w:t>Dados relativos às despesas em matéria de I&amp;D e inovação do PDR.</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Dados relativos ao total de despesas do PDR.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Dados relativos às despesas em matéria de I&amp;D e inovação para o EM/região.</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Dados relativos ao PIB para o Estado-Membro/região.</w:t>
            </w:r>
          </w:p>
        </w:tc>
        <w:tc>
          <w:tcPr>
            <w:tcW w:w="3685" w:type="dxa"/>
          </w:tcPr>
          <w:p w:rsidR="00A45935" w:rsidRPr="00FD3B66" w:rsidRDefault="00A45935" w:rsidP="00BA4FCD">
            <w:pPr>
              <w:spacing w:after="120" w:line="280" w:lineRule="atLeast"/>
              <w:jc w:val="left"/>
              <w:rPr>
                <w:rFonts w:eastAsia="Times New Roman" w:cs="Arial"/>
                <w:sz w:val="12"/>
                <w:szCs w:val="12"/>
              </w:rPr>
            </w:pPr>
            <w:r w:rsidRPr="00FD3B66">
              <w:rPr>
                <w:sz w:val="12"/>
                <w:szCs w:val="12"/>
              </w:rPr>
              <w:t>Sistema de acompanhamento do PDR.</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Eurostat.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Estatísticas nacionais/regionais. </w:t>
            </w:r>
          </w:p>
        </w:tc>
      </w:tr>
      <w:tr w:rsidR="00A45935" w:rsidRPr="00FD3B66" w:rsidTr="00E05D08">
        <w:trPr>
          <w:trHeight w:val="404"/>
        </w:trPr>
        <w:tc>
          <w:tcPr>
            <w:tcW w:w="14737" w:type="dxa"/>
            <w:gridSpan w:val="4"/>
            <w:shd w:val="clear" w:color="auto" w:fill="8BAB80"/>
            <w:vAlign w:val="center"/>
          </w:tcPr>
          <w:p w:rsidR="00A45935" w:rsidRPr="00FD3B66" w:rsidRDefault="00A45935" w:rsidP="00E05D08">
            <w:pPr>
              <w:spacing w:after="120" w:line="280" w:lineRule="atLeast"/>
              <w:rPr>
                <w:rFonts w:eastAsia="Times New Roman" w:cs="Arial"/>
                <w:b/>
                <w:color w:val="FFFFFF"/>
                <w:sz w:val="12"/>
                <w:szCs w:val="12"/>
              </w:rPr>
            </w:pPr>
            <w:r w:rsidRPr="00FD3B66">
              <w:rPr>
                <w:b/>
                <w:color w:val="FFFFFF"/>
                <w:sz w:val="12"/>
                <w:szCs w:val="12"/>
              </w:rPr>
              <w:t>Elementos de avaliação adicionais (opcional)</w:t>
            </w:r>
          </w:p>
        </w:tc>
      </w:tr>
      <w:tr w:rsidR="00A45935" w:rsidRPr="00FD3B66" w:rsidTr="00E05D08">
        <w:trPr>
          <w:trHeight w:val="1928"/>
        </w:trPr>
        <w:tc>
          <w:tcPr>
            <w:tcW w:w="3684" w:type="dxa"/>
            <w:shd w:val="clear" w:color="auto" w:fill="auto"/>
            <w:vAlign w:val="center"/>
          </w:tcPr>
          <w:p w:rsidR="00A45935" w:rsidRPr="00FD3B66" w:rsidRDefault="00A45935" w:rsidP="00697455">
            <w:pPr>
              <w:spacing w:after="120" w:line="280" w:lineRule="atLeast"/>
              <w:jc w:val="left"/>
              <w:rPr>
                <w:rFonts w:eastAsia="Times New Roman" w:cs="Arial"/>
                <w:sz w:val="12"/>
                <w:szCs w:val="12"/>
              </w:rPr>
            </w:pPr>
            <w:r w:rsidRPr="00FD3B66">
              <w:rPr>
                <w:sz w:val="12"/>
                <w:szCs w:val="12"/>
              </w:rPr>
              <w:t>O investimento em matéria de I&amp;D e inovação aumentou.</w:t>
            </w:r>
          </w:p>
        </w:tc>
        <w:tc>
          <w:tcPr>
            <w:tcW w:w="3684" w:type="dxa"/>
            <w:shd w:val="clear" w:color="auto" w:fill="auto"/>
            <w:vAlign w:val="center"/>
          </w:tcPr>
          <w:p w:rsidR="001120E4" w:rsidRPr="00FD3B66" w:rsidRDefault="001120E4" w:rsidP="00BA4FCD">
            <w:pPr>
              <w:spacing w:after="120" w:line="280" w:lineRule="atLeast"/>
              <w:jc w:val="left"/>
              <w:rPr>
                <w:rFonts w:eastAsia="Times New Roman" w:cs="Arial"/>
                <w:color w:val="57825E"/>
                <w:sz w:val="12"/>
                <w:szCs w:val="12"/>
                <w:u w:val="single"/>
              </w:rPr>
            </w:pPr>
            <w:r w:rsidRPr="00FD3B66">
              <w:rPr>
                <w:color w:val="57825E"/>
                <w:sz w:val="12"/>
                <w:szCs w:val="12"/>
                <w:u w:val="single"/>
              </w:rPr>
              <w:t xml:space="preserve">Indicadores adicionais: </w:t>
            </w:r>
          </w:p>
          <w:p w:rsidR="001120E4" w:rsidRPr="00FD3B66" w:rsidRDefault="001120E4" w:rsidP="00BA4FCD">
            <w:pPr>
              <w:spacing w:after="120" w:line="280" w:lineRule="atLeast"/>
              <w:jc w:val="left"/>
              <w:rPr>
                <w:rFonts w:eastAsia="Times New Roman" w:cs="Arial"/>
                <w:color w:val="57825E"/>
                <w:sz w:val="12"/>
                <w:szCs w:val="12"/>
              </w:rPr>
            </w:pPr>
            <w:r w:rsidRPr="00FD3B66">
              <w:rPr>
                <w:color w:val="57825E"/>
                <w:sz w:val="12"/>
                <w:szCs w:val="12"/>
              </w:rPr>
              <w:t>Despesa interna bruta em matéria de I&amp;D (GERD) em relação ao produto interno bruto (PIB).</w:t>
            </w:r>
          </w:p>
          <w:p w:rsidR="001120E4" w:rsidRPr="00FD3B66" w:rsidRDefault="001120E4" w:rsidP="00BA4FCD">
            <w:pPr>
              <w:spacing w:after="120" w:line="280" w:lineRule="atLeast"/>
              <w:jc w:val="left"/>
              <w:rPr>
                <w:rFonts w:eastAsia="Times New Roman" w:cs="Arial"/>
                <w:color w:val="57825E"/>
                <w:sz w:val="12"/>
                <w:szCs w:val="12"/>
              </w:rPr>
            </w:pPr>
            <w:r w:rsidRPr="00FD3B66">
              <w:rPr>
                <w:color w:val="57825E"/>
                <w:sz w:val="12"/>
                <w:szCs w:val="12"/>
              </w:rPr>
              <w:t xml:space="preserve">Despesas do PDR em I&amp;D e inovação em % do total das despesas do PDR. </w:t>
            </w:r>
          </w:p>
          <w:p w:rsidR="00A45935" w:rsidRPr="00FD3B66" w:rsidRDefault="00942585" w:rsidP="00BA4FCD">
            <w:pPr>
              <w:spacing w:after="120" w:line="280" w:lineRule="atLeast"/>
              <w:jc w:val="left"/>
              <w:rPr>
                <w:rFonts w:eastAsia="Times New Roman" w:cs="Arial"/>
                <w:sz w:val="12"/>
                <w:szCs w:val="12"/>
              </w:rPr>
            </w:pPr>
            <w:r w:rsidRPr="00FD3B66">
              <w:rPr>
                <w:color w:val="57825E"/>
                <w:sz w:val="12"/>
                <w:szCs w:val="12"/>
              </w:rPr>
              <w:t>Despesas do PDR em I&amp;D e inovação em % das despesas internas brutas em I&amp;D e inovação.</w:t>
            </w:r>
          </w:p>
        </w:tc>
        <w:tc>
          <w:tcPr>
            <w:tcW w:w="3684" w:type="dxa"/>
          </w:tcPr>
          <w:p w:rsidR="001120E4" w:rsidRPr="00FD3B66" w:rsidRDefault="001120E4" w:rsidP="00BA4FCD">
            <w:pPr>
              <w:spacing w:after="120" w:line="280" w:lineRule="atLeast"/>
              <w:jc w:val="left"/>
              <w:rPr>
                <w:rFonts w:eastAsia="Times New Roman" w:cs="Arial"/>
                <w:sz w:val="12"/>
                <w:szCs w:val="12"/>
              </w:rPr>
            </w:pPr>
            <w:r w:rsidRPr="00FD3B66">
              <w:rPr>
                <w:sz w:val="12"/>
                <w:szCs w:val="12"/>
              </w:rPr>
              <w:t>Dados relativos à I&amp;D e inovação em conformidade com o Manual de Frascati.</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Dados relativos às despesas em matéria de I&amp;D e inovação do PDR, discriminadas por tipo de beneficiário.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Dados relativos ao total das despesas do PDR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Dados relativos às despesas em matéria de I&amp;D e inovação por Estado-Membro/região.</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Dados relativos ao PIB para o Estado-Membro/região.</w:t>
            </w:r>
          </w:p>
        </w:tc>
        <w:tc>
          <w:tcPr>
            <w:tcW w:w="3685" w:type="dxa"/>
          </w:tcPr>
          <w:p w:rsidR="00A45935" w:rsidRPr="00FD3B66" w:rsidRDefault="00A45935" w:rsidP="00BA4FCD">
            <w:pPr>
              <w:spacing w:after="120" w:line="280" w:lineRule="atLeast"/>
              <w:jc w:val="left"/>
              <w:rPr>
                <w:rFonts w:eastAsia="Times New Roman" w:cs="Arial"/>
                <w:sz w:val="12"/>
                <w:szCs w:val="12"/>
              </w:rPr>
            </w:pPr>
            <w:r w:rsidRPr="00FD3B66">
              <w:rPr>
                <w:sz w:val="12"/>
                <w:szCs w:val="12"/>
              </w:rPr>
              <w:t>Sistema de acompanhamento do PDR.</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Eurostat. </w:t>
            </w:r>
          </w:p>
          <w:p w:rsidR="00A45935" w:rsidRPr="00FD3B66" w:rsidRDefault="00A45935" w:rsidP="00BA4FCD">
            <w:pPr>
              <w:spacing w:after="120" w:line="280" w:lineRule="atLeast"/>
              <w:jc w:val="left"/>
              <w:rPr>
                <w:rFonts w:eastAsia="Times New Roman" w:cs="Arial"/>
                <w:sz w:val="12"/>
                <w:szCs w:val="12"/>
              </w:rPr>
            </w:pPr>
            <w:r w:rsidRPr="00FD3B66">
              <w:rPr>
                <w:sz w:val="12"/>
                <w:szCs w:val="12"/>
              </w:rPr>
              <w:t xml:space="preserve">Estatísticas nacionais/regionais.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Metodologia de avaliação proposta</w:t>
      </w:r>
    </w:p>
    <w:p w:rsidR="00A45935" w:rsidRPr="00E05D08" w:rsidRDefault="00A45935" w:rsidP="00E05D08">
      <w:pPr>
        <w:spacing w:after="120" w:line="280" w:lineRule="atLeast"/>
        <w:mirrorIndents/>
        <w:rPr>
          <w:rFonts w:eastAsia="Times New Roman" w:cs="Times New Roman"/>
          <w:szCs w:val="20"/>
        </w:rPr>
      </w:pPr>
      <w:r>
        <w:t>O indicador do grande objetivo é recolhido pelo Eurostat e pelas estatísticas nacionais e refere-se à despesa interna bruta em I&amp;D (GERD), como um substituto para o PIB, conhecido como intensidade de I&amp;D. As estatísticas compilam as despesas em matéria de I&amp;D para quatro setores: 1) o setor empresarial, 2) o setor da administração pública, 3) o setor do ensino superior e 4) o setor privado sem fins lucrativos. No quadro 8 é proposta informação mais pormenorizada sobre o cálculo de cada um dos indicadores.</w:t>
      </w:r>
    </w:p>
    <w:p w:rsidR="00F73706" w:rsidRPr="0059311F" w:rsidRDefault="00F73706" w:rsidP="00F73706">
      <w:pPr>
        <w:pStyle w:val="Hlistbullet"/>
      </w:pPr>
      <w:r>
        <w:t xml:space="preserve">Os dados relativos aos indicadores comuns T1 e T2 são recolhidos diretamente a partir do sistema de acompanhamento do PDR (base de dados de operações). </w:t>
      </w:r>
    </w:p>
    <w:p w:rsidR="00F73706" w:rsidRPr="00F73706" w:rsidRDefault="00F73706" w:rsidP="00F73706">
      <w:pPr>
        <w:pStyle w:val="Hlistbullet"/>
      </w:pPr>
      <w:r>
        <w:t>O grande objetivo «Despesa interna bruta em matéria de I&amp;D (GERD) em relação ao produto interno bruto (PIB)» pode ser recolhido ao nível de NUTS 1 e NUTS 2 do Eurostat.</w:t>
      </w:r>
    </w:p>
    <w:p w:rsidR="00F73706" w:rsidRPr="00F73706" w:rsidRDefault="00F73706" w:rsidP="00F73706">
      <w:pPr>
        <w:pStyle w:val="Hlistbullet"/>
      </w:pPr>
      <w:r>
        <w:t>O indicador complementar «Despesas do PDR em I&amp;D em % do PIB» (a seguir denominado GERD de «desenvolvimento rural» ᴿᴰ) mostra as despesas do PDR em matéria de I&amp;D através de medidas/submedidas pertinentes em relação ao PIB:</w:t>
      </w:r>
    </w:p>
    <w:p w:rsidR="00F73706" w:rsidRPr="00F73706" w:rsidRDefault="00F73706" w:rsidP="00F73706">
      <w:pPr>
        <w:pStyle w:val="Hlistbullet2"/>
      </w:pPr>
      <w:r>
        <w:t xml:space="preserve">os dados relativos ao PIB são recolhidos através de estatísticas nacionais e também estão disponíveis a partir de fontes da UE (Eurostat); </w:t>
      </w:r>
    </w:p>
    <w:p w:rsidR="00F73706" w:rsidRPr="00F73706" w:rsidRDefault="00F73706" w:rsidP="00F73706">
      <w:pPr>
        <w:pStyle w:val="Hlistbullet2"/>
      </w:pPr>
      <w:r>
        <w:t xml:space="preserve">os dados relativos às despesas do PDR em matéria de investigação, desenvolvimento e inovação podem ser obtidos a partir do sistema de acompanhamento do PDR contabilizando as despesas associadas às operações com potencial de inovação (conforme identificadas durante a análise do potencial de inovação — ver o </w:t>
      </w:r>
      <w:hyperlink w:anchor="Screening_Potential" w:history="1">
        <w:r>
          <w:rPr>
            <w:rStyle w:val="Hyperlink"/>
            <w:sz w:val="20"/>
          </w:rPr>
          <w:t>Capítulo 2.2</w:t>
        </w:r>
      </w:hyperlink>
      <w:r>
        <w:t xml:space="preserve">) e discriminadas por beneficiários atribuídos aos setores, tal como previsto pelo Manual de Frascati. </w:t>
      </w:r>
    </w:p>
    <w:p w:rsidR="00F73706" w:rsidRPr="00F73706" w:rsidRDefault="00F73706" w:rsidP="00F73706">
      <w:pPr>
        <w:pStyle w:val="Hlistbullet"/>
      </w:pPr>
      <w:r>
        <w:t>O indicador adicional «Despesas do PDR em I&amp;D e inovação em % do total das despesas do PDR» mostra a fatia do orçamento do PDR destinado a apoiar a investigação, o desenvolvimento e a inovação. Os dados relativos a este indicador também podem ser obtidos a partir do sistema de acompanhamento do PDR, se a base de dados de operações estiver adaptada para rastrear também a informação sobre os projetos com um elevado potencial de inovação, tal como identificado a partir da despistagem prévia à avaliação.</w:t>
      </w:r>
    </w:p>
    <w:p w:rsidR="00A45935" w:rsidRPr="00E05D08" w:rsidRDefault="00F73706" w:rsidP="00F73706">
      <w:pPr>
        <w:pStyle w:val="Hlistbullet"/>
      </w:pPr>
      <w:r>
        <w:t>O indicador adicional «Despesas do PDR em I&amp;D e inovação em % das despesas internas brutas em I&amp;D e inovação» mostra a relação existente entre os investimentos do PDR em matéria de investigação, desenvolvimento e inovação e as despesas internas brutas em matéria de I&amp;D. É possível obter os dados a partir do sistema de acompanhamento do PDR, a partir das estatísticas nacionais e regionais, bem como a partir do Eurostat.</w:t>
      </w:r>
    </w:p>
    <w:p w:rsidR="00A45935" w:rsidRPr="00E05D08" w:rsidRDefault="00A45935" w:rsidP="00E05D08">
      <w:pPr>
        <w:spacing w:after="120" w:line="280" w:lineRule="atLeast"/>
        <w:mirrorIndents/>
        <w:rPr>
          <w:rFonts w:eastAsia="Times New Roman" w:cs="Times New Roman"/>
          <w:szCs w:val="20"/>
        </w:rPr>
      </w:pPr>
      <w:r>
        <w:t>Os valores para os indicadores podem ser calculados ex ante (contributos previstos) e no momento da avaliação para o RAE apresentado em 2019 e da avaliação ex post (contributos efetivos no momento da avaliação), que em seguida podem permitir a comparação prevista com os contributos efetivos. O exemplo fornecido no quadro 8 apresenta os valores previstos e reais dos indicadores comuns e adicionais:</w:t>
      </w:r>
    </w:p>
    <w:p w:rsidR="00A45935" w:rsidRPr="00E05D08" w:rsidRDefault="00A45935" w:rsidP="00E05D08">
      <w:pPr>
        <w:spacing w:after="0" w:line="240" w:lineRule="auto"/>
        <w:rPr>
          <w:rFonts w:eastAsia="Times New Roman" w:cs="Times New Roman"/>
          <w:b/>
          <w:sz w:val="16"/>
          <w:szCs w:val="20"/>
          <w:highlight w:val="yellow"/>
        </w:rPr>
      </w:pPr>
      <w:bookmarkStart w:id="129" w:name="_Hlk501698024"/>
      <w:r>
        <w:br w:type="page"/>
      </w:r>
    </w:p>
    <w:p w:rsidR="00A45935" w:rsidRPr="00D62992" w:rsidRDefault="000C61FE" w:rsidP="000C61FE">
      <w:pPr>
        <w:pStyle w:val="HHeadingtables"/>
        <w:numPr>
          <w:ilvl w:val="0"/>
          <w:numId w:val="0"/>
        </w:numPr>
        <w:ind w:left="284"/>
      </w:pPr>
      <w:bookmarkStart w:id="130" w:name="_Toc503284470"/>
      <w:r>
        <w:lastRenderedPageBreak/>
        <w:t>Quadro 8.</w:t>
      </w:r>
      <w:r>
        <w:tab/>
      </w:r>
      <w:r w:rsidR="00A45935">
        <w:t>Exemplo de valores previstos e reais dos indicadores comuns e adicionais</w:t>
      </w:r>
      <w:bookmarkEnd w:id="130"/>
      <w:r w:rsidR="00A45935">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2"/>
        <w:gridCol w:w="4175"/>
        <w:gridCol w:w="1495"/>
        <w:gridCol w:w="1494"/>
        <w:gridCol w:w="762"/>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Indicadores</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Previstos</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Reais</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Calc.</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Dados de entrada do PDR (base de dados de operações)</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Despesas totais do PDR (agregadas).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Despesas do PDR nos termos dos artigos 14.º, 15.º e 35.º do Regulamento (UE) n.º 1305/2013 (agregadas).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Despesas de desenvolvimento rural do PDR para todas as medidas/submedidas que invistam em I&amp;D e com capacidade para fomentar a inovação (agregados).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Dados contextuais</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PIB nacional/regional (por todos os setores) (anualmente).</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Despesas internas brutas em matéria de I&amp;D (GERD) por todos os setores (anualmente).</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Valores dos indicadores de objetivos comuns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 de despesa nos termos dos artigos 14.º, 15.º e 35.º do Regulamento (UE) n.º 1305/2013 em relação às despesas totais para o PDR.</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número total de operações de projetos de cooperação apoiadas no âmbito da medida de cooperação (artigo 35.º do Regulamento (UE) n.º 1305/2013) (agrupamentos, redes/polos, projetos-piloto).</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Valores dos indicadores de resultados adicionais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Despesa interna bruta em matéria de I&amp;D (GERD) em relação ao produto interno bruto (PIB).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Despesas do PDR em I&amp;D em % do PIB (GERD «desenvolvimento rural»).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Despesas do PDR em I&amp;D e inovação em % do total das despesas do PDR.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Despesas do PDR em I&amp;D e inovação em % das despesas internas brutas em I&amp;D e inovação.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Riscos e soluções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9"/>
          <w:p w:rsidR="00A45935" w:rsidRPr="00E05D08" w:rsidRDefault="00A45935" w:rsidP="00E05D08">
            <w:pPr>
              <w:spacing w:after="120" w:line="280" w:lineRule="atLeast"/>
              <w:mirrorIndents/>
              <w:jc w:val="center"/>
              <w:rPr>
                <w:b/>
                <w:color w:val="FFFFFF"/>
                <w:sz w:val="18"/>
                <w:szCs w:val="18"/>
              </w:rPr>
            </w:pPr>
            <w:r>
              <w:rPr>
                <w:b/>
                <w:color w:val="FFFFFF"/>
                <w:sz w:val="18"/>
                <w:szCs w:val="18"/>
              </w:rPr>
              <w:t>Risco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Solução</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Estimativa errada do potencial de diferentes medidas do PDR para fomentar a inovação nas zonas rurais, principalmente as externas às «medidas de inovação» típicas, como a M1, M2, M16, M19 ou M20, que possam causar erros no cálculo das despesas do PDR associadas a I&amp;D e inovação.</w:t>
            </w:r>
          </w:p>
          <w:p w:rsidR="00A45935" w:rsidRPr="00A04B6A"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Este risco pode ser parcialmente eliminado se for realizada uma avaliação exaustiva do potencial de inovação do PDR antes de iniciar a avaliação. Assinalar as medidas do PDR, que possam demonstrar um elevado potencial de inovação, facilita a avaliação da respetiva capacidade efetiva para tal. Por exemplo, se os avaliadores souberem que medidas podem ter um forte efeito sobre a geração de novas ideias, estes verificarão o «desempenho inovador» destas medidas no momento da avaliação e ter as respetivas despesas em consideração aquando do cálculo dos respetivos indicadores.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Indisponibilidade de dados e falta de dados de qualidade (no formato exigido) em matéria de I&amp;D e inovação provenientes das estatísticas nacionais e regionais. Em caso de inexistência de dados de alta qualidade, o risco reside no facto de os avaliadores poderem não utilizar técnicas adequadas para a estimativa das despesas investidas em I&amp;D e inovação, o que pode comprometer a obtenção de valores realistas dos indicadores adicionais propostos.</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Para evitar este risco, é importante que os avaliadores disponham da capacidade e das ferramentas necessárias (por exemplo, coeficientes) para uma estimativa dos valores estatísticos a nível nacional/regional.</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Conclusões e recomendações </w:t>
      </w:r>
    </w:p>
    <w:p w:rsidR="00A45935" w:rsidRPr="00E05D08" w:rsidRDefault="00A45935" w:rsidP="00E05D08">
      <w:pPr>
        <w:spacing w:after="120" w:line="280" w:lineRule="atLeast"/>
        <w:mirrorIndents/>
        <w:rPr>
          <w:rFonts w:eastAsia="Times New Roman" w:cs="Times New Roman"/>
          <w:szCs w:val="20"/>
        </w:rPr>
      </w:pPr>
      <w:r>
        <w:t>As conclusões e recomendações associadas à QAC n.º 23 devem ter em consideração os aspetos seguintes:</w:t>
      </w:r>
    </w:p>
    <w:p w:rsidR="00A45935" w:rsidRPr="00545C6C" w:rsidRDefault="00A45935" w:rsidP="000026C6">
      <w:pPr>
        <w:pStyle w:val="Hlistbullet"/>
      </w:pPr>
      <w:r w:rsidRPr="00B83BA7">
        <w:rPr>
          <w:b/>
        </w:rPr>
        <w:t>Nível de investimentos em matéria de I&amp;D e inovação</w:t>
      </w:r>
      <w:r>
        <w:t xml:space="preserve"> conforme executados através do PDR em relação à situação global de investimento em I&amp;D e inovação nos Estados-Membros/regiões.</w:t>
      </w:r>
    </w:p>
    <w:p w:rsidR="00A45935" w:rsidRPr="00545C6C" w:rsidRDefault="00A45935" w:rsidP="000026C6">
      <w:pPr>
        <w:pStyle w:val="Hlistbullet"/>
      </w:pPr>
      <w:r w:rsidRPr="00B83BA7">
        <w:rPr>
          <w:b/>
        </w:rPr>
        <w:t>Potencial das medidas individuais para investir em I&amp;D e inovação</w:t>
      </w:r>
      <w:r>
        <w:t xml:space="preserve"> na agricultura, na indústria alimentar, nas florestas e nas zonas rurais. </w:t>
      </w:r>
    </w:p>
    <w:p w:rsidR="00A45935" w:rsidRPr="00E05D08" w:rsidRDefault="00A45935" w:rsidP="00F31494">
      <w:pPr>
        <w:pStyle w:val="HHeading4"/>
        <w:rPr>
          <w:rFonts w:eastAsia="Calibri"/>
        </w:rPr>
      </w:pPr>
      <w:r>
        <w:t>Mais informações</w:t>
      </w:r>
    </w:p>
    <w:p w:rsidR="00A45935" w:rsidRPr="00E05D08" w:rsidRDefault="00A45935" w:rsidP="00F31494">
      <w:pPr>
        <w:pStyle w:val="HStandard"/>
      </w:pPr>
      <w:r>
        <w:rPr>
          <w:lang w:val="en-GB" w:eastAsia="en-GB"/>
        </w:rPr>
        <mc:AlternateContent>
          <mc:Choice Requires="wps">
            <w:drawing>
              <wp:inline distT="0" distB="0" distL="0" distR="0" wp14:anchorId="3CA9A3A9" wp14:editId="52F8522D">
                <wp:extent cx="6089650" cy="2432050"/>
                <wp:effectExtent l="0" t="0" r="25400" b="25400"/>
                <wp:docPr id="559" name="Rectangle: Diagonal Corners Rounded 559"/>
                <wp:cNvGraphicFramePr/>
                <a:graphic xmlns:a="http://schemas.openxmlformats.org/drawingml/2006/main">
                  <a:graphicData uri="http://schemas.microsoft.com/office/word/2010/wordprocessingShape">
                    <wps:wsp>
                      <wps:cNvSpPr/>
                      <wps:spPr>
                        <a:xfrm>
                          <a:off x="0" y="0"/>
                          <a:ext cx="6089650" cy="2432050"/>
                        </a:xfrm>
                        <a:prstGeom prst="round2DiagRect">
                          <a:avLst>
                            <a:gd name="adj1" fmla="val 9341"/>
                            <a:gd name="adj2" fmla="val 0"/>
                          </a:avLst>
                        </a:prstGeom>
                        <a:noFill/>
                        <a:ln w="25400" cap="flat" cmpd="sng" algn="ctr">
                          <a:solidFill>
                            <a:srgbClr val="59638E"/>
                          </a:solidFill>
                          <a:prstDash val="solid"/>
                        </a:ln>
                        <a:effectLst/>
                      </wps:spPr>
                      <wps:txbx>
                        <w:txbxContent>
                          <w:p w:rsidR="00B06BF7" w:rsidRDefault="00B06BF7" w:rsidP="00E05D08">
                            <w:pPr>
                              <w:pStyle w:val="HStandard"/>
                              <w:rPr>
                                <w:color w:val="000000"/>
                                <w:sz w:val="18"/>
                              </w:rPr>
                            </w:pPr>
                            <w:r>
                              <w:rPr>
                                <w:lang w:val="en-GB" w:eastAsia="en-GB"/>
                              </w:rPr>
                              <w:drawing>
                                <wp:inline distT="0" distB="0" distL="0" distR="0" wp14:anchorId="05CD7AEC" wp14:editId="36F1768B">
                                  <wp:extent cx="360465" cy="360000"/>
                                  <wp:effectExtent l="0" t="0" r="1905" b="2540"/>
                                  <wp:docPr id="43"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8D17C8" w:rsidRDefault="00B06BF7" w:rsidP="00E05D08">
                            <w:pPr>
                              <w:pStyle w:val="HStandard"/>
                              <w:rPr>
                                <w:sz w:val="18"/>
                                <w:szCs w:val="18"/>
                              </w:rPr>
                            </w:pPr>
                            <w:r>
                              <w:t xml:space="preserve">CE (2010) EUROPA 2020 - </w:t>
                            </w:r>
                            <w:hyperlink r:id="rId81" w:history="1">
                              <w:r>
                                <w:rPr>
                                  <w:rStyle w:val="Hyperlink"/>
                                  <w:sz w:val="18"/>
                                  <w:szCs w:val="18"/>
                                </w:rPr>
                                <w:t>Estratégia para um crescimento inteligente, sustentável e inclusivo</w:t>
                              </w:r>
                            </w:hyperlink>
                          </w:p>
                          <w:p w:rsidR="00B06BF7" w:rsidRPr="00A04B6A" w:rsidRDefault="00B06BF7" w:rsidP="00E05D08">
                            <w:pPr>
                              <w:pStyle w:val="HStandard"/>
                              <w:rPr>
                                <w:sz w:val="18"/>
                                <w:szCs w:val="18"/>
                                <w:lang w:val="en-GB"/>
                              </w:rPr>
                            </w:pPr>
                            <w:r w:rsidRPr="00A04B6A">
                              <w:rPr>
                                <w:lang w:val="en-GB"/>
                              </w:rPr>
                              <w:t xml:space="preserve">EUROSTAT (2017) </w:t>
                            </w:r>
                            <w:hyperlink r:id="rId82" w:history="1">
                              <w:r w:rsidRPr="00A04B6A">
                                <w:rPr>
                                  <w:rStyle w:val="Hyperlink"/>
                                  <w:sz w:val="18"/>
                                  <w:szCs w:val="18"/>
                                  <w:lang w:val="en-GB"/>
                                </w:rPr>
                                <w:t>Smarter, greener, more inclusive?</w:t>
                              </w:r>
                            </w:hyperlink>
                            <w:hyperlink r:id="rId83" w:history="1">
                              <w:r w:rsidRPr="00A04B6A">
                                <w:rPr>
                                  <w:rStyle w:val="Hyperlink"/>
                                  <w:sz w:val="18"/>
                                  <w:szCs w:val="18"/>
                                  <w:lang w:val="en-GB"/>
                                </w:rPr>
                                <w:t xml:space="preserve"> Indicators to support the Europe 2020 Strategy</w:t>
                              </w:r>
                            </w:hyperlink>
                          </w:p>
                          <w:p w:rsidR="00B06BF7" w:rsidRPr="0022388F" w:rsidRDefault="00B06BF7" w:rsidP="00E05D08">
                            <w:pPr>
                              <w:pStyle w:val="HStandard"/>
                              <w:rPr>
                                <w:sz w:val="18"/>
                                <w:szCs w:val="18"/>
                                <w:lang w:val="en-GB"/>
                              </w:rPr>
                            </w:pPr>
                            <w:r w:rsidRPr="0022388F">
                              <w:rPr>
                                <w:lang w:val="en-GB"/>
                              </w:rPr>
                              <w:t>Dietz S. (2017) «</w:t>
                            </w:r>
                            <w:hyperlink r:id="rId84" w:history="1">
                              <w:r w:rsidRPr="0022388F">
                                <w:rPr>
                                  <w:rStyle w:val="Hyperlink"/>
                                  <w:sz w:val="18"/>
                                  <w:szCs w:val="18"/>
                                  <w:lang w:val="en-GB"/>
                                </w:rPr>
                                <w:t>ELER im Kontext der Strategie „Europa 2020</w:t>
                              </w:r>
                            </w:hyperlink>
                            <w:r w:rsidRPr="0022388F">
                              <w:rPr>
                                <w:lang w:val="en-GB"/>
                              </w:rPr>
                              <w:t>”»;</w:t>
                            </w:r>
                            <w:r w:rsidRPr="0022388F">
                              <w:rPr>
                                <w:sz w:val="18"/>
                                <w:szCs w:val="18"/>
                                <w:lang w:val="en-GB"/>
                              </w:rPr>
                              <w:t xml:space="preserve"> apresentação no Evento anual MEN-D 2017</w:t>
                            </w:r>
                          </w:p>
                          <w:p w:rsidR="00B06BF7" w:rsidRPr="00A04B6A" w:rsidRDefault="00B06BF7" w:rsidP="00E05D08">
                            <w:pPr>
                              <w:pStyle w:val="HStandard"/>
                              <w:rPr>
                                <w:sz w:val="18"/>
                                <w:szCs w:val="18"/>
                                <w:lang w:val="de-DE"/>
                              </w:rPr>
                            </w:pPr>
                            <w:r w:rsidRPr="00A04B6A">
                              <w:rPr>
                                <w:sz w:val="18"/>
                                <w:szCs w:val="18"/>
                                <w:lang w:val="de-DE"/>
                              </w:rPr>
                              <w:t xml:space="preserve">MEN-D (2015) </w:t>
                            </w:r>
                            <w:hyperlink r:id="rId85" w:history="1">
                              <w:r w:rsidRPr="00A04B6A">
                                <w:rPr>
                                  <w:rStyle w:val="Hyperlink"/>
                                  <w:sz w:val="18"/>
                                  <w:szCs w:val="18"/>
                                  <w:lang w:val="de-DE"/>
                                </w:rPr>
                                <w:t>Monitoring und Evaluierung der ELER-Förderperiode 2014 – 2020: Auswertung der Methoden und Erfahrungen der Ex-Ante Bewertung.»</w:t>
                              </w:r>
                            </w:hyperlink>
                          </w:p>
                          <w:p w:rsidR="00B06BF7" w:rsidRPr="00A04B6A" w:rsidRDefault="00B06BF7" w:rsidP="00E05D08">
                            <w:pPr>
                              <w:pStyle w:val="HStandard"/>
                              <w:rPr>
                                <w:sz w:val="18"/>
                                <w:szCs w:val="18"/>
                                <w:lang w:val="de-DE"/>
                              </w:rPr>
                            </w:pPr>
                            <w:r w:rsidRPr="00A04B6A">
                              <w:rPr>
                                <w:lang w:val="de-DE"/>
                              </w:rPr>
                              <w:t xml:space="preserve">MEN-D (2017) </w:t>
                            </w:r>
                            <w:hyperlink r:id="rId86" w:history="1">
                              <w:r w:rsidRPr="00A04B6A">
                                <w:rPr>
                                  <w:rStyle w:val="Hyperlink"/>
                                  <w:sz w:val="18"/>
                                  <w:szCs w:val="18"/>
                                  <w:lang w:val="de-DE"/>
                                </w:rPr>
                                <w:t>EAFRD in the context of the Europe 2020 Strategy - evaluation of contributions and future challenges</w:t>
                              </w:r>
                            </w:hyperlink>
                            <w:r w:rsidRPr="00A04B6A">
                              <w:rPr>
                                <w:lang w:val="de-DE"/>
                              </w:rPr>
                              <w:t xml:space="preserve"> (FEADER no contexto da Estratégia Europa 2020 - avaliação de contributos e desafios futuros).</w:t>
                            </w:r>
                            <w:r w:rsidRPr="00A04B6A">
                              <w:rPr>
                                <w:sz w:val="18"/>
                                <w:szCs w:val="1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A9A3A9" id="Rectangle: Diagonal Corners Rounded 559" o:spid="_x0000_s1053" style="width:479.5pt;height:191.5pt;visibility:visible;mso-wrap-style:square;mso-left-percent:-10001;mso-top-percent:-10001;mso-position-horizontal:absolute;mso-position-horizontal-relative:char;mso-position-vertical:absolute;mso-position-vertical-relative:line;mso-left-percent:-10001;mso-top-percent:-10001;v-text-anchor:middle" coordsize="6089650,243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" adj="-11796480,,5400" path="m227178,l6089650,r,l6089650,2204872v,125467,-101711,227178,-227178,227178l,2432050r,l,227178c,101711,101711,,227178,xe" filled="f" strokecolor="#59638e" strokeweight="2pt">
                <v:stroke joinstyle="miter"/>
                <v:formulas/>
                <v:path arrowok="t" o:connecttype="custom" o:connectlocs="227178,0;6089650,0;6089650,0;6089650,2204872;5862472,2432050;0,2432050;0,2432050;0,227178;227178,0" o:connectangles="0,0,0,0,0,0,0,0,0" textboxrect="0,0,6089650,2432050"/>
                <v:textbox>
                  <w:txbxContent>
                    <w:p w:rsidR="00B06BF7" w:rsidRDefault="00B06BF7" w:rsidP="00E05D08">
                      <w:pPr>
                        <w:pStyle w:val="HStandard"/>
                        <w:rPr>
                          <w:color w:val="000000"/>
                          <w:sz w:val="18"/>
                        </w:rPr>
                      </w:pPr>
                      <w:r>
                        <w:rPr>
                          <w:lang w:val="en-GB" w:eastAsia="en-GB"/>
                        </w:rPr>
                        <w:drawing>
                          <wp:inline distT="0" distB="0" distL="0" distR="0" wp14:anchorId="05CD7AEC" wp14:editId="36F1768B">
                            <wp:extent cx="360465" cy="360000"/>
                            <wp:effectExtent l="0" t="0" r="1905" b="2540"/>
                            <wp:docPr id="43"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8D17C8" w:rsidRDefault="00B06BF7" w:rsidP="00E05D08">
                      <w:pPr>
                        <w:pStyle w:val="HStandard"/>
                        <w:rPr>
                          <w:sz w:val="18"/>
                          <w:szCs w:val="18"/>
                        </w:rPr>
                      </w:pPr>
                      <w:r>
                        <w:t xml:space="preserve">CE (2010) EUROPA 2020 - </w:t>
                      </w:r>
                      <w:hyperlink r:id="rId87" w:history="1">
                        <w:r>
                          <w:rPr>
                            <w:rStyle w:val="Hyperlink"/>
                            <w:sz w:val="18"/>
                            <w:szCs w:val="18"/>
                          </w:rPr>
                          <w:t>Estratégia para um crescimento inteligente, sustentável e inclusivo</w:t>
                        </w:r>
                      </w:hyperlink>
                    </w:p>
                    <w:p w:rsidR="00B06BF7" w:rsidRPr="00A04B6A" w:rsidRDefault="00B06BF7" w:rsidP="00E05D08">
                      <w:pPr>
                        <w:pStyle w:val="HStandard"/>
                        <w:rPr>
                          <w:sz w:val="18"/>
                          <w:szCs w:val="18"/>
                          <w:lang w:val="en-GB"/>
                        </w:rPr>
                      </w:pPr>
                      <w:r w:rsidRPr="00A04B6A">
                        <w:rPr>
                          <w:lang w:val="en-GB"/>
                        </w:rPr>
                        <w:t xml:space="preserve">EUROSTAT (2017) </w:t>
                      </w:r>
                      <w:hyperlink r:id="rId88" w:history="1">
                        <w:r w:rsidRPr="00A04B6A">
                          <w:rPr>
                            <w:rStyle w:val="Hyperlink"/>
                            <w:sz w:val="18"/>
                            <w:szCs w:val="18"/>
                            <w:lang w:val="en-GB"/>
                          </w:rPr>
                          <w:t>Smarter, greener, more inclusive?</w:t>
                        </w:r>
                      </w:hyperlink>
                      <w:hyperlink r:id="rId89" w:history="1">
                        <w:r w:rsidRPr="00A04B6A">
                          <w:rPr>
                            <w:rStyle w:val="Hyperlink"/>
                            <w:sz w:val="18"/>
                            <w:szCs w:val="18"/>
                            <w:lang w:val="en-GB"/>
                          </w:rPr>
                          <w:t xml:space="preserve"> Indicators to support the Europe 2020 Strategy</w:t>
                        </w:r>
                      </w:hyperlink>
                    </w:p>
                    <w:p w:rsidR="00B06BF7" w:rsidRPr="0022388F" w:rsidRDefault="00B06BF7" w:rsidP="00E05D08">
                      <w:pPr>
                        <w:pStyle w:val="HStandard"/>
                        <w:rPr>
                          <w:sz w:val="18"/>
                          <w:szCs w:val="18"/>
                          <w:lang w:val="en-GB"/>
                        </w:rPr>
                      </w:pPr>
                      <w:r w:rsidRPr="0022388F">
                        <w:rPr>
                          <w:lang w:val="en-GB"/>
                        </w:rPr>
                        <w:t>Dietz S. (2017) «</w:t>
                      </w:r>
                      <w:hyperlink r:id="rId90" w:history="1">
                        <w:r w:rsidRPr="0022388F">
                          <w:rPr>
                            <w:rStyle w:val="Hyperlink"/>
                            <w:sz w:val="18"/>
                            <w:szCs w:val="18"/>
                            <w:lang w:val="en-GB"/>
                          </w:rPr>
                          <w:t>ELER im Kontext der Strategie „Europa 2020</w:t>
                        </w:r>
                      </w:hyperlink>
                      <w:r w:rsidRPr="0022388F">
                        <w:rPr>
                          <w:lang w:val="en-GB"/>
                        </w:rPr>
                        <w:t>”»;</w:t>
                      </w:r>
                      <w:r w:rsidRPr="0022388F">
                        <w:rPr>
                          <w:sz w:val="18"/>
                          <w:szCs w:val="18"/>
                          <w:lang w:val="en-GB"/>
                        </w:rPr>
                        <w:t xml:space="preserve"> apresentação no Evento anual MEN-D 2017</w:t>
                      </w:r>
                    </w:p>
                    <w:p w:rsidR="00B06BF7" w:rsidRPr="00A04B6A" w:rsidRDefault="00B06BF7" w:rsidP="00E05D08">
                      <w:pPr>
                        <w:pStyle w:val="HStandard"/>
                        <w:rPr>
                          <w:sz w:val="18"/>
                          <w:szCs w:val="18"/>
                          <w:lang w:val="de-DE"/>
                        </w:rPr>
                      </w:pPr>
                      <w:r w:rsidRPr="00A04B6A">
                        <w:rPr>
                          <w:sz w:val="18"/>
                          <w:szCs w:val="18"/>
                          <w:lang w:val="de-DE"/>
                        </w:rPr>
                        <w:t xml:space="preserve">MEN-D (2015) </w:t>
                      </w:r>
                      <w:hyperlink r:id="rId91" w:history="1">
                        <w:r w:rsidRPr="00A04B6A">
                          <w:rPr>
                            <w:rStyle w:val="Hyperlink"/>
                            <w:sz w:val="18"/>
                            <w:szCs w:val="18"/>
                            <w:lang w:val="de-DE"/>
                          </w:rPr>
                          <w:t>Monitoring und Evaluierung der ELER-Förderperiode 2014 – 2020: Auswertung der Methoden und Erfahrungen der Ex-Ante Bewertung.»</w:t>
                        </w:r>
                      </w:hyperlink>
                    </w:p>
                    <w:p w:rsidR="00B06BF7" w:rsidRPr="00A04B6A" w:rsidRDefault="00B06BF7" w:rsidP="00E05D08">
                      <w:pPr>
                        <w:pStyle w:val="HStandard"/>
                        <w:rPr>
                          <w:sz w:val="18"/>
                          <w:szCs w:val="18"/>
                          <w:lang w:val="de-DE"/>
                        </w:rPr>
                      </w:pPr>
                      <w:r w:rsidRPr="00A04B6A">
                        <w:rPr>
                          <w:lang w:val="de-DE"/>
                        </w:rPr>
                        <w:t xml:space="preserve">MEN-D (2017) </w:t>
                      </w:r>
                      <w:hyperlink r:id="rId92" w:history="1">
                        <w:r w:rsidRPr="00A04B6A">
                          <w:rPr>
                            <w:rStyle w:val="Hyperlink"/>
                            <w:sz w:val="18"/>
                            <w:szCs w:val="18"/>
                            <w:lang w:val="de-DE"/>
                          </w:rPr>
                          <w:t>EAFRD in the context of the Europe 2020 Strategy - evaluation of contributions and future challenges</w:t>
                        </w:r>
                      </w:hyperlink>
                      <w:r w:rsidRPr="00A04B6A">
                        <w:rPr>
                          <w:lang w:val="de-DE"/>
                        </w:rPr>
                        <w:t xml:space="preserve"> (FEADER no contexto da Estratégia Europa 2020 - avaliação de contributos e desafios futuros).</w:t>
                      </w:r>
                      <w:r w:rsidRPr="00A04B6A">
                        <w:rPr>
                          <w:sz w:val="18"/>
                          <w:szCs w:val="18"/>
                          <w:lang w:val="de-DE"/>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31" w:name="_Toc501382135"/>
      <w:bookmarkStart w:id="132" w:name="_Toc508372669"/>
      <w:r>
        <w:t>QAC n.º 30: «Até que ponto as ações do PDR contribuíram para fomentar a inovação?»</w:t>
      </w:r>
      <w:bookmarkEnd w:id="131"/>
      <w:bookmarkEnd w:id="13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Compreender a QAC</w:t>
      </w:r>
    </w:p>
    <w:p w:rsidR="00A45935" w:rsidRPr="00E05D08" w:rsidRDefault="00A45935" w:rsidP="00E05D08">
      <w:pPr>
        <w:spacing w:after="120" w:line="280" w:lineRule="atLeast"/>
        <w:mirrorIndents/>
        <w:rPr>
          <w:rFonts w:eastAsia="Times New Roman" w:cs="Arial"/>
          <w:szCs w:val="20"/>
        </w:rPr>
      </w:pPr>
      <w:r>
        <w:t xml:space="preserve">A QAC n.º 30 diz respeito ao processo de fomentar a inovação, que torna a questão muito ampla do ponto de vista conceptual, dado que a </w:t>
      </w:r>
      <w:r w:rsidRPr="00FD3B66">
        <w:rPr>
          <w:b/>
        </w:rPr>
        <w:t>inovação resulta das interações dos agentes no sistema de inovação</w:t>
      </w:r>
      <w:r>
        <w:t>.</w:t>
      </w:r>
      <w:r>
        <w:rPr>
          <w:b/>
          <w:szCs w:val="20"/>
        </w:rPr>
        <w:t xml:space="preserve"> </w:t>
      </w:r>
      <w:r>
        <w:t xml:space="preserve">A avaliação dos processos requer tempo e, por conseguinte, só é possível responder à questão depois de a ação do PDR ter realizado progressos substanciais (no RAE apresentado em 2019) ou ter terminado (avaliação ex post). </w:t>
      </w:r>
    </w:p>
    <w:p w:rsidR="00A45935" w:rsidRPr="00E05D08" w:rsidRDefault="00A45935" w:rsidP="00E05D08">
      <w:pPr>
        <w:spacing w:after="120" w:line="280" w:lineRule="atLeast"/>
        <w:mirrorIndents/>
        <w:rPr>
          <w:rFonts w:eastAsia="Times New Roman" w:cs="Arial"/>
          <w:szCs w:val="20"/>
        </w:rPr>
      </w:pPr>
      <w:r>
        <w:t xml:space="preserve">A UE está interessada no contributo do PDR para a inovação à escala, isto é, nos processos de inovação bem-sucedidos que conduziram a alterações relativamente importantes (por exemplo, um </w:t>
      </w:r>
      <w:r>
        <w:lastRenderedPageBreak/>
        <w:t xml:space="preserve">número relativamente elevado de agricultores que adota uma nova tecnologia). O ponto de partida para responder à QAC n.º 30 consiste, por conseguinte, em identificar alterações importantes para as quais o PDR alegadamente contribuiu e em que pelo menos uma parte do contributo se efetuou pela promoção da inovação. Estas alterações importantes podem ser identificadas através da avaliação dos indicadores de impacto e da recolha de informações adicionais (por exemplo, através de análises documentais e entrevistas com as partes interessadas, na sequência dos resultados da identificação do potencial de inovação, ver o Capítulo 2.2). As conclusões serão igualmente utilizadas para responder a outras QAC além da QAC n.º 30 (QAC n.º 24 a 29). </w:t>
      </w:r>
    </w:p>
    <w:p w:rsidR="00A45935" w:rsidRPr="00E05D08" w:rsidRDefault="00A45935" w:rsidP="00E05D08">
      <w:pPr>
        <w:spacing w:after="120" w:line="280" w:lineRule="atLeast"/>
        <w:mirrorIndents/>
        <w:rPr>
          <w:rFonts w:eastAsia="Times New Roman" w:cs="Arial"/>
          <w:szCs w:val="20"/>
        </w:rPr>
      </w:pPr>
      <w:r>
        <w:t xml:space="preserve">Um pressuposto </w:t>
      </w:r>
      <w:r w:rsidRPr="00F12FAB">
        <w:rPr>
          <w:i/>
        </w:rPr>
        <w:t>a priori</w:t>
      </w:r>
      <w:r>
        <w:t xml:space="preserve"> do capítulo 1.1 é o de que as medidas/submedidas do PDR contribuem para </w:t>
      </w:r>
      <w:r w:rsidRPr="00FD3B66">
        <w:rPr>
          <w:b/>
        </w:rPr>
        <w:t>fomentar a inovação</w:t>
      </w:r>
      <w:r>
        <w:t xml:space="preserve"> através de três vias interrelacionadas (ver a </w:t>
      </w:r>
      <w:hyperlink w:anchor="Pathways" w:history="1">
        <w:r>
          <w:rPr>
            <w:rStyle w:val="Hyperlink"/>
            <w:sz w:val="20"/>
            <w:szCs w:val="20"/>
          </w:rPr>
          <w:t>Figura 1</w:t>
        </w:r>
      </w:hyperlink>
      <w:r>
        <w:t xml:space="preserve">). A mais-valia das três vias reside no facto de estas ajudarem o avaliador a analisar e compreender melhor o processo de inovação. Assim, as orientações propõem três subquestões da QAC n.º 30 correspondentes às vias: </w:t>
      </w:r>
    </w:p>
    <w:p w:rsidR="00A45935" w:rsidRPr="00BE70EE" w:rsidRDefault="00A45935" w:rsidP="000026C6">
      <w:pPr>
        <w:pStyle w:val="Hlistbullet"/>
      </w:pPr>
      <w:r>
        <w:t>Até que ponto o PDR fomentou a inovação através da promoção do potencial de inovação? (Via n.º 1)</w:t>
      </w:r>
    </w:p>
    <w:p w:rsidR="00A45935" w:rsidRPr="00BE70EE" w:rsidRDefault="00A45935" w:rsidP="000026C6">
      <w:pPr>
        <w:pStyle w:val="Hlistbullet"/>
      </w:pPr>
      <w:r>
        <w:t>Até que ponto o PDR fomentou a inovação através do reforço da capacidade de inovação? (Via n.º 2)</w:t>
      </w:r>
    </w:p>
    <w:p w:rsidR="00A45935" w:rsidRPr="00BE70EE" w:rsidRDefault="00A45935" w:rsidP="000026C6">
      <w:pPr>
        <w:pStyle w:val="Hlistbullet"/>
      </w:pPr>
      <w:r>
        <w:t>Até que ponto o PDR fomentou a inovação através da criação de um ambiente propício à inovação? (Via n.º 3)</w:t>
      </w:r>
    </w:p>
    <w:p w:rsidR="00A45935" w:rsidRPr="00E05D08" w:rsidRDefault="00A45935" w:rsidP="00690E70">
      <w:pPr>
        <w:spacing w:after="120" w:line="280" w:lineRule="atLeast"/>
        <w:mirrorIndents/>
        <w:rPr>
          <w:rFonts w:eastAsia="Times New Roman" w:cs="Arial"/>
          <w:szCs w:val="20"/>
        </w:rPr>
      </w:pPr>
      <w:r>
        <w:t xml:space="preserve">As interações entre as vias também são importantes. O processo de promover o potencial de inovação de forma colaborativa (por exemplo, desenvolvendo e introduzindo uma nova tecnologia) reforça a capacidade de inovação dos indivíduos e das organizações em causa, bem como o próprio sistema de inovação. A interação entre as vias deve ser abordada aquando da resposta às três subquestões e à QAC n.º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Desafios específicos </w:t>
      </w:r>
    </w:p>
    <w:p w:rsidR="00A45935" w:rsidRPr="00241663" w:rsidRDefault="00A45935" w:rsidP="000026C6">
      <w:pPr>
        <w:pStyle w:val="Hlistbullet"/>
      </w:pPr>
      <w:r w:rsidRPr="00FD3B66">
        <w:rPr>
          <w:b/>
        </w:rPr>
        <w:t>Desenvolver elementos de avaliação adicionais</w:t>
      </w:r>
      <w:r>
        <w:t xml:space="preserve"> para responder à QAC n.º 30 (critérios de apreciação e indicadores qualitativos e quantitativos). </w:t>
      </w:r>
    </w:p>
    <w:p w:rsidR="00A45935" w:rsidRPr="00241663" w:rsidRDefault="00A45935" w:rsidP="000026C6">
      <w:pPr>
        <w:pStyle w:val="Hlistbullet"/>
      </w:pPr>
      <w:r w:rsidRPr="00FD3B66">
        <w:rPr>
          <w:b/>
        </w:rPr>
        <w:t xml:space="preserve">Aplicar métodos de avaliação </w:t>
      </w:r>
      <w:r>
        <w:t xml:space="preserve">que permitiriam atribuir as alterações observadas nas três vias do sistema de inovação em zonas rurais às intervenções do PDR. </w:t>
      </w:r>
    </w:p>
    <w:p w:rsidR="00A45935" w:rsidRPr="00241663" w:rsidRDefault="00A45935" w:rsidP="000026C6">
      <w:pPr>
        <w:pStyle w:val="Hlistbullet"/>
      </w:pPr>
      <w:r w:rsidRPr="00FD3B66">
        <w:rPr>
          <w:b/>
        </w:rPr>
        <w:t xml:space="preserve">Avaliar as alterações </w:t>
      </w:r>
      <w:r>
        <w:t xml:space="preserve">verificadas devido a inovações apoiadas pelo PDR.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Abordagem proposta para responder à QAC n.º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Lógica de intervenção </w:t>
      </w:r>
    </w:p>
    <w:p w:rsidR="00A45935" w:rsidRDefault="00A45935" w:rsidP="00E05D08">
      <w:pPr>
        <w:spacing w:after="120" w:line="280" w:lineRule="atLeast"/>
        <w:mirrorIndents/>
      </w:pPr>
      <w:r>
        <w:t>A abordagem do PDR no sentido da inovação é estabelecida durante a conceção do programa</w:t>
      </w:r>
      <w:r>
        <w:rPr>
          <w:rFonts w:eastAsia="Times New Roman" w:cs="Times New Roman"/>
          <w:szCs w:val="20"/>
          <w:vertAlign w:val="superscript"/>
          <w:lang w:eastAsia="de-DE"/>
        </w:rPr>
        <w:footnoteReference w:id="76"/>
      </w:r>
      <w:r>
        <w:t xml:space="preserve">. Na análise do potencial de inovação das medidas/submedidas do PDR durante a fase de preparação da avaliação, todas as medidas/submedidas (não apenas as medidas M1, M2, M16, M19 e TA) são analisadas e testadas em termos do seu potencial para cultivar ideias, reforçar as capacidades e criar um ambiente propício. Por conseguinte, </w:t>
      </w:r>
      <w:r w:rsidRPr="00FD3B66">
        <w:rPr>
          <w:b/>
        </w:rPr>
        <w:t>espera-se que todas as medidas e submedidas do PDR que tenham demonstrado um potencial de inovação</w:t>
      </w:r>
      <w:r>
        <w:t xml:space="preserve"> significativo façam parte da lógica de intervenção do PDR relacionada com a inovação que orienta a execução do PDR no sentido da inovação. O avaliador utiliza esta lógica como um contributo para a construção do processo relativo à forma como o PDR contribuiu para a inovação (ver </w:t>
      </w:r>
      <w:hyperlink w:anchor="Example_IL" w:history="1">
        <w:r>
          <w:rPr>
            <w:rStyle w:val="Hyperlink"/>
            <w:sz w:val="20"/>
            <w:szCs w:val="20"/>
          </w:rPr>
          <w:t>Figura 11</w:t>
        </w:r>
      </w:hyperlink>
      <w:r>
        <w:t>).</w:t>
      </w:r>
    </w:p>
    <w:p w:rsidR="00FD3B66" w:rsidRDefault="00FD3B66" w:rsidP="00E05D08">
      <w:pPr>
        <w:spacing w:after="120" w:line="280" w:lineRule="atLeast"/>
        <w:mirrorIndents/>
        <w:rPr>
          <w:rFonts w:eastAsia="Times New Roman" w:cs="Arial"/>
          <w:szCs w:val="20"/>
        </w:rPr>
      </w:pPr>
    </w:p>
    <w:p w:rsidR="00A45935" w:rsidRDefault="00096490" w:rsidP="00096490">
      <w:pPr>
        <w:pStyle w:val="HHeadingfigures"/>
        <w:numPr>
          <w:ilvl w:val="0"/>
          <w:numId w:val="0"/>
        </w:numPr>
        <w:ind w:left="851"/>
      </w:pPr>
      <w:bookmarkStart w:id="133" w:name="Example_IL"/>
      <w:bookmarkStart w:id="134" w:name="_Toc503284764"/>
      <w:bookmarkEnd w:id="133"/>
      <w:r>
        <w:lastRenderedPageBreak/>
        <w:t>Figura 11.</w:t>
      </w:r>
      <w:r>
        <w:tab/>
      </w:r>
      <w:r w:rsidR="00BE1F31">
        <w:t>Exemplo da lógica de intervenção para a QAC n.º 30</w:t>
      </w:r>
      <w:bookmarkEnd w:id="134"/>
    </w:p>
    <w:p w:rsidR="00FD3B66" w:rsidRPr="00FD3B66" w:rsidRDefault="00FD3B66" w:rsidP="00FD3B66">
      <w:pPr>
        <w:pStyle w:val="HStandard"/>
      </w:pPr>
      <w:r w:rsidRPr="00FD3B66">
        <w:rPr>
          <w:lang w:val="en-GB" w:eastAsia="en-GB"/>
        </w:rPr>
        <w:drawing>
          <wp:inline distT="0" distB="0" distL="0" distR="0" wp14:anchorId="7782F1DC" wp14:editId="758579E2">
            <wp:extent cx="5732145" cy="3221717"/>
            <wp:effectExtent l="0" t="0" r="190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2145" cy="3221717"/>
                    </a:xfrm>
                    <a:prstGeom prst="rect">
                      <a:avLst/>
                    </a:prstGeom>
                    <a:noFill/>
                    <a:ln>
                      <a:noFill/>
                    </a:ln>
                  </pic:spPr>
                </pic:pic>
              </a:graphicData>
            </a:graphic>
          </wp:inline>
        </w:drawing>
      </w:r>
    </w:p>
    <w:p w:rsidR="00A45935" w:rsidRPr="00E05D08" w:rsidRDefault="00A45935" w:rsidP="002C2C15">
      <w:pPr>
        <w:suppressAutoHyphens/>
        <w:spacing w:before="60" w:after="140" w:line="240" w:lineRule="auto"/>
        <w:mirrorIndents/>
        <w:jc w:val="center"/>
        <w:rPr>
          <w:rFonts w:eastAsia="Times New Roman" w:cs="Times New Roman"/>
          <w:i/>
          <w:noProof/>
          <w:sz w:val="16"/>
          <w:szCs w:val="20"/>
          <w:lang w:eastAsia="en-GB"/>
        </w:rPr>
      </w:pP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Fonte: Serviço Europeu de Assistência na Avaliação para o Desenvolvimento Rural,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55F28FE7" wp14:editId="558787C1">
                <wp:extent cx="5732145" cy="2413000"/>
                <wp:effectExtent l="0" t="0" r="20955" b="25400"/>
                <wp:docPr id="560" name="Rectangle: Diagonal Corners Rounded 560"/>
                <wp:cNvGraphicFramePr/>
                <a:graphic xmlns:a="http://schemas.openxmlformats.org/drawingml/2006/main">
                  <a:graphicData uri="http://schemas.microsoft.com/office/word/2010/wordprocessingShape">
                    <wps:wsp>
                      <wps:cNvSpPr/>
                      <wps:spPr>
                        <a:xfrm>
                          <a:off x="0" y="0"/>
                          <a:ext cx="5732145" cy="2413000"/>
                        </a:xfrm>
                        <a:prstGeom prst="round2DiagRect">
                          <a:avLst>
                            <a:gd name="adj1" fmla="val 11556"/>
                            <a:gd name="adj2" fmla="val 0"/>
                          </a:avLst>
                        </a:prstGeom>
                        <a:noFill/>
                        <a:ln w="25400" cap="flat" cmpd="sng" algn="ctr">
                          <a:solidFill>
                            <a:srgbClr val="F07E31"/>
                          </a:solidFill>
                          <a:prstDash val="solid"/>
                        </a:ln>
                        <a:effectLst/>
                      </wps:spPr>
                      <wps:txbx>
                        <w:txbxContent>
                          <w:p w:rsidR="00B06BF7" w:rsidRPr="0079762F" w:rsidRDefault="00B06BF7" w:rsidP="00E05D08">
                            <w:pPr>
                              <w:pStyle w:val="HStandard"/>
                              <w:rPr>
                                <w:rFonts w:cs="Arial"/>
                                <w:sz w:val="18"/>
                              </w:rPr>
                            </w:pPr>
                            <w:r>
                              <w:rPr>
                                <w:sz w:val="18"/>
                                <w:szCs w:val="18"/>
                                <w:lang w:val="en-GB" w:eastAsia="en-GB"/>
                              </w:rPr>
                              <w:drawing>
                                <wp:inline distT="0" distB="0" distL="0" distR="0" wp14:anchorId="5A2A14FC" wp14:editId="1B73E3DC">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Neste exemplo, as medidas (círculos) por baixo dos DI (retângulos) são suscetíveis de fomentar a inovação, por si só ou em combinação com outras medidas de formas diferentes (três vias representadas sobre a forma de pictogramas). Por exemplo, as medidas M16 e M2 programadas no âmbito do DI 3A – integração dos produtores primários na cadeia alimentar e no âmbito do DI 5A – eficiência hídrica, são suscetíveis de, em conjunto, fomentar a inovação através das três vias. Num outro caso – DI 5B, ambas as medidas em combinação com a medida M4 deverão fomentar a inovação através do reforço das capacidades num espírito de colaboração.  </w:t>
                            </w:r>
                          </w:p>
                          <w:p w:rsidR="00B06BF7" w:rsidRPr="00ED3BAD" w:rsidRDefault="00B06BF7" w:rsidP="00E05D08">
                            <w:pPr>
                              <w:pStyle w:val="HStandard"/>
                              <w:rPr>
                                <w:sz w:val="18"/>
                                <w:szCs w:val="18"/>
                              </w:rPr>
                            </w:pPr>
                            <w:r>
                              <w:rPr>
                                <w:sz w:val="18"/>
                              </w:rPr>
                              <w:t>As medidas com potencial de inovação são suscetíveis de gerar resultados, o que conduz a resultados no fomento da inovação através das três vias e, em última instância, afetam a realização dos objetivos do domínio de intervenção.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F28FE7" id="Rectangle: Diagonal Corners Rounded 560" o:spid="_x0000_s1054" style="width:451.35pt;height:190pt;visibility:visible;mso-wrap-style:square;mso-left-percent:-10001;mso-top-percent:-10001;mso-position-horizontal:absolute;mso-position-horizontal-relative:char;mso-position-vertical:absolute;mso-position-vertical-relative:line;mso-left-percent:-10001;mso-top-percent:-10001;v-text-anchor:middle" coordsize="5732145,241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" adj="-11796480,,5400" path="m278846,l5732145,r,l5732145,2134154v,154002,-124844,278846,-278846,278846l,2413000r,l,278846c,124844,124844,,278846,xe" filled="f" strokecolor="#f07e31" strokeweight="2pt">
                <v:stroke joinstyle="miter"/>
                <v:formulas/>
                <v:path arrowok="t" o:connecttype="custom" o:connectlocs="278846,0;5732145,0;5732145,0;5732145,2134154;5453299,2413000;0,2413000;0,2413000;0,278846;278846,0" o:connectangles="0,0,0,0,0,0,0,0,0" textboxrect="0,0,5732145,2413000"/>
                <v:textbox>
                  <w:txbxContent>
                    <w:p w:rsidR="00B06BF7" w:rsidRPr="0079762F" w:rsidRDefault="00B06BF7" w:rsidP="00E05D08">
                      <w:pPr>
                        <w:pStyle w:val="HStandard"/>
                        <w:rPr>
                          <w:rFonts w:cs="Arial"/>
                          <w:sz w:val="18"/>
                        </w:rPr>
                      </w:pPr>
                      <w:r>
                        <w:rPr>
                          <w:sz w:val="18"/>
                          <w:szCs w:val="18"/>
                          <w:lang w:val="en-GB" w:eastAsia="en-GB"/>
                        </w:rPr>
                        <w:drawing>
                          <wp:inline distT="0" distB="0" distL="0" distR="0" wp14:anchorId="5A2A14FC" wp14:editId="1B73E3DC">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Neste exemplo, as medidas (círculos) por baixo dos DI (retângulos) são suscetíveis de fomentar a inovação, por si só ou em combinação com outras medidas de formas diferentes (três vias representadas sobre a forma de pictogramas). Por exemplo, as medidas M16 e M2 programadas no âmbito do DI 3A – integração dos produtores primários na cadeia alimentar e no âmbito do DI 5A – eficiência hídrica, são suscetíveis de, em conjunto, fomentar a inovação através das três vias. Num outro caso – DI 5B, ambas as medidas em combinação com a medida M4 deverão fomentar a inovação através do reforço das capacidades num espírito de colaboração.  </w:t>
                      </w:r>
                    </w:p>
                    <w:p w:rsidR="00B06BF7" w:rsidRPr="00ED3BAD" w:rsidRDefault="00B06BF7" w:rsidP="00E05D08">
                      <w:pPr>
                        <w:pStyle w:val="HStandard"/>
                        <w:rPr>
                          <w:sz w:val="18"/>
                          <w:szCs w:val="18"/>
                        </w:rPr>
                      </w:pPr>
                      <w:r>
                        <w:rPr>
                          <w:sz w:val="18"/>
                        </w:rPr>
                        <w:t>As medidas com potencial de inovação são suscetíveis de gerar resultados, o que conduz a resultados no fomento da inovação através das três vias e, em última instância, afetam a realização dos objetivos do domínio de intervenção.</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4"/>
          <w:headerReference w:type="first" r:id="rId95"/>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Dada a complexidade e a natureza emergente da inovação, parte-se do princípio de que não haverá uma correspondência perfeita entre o potencial de inovação previsto e as intervenções do PDR que fizeram a diferença. Por conseguinte, no momento da avaliação, a função do avaliador consiste em comparar o potencial de inovação previsto do PDR com os contributos efetivos para a mudança.</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Elementos de avaliação </w:t>
      </w:r>
    </w:p>
    <w:p w:rsidR="00A45935" w:rsidRPr="00E05D08" w:rsidRDefault="00A45935" w:rsidP="00E05D08">
      <w:pPr>
        <w:spacing w:after="120" w:line="280" w:lineRule="atLeast"/>
        <w:mirrorIndents/>
        <w:rPr>
          <w:rFonts w:eastAsia="Times New Roman" w:cs="Times New Roman"/>
          <w:szCs w:val="20"/>
        </w:rPr>
      </w:pPr>
      <w:r>
        <w:t xml:space="preserve">O documento de trabalho </w:t>
      </w:r>
      <w:hyperlink r:id="rId96" w:history="1">
        <w:r>
          <w:rPr>
            <w:rStyle w:val="Hyperlink"/>
            <w:sz w:val="20"/>
            <w:szCs w:val="20"/>
          </w:rPr>
          <w:t>Common Evaluation Questions for RDPs 2014-2020</w:t>
        </w:r>
      </w:hyperlink>
      <w:r>
        <w:t xml:space="preserve"> (Questões de avaliação comuns para os PDR 2014-2020), propõe um critério de apreciação (a inovação nas zonas rurais e nos setores foi fomentada) e um indicador comum (T1 - despesas relacionadas com o artigo 14.º, 15.º e 35.º). Recomenda igualmente a recolha de informações quantitativas e qualitativas adicionais em matéria de inovação para responder à QAC n.º 30. No entanto, estes elementos não podem incluir na íntegra os contributos do PDR para fomentar as inovações. </w:t>
      </w:r>
    </w:p>
    <w:p w:rsidR="00A45935" w:rsidRPr="00E05D08" w:rsidRDefault="00A45935" w:rsidP="00E05D08">
      <w:pPr>
        <w:spacing w:after="120" w:line="280" w:lineRule="atLeast"/>
        <w:mirrorIndents/>
        <w:rPr>
          <w:rFonts w:eastAsia="Times New Roman" w:cs="Times New Roman"/>
          <w:szCs w:val="20"/>
        </w:rPr>
      </w:pPr>
      <w:r>
        <w:t xml:space="preserve">Por conseguinte, as presentes orientações propõem que se considere a utilização de elementos de avaliação adicionais para responder à QAC n.º 30 (ver </w:t>
      </w:r>
      <w:hyperlink w:anchor="CEQ_fostering" w:history="1">
        <w:r>
          <w:rPr>
            <w:rStyle w:val="Hyperlink"/>
            <w:sz w:val="20"/>
            <w:szCs w:val="20"/>
          </w:rPr>
          <w:t>Quadro 9</w:t>
        </w:r>
      </w:hyperlink>
      <w:r>
        <w:t xml:space="preserve">). No caso da QAC n.º 30, os </w:t>
      </w:r>
      <w:r>
        <w:lastRenderedPageBreak/>
        <w:t xml:space="preserve">elementos de avaliação estão relacionados com as três subquestões correspondentes às três vias do processo de inovação. Os critérios de apreciação propostos estão relacionados com as características de cada via, o que permite verificar se a via foi respeitada ao longo da execução das medidas do PDR identificadas durante a análise do potencial de inovação. </w:t>
      </w:r>
    </w:p>
    <w:p w:rsidR="00A45935" w:rsidRPr="00E05D08" w:rsidRDefault="00A45935" w:rsidP="00E05D08">
      <w:pPr>
        <w:spacing w:after="120" w:line="280" w:lineRule="atLeast"/>
        <w:mirrorIndents/>
        <w:rPr>
          <w:rFonts w:eastAsia="Times New Roman" w:cs="Times New Roman"/>
          <w:szCs w:val="20"/>
        </w:rPr>
      </w:pPr>
      <w:r>
        <w:t xml:space="preserve">Para além dos indicadores comuns, os elementos sugeridos não são vinculativos, podendo as partes interessadas nos Estados-Membros desenvolver os seus próprios critérios de apreciação e indicadores adicionais.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0C61FE" w:rsidP="000C61FE">
      <w:pPr>
        <w:pStyle w:val="HHeadingtables"/>
        <w:numPr>
          <w:ilvl w:val="0"/>
          <w:numId w:val="0"/>
        </w:numPr>
        <w:ind w:left="284"/>
      </w:pPr>
      <w:bookmarkStart w:id="135" w:name="CEQ_fostering"/>
      <w:bookmarkStart w:id="136" w:name="_Toc503284471"/>
      <w:bookmarkEnd w:id="135"/>
      <w:r>
        <w:lastRenderedPageBreak/>
        <w:t>Quadro 9.</w:t>
      </w:r>
      <w:r>
        <w:tab/>
      </w:r>
      <w:r w:rsidR="00A45935">
        <w:t>Elementos de avaliação associados à QAC n.º 30</w:t>
      </w:r>
      <w:bookmarkEnd w:id="136"/>
      <w:r w:rsidR="00A45935">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Elementos de avaliação (subquestões, critérios de apreciação e indicadores) fornecidos além dos copiados do documento de trabalho: </w:t>
      </w:r>
      <w:hyperlink r:id="rId97" w:history="1">
        <w:r>
          <w:rPr>
            <w:rStyle w:val="Hyperlink"/>
            <w:sz w:val="20"/>
            <w:szCs w:val="20"/>
          </w:rPr>
          <w:t>Common Evaluation Questions for RDPs 2014-2020</w:t>
        </w:r>
      </w:hyperlink>
      <w:r>
        <w:t xml:space="preserve"> (Questões de avaliação comuns para os </w:t>
      </w:r>
      <w:r w:rsidR="00B40BDE">
        <w:t xml:space="preserve">PDR 2014-2020) encontram-se em </w:t>
      </w:r>
      <w:r>
        <w:t>itálico.</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6C068E" w:rsidTr="00F73706">
        <w:trPr>
          <w:tblHeader/>
        </w:trPr>
        <w:tc>
          <w:tcPr>
            <w:tcW w:w="2988" w:type="dxa"/>
            <w:shd w:val="clear" w:color="auto" w:fill="F07E31"/>
          </w:tcPr>
          <w:p w:rsidR="00A45935" w:rsidRPr="006C068E" w:rsidRDefault="00A45935" w:rsidP="00E05D08">
            <w:pPr>
              <w:spacing w:after="120" w:line="220" w:lineRule="atLeast"/>
              <w:jc w:val="center"/>
              <w:rPr>
                <w:rFonts w:cs="Arial"/>
                <w:b/>
                <w:color w:val="FFFFFF"/>
                <w:sz w:val="16"/>
                <w:szCs w:val="16"/>
              </w:rPr>
            </w:pPr>
            <w:r w:rsidRPr="006C068E">
              <w:rPr>
                <w:b/>
                <w:color w:val="FFFFFF"/>
                <w:sz w:val="16"/>
                <w:szCs w:val="16"/>
              </w:rPr>
              <w:t>Subquestões</w:t>
            </w:r>
          </w:p>
        </w:tc>
        <w:tc>
          <w:tcPr>
            <w:tcW w:w="2127" w:type="dxa"/>
            <w:shd w:val="clear" w:color="auto" w:fill="F07E31"/>
          </w:tcPr>
          <w:p w:rsidR="00A45935" w:rsidRPr="006C068E" w:rsidRDefault="00A45935" w:rsidP="00E05D08">
            <w:pPr>
              <w:spacing w:after="120" w:line="220" w:lineRule="atLeast"/>
              <w:jc w:val="center"/>
              <w:rPr>
                <w:rFonts w:cs="Arial"/>
                <w:b/>
                <w:color w:val="FFFFFF"/>
                <w:sz w:val="16"/>
                <w:szCs w:val="16"/>
              </w:rPr>
            </w:pPr>
            <w:r w:rsidRPr="006C068E">
              <w:rPr>
                <w:b/>
                <w:color w:val="FFFFFF"/>
                <w:sz w:val="16"/>
                <w:szCs w:val="16"/>
              </w:rPr>
              <w:t>Critérios de apreciação</w:t>
            </w:r>
          </w:p>
        </w:tc>
        <w:tc>
          <w:tcPr>
            <w:tcW w:w="3302" w:type="dxa"/>
            <w:shd w:val="clear" w:color="auto" w:fill="F07E31"/>
          </w:tcPr>
          <w:p w:rsidR="00A45935" w:rsidRPr="006C068E" w:rsidRDefault="00A45935" w:rsidP="00E05D08">
            <w:pPr>
              <w:spacing w:after="120" w:line="220" w:lineRule="atLeast"/>
              <w:jc w:val="center"/>
              <w:rPr>
                <w:rFonts w:cs="Arial"/>
                <w:b/>
                <w:color w:val="FFFFFF"/>
                <w:sz w:val="16"/>
                <w:szCs w:val="16"/>
              </w:rPr>
            </w:pPr>
            <w:r w:rsidRPr="006C068E">
              <w:rPr>
                <w:b/>
                <w:color w:val="FFFFFF"/>
                <w:sz w:val="16"/>
                <w:szCs w:val="16"/>
              </w:rPr>
              <w:t>Indicadores de resultados</w:t>
            </w:r>
          </w:p>
        </w:tc>
        <w:tc>
          <w:tcPr>
            <w:tcW w:w="2715" w:type="dxa"/>
            <w:shd w:val="clear" w:color="auto" w:fill="F07E31"/>
          </w:tcPr>
          <w:p w:rsidR="00A45935" w:rsidRPr="006C068E" w:rsidRDefault="00A45935" w:rsidP="00E05D08">
            <w:pPr>
              <w:spacing w:after="120" w:line="220" w:lineRule="atLeast"/>
              <w:jc w:val="center"/>
              <w:rPr>
                <w:rFonts w:cs="Arial"/>
                <w:b/>
                <w:color w:val="FFFFFF"/>
                <w:sz w:val="16"/>
                <w:szCs w:val="16"/>
              </w:rPr>
            </w:pPr>
            <w:r w:rsidRPr="006C068E">
              <w:rPr>
                <w:b/>
                <w:color w:val="FFFFFF"/>
                <w:sz w:val="16"/>
                <w:szCs w:val="16"/>
              </w:rPr>
              <w:t>Necessidades de dados e informações</w:t>
            </w:r>
          </w:p>
        </w:tc>
        <w:tc>
          <w:tcPr>
            <w:tcW w:w="2715" w:type="dxa"/>
            <w:shd w:val="clear" w:color="auto" w:fill="F07E31"/>
          </w:tcPr>
          <w:p w:rsidR="00A45935" w:rsidRPr="006C068E" w:rsidRDefault="00A45935" w:rsidP="00E05D08">
            <w:pPr>
              <w:spacing w:after="120" w:line="220" w:lineRule="atLeast"/>
              <w:jc w:val="center"/>
              <w:rPr>
                <w:rFonts w:cs="Arial"/>
                <w:b/>
                <w:color w:val="FFFFFF"/>
                <w:sz w:val="16"/>
                <w:szCs w:val="16"/>
              </w:rPr>
            </w:pPr>
            <w:r w:rsidRPr="006C068E">
              <w:rPr>
                <w:b/>
                <w:color w:val="FFFFFF"/>
                <w:sz w:val="16"/>
                <w:szCs w:val="16"/>
              </w:rPr>
              <w:t>Fontes de dados</w:t>
            </w:r>
          </w:p>
        </w:tc>
      </w:tr>
      <w:tr w:rsidR="00A45935" w:rsidRPr="006C068E" w:rsidTr="00F73706">
        <w:trPr>
          <w:trHeight w:val="1408"/>
        </w:trPr>
        <w:tc>
          <w:tcPr>
            <w:tcW w:w="2988" w:type="dxa"/>
          </w:tcPr>
          <w:p w:rsidR="00A45935" w:rsidRPr="006C068E" w:rsidRDefault="00A45935" w:rsidP="00F73706">
            <w:pPr>
              <w:spacing w:line="220" w:lineRule="atLeast"/>
              <w:jc w:val="left"/>
              <w:rPr>
                <w:rFonts w:cs="Arial"/>
                <w:i/>
                <w:sz w:val="16"/>
                <w:szCs w:val="16"/>
              </w:rPr>
            </w:pPr>
            <w:r w:rsidRPr="006C068E">
              <w:rPr>
                <w:i/>
                <w:sz w:val="16"/>
                <w:szCs w:val="16"/>
              </w:rPr>
              <w:t>Até que ponto o PDR fomentou a inovação através da promoção do potencial de inovação (Via n.º 1)?</w:t>
            </w:r>
          </w:p>
        </w:tc>
        <w:tc>
          <w:tcPr>
            <w:tcW w:w="2127" w:type="dxa"/>
          </w:tcPr>
          <w:p w:rsidR="00A45935" w:rsidRPr="006C068E" w:rsidRDefault="00A45935" w:rsidP="008A260B">
            <w:pPr>
              <w:spacing w:line="220" w:lineRule="atLeast"/>
              <w:jc w:val="left"/>
              <w:rPr>
                <w:rFonts w:ascii="Helvetica" w:hAnsi="Helvetica"/>
                <w:sz w:val="16"/>
                <w:szCs w:val="16"/>
              </w:rPr>
            </w:pPr>
            <w:r w:rsidRPr="006C068E">
              <w:rPr>
                <w:i/>
                <w:sz w:val="16"/>
                <w:szCs w:val="16"/>
              </w:rPr>
              <w:t>CA adicional: adoção de ideias, processos, modelos e/ou tecnologias inovadores introduzidos pelo PDR.</w:t>
            </w:r>
          </w:p>
        </w:tc>
        <w:tc>
          <w:tcPr>
            <w:tcW w:w="3302" w:type="dxa"/>
          </w:tcPr>
          <w:p w:rsidR="00A45935" w:rsidRPr="006C068E" w:rsidRDefault="00A45935" w:rsidP="00F73706">
            <w:pPr>
              <w:spacing w:line="220" w:lineRule="atLeast"/>
              <w:jc w:val="left"/>
              <w:rPr>
                <w:rFonts w:cs="Arial"/>
                <w:sz w:val="16"/>
                <w:szCs w:val="16"/>
              </w:rPr>
            </w:pPr>
            <w:r w:rsidRPr="006C068E">
              <w:rPr>
                <w:sz w:val="16"/>
                <w:szCs w:val="16"/>
              </w:rPr>
              <w:t xml:space="preserve">T1: % de despesa nos termos dos artigos 14.º, 15.º e 35.º do Regulamento (UE) n.º 1305/2013 em relação às despesas totais para o PDR. </w:t>
            </w:r>
          </w:p>
          <w:p w:rsidR="001275FF" w:rsidRPr="006C068E" w:rsidRDefault="001275FF"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r w:rsidRPr="006C068E">
              <w:rPr>
                <w:sz w:val="16"/>
                <w:szCs w:val="16"/>
              </w:rPr>
              <w:t>Número de ações inovadoras apoiadas implementadas e difundidas pelos GO da PEI.</w:t>
            </w:r>
          </w:p>
          <w:p w:rsidR="001275FF" w:rsidRPr="006C068E" w:rsidRDefault="001275FF"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i/>
                <w:sz w:val="16"/>
                <w:szCs w:val="16"/>
              </w:rPr>
            </w:pPr>
            <w:r w:rsidRPr="006C068E">
              <w:rPr>
                <w:i/>
                <w:color w:val="57825E"/>
                <w:sz w:val="16"/>
                <w:szCs w:val="16"/>
              </w:rPr>
              <w:t xml:space="preserve">Indicador de resultados adicional: nível de adoção de novas ideias, processos, modelos e/ou tecnologias introduzidos pelas partes interessadas. </w:t>
            </w:r>
          </w:p>
        </w:tc>
        <w:tc>
          <w:tcPr>
            <w:tcW w:w="2715" w:type="dxa"/>
          </w:tcPr>
          <w:p w:rsidR="00A45935" w:rsidRPr="006C068E" w:rsidRDefault="00A45935" w:rsidP="00F73706">
            <w:pPr>
              <w:spacing w:line="220" w:lineRule="atLeast"/>
              <w:jc w:val="left"/>
              <w:rPr>
                <w:rFonts w:cs="Arial"/>
                <w:sz w:val="16"/>
                <w:szCs w:val="16"/>
              </w:rPr>
            </w:pPr>
            <w:r w:rsidRPr="006C068E">
              <w:rPr>
                <w:sz w:val="16"/>
                <w:szCs w:val="16"/>
              </w:rPr>
              <w:t>Dados relativos às despesas de operações executadas no âmbito de M1, M2 e M16.</w:t>
            </w: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r w:rsidRPr="006C068E">
              <w:rPr>
                <w:sz w:val="16"/>
                <w:szCs w:val="16"/>
              </w:rPr>
              <w:t xml:space="preserve">Dados relativos a ações inovadoras executadas pelo PO da PEI. </w:t>
            </w: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r w:rsidRPr="006C068E">
              <w:rPr>
                <w:sz w:val="16"/>
                <w:szCs w:val="16"/>
              </w:rPr>
              <w:t xml:space="preserve">Dados e informações relativos a ideias, modelos e tecnologias inovadores gerados. </w:t>
            </w: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tc>
        <w:tc>
          <w:tcPr>
            <w:tcW w:w="2715" w:type="dxa"/>
          </w:tcPr>
          <w:p w:rsidR="00A45935" w:rsidRPr="006C068E" w:rsidRDefault="00A45935" w:rsidP="00F73706">
            <w:pPr>
              <w:spacing w:line="220" w:lineRule="atLeast"/>
              <w:jc w:val="left"/>
              <w:rPr>
                <w:rFonts w:cs="Arial"/>
                <w:sz w:val="16"/>
                <w:szCs w:val="16"/>
              </w:rPr>
            </w:pPr>
            <w:r w:rsidRPr="006C068E">
              <w:rPr>
                <w:sz w:val="16"/>
                <w:szCs w:val="16"/>
              </w:rPr>
              <w:t xml:space="preserve">Sistema de acompanhamento do PDR. </w:t>
            </w: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r w:rsidRPr="006C068E">
              <w:rPr>
                <w:sz w:val="16"/>
                <w:szCs w:val="16"/>
              </w:rPr>
              <w:t>Sistema de acompanhamento do PDR e entrevistas.</w:t>
            </w: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p>
          <w:p w:rsidR="00A45935" w:rsidRPr="006C068E" w:rsidRDefault="00A45935" w:rsidP="00F73706">
            <w:pPr>
              <w:spacing w:line="220" w:lineRule="atLeast"/>
              <w:jc w:val="left"/>
              <w:rPr>
                <w:rFonts w:cs="Arial"/>
                <w:sz w:val="16"/>
                <w:szCs w:val="16"/>
              </w:rPr>
            </w:pPr>
            <w:r w:rsidRPr="006C068E">
              <w:rPr>
                <w:sz w:val="16"/>
                <w:szCs w:val="16"/>
              </w:rPr>
              <w:t>Sistema de acompanhamento do PDR e inquérito, entrevistas.</w:t>
            </w:r>
          </w:p>
        </w:tc>
      </w:tr>
      <w:tr w:rsidR="00A45935" w:rsidRPr="006C068E" w:rsidTr="00F73706">
        <w:tc>
          <w:tcPr>
            <w:tcW w:w="2988" w:type="dxa"/>
          </w:tcPr>
          <w:p w:rsidR="00A45935" w:rsidRPr="006C068E" w:rsidRDefault="00A45935" w:rsidP="00F73706">
            <w:pPr>
              <w:spacing w:line="220" w:lineRule="atLeast"/>
              <w:jc w:val="left"/>
              <w:rPr>
                <w:rFonts w:cs="Arial"/>
                <w:i/>
                <w:sz w:val="16"/>
                <w:szCs w:val="16"/>
              </w:rPr>
            </w:pPr>
            <w:r w:rsidRPr="006C068E">
              <w:rPr>
                <w:i/>
                <w:sz w:val="16"/>
                <w:szCs w:val="16"/>
              </w:rPr>
              <w:t>Até que ponto o PDR fomentou a inovação através do reforço da capacidade de inovação (Via n.º 2)?</w:t>
            </w:r>
          </w:p>
        </w:tc>
        <w:tc>
          <w:tcPr>
            <w:tcW w:w="2127" w:type="dxa"/>
          </w:tcPr>
          <w:p w:rsidR="00A45935" w:rsidRPr="006C068E" w:rsidRDefault="00A45935" w:rsidP="00F73706">
            <w:pPr>
              <w:spacing w:line="220" w:lineRule="atLeast"/>
              <w:jc w:val="left"/>
              <w:rPr>
                <w:rFonts w:eastAsia="Calibri" w:cs="Arial"/>
                <w:i/>
                <w:sz w:val="16"/>
                <w:szCs w:val="16"/>
              </w:rPr>
            </w:pPr>
            <w:r w:rsidRPr="006C068E">
              <w:rPr>
                <w:i/>
                <w:sz w:val="16"/>
                <w:szCs w:val="16"/>
              </w:rPr>
              <w:t xml:space="preserve">CA adicional: o PDR aumentou as ligações funcionais entre diferentes tipos de agentes. </w:t>
            </w: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r w:rsidRPr="006C068E">
              <w:rPr>
                <w:i/>
                <w:sz w:val="16"/>
                <w:szCs w:val="16"/>
              </w:rPr>
              <w:t xml:space="preserve">CA adicional: criaram-se e reforçaram-se plataformas de aprendizagem e outros tipos de espaços institucionais que permitem a partilha, a </w:t>
            </w:r>
            <w:r w:rsidRPr="006C068E">
              <w:rPr>
                <w:i/>
                <w:sz w:val="16"/>
                <w:szCs w:val="16"/>
              </w:rPr>
              <w:lastRenderedPageBreak/>
              <w:t>reflexão e a aprendizagem.</w:t>
            </w: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cs="Arial"/>
                <w:sz w:val="16"/>
                <w:szCs w:val="16"/>
              </w:rPr>
            </w:pPr>
            <w:r w:rsidRPr="006C068E">
              <w:rPr>
                <w:i/>
                <w:sz w:val="16"/>
                <w:szCs w:val="16"/>
              </w:rPr>
              <w:t xml:space="preserve">CA adicional: o fluxo de informação entre os diferentes agentes no sistema de inovação em que ocorreu a mudança melhorou. </w:t>
            </w:r>
          </w:p>
        </w:tc>
        <w:tc>
          <w:tcPr>
            <w:tcW w:w="3302" w:type="dxa"/>
          </w:tcPr>
          <w:p w:rsidR="00A45935" w:rsidRPr="006C068E" w:rsidRDefault="00A45935" w:rsidP="00F73706">
            <w:pPr>
              <w:spacing w:line="220" w:lineRule="atLeast"/>
              <w:jc w:val="left"/>
              <w:rPr>
                <w:rFonts w:eastAsia="Calibri" w:cs="Arial"/>
                <w:i/>
                <w:color w:val="57825E"/>
                <w:sz w:val="16"/>
                <w:szCs w:val="16"/>
              </w:rPr>
            </w:pPr>
            <w:r w:rsidRPr="006C068E">
              <w:rPr>
                <w:i/>
                <w:color w:val="57825E"/>
                <w:sz w:val="16"/>
                <w:szCs w:val="16"/>
                <w:u w:val="single"/>
              </w:rPr>
              <w:lastRenderedPageBreak/>
              <w:t>Indicador de resultados adicional:</w:t>
            </w:r>
            <w:r w:rsidRPr="006C068E">
              <w:rPr>
                <w:i/>
                <w:color w:val="57825E"/>
                <w:sz w:val="16"/>
                <w:szCs w:val="16"/>
              </w:rPr>
              <w:t xml:space="preserve"> número de parcerias formais mediadas pelo PDR como associadas às alterações no âmbito das prioridades de desenvolvimento rural para as quais o PDR contribuiu. </w:t>
            </w:r>
          </w:p>
          <w:p w:rsidR="00A45935" w:rsidRPr="006C068E" w:rsidRDefault="00A45935" w:rsidP="00F73706">
            <w:pPr>
              <w:spacing w:line="220" w:lineRule="atLeast"/>
              <w:jc w:val="left"/>
              <w:rPr>
                <w:rFonts w:eastAsia="Calibri" w:cs="Arial"/>
                <w:i/>
                <w:color w:val="57825E"/>
                <w:sz w:val="16"/>
                <w:szCs w:val="16"/>
              </w:rPr>
            </w:pPr>
          </w:p>
          <w:p w:rsidR="00A45935" w:rsidRPr="006C068E" w:rsidRDefault="00A45935" w:rsidP="00F73706">
            <w:pPr>
              <w:spacing w:line="220" w:lineRule="atLeast"/>
              <w:jc w:val="left"/>
              <w:rPr>
                <w:rFonts w:cs="Arial"/>
                <w:sz w:val="16"/>
                <w:szCs w:val="16"/>
              </w:rPr>
            </w:pPr>
            <w:r w:rsidRPr="006C068E">
              <w:rPr>
                <w:sz w:val="16"/>
                <w:szCs w:val="16"/>
              </w:rPr>
              <w:t xml:space="preserve">Aumento percentual no número e nos tipos de parceiros participantes em projetos de cooperação (documento de trabalho relativo às QAC para o PDR 2014-2020). </w:t>
            </w:r>
          </w:p>
          <w:p w:rsidR="00A45935" w:rsidRPr="006C068E" w:rsidRDefault="00A45935" w:rsidP="00F73706">
            <w:pPr>
              <w:spacing w:line="220" w:lineRule="atLeast"/>
              <w:jc w:val="left"/>
              <w:rPr>
                <w:rFonts w:cs="Arial"/>
                <w:color w:val="57825E"/>
                <w:sz w:val="16"/>
                <w:szCs w:val="16"/>
              </w:rPr>
            </w:pPr>
          </w:p>
          <w:p w:rsidR="00A45935" w:rsidRPr="006C068E" w:rsidRDefault="00A45935" w:rsidP="00F73706">
            <w:pPr>
              <w:spacing w:line="220" w:lineRule="atLeast"/>
              <w:jc w:val="left"/>
              <w:rPr>
                <w:rFonts w:eastAsia="Calibri" w:cs="Arial"/>
                <w:color w:val="57825E"/>
                <w:sz w:val="16"/>
                <w:szCs w:val="16"/>
              </w:rPr>
            </w:pPr>
            <w:r w:rsidRPr="006C068E">
              <w:rPr>
                <w:i/>
                <w:color w:val="57825E"/>
                <w:sz w:val="16"/>
                <w:szCs w:val="16"/>
                <w:u w:val="single"/>
              </w:rPr>
              <w:t>Indicador de resultados adicional:</w:t>
            </w:r>
            <w:r w:rsidRPr="006C068E">
              <w:rPr>
                <w:i/>
                <w:color w:val="57825E"/>
                <w:sz w:val="16"/>
                <w:szCs w:val="16"/>
              </w:rPr>
              <w:t xml:space="preserve"> número e qualidade das plataformas e dos «espaços» de apoio à inovação que foram criados ou reforçados pelo PDR, por exemplo, comunidades de prática, </w:t>
            </w:r>
            <w:r w:rsidRPr="006C068E">
              <w:rPr>
                <w:i/>
                <w:color w:val="57825E"/>
                <w:sz w:val="16"/>
                <w:szCs w:val="16"/>
              </w:rPr>
              <w:lastRenderedPageBreak/>
              <w:t xml:space="preserve">plataformas de inovação, eventos realizados para reflexão e aprendizagem. </w:t>
            </w:r>
          </w:p>
          <w:p w:rsidR="00A45935" w:rsidRPr="006C068E" w:rsidRDefault="00A45935" w:rsidP="00F73706">
            <w:pPr>
              <w:spacing w:line="220" w:lineRule="atLeast"/>
              <w:jc w:val="left"/>
              <w:rPr>
                <w:rFonts w:eastAsia="Calibri" w:cs="Arial"/>
                <w:color w:val="57825E"/>
                <w:sz w:val="16"/>
                <w:szCs w:val="16"/>
              </w:rPr>
            </w:pPr>
          </w:p>
          <w:p w:rsidR="00560E46" w:rsidRPr="006C068E" w:rsidRDefault="00560E46" w:rsidP="00F73706">
            <w:pPr>
              <w:spacing w:line="220" w:lineRule="atLeast"/>
              <w:jc w:val="left"/>
              <w:rPr>
                <w:rFonts w:eastAsia="Calibri" w:cs="Arial"/>
                <w:color w:val="57825E"/>
                <w:sz w:val="16"/>
                <w:szCs w:val="16"/>
              </w:rPr>
            </w:pPr>
          </w:p>
          <w:p w:rsidR="00560E46" w:rsidRPr="006C068E" w:rsidRDefault="00560E46" w:rsidP="00F73706">
            <w:pPr>
              <w:spacing w:line="220" w:lineRule="atLeast"/>
              <w:jc w:val="left"/>
              <w:rPr>
                <w:rFonts w:eastAsia="Calibri" w:cs="Arial"/>
                <w:color w:val="57825E"/>
                <w:sz w:val="16"/>
                <w:szCs w:val="16"/>
              </w:rPr>
            </w:pPr>
          </w:p>
          <w:p w:rsidR="00A45935" w:rsidRPr="006C068E" w:rsidRDefault="00A45935" w:rsidP="00F73706">
            <w:pPr>
              <w:spacing w:line="220" w:lineRule="atLeast"/>
              <w:jc w:val="left"/>
              <w:rPr>
                <w:rFonts w:eastAsia="Calibri" w:cs="Arial"/>
                <w:i/>
                <w:color w:val="57825E"/>
                <w:sz w:val="16"/>
                <w:szCs w:val="16"/>
              </w:rPr>
            </w:pPr>
            <w:r w:rsidRPr="006C068E">
              <w:rPr>
                <w:i/>
                <w:color w:val="57825E"/>
                <w:sz w:val="16"/>
                <w:szCs w:val="16"/>
                <w:u w:val="single"/>
              </w:rPr>
              <w:t xml:space="preserve">Indicador de resultados adicional: </w:t>
            </w:r>
            <w:r w:rsidRPr="006C068E">
              <w:rPr>
                <w:i/>
                <w:color w:val="57825E"/>
                <w:sz w:val="16"/>
                <w:szCs w:val="16"/>
              </w:rPr>
              <w:t xml:space="preserve">diminuição na extensão média da via na rede e na diversidade da rede (medidas de análise das redes sociais). </w:t>
            </w:r>
          </w:p>
        </w:tc>
        <w:tc>
          <w:tcPr>
            <w:tcW w:w="2715" w:type="dxa"/>
          </w:tcPr>
          <w:p w:rsidR="00A45935" w:rsidRPr="006C068E" w:rsidRDefault="00A45935" w:rsidP="00F73706">
            <w:pPr>
              <w:spacing w:line="220" w:lineRule="atLeast"/>
              <w:jc w:val="left"/>
              <w:rPr>
                <w:rFonts w:eastAsia="Calibri" w:cs="Arial"/>
                <w:sz w:val="16"/>
                <w:szCs w:val="16"/>
              </w:rPr>
            </w:pPr>
            <w:r w:rsidRPr="006C068E">
              <w:rPr>
                <w:sz w:val="16"/>
                <w:szCs w:val="16"/>
              </w:rPr>
              <w:lastRenderedPageBreak/>
              <w:t>Informação relativa às relações formais.</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r w:rsidRPr="006C068E">
              <w:rPr>
                <w:sz w:val="16"/>
                <w:szCs w:val="16"/>
              </w:rPr>
              <w:t xml:space="preserve">Dados relativos ao número e ao tipo de parceiros em projetos de cooperação. </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r w:rsidRPr="006C068E">
              <w:rPr>
                <w:sz w:val="16"/>
                <w:szCs w:val="16"/>
              </w:rPr>
              <w:t>Informação relativa às plataformas criadas pelo PDR.</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560E46" w:rsidRPr="006C068E" w:rsidRDefault="00560E46" w:rsidP="00F73706">
            <w:pPr>
              <w:spacing w:line="220" w:lineRule="atLeast"/>
              <w:jc w:val="left"/>
              <w:rPr>
                <w:rFonts w:eastAsia="Calibri" w:cs="Arial"/>
                <w:sz w:val="16"/>
                <w:szCs w:val="16"/>
              </w:rPr>
            </w:pPr>
          </w:p>
          <w:p w:rsidR="00560E46" w:rsidRPr="006C068E" w:rsidRDefault="00560E46" w:rsidP="00F7370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r w:rsidRPr="006C068E">
              <w:rPr>
                <w:sz w:val="16"/>
                <w:szCs w:val="16"/>
              </w:rPr>
              <w:t xml:space="preserve">Informações relativa às redes. </w:t>
            </w:r>
          </w:p>
        </w:tc>
        <w:tc>
          <w:tcPr>
            <w:tcW w:w="2715" w:type="dxa"/>
          </w:tcPr>
          <w:p w:rsidR="00A45935" w:rsidRPr="006C068E" w:rsidRDefault="00A45935" w:rsidP="00F73706">
            <w:pPr>
              <w:spacing w:line="220" w:lineRule="atLeast"/>
              <w:jc w:val="left"/>
              <w:rPr>
                <w:rFonts w:eastAsia="Calibri" w:cs="Arial"/>
                <w:sz w:val="16"/>
                <w:szCs w:val="16"/>
              </w:rPr>
            </w:pPr>
            <w:r w:rsidRPr="006C068E">
              <w:rPr>
                <w:sz w:val="16"/>
                <w:szCs w:val="16"/>
              </w:rPr>
              <w:lastRenderedPageBreak/>
              <w:t xml:space="preserve">Entrevistas e grupos de reflexão. </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r w:rsidRPr="006C068E">
              <w:rPr>
                <w:sz w:val="16"/>
                <w:szCs w:val="16"/>
              </w:rPr>
              <w:t>Sistema de acompanhamento do PDR.</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r w:rsidRPr="006C068E">
              <w:rPr>
                <w:sz w:val="16"/>
                <w:szCs w:val="16"/>
              </w:rPr>
              <w:t xml:space="preserve">Entrevistas e grupos de reflexão. </w:t>
            </w: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A45935" w:rsidRPr="006C068E" w:rsidRDefault="00A45935" w:rsidP="00F73706">
            <w:pPr>
              <w:spacing w:line="220" w:lineRule="atLeast"/>
              <w:jc w:val="left"/>
              <w:rPr>
                <w:rFonts w:eastAsia="Calibri" w:cs="Arial"/>
                <w:sz w:val="16"/>
                <w:szCs w:val="16"/>
              </w:rPr>
            </w:pPr>
          </w:p>
          <w:p w:rsidR="00560E46" w:rsidRPr="006C068E" w:rsidRDefault="00560E46" w:rsidP="00F73706">
            <w:pPr>
              <w:spacing w:line="220" w:lineRule="atLeast"/>
              <w:jc w:val="left"/>
              <w:rPr>
                <w:rFonts w:eastAsia="Calibri" w:cs="Arial"/>
                <w:sz w:val="16"/>
                <w:szCs w:val="16"/>
              </w:rPr>
            </w:pPr>
          </w:p>
          <w:p w:rsidR="00560E46" w:rsidRPr="006C068E" w:rsidRDefault="00560E46" w:rsidP="00F7370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r w:rsidRPr="006C068E">
              <w:rPr>
                <w:sz w:val="16"/>
                <w:szCs w:val="16"/>
              </w:rPr>
              <w:t>Informação relativa à ARS.</w:t>
            </w:r>
          </w:p>
        </w:tc>
      </w:tr>
      <w:tr w:rsidR="00A45935" w:rsidRPr="006C068E" w:rsidTr="00F73706">
        <w:trPr>
          <w:trHeight w:val="4850"/>
        </w:trPr>
        <w:tc>
          <w:tcPr>
            <w:tcW w:w="2988" w:type="dxa"/>
          </w:tcPr>
          <w:p w:rsidR="00A45935" w:rsidRPr="006C068E" w:rsidRDefault="00A45935" w:rsidP="00F73706">
            <w:pPr>
              <w:spacing w:line="220" w:lineRule="atLeast"/>
              <w:jc w:val="left"/>
              <w:rPr>
                <w:rFonts w:cs="Arial"/>
                <w:i/>
                <w:sz w:val="16"/>
                <w:szCs w:val="16"/>
              </w:rPr>
            </w:pPr>
            <w:r w:rsidRPr="006C068E">
              <w:rPr>
                <w:i/>
                <w:sz w:val="16"/>
                <w:szCs w:val="16"/>
              </w:rPr>
              <w:t>Até que ponto o PDR fomentou a inovação através da criação de um ambiente propício à inovação (Via n.º 3)?</w:t>
            </w:r>
          </w:p>
        </w:tc>
        <w:tc>
          <w:tcPr>
            <w:tcW w:w="2127" w:type="dxa"/>
          </w:tcPr>
          <w:p w:rsidR="00A45935" w:rsidRPr="006C068E" w:rsidRDefault="00A45935" w:rsidP="00F73706">
            <w:pPr>
              <w:spacing w:line="220" w:lineRule="atLeast"/>
              <w:jc w:val="left"/>
              <w:rPr>
                <w:rFonts w:eastAsia="Calibri" w:cs="Arial"/>
                <w:i/>
                <w:sz w:val="16"/>
                <w:szCs w:val="16"/>
              </w:rPr>
            </w:pPr>
            <w:r w:rsidRPr="006C068E">
              <w:rPr>
                <w:i/>
                <w:sz w:val="16"/>
                <w:szCs w:val="16"/>
              </w:rPr>
              <w:t>CA adicional: o PDR tem ações estruturadas que apoiam as mudanças para as quais contribuiu.</w:t>
            </w: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r w:rsidRPr="006C068E">
              <w:rPr>
                <w:i/>
                <w:sz w:val="16"/>
                <w:szCs w:val="16"/>
              </w:rPr>
              <w:t xml:space="preserve">CA adicional: o PDR proporcionou oportunidades de formação e intercâmbio de práticas inovadoras. </w:t>
            </w: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eastAsia="Calibri" w:cs="Arial"/>
                <w:i/>
                <w:sz w:val="16"/>
                <w:szCs w:val="16"/>
              </w:rPr>
            </w:pPr>
            <w:r w:rsidRPr="006C068E">
              <w:rPr>
                <w:i/>
                <w:sz w:val="16"/>
                <w:szCs w:val="16"/>
              </w:rPr>
              <w:t xml:space="preserve">CA adicional: o PDR permitiu interações entre os intervenientes (nacional/transnacionais) para fomentar as inovações. </w:t>
            </w:r>
          </w:p>
          <w:p w:rsidR="00A45935" w:rsidRPr="006C068E" w:rsidRDefault="00A45935" w:rsidP="00F73706">
            <w:pPr>
              <w:spacing w:line="220" w:lineRule="atLeast"/>
              <w:jc w:val="left"/>
              <w:rPr>
                <w:rFonts w:eastAsia="Calibri" w:cs="Arial"/>
                <w:i/>
                <w:sz w:val="16"/>
                <w:szCs w:val="16"/>
              </w:rPr>
            </w:pPr>
          </w:p>
          <w:p w:rsidR="00A45935" w:rsidRPr="006C068E" w:rsidRDefault="00A45935" w:rsidP="00F73706">
            <w:pPr>
              <w:spacing w:line="220" w:lineRule="atLeast"/>
              <w:jc w:val="left"/>
              <w:rPr>
                <w:rFonts w:cs="Arial"/>
                <w:i/>
                <w:sz w:val="16"/>
                <w:szCs w:val="16"/>
              </w:rPr>
            </w:pPr>
            <w:r w:rsidRPr="006C068E">
              <w:rPr>
                <w:i/>
                <w:sz w:val="16"/>
                <w:szCs w:val="16"/>
              </w:rPr>
              <w:t xml:space="preserve">CA adicional: o PDR apoiou as novas tecnologias nas zonas rurais. </w:t>
            </w:r>
          </w:p>
        </w:tc>
        <w:tc>
          <w:tcPr>
            <w:tcW w:w="3302" w:type="dxa"/>
          </w:tcPr>
          <w:p w:rsidR="00A45935" w:rsidRPr="006C068E" w:rsidRDefault="00A45935" w:rsidP="00F73706">
            <w:pPr>
              <w:spacing w:line="220" w:lineRule="atLeast"/>
              <w:jc w:val="left"/>
              <w:rPr>
                <w:rFonts w:eastAsia="Calibri" w:cs="Arial"/>
                <w:i/>
                <w:color w:val="57825E"/>
                <w:sz w:val="16"/>
                <w:szCs w:val="16"/>
              </w:rPr>
            </w:pPr>
            <w:r w:rsidRPr="006C068E">
              <w:rPr>
                <w:i/>
                <w:color w:val="57825E"/>
                <w:sz w:val="16"/>
                <w:szCs w:val="16"/>
                <w:u w:val="single"/>
              </w:rPr>
              <w:t>Indicador de resultados adicional:</w:t>
            </w:r>
            <w:r w:rsidRPr="006C068E">
              <w:rPr>
                <w:i/>
                <w:color w:val="57825E"/>
                <w:sz w:val="16"/>
                <w:szCs w:val="16"/>
              </w:rPr>
              <w:t xml:space="preserve"> número e tipo de ações que o PDR influenciou a nível das organizações participantes e a nível do ambiente propício geral. </w:t>
            </w:r>
          </w:p>
          <w:p w:rsidR="00A45935" w:rsidRPr="006C068E" w:rsidRDefault="00A45935" w:rsidP="00F73706">
            <w:pPr>
              <w:spacing w:line="220" w:lineRule="atLeast"/>
              <w:jc w:val="left"/>
              <w:rPr>
                <w:rFonts w:eastAsia="Calibri" w:cs="Arial"/>
                <w:i/>
                <w:color w:val="57825E"/>
                <w:sz w:val="16"/>
                <w:szCs w:val="16"/>
              </w:rPr>
            </w:pPr>
          </w:p>
          <w:p w:rsidR="00A45935" w:rsidRPr="006C068E" w:rsidRDefault="00A45935" w:rsidP="00F73706">
            <w:pPr>
              <w:spacing w:line="220" w:lineRule="atLeast"/>
              <w:jc w:val="left"/>
              <w:rPr>
                <w:rFonts w:eastAsia="Calibri" w:cs="Arial"/>
                <w:i/>
                <w:color w:val="57825E"/>
                <w:sz w:val="16"/>
                <w:szCs w:val="16"/>
              </w:rPr>
            </w:pPr>
            <w:r w:rsidRPr="006C068E">
              <w:rPr>
                <w:i/>
                <w:color w:val="57825E"/>
                <w:sz w:val="16"/>
                <w:szCs w:val="16"/>
                <w:u w:val="single"/>
              </w:rPr>
              <w:t>Indicador de resultados adicional:</w:t>
            </w:r>
            <w:r w:rsidRPr="006C068E">
              <w:rPr>
                <w:i/>
                <w:color w:val="57825E"/>
                <w:sz w:val="16"/>
                <w:szCs w:val="16"/>
              </w:rPr>
              <w:t xml:space="preserve"> número de formações e eventos para intercâmbio de práticas inovadoras e a sua percentagem no número total de ações de formação/eventos apoiados pelo PDR. </w:t>
            </w:r>
          </w:p>
          <w:p w:rsidR="00A45935" w:rsidRPr="006C068E" w:rsidRDefault="00A45935" w:rsidP="00F73706">
            <w:pPr>
              <w:spacing w:line="220" w:lineRule="atLeast"/>
              <w:jc w:val="left"/>
              <w:rPr>
                <w:rFonts w:eastAsia="Calibri" w:cs="Arial"/>
                <w:i/>
                <w:color w:val="57825E"/>
                <w:sz w:val="16"/>
                <w:szCs w:val="16"/>
              </w:rPr>
            </w:pPr>
          </w:p>
          <w:p w:rsidR="00A45935" w:rsidRPr="006C068E" w:rsidRDefault="00A45935" w:rsidP="00F73706">
            <w:pPr>
              <w:spacing w:line="220" w:lineRule="atLeast"/>
              <w:jc w:val="left"/>
              <w:rPr>
                <w:rFonts w:eastAsia="Calibri" w:cs="Arial"/>
                <w:i/>
                <w:color w:val="57825E"/>
                <w:sz w:val="16"/>
                <w:szCs w:val="16"/>
              </w:rPr>
            </w:pPr>
            <w:r w:rsidRPr="006C068E">
              <w:rPr>
                <w:i/>
                <w:color w:val="57825E"/>
                <w:sz w:val="16"/>
                <w:szCs w:val="16"/>
                <w:u w:val="single"/>
              </w:rPr>
              <w:t>Indicador de resultados adicional:</w:t>
            </w:r>
            <w:r w:rsidRPr="006C068E">
              <w:rPr>
                <w:i/>
                <w:color w:val="57825E"/>
                <w:sz w:val="16"/>
                <w:szCs w:val="16"/>
              </w:rPr>
              <w:t xml:space="preserve"> número de eventos que incidiram sobre a criação de contactos entre os agentes da inovação apoiados pelo PDR. </w:t>
            </w:r>
          </w:p>
          <w:p w:rsidR="00A45935" w:rsidRPr="006C068E" w:rsidRDefault="00A45935" w:rsidP="00F73706">
            <w:pPr>
              <w:spacing w:line="220" w:lineRule="atLeast"/>
              <w:jc w:val="left"/>
              <w:rPr>
                <w:rFonts w:eastAsia="Calibri" w:cs="Arial"/>
                <w:i/>
                <w:color w:val="57825E"/>
                <w:sz w:val="16"/>
                <w:szCs w:val="16"/>
              </w:rPr>
            </w:pPr>
          </w:p>
          <w:p w:rsidR="00A45935" w:rsidRPr="006C068E" w:rsidRDefault="00A45935" w:rsidP="00F73706">
            <w:pPr>
              <w:spacing w:line="220" w:lineRule="atLeast"/>
              <w:jc w:val="left"/>
              <w:rPr>
                <w:rFonts w:eastAsia="Calibri" w:cs="Arial"/>
                <w:i/>
                <w:color w:val="57825E"/>
                <w:sz w:val="16"/>
                <w:szCs w:val="16"/>
              </w:rPr>
            </w:pPr>
          </w:p>
          <w:p w:rsidR="00560E46" w:rsidRPr="006C068E" w:rsidRDefault="00560E46" w:rsidP="00F73706">
            <w:pPr>
              <w:spacing w:line="220" w:lineRule="atLeast"/>
              <w:jc w:val="left"/>
              <w:rPr>
                <w:rFonts w:eastAsia="Calibri" w:cs="Arial"/>
                <w:i/>
                <w:color w:val="57825E"/>
                <w:sz w:val="16"/>
                <w:szCs w:val="16"/>
              </w:rPr>
            </w:pPr>
          </w:p>
          <w:p w:rsidR="00A45935" w:rsidRPr="006C068E" w:rsidRDefault="00A45935" w:rsidP="00F73706">
            <w:pPr>
              <w:spacing w:line="220" w:lineRule="atLeast"/>
              <w:jc w:val="left"/>
              <w:rPr>
                <w:rFonts w:eastAsia="Calibri" w:cs="Arial"/>
                <w:color w:val="57825E"/>
                <w:sz w:val="16"/>
                <w:szCs w:val="16"/>
              </w:rPr>
            </w:pPr>
            <w:r w:rsidRPr="006C068E">
              <w:rPr>
                <w:i/>
                <w:color w:val="57825E"/>
                <w:sz w:val="16"/>
                <w:szCs w:val="16"/>
                <w:u w:val="single"/>
              </w:rPr>
              <w:t>Indicador de resultados adicional:</w:t>
            </w:r>
            <w:r w:rsidRPr="006C068E">
              <w:rPr>
                <w:i/>
                <w:color w:val="57825E"/>
                <w:sz w:val="16"/>
                <w:szCs w:val="16"/>
              </w:rPr>
              <w:t xml:space="preserve"> número de novas tecnologias nas zonas rurais apoiadas pelo PDR, discriminadas por tipo. </w:t>
            </w:r>
          </w:p>
        </w:tc>
        <w:tc>
          <w:tcPr>
            <w:tcW w:w="2715" w:type="dxa"/>
          </w:tcPr>
          <w:p w:rsidR="00A45935" w:rsidRPr="006C068E" w:rsidRDefault="00A45935" w:rsidP="00560E46">
            <w:pPr>
              <w:spacing w:line="220" w:lineRule="atLeast"/>
              <w:jc w:val="left"/>
              <w:rPr>
                <w:rFonts w:eastAsia="Calibri" w:cs="Arial"/>
                <w:sz w:val="16"/>
                <w:szCs w:val="16"/>
              </w:rPr>
            </w:pPr>
            <w:r w:rsidRPr="006C068E">
              <w:rPr>
                <w:sz w:val="16"/>
                <w:szCs w:val="16"/>
              </w:rPr>
              <w:t xml:space="preserve">Informação relativa às ações. </w:t>
            </w: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p>
          <w:p w:rsidR="00560E46" w:rsidRPr="006C068E" w:rsidRDefault="00560E46" w:rsidP="00560E46">
            <w:pPr>
              <w:spacing w:line="220" w:lineRule="atLeast"/>
              <w:jc w:val="left"/>
              <w:rPr>
                <w:rFonts w:eastAsia="Calibri" w:cs="Arial"/>
                <w:sz w:val="16"/>
                <w:szCs w:val="16"/>
              </w:rPr>
            </w:pPr>
          </w:p>
          <w:p w:rsidR="00560E46" w:rsidRPr="006C068E" w:rsidRDefault="00560E46" w:rsidP="00560E46">
            <w:pPr>
              <w:spacing w:line="220" w:lineRule="atLeast"/>
              <w:jc w:val="left"/>
              <w:rPr>
                <w:rFonts w:eastAsia="Calibri" w:cs="Arial"/>
                <w:sz w:val="16"/>
                <w:szCs w:val="16"/>
              </w:rPr>
            </w:pPr>
          </w:p>
          <w:p w:rsidR="00560E46" w:rsidRPr="006C068E" w:rsidRDefault="00560E46"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r w:rsidRPr="006C068E">
              <w:rPr>
                <w:sz w:val="16"/>
                <w:szCs w:val="16"/>
              </w:rPr>
              <w:t>Informação relativa às ações de formação e aos eventos.</w:t>
            </w: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r w:rsidRPr="006C068E">
              <w:rPr>
                <w:sz w:val="16"/>
                <w:szCs w:val="16"/>
              </w:rPr>
              <w:t xml:space="preserve">Informação relativa às novas tecnologias. </w:t>
            </w:r>
          </w:p>
        </w:tc>
        <w:tc>
          <w:tcPr>
            <w:tcW w:w="2715" w:type="dxa"/>
          </w:tcPr>
          <w:p w:rsidR="00A45935" w:rsidRPr="006C068E" w:rsidRDefault="00A45935" w:rsidP="00560E46">
            <w:pPr>
              <w:spacing w:line="220" w:lineRule="atLeast"/>
              <w:jc w:val="left"/>
              <w:rPr>
                <w:rFonts w:eastAsia="Calibri" w:cs="Arial"/>
                <w:sz w:val="16"/>
                <w:szCs w:val="16"/>
              </w:rPr>
            </w:pPr>
            <w:r w:rsidRPr="006C068E">
              <w:rPr>
                <w:sz w:val="16"/>
                <w:szCs w:val="16"/>
              </w:rPr>
              <w:t xml:space="preserve">Entrevistas e grupos de reflexão (por exemplo, levantamento de resultados). </w:t>
            </w:r>
          </w:p>
          <w:p w:rsidR="00A45935" w:rsidRPr="006C068E" w:rsidRDefault="00A45935"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p>
          <w:p w:rsidR="00560E46" w:rsidRPr="006C068E" w:rsidRDefault="00560E46" w:rsidP="00560E46">
            <w:pPr>
              <w:spacing w:line="220" w:lineRule="atLeast"/>
              <w:jc w:val="left"/>
              <w:rPr>
                <w:rFonts w:eastAsia="Calibri" w:cs="Arial"/>
                <w:sz w:val="16"/>
                <w:szCs w:val="16"/>
              </w:rPr>
            </w:pPr>
          </w:p>
          <w:p w:rsidR="00560E46" w:rsidRPr="006C068E" w:rsidRDefault="00560E46" w:rsidP="00560E46">
            <w:pPr>
              <w:spacing w:line="220" w:lineRule="atLeast"/>
              <w:jc w:val="left"/>
              <w:rPr>
                <w:rFonts w:eastAsia="Calibri" w:cs="Arial"/>
                <w:sz w:val="16"/>
                <w:szCs w:val="16"/>
              </w:rPr>
            </w:pPr>
          </w:p>
          <w:p w:rsidR="00A45935" w:rsidRPr="006C068E" w:rsidRDefault="00A45935" w:rsidP="00560E46">
            <w:pPr>
              <w:spacing w:line="220" w:lineRule="atLeast"/>
              <w:jc w:val="left"/>
              <w:rPr>
                <w:rFonts w:eastAsia="Calibri" w:cs="Arial"/>
                <w:sz w:val="16"/>
                <w:szCs w:val="16"/>
              </w:rPr>
            </w:pPr>
            <w:r w:rsidRPr="006C068E">
              <w:rPr>
                <w:sz w:val="16"/>
                <w:szCs w:val="16"/>
              </w:rPr>
              <w:t>Sistema de acompanhamento do PDR.</w:t>
            </w:r>
          </w:p>
        </w:tc>
      </w:tr>
    </w:tbl>
    <w:p w:rsidR="00A45935" w:rsidRPr="006C068E" w:rsidRDefault="00A45935" w:rsidP="00E05D08">
      <w:pPr>
        <w:spacing w:before="240" w:after="120" w:line="280" w:lineRule="atLeast"/>
        <w:ind w:left="720"/>
        <w:mirrorIndents/>
        <w:rPr>
          <w:rFonts w:eastAsia="Times New Roman" w:cs="Arial"/>
          <w:b/>
          <w:sz w:val="16"/>
          <w:szCs w:val="16"/>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Metodologia de avaliação proposta</w:t>
      </w:r>
    </w:p>
    <w:p w:rsidR="00A45935" w:rsidRPr="00E05D08" w:rsidRDefault="00A45935" w:rsidP="00E05D08">
      <w:pPr>
        <w:spacing w:after="120" w:line="280" w:lineRule="atLeast"/>
        <w:mirrorIndents/>
        <w:rPr>
          <w:rFonts w:eastAsia="Times New Roman" w:cs="Arial"/>
          <w:szCs w:val="20"/>
        </w:rPr>
      </w:pPr>
      <w:r>
        <w:t>O método de avaliação proposto para responder à QAC n. 30 é o método de caso de estudo. As etapas que se seguem são recomendadas para os avaliadores realizarem a avaliação:</w:t>
      </w:r>
    </w:p>
    <w:p w:rsidR="00A45935" w:rsidRDefault="00A45935" w:rsidP="000026C6">
      <w:pPr>
        <w:pStyle w:val="Hlistbullet"/>
      </w:pPr>
      <w:r w:rsidRPr="00F12FAB">
        <w:rPr>
          <w:b/>
        </w:rPr>
        <w:t>PASSO 1 - Identificar a(s) alteração(ões) significativa(s) para a(s) qual/quais o PDR pode alegar ter contribuído por meio do fomento da inovação através de uma ou mais das três vias</w:t>
      </w:r>
      <w:r>
        <w:t>. Tal pode efetuar-se fazendo referência às respostas às QAC n.º 22 a 29 (QAC relacionadas com a Estratégia Europa 2020 e com os objetivos globais da PAC), através de entrevista pessoal e/ou de uma análise documental da documentação do projeto. Por exemplo, o PDR pode alegar que contribuiu para uma mudança significativa da rentabilidade das explorações agrícolas ao desenvolver um novo elemento de maquinaria agrícola que foi subsequente e amplamente adotado e utilizado pelos agricultores. A procura der alterações significativas deve ter em consideração as previsões efetuadas relativamente à provável adoção quando o potencial de inovação foi estabelecido no início do programa.</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E8B596F" wp14:editId="42F2EED6">
                <wp:extent cx="5374005" cy="3473450"/>
                <wp:effectExtent l="0" t="0" r="17145" b="12700"/>
                <wp:docPr id="719" name="Rectangle: Diagonal Corners Rounded 719"/>
                <wp:cNvGraphicFramePr/>
                <a:graphic xmlns:a="http://schemas.openxmlformats.org/drawingml/2006/main">
                  <a:graphicData uri="http://schemas.microsoft.com/office/word/2010/wordprocessingShape">
                    <wps:wsp>
                      <wps:cNvSpPr/>
                      <wps:spPr>
                        <a:xfrm>
                          <a:off x="0" y="0"/>
                          <a:ext cx="5374005" cy="3473450"/>
                        </a:xfrm>
                        <a:prstGeom prst="round2DiagRect">
                          <a:avLst>
                            <a:gd name="adj1" fmla="val 3961"/>
                            <a:gd name="adj2" fmla="val 0"/>
                          </a:avLst>
                        </a:prstGeom>
                        <a:noFill/>
                        <a:ln w="25400" cap="flat" cmpd="sng" algn="ctr">
                          <a:solidFill>
                            <a:srgbClr val="F07E31"/>
                          </a:solidFill>
                          <a:prstDash val="solid"/>
                        </a:ln>
                        <a:effectLst/>
                      </wps:spPr>
                      <wps:txbx>
                        <w:txbxContent>
                          <w:p w:rsidR="00B06BF7" w:rsidRPr="00253803" w:rsidRDefault="00B06BF7" w:rsidP="00320AA0">
                            <w:pPr>
                              <w:ind w:left="567" w:hanging="567"/>
                              <w:rPr>
                                <w:rFonts w:cs="Arial"/>
                                <w:color w:val="F07E31"/>
                                <w:sz w:val="18"/>
                                <w:szCs w:val="18"/>
                              </w:rPr>
                            </w:pPr>
                            <w:r>
                              <w:rPr>
                                <w:noProof/>
                                <w:szCs w:val="18"/>
                                <w:lang w:val="en-GB" w:eastAsia="en-GB"/>
                              </w:rPr>
                              <w:drawing>
                                <wp:inline distT="0" distB="0" distL="0" distR="0" wp14:anchorId="46A55D00" wp14:editId="50ED9E31">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Uma rede temática sobre sistemas agrários de elevado valor natural.</w:t>
                            </w:r>
                            <w:r>
                              <w:rPr>
                                <w:color w:val="F07E31"/>
                                <w:sz w:val="18"/>
                                <w:szCs w:val="18"/>
                              </w:rPr>
                              <w:t xml:space="preserve"> </w:t>
                            </w:r>
                          </w:p>
                          <w:p w:rsidR="00B06BF7" w:rsidRPr="00253803" w:rsidRDefault="00B06BF7" w:rsidP="00320AA0">
                            <w:pPr>
                              <w:spacing w:line="280" w:lineRule="atLeast"/>
                              <w:rPr>
                                <w:rFonts w:cs="Arial"/>
                                <w:sz w:val="18"/>
                                <w:szCs w:val="18"/>
                              </w:rPr>
                            </w:pPr>
                            <w:r>
                              <w:rPr>
                                <w:sz w:val="18"/>
                                <w:szCs w:val="18"/>
                              </w:rPr>
                              <w:t>No âmbito do projeto de investigação «Horizonte 2020», «</w:t>
                            </w:r>
                            <w:hyperlink r:id="rId98" w:history="1">
                              <w:r>
                                <w:rPr>
                                  <w:rStyle w:val="Hyperlink"/>
                                  <w:sz w:val="18"/>
                                  <w:szCs w:val="18"/>
                                </w:rPr>
                                <w:t>sítio Web EVN</w:t>
                              </w:r>
                            </w:hyperlink>
                            <w:r>
                              <w:rPr>
                                <w:rStyle w:val="Hyperlink"/>
                                <w:sz w:val="18"/>
                                <w:szCs w:val="18"/>
                              </w:rPr>
                              <w:t>»</w:t>
                            </w:r>
                            <w:r>
                              <w:rPr>
                                <w:sz w:val="18"/>
                                <w:szCs w:val="18"/>
                              </w:rPr>
                              <w:t xml:space="preserve">, uma equipa de investigadores desenvolveu um quadro de avaliação para analisar a situação de base em áreas EVM para as quais a inovação tem um contributo potencial. A presente avaliação de base inclui a análise de diversos atributos relativos aos seguintes pontos: </w:t>
                            </w:r>
                          </w:p>
                          <w:p w:rsidR="00B06BF7" w:rsidRPr="00253803" w:rsidRDefault="00B06BF7" w:rsidP="00320AA0">
                            <w:pPr>
                              <w:numPr>
                                <w:ilvl w:val="0"/>
                                <w:numId w:val="63"/>
                              </w:numPr>
                              <w:ind w:left="567" w:hanging="567"/>
                              <w:contextualSpacing/>
                              <w:rPr>
                                <w:rFonts w:cs="Arial"/>
                                <w:sz w:val="18"/>
                                <w:szCs w:val="18"/>
                              </w:rPr>
                            </w:pPr>
                            <w:r>
                              <w:rPr>
                                <w:sz w:val="18"/>
                                <w:szCs w:val="18"/>
                              </w:rPr>
                              <w:t>ao ecossistema agrícola (condições do solo, clima, relevo);</w:t>
                            </w:r>
                          </w:p>
                          <w:p w:rsidR="00B06BF7" w:rsidRPr="00253803" w:rsidRDefault="00B06BF7" w:rsidP="00320AA0">
                            <w:pPr>
                              <w:numPr>
                                <w:ilvl w:val="0"/>
                                <w:numId w:val="63"/>
                              </w:numPr>
                              <w:ind w:left="567" w:hanging="567"/>
                              <w:contextualSpacing/>
                              <w:rPr>
                                <w:rFonts w:cs="Arial"/>
                                <w:sz w:val="18"/>
                                <w:szCs w:val="18"/>
                              </w:rPr>
                            </w:pPr>
                            <w:r>
                              <w:rPr>
                                <w:sz w:val="18"/>
                                <w:szCs w:val="18"/>
                              </w:rPr>
                              <w:t>aos sistemas agrícolas e a sua dinâmica em sistemas agrários;</w:t>
                            </w:r>
                          </w:p>
                          <w:p w:rsidR="00B06BF7" w:rsidRPr="00253803" w:rsidRDefault="00B06BF7" w:rsidP="00320AA0">
                            <w:pPr>
                              <w:numPr>
                                <w:ilvl w:val="0"/>
                                <w:numId w:val="63"/>
                              </w:numPr>
                              <w:ind w:left="567" w:hanging="567"/>
                              <w:contextualSpacing/>
                              <w:rPr>
                                <w:rFonts w:cs="Arial"/>
                                <w:sz w:val="18"/>
                                <w:szCs w:val="18"/>
                              </w:rPr>
                            </w:pPr>
                            <w:r>
                              <w:rPr>
                                <w:sz w:val="18"/>
                                <w:szCs w:val="18"/>
                              </w:rPr>
                              <w:t xml:space="preserve">o contexto rural e as forças motrizes mais alargadas (políticas, tecnologias, mudanças societais); </w:t>
                            </w:r>
                          </w:p>
                          <w:p w:rsidR="00B06BF7" w:rsidRPr="00253803" w:rsidRDefault="00B06BF7" w:rsidP="00320AA0">
                            <w:pPr>
                              <w:numPr>
                                <w:ilvl w:val="0"/>
                                <w:numId w:val="63"/>
                              </w:numPr>
                              <w:ind w:left="567" w:hanging="567"/>
                              <w:contextualSpacing/>
                              <w:rPr>
                                <w:rFonts w:cs="Arial"/>
                                <w:sz w:val="18"/>
                                <w:szCs w:val="18"/>
                              </w:rPr>
                            </w:pPr>
                            <w:r>
                              <w:rPr>
                                <w:sz w:val="18"/>
                                <w:szCs w:val="18"/>
                              </w:rPr>
                              <w:t>questões transversais (agentes e organização social).</w:t>
                            </w:r>
                          </w:p>
                          <w:p w:rsidR="00B06BF7" w:rsidRPr="000E5745" w:rsidRDefault="00B06BF7" w:rsidP="00320AA0">
                            <w:pPr>
                              <w:pStyle w:val="Hlistbullet"/>
                              <w:numPr>
                                <w:ilvl w:val="0"/>
                                <w:numId w:val="0"/>
                              </w:numPr>
                              <w:rPr>
                                <w:sz w:val="18"/>
                                <w:szCs w:val="18"/>
                              </w:rPr>
                            </w:pPr>
                            <w:r>
                              <w:rPr>
                                <w:sz w:val="18"/>
                                <w:szCs w:val="18"/>
                              </w:rPr>
                              <w:t>Combinaram-se diferentes métodos para gerar uma situação inicial: 1) avaliação do ecossistema agrícola, 2) análise do sistema agrário e agrícola, 3) análise rural e 4) análise dos intervenientes. A metodologia ajuda a criar uma situação contrafactual para avaliar quer o processo quer os efeitos de inovações que ocorrem em zonas de elevado valor natural. Um exemplo da aplicação desta metodologia encontra-se disponível no endereço seguinte:</w:t>
                            </w:r>
                            <w:r>
                              <w:rPr>
                                <w:sz w:val="18"/>
                                <w:szCs w:val="18"/>
                              </w:rPr>
                              <w:tab/>
                            </w:r>
                            <w:r>
                              <w:rPr>
                                <w:sz w:val="18"/>
                                <w:szCs w:val="18"/>
                              </w:rPr>
                              <w:br/>
                            </w:r>
                            <w:hyperlink r:id="rId99"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B596F" id="Rectangle: Diagonal Corners Rounded 719" o:spid="_x0000_s1055" style="width:423.15pt;height:273.5pt;visibility:visible;mso-wrap-style:square;mso-left-percent:-10001;mso-top-percent:-10001;mso-position-horizontal:absolute;mso-position-horizontal-relative:char;mso-position-vertical:absolute;mso-position-vertical-relative:line;mso-left-percent:-10001;mso-top-percent:-10001;v-text-anchor:middle" coordsize="5374005,347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" adj="-11796480,,5400" path="m137583,l5374005,r,l5374005,3335867v,75985,-61598,137583,-137583,137583l,3473450r,l,137583c,61598,61598,,137583,xe" filled="f" strokecolor="#f07e31" strokeweight="2pt">
                <v:stroke joinstyle="miter"/>
                <v:formulas/>
                <v:path arrowok="t" o:connecttype="custom" o:connectlocs="137583,0;5374005,0;5374005,0;5374005,3335867;5236422,3473450;0,3473450;0,3473450;0,137583;137583,0" o:connectangles="0,0,0,0,0,0,0,0,0" textboxrect="0,0,5374005,3473450"/>
                <v:textbox>
                  <w:txbxContent>
                    <w:p w:rsidR="00B06BF7" w:rsidRPr="00253803" w:rsidRDefault="00B06BF7" w:rsidP="00320AA0">
                      <w:pPr>
                        <w:ind w:left="567" w:hanging="567"/>
                        <w:rPr>
                          <w:rFonts w:cs="Arial"/>
                          <w:color w:val="F07E31"/>
                          <w:sz w:val="18"/>
                          <w:szCs w:val="18"/>
                        </w:rPr>
                      </w:pPr>
                      <w:r>
                        <w:rPr>
                          <w:noProof/>
                          <w:szCs w:val="18"/>
                          <w:lang w:val="en-GB" w:eastAsia="en-GB"/>
                        </w:rPr>
                        <w:drawing>
                          <wp:inline distT="0" distB="0" distL="0" distR="0" wp14:anchorId="46A55D00" wp14:editId="50ED9E31">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Uma rede temática sobre sistemas agrários de elevado valor natural.</w:t>
                      </w:r>
                      <w:r>
                        <w:rPr>
                          <w:color w:val="F07E31"/>
                          <w:sz w:val="18"/>
                          <w:szCs w:val="18"/>
                        </w:rPr>
                        <w:t xml:space="preserve"> </w:t>
                      </w:r>
                    </w:p>
                    <w:p w:rsidR="00B06BF7" w:rsidRPr="00253803" w:rsidRDefault="00B06BF7" w:rsidP="00320AA0">
                      <w:pPr>
                        <w:spacing w:line="280" w:lineRule="atLeast"/>
                        <w:rPr>
                          <w:rFonts w:cs="Arial"/>
                          <w:sz w:val="18"/>
                          <w:szCs w:val="18"/>
                        </w:rPr>
                      </w:pPr>
                      <w:r>
                        <w:rPr>
                          <w:sz w:val="18"/>
                          <w:szCs w:val="18"/>
                        </w:rPr>
                        <w:t>No âmbito do projeto de investigação «Horizonte 2020», «</w:t>
                      </w:r>
                      <w:hyperlink r:id="rId100" w:history="1">
                        <w:r>
                          <w:rPr>
                            <w:rStyle w:val="Hyperlink"/>
                            <w:sz w:val="18"/>
                            <w:szCs w:val="18"/>
                          </w:rPr>
                          <w:t>sítio Web EVN</w:t>
                        </w:r>
                      </w:hyperlink>
                      <w:r>
                        <w:rPr>
                          <w:rStyle w:val="Hyperlink"/>
                          <w:sz w:val="18"/>
                          <w:szCs w:val="18"/>
                        </w:rPr>
                        <w:t>»</w:t>
                      </w:r>
                      <w:r>
                        <w:rPr>
                          <w:sz w:val="18"/>
                          <w:szCs w:val="18"/>
                        </w:rPr>
                        <w:t xml:space="preserve">, uma equipa de investigadores desenvolveu um quadro de avaliação para analisar a situação de base em áreas EVM para as quais a inovação tem um contributo potencial. A presente avaliação de base inclui a análise de diversos atributos relativos aos seguintes pontos: </w:t>
                      </w:r>
                    </w:p>
                    <w:p w:rsidR="00B06BF7" w:rsidRPr="00253803" w:rsidRDefault="00B06BF7" w:rsidP="00320AA0">
                      <w:pPr>
                        <w:numPr>
                          <w:ilvl w:val="0"/>
                          <w:numId w:val="63"/>
                        </w:numPr>
                        <w:ind w:left="567" w:hanging="567"/>
                        <w:contextualSpacing/>
                        <w:rPr>
                          <w:rFonts w:cs="Arial"/>
                          <w:sz w:val="18"/>
                          <w:szCs w:val="18"/>
                        </w:rPr>
                      </w:pPr>
                      <w:r>
                        <w:rPr>
                          <w:sz w:val="18"/>
                          <w:szCs w:val="18"/>
                        </w:rPr>
                        <w:t>ao ecossistema agrícola (condições do solo, clima, relevo);</w:t>
                      </w:r>
                    </w:p>
                    <w:p w:rsidR="00B06BF7" w:rsidRPr="00253803" w:rsidRDefault="00B06BF7" w:rsidP="00320AA0">
                      <w:pPr>
                        <w:numPr>
                          <w:ilvl w:val="0"/>
                          <w:numId w:val="63"/>
                        </w:numPr>
                        <w:ind w:left="567" w:hanging="567"/>
                        <w:contextualSpacing/>
                        <w:rPr>
                          <w:rFonts w:cs="Arial"/>
                          <w:sz w:val="18"/>
                          <w:szCs w:val="18"/>
                        </w:rPr>
                      </w:pPr>
                      <w:r>
                        <w:rPr>
                          <w:sz w:val="18"/>
                          <w:szCs w:val="18"/>
                        </w:rPr>
                        <w:t>aos sistemas agrícolas e a sua dinâmica em sistemas agrários;</w:t>
                      </w:r>
                    </w:p>
                    <w:p w:rsidR="00B06BF7" w:rsidRPr="00253803" w:rsidRDefault="00B06BF7" w:rsidP="00320AA0">
                      <w:pPr>
                        <w:numPr>
                          <w:ilvl w:val="0"/>
                          <w:numId w:val="63"/>
                        </w:numPr>
                        <w:ind w:left="567" w:hanging="567"/>
                        <w:contextualSpacing/>
                        <w:rPr>
                          <w:rFonts w:cs="Arial"/>
                          <w:sz w:val="18"/>
                          <w:szCs w:val="18"/>
                        </w:rPr>
                      </w:pPr>
                      <w:r>
                        <w:rPr>
                          <w:sz w:val="18"/>
                          <w:szCs w:val="18"/>
                        </w:rPr>
                        <w:t xml:space="preserve">o contexto rural e as forças motrizes mais alargadas (políticas, tecnologias, mudanças societais); </w:t>
                      </w:r>
                    </w:p>
                    <w:p w:rsidR="00B06BF7" w:rsidRPr="00253803" w:rsidRDefault="00B06BF7" w:rsidP="00320AA0">
                      <w:pPr>
                        <w:numPr>
                          <w:ilvl w:val="0"/>
                          <w:numId w:val="63"/>
                        </w:numPr>
                        <w:ind w:left="567" w:hanging="567"/>
                        <w:contextualSpacing/>
                        <w:rPr>
                          <w:rFonts w:cs="Arial"/>
                          <w:sz w:val="18"/>
                          <w:szCs w:val="18"/>
                        </w:rPr>
                      </w:pPr>
                      <w:r>
                        <w:rPr>
                          <w:sz w:val="18"/>
                          <w:szCs w:val="18"/>
                        </w:rPr>
                        <w:t>questões transversais (agentes e organização social).</w:t>
                      </w:r>
                    </w:p>
                    <w:p w:rsidR="00B06BF7" w:rsidRPr="000E5745" w:rsidRDefault="00B06BF7" w:rsidP="00320AA0">
                      <w:pPr>
                        <w:pStyle w:val="Hlistbullet"/>
                        <w:numPr>
                          <w:ilvl w:val="0"/>
                          <w:numId w:val="0"/>
                        </w:numPr>
                        <w:rPr>
                          <w:sz w:val="18"/>
                          <w:szCs w:val="18"/>
                        </w:rPr>
                      </w:pPr>
                      <w:r>
                        <w:rPr>
                          <w:sz w:val="18"/>
                          <w:szCs w:val="18"/>
                        </w:rPr>
                        <w:t>Combinaram-se diferentes métodos para gerar uma situação inicial: 1) avaliação do ecossistema agrícola, 2) análise do sistema agrário e agrícola, 3) análise rural e 4) análise dos intervenientes. A metodologia ajuda a criar uma situação contrafactual para avaliar quer o processo quer os efeitos de inovações que ocorrem em zonas de elevado valor natural. Um exemplo da aplicação desta metodologia encontra-se disponível no endereço seguinte:</w:t>
                      </w:r>
                      <w:r>
                        <w:rPr>
                          <w:sz w:val="18"/>
                          <w:szCs w:val="18"/>
                        </w:rPr>
                        <w:tab/>
                      </w:r>
                      <w:r>
                        <w:rPr>
                          <w:sz w:val="18"/>
                          <w:szCs w:val="18"/>
                        </w:rPr>
                        <w:br/>
                      </w:r>
                      <w:hyperlink r:id="rId101"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sidRPr="003370DF">
        <w:rPr>
          <w:b/>
        </w:rPr>
        <w:t>PASSO 2</w:t>
      </w:r>
      <w:r>
        <w:t xml:space="preserve"> </w:t>
      </w:r>
      <w:r w:rsidRPr="00F12FAB">
        <w:rPr>
          <w:b/>
        </w:rPr>
        <w:t>- Recolher informações sobre o desempenho do PDR comparativamente aos critérios de apreciação e indicadores</w:t>
      </w:r>
      <w:r>
        <w:t xml:space="preserve"> (tal como proposto no quadro 9 dos elementos de avaliação </w:t>
      </w:r>
      <w:r>
        <w:rPr>
          <w:i/>
        </w:rPr>
        <w:t>supra</w:t>
      </w:r>
      <w:r>
        <w:t xml:space="preserve">) para as três subquestões relativas ao impacto que o PDR teve sobre as três vias. </w:t>
      </w:r>
    </w:p>
    <w:p w:rsidR="00A45935" w:rsidRPr="00717885" w:rsidRDefault="00037CA6" w:rsidP="000026C6">
      <w:pPr>
        <w:pStyle w:val="Hlistbullet2"/>
      </w:pPr>
      <w:r>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7CC156CA" wp14:editId="202B756D">
                <wp:simplePos x="0" y="0"/>
                <wp:positionH relativeFrom="column">
                  <wp:posOffset>349250</wp:posOffset>
                </wp:positionH>
                <wp:positionV relativeFrom="paragraph">
                  <wp:posOffset>393700</wp:posOffset>
                </wp:positionV>
                <wp:extent cx="5414645" cy="2667000"/>
                <wp:effectExtent l="0" t="0" r="14605" b="1905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667000"/>
                        </a:xfrm>
                        <a:prstGeom prst="round2DiagRect">
                          <a:avLst>
                            <a:gd name="adj1" fmla="val 7843"/>
                            <a:gd name="adj2" fmla="val 0"/>
                          </a:avLst>
                        </a:prstGeom>
                        <a:noFill/>
                        <a:ln w="25400" cap="flat" cmpd="sng" algn="ctr">
                          <a:solidFill>
                            <a:srgbClr val="BE4A35"/>
                          </a:solidFill>
                          <a:prstDash val="solid"/>
                        </a:ln>
                        <a:effectLst/>
                      </wps:spPr>
                      <wps:txbx>
                        <w:txbxContent>
                          <w:p w:rsidR="00B06BF7" w:rsidRPr="003D7EC4" w:rsidRDefault="00B06BF7" w:rsidP="00E05D08">
                            <w:pPr>
                              <w:pStyle w:val="HStandard"/>
                              <w:rPr>
                                <w:rFonts w:cs="Arial"/>
                                <w:sz w:val="18"/>
                              </w:rPr>
                            </w:pPr>
                            <w:r>
                              <w:rPr>
                                <w:lang w:val="en-GB" w:eastAsia="en-GB"/>
                              </w:rPr>
                              <w:drawing>
                                <wp:inline distT="0" distB="0" distL="0" distR="0" wp14:anchorId="094F65DA" wp14:editId="460315AA">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 adoção de ideias, processos, modelos e/ou tecnologias inovadores introduzidos pelo PDR pode ser avaliada utilizando </w:t>
                            </w:r>
                            <w:r>
                              <w:rPr>
                                <w:b/>
                                <w:sz w:val="18"/>
                              </w:rPr>
                              <w:t>inquéritos</w:t>
                            </w:r>
                            <w:r>
                              <w:rPr>
                                <w:sz w:val="18"/>
                              </w:rPr>
                              <w:t xml:space="preserve"> que medem o nível e a extensão da adoção de novidades e determinam a origem de novidade. Os inquéritos devem:</w:t>
                            </w:r>
                          </w:p>
                          <w:p w:rsidR="00B06BF7" w:rsidRPr="003D7EC4" w:rsidRDefault="00B06BF7" w:rsidP="008C0B17">
                            <w:pPr>
                              <w:pStyle w:val="HStandard"/>
                              <w:numPr>
                                <w:ilvl w:val="3"/>
                                <w:numId w:val="43"/>
                              </w:numPr>
                            </w:pPr>
                            <w:r>
                              <w:rPr>
                                <w:sz w:val="18"/>
                              </w:rPr>
                              <w:t>incluir aqueles que adotaram a novidade, mas também aqueles que não a adotaram e devem envidar esforços no sentido de: a) compreender os motivos para a não adoção e b) identificar se existem formas alternativas de resolver a questão que a novidade procura resolver;</w:t>
                            </w:r>
                          </w:p>
                          <w:p w:rsidR="00B06BF7" w:rsidRPr="000E5745" w:rsidRDefault="00B06BF7" w:rsidP="008C0B17">
                            <w:pPr>
                              <w:pStyle w:val="HStandard"/>
                              <w:numPr>
                                <w:ilvl w:val="3"/>
                                <w:numId w:val="43"/>
                              </w:numPr>
                            </w:pPr>
                            <w:r>
                              <w:t xml:space="preserve">ser enumerados por entre os que adotaram e não adotaram uma nova ideia em que se sabe que a adoção ocorreu, bem como nos domínios que foram identificados como promissores no decurso da avaliação do potencial de inovação (ver o </w:t>
                            </w:r>
                            <w:hyperlink w:anchor="Screening_Potential" w:history="1">
                              <w:r>
                                <w:rPr>
                                  <w:rStyle w:val="Hyperlink"/>
                                  <w:sz w:val="18"/>
                                </w:rPr>
                                <w:t>Capítulo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56CA" id="Rectangle: Diagonal Corners Rounded 562" o:spid="_x0000_s1056" style="position:absolute;left:0;text-align:left;margin-left:27.5pt;margin-top:31pt;width:426.35pt;height:2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6ow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" adj="-11796480,,5400" path="m209173,l5414645,r,l5414645,2457827v,115523,-93650,209173,-209173,209173l,2667000r,l,209173c,93650,93650,,209173,xe" filled="f" strokecolor="#be4a35" strokeweight="2pt">
                <v:stroke joinstyle="miter"/>
                <v:formulas/>
                <v:path arrowok="t" o:connecttype="custom" o:connectlocs="209173,0;5414645,0;5414645,0;5414645,2457827;5205472,2667000;0,2667000;0,2667000;0,209173;209173,0" o:connectangles="0,0,0,0,0,0,0,0,0" textboxrect="0,0,5414645,2667000"/>
                <v:textbox>
                  <w:txbxContent>
                    <w:p w:rsidR="00B06BF7" w:rsidRPr="003D7EC4" w:rsidRDefault="00B06BF7" w:rsidP="00E05D08">
                      <w:pPr>
                        <w:pStyle w:val="HStandard"/>
                        <w:rPr>
                          <w:rFonts w:cs="Arial"/>
                          <w:sz w:val="18"/>
                        </w:rPr>
                      </w:pPr>
                      <w:r>
                        <w:rPr>
                          <w:lang w:val="en-GB" w:eastAsia="en-GB"/>
                        </w:rPr>
                        <w:drawing>
                          <wp:inline distT="0" distB="0" distL="0" distR="0" wp14:anchorId="094F65DA" wp14:editId="460315AA">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A adoção de ideias, processos, modelos e/ou tecnologias inovadores introduzidos pelo PDR pode ser avaliada utilizando </w:t>
                      </w:r>
                      <w:r>
                        <w:rPr>
                          <w:b/>
                          <w:sz w:val="18"/>
                        </w:rPr>
                        <w:t>inquéritos</w:t>
                      </w:r>
                      <w:r>
                        <w:rPr>
                          <w:sz w:val="18"/>
                        </w:rPr>
                        <w:t xml:space="preserve"> que medem o nível e a extensão da adoção de novidades e determinam a origem de novidade. Os inquéritos devem:</w:t>
                      </w:r>
                    </w:p>
                    <w:p w:rsidR="00B06BF7" w:rsidRPr="003D7EC4" w:rsidRDefault="00B06BF7" w:rsidP="008C0B17">
                      <w:pPr>
                        <w:pStyle w:val="HStandard"/>
                        <w:numPr>
                          <w:ilvl w:val="3"/>
                          <w:numId w:val="43"/>
                        </w:numPr>
                      </w:pPr>
                      <w:r>
                        <w:rPr>
                          <w:sz w:val="18"/>
                        </w:rPr>
                        <w:t>incluir aqueles que adotaram a novidade, mas também aqueles que não a adotaram e devem envidar esforços no sentido de: a) compreender os motivos para a não adoção e b) identificar se existem formas alternativas de resolver a questão que a novidade procura resolver;</w:t>
                      </w:r>
                    </w:p>
                    <w:p w:rsidR="00B06BF7" w:rsidRPr="000E5745" w:rsidRDefault="00B06BF7" w:rsidP="008C0B17">
                      <w:pPr>
                        <w:pStyle w:val="HStandard"/>
                        <w:numPr>
                          <w:ilvl w:val="3"/>
                          <w:numId w:val="43"/>
                        </w:numPr>
                      </w:pPr>
                      <w:r>
                        <w:t xml:space="preserve">ser enumerados por entre os que adotaram e não adotaram uma nova ideia em que se sabe que a adoção ocorreu, bem como nos domínios que foram identificados como promissores no decurso da avaliação do potencial de inovação (ver o </w:t>
                      </w:r>
                      <w:hyperlink w:anchor="Screening_Potential" w:history="1">
                        <w:r>
                          <w:rPr>
                            <w:rStyle w:val="Hyperlink"/>
                            <w:sz w:val="18"/>
                          </w:rPr>
                          <w:t>Capítulo 2.2</w:t>
                        </w:r>
                      </w:hyperlink>
                      <w:r>
                        <w:t>).</w:t>
                      </w:r>
                      <w:r>
                        <w:rPr>
                          <w:sz w:val="18"/>
                        </w:rPr>
                        <w:t xml:space="preserve"> </w:t>
                      </w:r>
                    </w:p>
                  </w:txbxContent>
                </v:textbox>
                <w10:wrap type="square"/>
              </v:shape>
            </w:pict>
          </mc:Fallback>
        </mc:AlternateContent>
      </w:r>
      <w:r>
        <w:rPr>
          <w:b/>
        </w:rPr>
        <w:t>A Via n.º 1</w:t>
      </w:r>
      <w:r>
        <w:t xml:space="preserve"> tem por critério a «adoção de ideias, processos, modelos e/ou tecnologias inovadores introduzidas pelo PDR». Este pode ser medido utilizando indicadores comuns e adicionais, tal como proposto no quadro 9. Para os indicadores comuns, os dados podem ser recolhidos através da base de dados de operações. Para os indicadores adicionais, os dados e informações podem ser recolhidos através de um inquérito organizado e conduzido pelo avaliador (ver exemplo </w:t>
      </w:r>
      <w:r>
        <w:rPr>
          <w:i/>
        </w:rPr>
        <w:t>infra</w:t>
      </w:r>
      <w:r>
        <w:t>).</w:t>
      </w:r>
    </w:p>
    <w:p w:rsidR="00A45935" w:rsidRPr="00717885" w:rsidRDefault="00A45935" w:rsidP="000026C6">
      <w:pPr>
        <w:pStyle w:val="Hlistbullet2"/>
      </w:pPr>
      <w:r w:rsidRPr="00475ED7">
        <w:rPr>
          <w:b/>
        </w:rPr>
        <w:t>A Via n.º 2</w:t>
      </w:r>
      <w:r>
        <w:t xml:space="preserve"> tem três critérios de apreciação que estão acompanhados por indicadores de resultados: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O primeiro é uma maior colaboração e partilha entre os agentes envolvidos na condução da alteração para a qual o PDR contribuiu, o que inclui identificar os acordos entre os parceiros que o PDR mediou utilizando os indicadores de resultados adicionais: «Número de parcerias formais mediadas pelo PDR como associadas às alterações no âmbito das prioridades de desenvolvimento rural para as quais o PDR contribuiu» e «aumento percentual no número e nos tipos de parceiros envolvidos em projetos de cooperação» (ver documento de trabalho </w:t>
      </w:r>
      <w:hyperlink r:id="rId102" w:history="1">
        <w:r>
          <w:rPr>
            <w:color w:val="F07E31"/>
            <w:szCs w:val="20"/>
            <w:u w:val="single"/>
          </w:rPr>
          <w:t>CEQs for RDPs 2014-2020</w:t>
        </w:r>
      </w:hyperlink>
      <w:r>
        <w:t xml:space="preserve"> (QAC para os PDR 2014-2020)). Os dados e informações para o primeiro indicador adicional podem ser recolhidos pelos avaliadores durante a avaliação através de entrevistas e de grupos de reflexão com os parceiros envolvidos em parcerias estabelecidas. Para o segundo indicador adicional, os dados podem ser obtidos diretamente a partir da base de dados de operações.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O segundo indicador diz respeito ao contributo do PDR para uma maior aprendizagem, reflexão e intercâmbio, o que envolve a identificação de plataformas (por exemplo, comunidade de prática), grupos e outras formas de «espaço» institucional (por exemplo, revisões após as ações), virtuais e presenciais, que permitem que os participantes no processo de inovação partilhem experiências, reflitam sobre o seu significado e valor, aprendam e tomem ações em conformidade. O indicador de resultados adicional: «Número e qualidade das plataformas e dos "espaços" de apoio à inovação que foram criados ou reforçados pelo PDR», é proposto para utilização de modo a aferir o êxito, tal como especificado, com os presentes critérios de apreciação.</w:t>
      </w:r>
      <w:r>
        <w:rPr>
          <w:i/>
          <w:sz w:val="18"/>
          <w:szCs w:val="16"/>
        </w:rPr>
        <w:t xml:space="preserve"> </w:t>
      </w:r>
      <w:r>
        <w:t xml:space="preserve">As informações quantitativas e qualitativas devem ser recolhidas pelos auditores durante a </w:t>
      </w:r>
      <w:r>
        <w:lastRenderedPageBreak/>
        <w:t xml:space="preserve">avaliação (por exemplo, através de entrevistas dos grupos de reflexão com participantes das plataformas/espaços mencionados anteriormente).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727872" behindDoc="0" locked="0" layoutInCell="1" allowOverlap="1" wp14:anchorId="3E449B9B" wp14:editId="69126E4F">
                <wp:simplePos x="0" y="0"/>
                <wp:positionH relativeFrom="column">
                  <wp:posOffset>3321050</wp:posOffset>
                </wp:positionH>
                <wp:positionV relativeFrom="paragraph">
                  <wp:posOffset>1187450</wp:posOffset>
                </wp:positionV>
                <wp:extent cx="2360930" cy="1987550"/>
                <wp:effectExtent l="0" t="0" r="20320" b="1270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1987550"/>
                        </a:xfrm>
                        <a:prstGeom prst="round2DiagRect">
                          <a:avLst>
                            <a:gd name="adj1" fmla="val 7843"/>
                            <a:gd name="adj2" fmla="val 0"/>
                          </a:avLst>
                        </a:prstGeom>
                        <a:noFill/>
                        <a:ln w="25400" cap="flat" cmpd="sng" algn="ctr">
                          <a:solidFill>
                            <a:srgbClr val="BE4A35"/>
                          </a:solidFill>
                          <a:prstDash val="solid"/>
                        </a:ln>
                        <a:effectLst/>
                      </wps:spPr>
                      <wps:txbx>
                        <w:txbxContent>
                          <w:p w:rsidR="00B06BF7" w:rsidRPr="000E5745" w:rsidRDefault="00B06BF7" w:rsidP="00E05D08">
                            <w:pPr>
                              <w:pStyle w:val="HStandard"/>
                            </w:pPr>
                            <w:r>
                              <w:rPr>
                                <w:lang w:val="en-GB" w:eastAsia="en-GB"/>
                              </w:rPr>
                              <w:drawing>
                                <wp:inline distT="0" distB="0" distL="0" distR="0" wp14:anchorId="1B17FA42" wp14:editId="01E87B84">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Recolha de resultados</w:t>
                            </w:r>
                            <w:r>
                              <w:rPr>
                                <w:color w:val="BE4A35"/>
                                <w:sz w:val="18"/>
                              </w:rPr>
                              <w:t xml:space="preserve"> </w:t>
                            </w:r>
                            <w:r>
                              <w:rPr>
                                <w:sz w:val="18"/>
                              </w:rPr>
                              <w:t>é um método que solicita aos agentes inovadores (que participam na ações do PDR) que identifiquem mudanças nos domínios de intervenção para as quais o PDR tenha contribuído, sendo a sua análise sujeita a validação por agentes especializados mas neutros.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9B9B" id="Rectangle: Diagonal Corners Rounded 564" o:spid="_x0000_s1057" style="position:absolute;left:0;text-align:left;margin-left:261.5pt;margin-top:93.5pt;width:185.9pt;height:1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198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" adj="-11796480,,5400" path="m155884,l2360930,r,l2360930,1831666v,86092,-69792,155884,-155884,155884l,1987550r,l,155884c,69792,69792,,155884,xe" filled="f" strokecolor="#be4a35" strokeweight="2pt">
                <v:stroke joinstyle="miter"/>
                <v:formulas/>
                <v:path arrowok="t" o:connecttype="custom" o:connectlocs="155884,0;2360930,0;2360930,0;2360930,1831666;2205046,1987550;0,1987550;0,1987550;0,155884;155884,0" o:connectangles="0,0,0,0,0,0,0,0,0" textboxrect="0,0,2360930,1987550"/>
                <v:textbox>
                  <w:txbxContent>
                    <w:p w:rsidR="00B06BF7" w:rsidRPr="000E5745" w:rsidRDefault="00B06BF7" w:rsidP="00E05D08">
                      <w:pPr>
                        <w:pStyle w:val="HStandard"/>
                      </w:pPr>
                      <w:r>
                        <w:rPr>
                          <w:lang w:val="en-GB" w:eastAsia="en-GB"/>
                        </w:rPr>
                        <w:drawing>
                          <wp:inline distT="0" distB="0" distL="0" distR="0" wp14:anchorId="1B17FA42" wp14:editId="01E87B84">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Recolha de resultados</w:t>
                      </w:r>
                      <w:r>
                        <w:rPr>
                          <w:color w:val="BE4A35"/>
                          <w:sz w:val="18"/>
                        </w:rPr>
                        <w:t xml:space="preserve"> </w:t>
                      </w:r>
                      <w:r>
                        <w:rPr>
                          <w:sz w:val="18"/>
                        </w:rPr>
                        <w:t>é um método que solicita aos agentes inovadores (que participam na ações do PDR) que identifiquem mudanças nos domínios de intervenção para as quais o PDR tenha contribuído, sendo a sua análise sujeita a validação por agentes especializados mas neutros.</w:t>
                      </w:r>
                    </w:p>
                  </w:txbxContent>
                </v:textbox>
                <w10:wrap type="square"/>
              </v:shape>
            </w:pict>
          </mc:Fallback>
        </mc:AlternateContent>
      </w:r>
      <w:r>
        <w:t>O terceiro critério refere-se a melhorias no fluxo de informação e à diversidade dos tipos de organização do sistema de inovação em que a mudança ocorreu. Podem recolher-se elementos de prova com o indicador de resultados adicional: «Diminuição na extensão média da via na rede e na diversidade da rede». Este pode ser medido pela análise das redes sociais (ARS) a realizar pelo avaliador no momento da avaliação.</w:t>
      </w:r>
      <w:r>
        <w:rPr>
          <w:b/>
          <w:i/>
          <w:color w:val="BE4A35"/>
          <w:szCs w:val="20"/>
        </w:rPr>
        <w:t xml:space="preserve"> </w:t>
      </w:r>
      <w:r>
        <w:t xml:space="preserve">A </w:t>
      </w:r>
      <w:r w:rsidRPr="002C50C5">
        <w:rPr>
          <w:rFonts w:eastAsia="Times New Roman" w:cs="Arial"/>
          <w:b/>
          <w:i/>
          <w:color w:val="BE4A35"/>
          <w:szCs w:val="20"/>
          <w:lang w:eastAsia="de-DE"/>
        </w:rPr>
        <w:t>análise</w:t>
      </w:r>
      <w:r>
        <w:t xml:space="preserve"> </w:t>
      </w:r>
      <w:r w:rsidRPr="002C50C5">
        <w:rPr>
          <w:rFonts w:eastAsia="Times New Roman" w:cs="Arial"/>
          <w:b/>
          <w:i/>
          <w:color w:val="BE4A35"/>
          <w:szCs w:val="20"/>
          <w:lang w:eastAsia="de-DE"/>
        </w:rPr>
        <w:t>das redes sociais</w:t>
      </w:r>
      <w:r>
        <w:rPr>
          <w:rFonts w:eastAsia="Calibri" w:cs="Times New Roman"/>
          <w:szCs w:val="20"/>
          <w:vertAlign w:val="superscript"/>
        </w:rPr>
        <w:footnoteReference w:id="77"/>
      </w:r>
      <w:r>
        <w:t xml:space="preserve"> é o método que deve ser utilizado para a recolha de elementos de prova para os indicadores relacionados em dois momentos distintos, calculando as alterações na extensão média da via e o número de diferentes tipos de </w:t>
      </w:r>
      <w:r w:rsidRPr="00475ED7">
        <w:rPr>
          <w:b/>
        </w:rPr>
        <w:t>intervenientes</w:t>
      </w:r>
      <w:r>
        <w:t xml:space="preserve"> envolvidos. De seguida, as alterações têm de ser relacionadas em retrospetiva com a intervenção do PDR através de entrevistas realizadas a informadores-chave com pessoas competentes mas independentes que possam verificar ou colocar de parte alegações de causalidade. Idealmente, a base de referência deverá ter sido estabelecida no âmbito da estimativa do potencial de inovação no início do PDR.</w:t>
      </w:r>
    </w:p>
    <w:p w:rsidR="00A45935" w:rsidRPr="00E34FAC" w:rsidRDefault="00A45935" w:rsidP="00A847F8">
      <w:pPr>
        <w:pStyle w:val="Hlistbullet2"/>
      </w:pPr>
      <w:r w:rsidRPr="00475ED7">
        <w:rPr>
          <w:b/>
        </w:rPr>
        <w:t>A Via n.º 3</w:t>
      </w:r>
      <w:r>
        <w:t xml:space="preserve"> possui vários critérios de apreciação associados a vários tipos de ambientes propícios, conforme descrito no Capítulo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O primeiro critério refere-se até que ponto o PDR possui políticas esclarecidas que apoiaram a mudança para a qual o PDR contribuiu. Para tal, é necessário identificar as políticas que o PDR pode alegar ter influenciado, seguindo-se um processo de comprovação para estabelecer a legitimidade dessas alegações. Os elementos de prova podem ser recolhidos com o indicador de resultados adicional «número e tipo de políticas que o PDR influenciou a nível das organizações participantes e a nível do ambiente propício geral» durante a avaliação. O levantamento de resultados</w:t>
      </w:r>
      <w:r>
        <w:rPr>
          <w:rFonts w:eastAsia="Times New Roman" w:cs="Arial"/>
          <w:szCs w:val="20"/>
          <w:vertAlign w:val="superscript"/>
          <w:lang w:eastAsia="de-DE"/>
        </w:rPr>
        <w:footnoteReference w:id="78"/>
      </w:r>
      <w:r>
        <w:t xml:space="preserve"> é uma abordagem bastante apropriada para avaliar o envolvimento nas políticas do PDR.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O segundo critério de apreciação prende-se com as oportunidades de formação e intercâmbio de práticas inovadoras, apoiadas pelo PDR. O indicador de resultados adicional proposto para recolher elementos de prova é o «número de formações e eventos organizados para o intercâmbio de práticas inovadoras e a sua percentagem no número total de ações de formação/eventos apoiados pelo PDR». Os dados para o indicador podem ser recolhidos através da base de dados de operações depois de associar as informações relativas a atividades de formação e eventos à inovação.</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O terceiro critério de apreciação está relacionado com as interações propícias entre os agentes da inovação. Para medir o sucesso associado a este critério de </w:t>
      </w:r>
      <w:r>
        <w:lastRenderedPageBreak/>
        <w:t xml:space="preserve">apreciação, recomenda-se a utilização do indicador de resultados adicional: «número de eventos organizados que incidiram sobre a criação de contactos entre os agentes da inovação apoiados pelo PDR». Os dados relativos a este indicador podem ser recolhidos através da base de dados de operações (por exemplo, adicionando ao acompanhamento de eventos informações relativas aos agentes da inovação apoiados pelo PDR). </w:t>
      </w:r>
    </w:p>
    <w:p w:rsidR="001275FF" w:rsidRDefault="00A45935" w:rsidP="00A847F8">
      <w:pPr>
        <w:numPr>
          <w:ilvl w:val="0"/>
          <w:numId w:val="48"/>
        </w:numPr>
        <w:spacing w:before="60" w:after="120" w:line="280" w:lineRule="atLeast"/>
        <w:ind w:left="1701" w:hanging="567"/>
        <w:rPr>
          <w:rFonts w:eastAsia="Calibri" w:cs="Arial"/>
          <w:szCs w:val="20"/>
        </w:rPr>
      </w:pPr>
      <w:r>
        <w:t xml:space="preserve">O quarto critério de apreciação diz respeito ao PDR como criador de um ambiente propício para a introdução de novas tecnologias. Este pode ser medido com o indicador de resultados adicional «número de novas tecnologias nas zonas rurais apoiadas pelo PDR, discriminadas por tipo». As informações necessárias para este indicador podem ser recolhidas a partir da base de dados de operações, se adaptada em conformidade.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93056" behindDoc="0" locked="0" layoutInCell="1" allowOverlap="1" wp14:anchorId="031EC736" wp14:editId="4ECD156B">
                <wp:simplePos x="0" y="0"/>
                <wp:positionH relativeFrom="column">
                  <wp:posOffset>38100</wp:posOffset>
                </wp:positionH>
                <wp:positionV relativeFrom="paragraph">
                  <wp:posOffset>2235200</wp:posOffset>
                </wp:positionV>
                <wp:extent cx="5670550" cy="249555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495550"/>
                        </a:xfrm>
                        <a:prstGeom prst="round2DiagRect">
                          <a:avLst>
                            <a:gd name="adj1" fmla="val 7843"/>
                            <a:gd name="adj2" fmla="val 0"/>
                          </a:avLst>
                        </a:prstGeom>
                        <a:noFill/>
                        <a:ln w="25400" cap="flat" cmpd="sng" algn="ctr">
                          <a:solidFill>
                            <a:srgbClr val="BE4A35"/>
                          </a:solidFill>
                          <a:prstDash val="solid"/>
                        </a:ln>
                        <a:effectLst/>
                      </wps:spPr>
                      <wps:txbx>
                        <w:txbxContent>
                          <w:p w:rsidR="00B06BF7" w:rsidRPr="00EF653F" w:rsidRDefault="00B06BF7" w:rsidP="00E05D08">
                            <w:pPr>
                              <w:pStyle w:val="HStandard"/>
                              <w:rPr>
                                <w:rFonts w:cs="Arial"/>
                                <w:b/>
                                <w:sz w:val="18"/>
                                <w:szCs w:val="18"/>
                              </w:rPr>
                            </w:pPr>
                            <w:r>
                              <w:rPr>
                                <w:lang w:val="en-GB" w:eastAsia="en-GB"/>
                              </w:rPr>
                              <w:drawing>
                                <wp:inline distT="0" distB="0" distL="0" distR="0" wp14:anchorId="5684BE48" wp14:editId="3D84A80C">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Técnicas para o desenvolvimento da narrativa e classificação dos resultados</w:t>
                            </w:r>
                          </w:p>
                          <w:p w:rsidR="00B06BF7" w:rsidRPr="00EF653F" w:rsidRDefault="00B06BF7" w:rsidP="00E05D08">
                            <w:pPr>
                              <w:pStyle w:val="HStandard"/>
                              <w:rPr>
                                <w:rFonts w:cs="Arial"/>
                                <w:sz w:val="18"/>
                                <w:szCs w:val="18"/>
                              </w:rPr>
                            </w:pPr>
                            <w:r>
                              <w:rPr>
                                <w:sz w:val="18"/>
                                <w:szCs w:val="18"/>
                              </w:rPr>
                              <w:t xml:space="preserve">No desenvolvimento da narrativa, o avaliador pode utilizar várias </w:t>
                            </w:r>
                            <w:r w:rsidRPr="00F12FAB">
                              <w:rPr>
                                <w:b/>
                                <w:sz w:val="18"/>
                                <w:szCs w:val="18"/>
                              </w:rPr>
                              <w:t>técnicas para triangular e fundamentar o caso</w:t>
                            </w:r>
                            <w:r>
                              <w:rPr>
                                <w:sz w:val="18"/>
                                <w:szCs w:val="18"/>
                              </w:rPr>
                              <w:t>.</w:t>
                            </w:r>
                            <w:r>
                              <w:rPr>
                                <w:b/>
                                <w:sz w:val="18"/>
                                <w:szCs w:val="18"/>
                              </w:rPr>
                              <w:t xml:space="preserve"> </w:t>
                            </w:r>
                            <w:r>
                              <w:rPr>
                                <w:sz w:val="18"/>
                                <w:szCs w:val="18"/>
                              </w:rPr>
                              <w:t>Estas técnicas incluem: a análise do contributo na qual o avaliador identifica um conjunto de causalidade necessário e suficiente para explicar a mudança</w:t>
                            </w:r>
                            <w:r w:rsidRPr="00F12FAB">
                              <w:rPr>
                                <w:sz w:val="18"/>
                                <w:szCs w:val="18"/>
                                <w:vertAlign w:val="superscript"/>
                              </w:rPr>
                              <w:t>82</w:t>
                            </w:r>
                            <w:r>
                              <w:rPr>
                                <w:sz w:val="18"/>
                                <w:szCs w:val="18"/>
                              </w:rPr>
                              <w:t>; estabelecer e colocar de parte explicações de causalidade alternativas</w:t>
                            </w:r>
                            <w:r w:rsidRPr="00F12FAB">
                              <w:rPr>
                                <w:sz w:val="18"/>
                                <w:szCs w:val="18"/>
                                <w:vertAlign w:val="superscript"/>
                              </w:rPr>
                              <w:t>83</w:t>
                            </w:r>
                            <w:r>
                              <w:rPr>
                                <w:sz w:val="18"/>
                                <w:szCs w:val="18"/>
                              </w:rPr>
                              <w:t xml:space="preserve"> e/ou identificar e consubstanciar partes cruciais da cadeia de elementos de prova reunidos para defender o contributo do PDR</w:t>
                            </w:r>
                            <w:r w:rsidRPr="00F12FAB">
                              <w:rPr>
                                <w:sz w:val="18"/>
                                <w:szCs w:val="18"/>
                                <w:vertAlign w:val="superscript"/>
                              </w:rPr>
                              <w:t>84</w:t>
                            </w:r>
                            <w:r>
                              <w:rPr>
                                <w:sz w:val="18"/>
                                <w:szCs w:val="18"/>
                              </w:rPr>
                              <w:t>.</w:t>
                            </w:r>
                          </w:p>
                          <w:p w:rsidR="00B06BF7" w:rsidRPr="000E5745" w:rsidRDefault="00B06BF7" w:rsidP="00E05D08">
                            <w:pPr>
                              <w:pStyle w:val="HStandard"/>
                            </w:pPr>
                            <w:r>
                              <w:rPr>
                                <w:sz w:val="18"/>
                                <w:szCs w:val="18"/>
                              </w:rPr>
                              <w:t>A medida do contributo do PDR deve ser avaliada em função de uma escala de Likert</w:t>
                            </w:r>
                            <w:r w:rsidRPr="00F12FAB">
                              <w:rPr>
                                <w:sz w:val="18"/>
                                <w:szCs w:val="18"/>
                                <w:vertAlign w:val="superscript"/>
                              </w:rPr>
                              <w:t>85</w:t>
                            </w:r>
                            <w:r>
                              <w:rPr>
                                <w:sz w:val="18"/>
                                <w:szCs w:val="18"/>
                              </w:rPr>
                              <w:t xml:space="preserve"> como Inexistente, Praticamente inexistente, Mediano, Fator contributivo principal, Único fator contributivo. O avaliador deve igualmente classificar o nível de confiança que tem nas conclusões utilizando uma escala semelhante de cinco pontos. A classificação atribuída terá de ser justificada.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C736" id="Rectangle: Diagonal Corners Rounded 566" o:spid="_x0000_s1058" style="position:absolute;left:0;text-align:left;margin-left:3pt;margin-top:176pt;width:446.5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495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" adj="-11796480,,5400" path="m195726,l5670550,r,l5670550,2299824v,108096,-87630,195726,-195726,195726l,2495550r,l,195726c,87630,87630,,195726,xe" filled="f" strokecolor="#be4a35" strokeweight="2pt">
                <v:stroke joinstyle="miter"/>
                <v:formulas/>
                <v:path arrowok="t" o:connecttype="custom" o:connectlocs="195726,0;5670550,0;5670550,0;5670550,2299824;5474824,2495550;0,2495550;0,2495550;0,195726;195726,0" o:connectangles="0,0,0,0,0,0,0,0,0" textboxrect="0,0,5670550,2495550"/>
                <v:textbox>
                  <w:txbxContent>
                    <w:p w:rsidR="00B06BF7" w:rsidRPr="00EF653F" w:rsidRDefault="00B06BF7" w:rsidP="00E05D08">
                      <w:pPr>
                        <w:pStyle w:val="HStandard"/>
                        <w:rPr>
                          <w:rFonts w:cs="Arial"/>
                          <w:b/>
                          <w:sz w:val="18"/>
                          <w:szCs w:val="18"/>
                        </w:rPr>
                      </w:pPr>
                      <w:r>
                        <w:rPr>
                          <w:lang w:val="en-GB" w:eastAsia="en-GB"/>
                        </w:rPr>
                        <w:drawing>
                          <wp:inline distT="0" distB="0" distL="0" distR="0" wp14:anchorId="5684BE48" wp14:editId="3D84A80C">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Técnicas para o desenvolvimento da narrativa e classificação dos resultados</w:t>
                      </w:r>
                    </w:p>
                    <w:p w:rsidR="00B06BF7" w:rsidRPr="00EF653F" w:rsidRDefault="00B06BF7" w:rsidP="00E05D08">
                      <w:pPr>
                        <w:pStyle w:val="HStandard"/>
                        <w:rPr>
                          <w:rFonts w:cs="Arial"/>
                          <w:sz w:val="18"/>
                          <w:szCs w:val="18"/>
                        </w:rPr>
                      </w:pPr>
                      <w:r>
                        <w:rPr>
                          <w:sz w:val="18"/>
                          <w:szCs w:val="18"/>
                        </w:rPr>
                        <w:t xml:space="preserve">No desenvolvimento da narrativa, o avaliador pode utilizar várias </w:t>
                      </w:r>
                      <w:r w:rsidRPr="00F12FAB">
                        <w:rPr>
                          <w:b/>
                          <w:sz w:val="18"/>
                          <w:szCs w:val="18"/>
                        </w:rPr>
                        <w:t>técnicas para triangular e fundamentar o caso</w:t>
                      </w:r>
                      <w:r>
                        <w:rPr>
                          <w:sz w:val="18"/>
                          <w:szCs w:val="18"/>
                        </w:rPr>
                        <w:t>.</w:t>
                      </w:r>
                      <w:r>
                        <w:rPr>
                          <w:b/>
                          <w:sz w:val="18"/>
                          <w:szCs w:val="18"/>
                        </w:rPr>
                        <w:t xml:space="preserve"> </w:t>
                      </w:r>
                      <w:r>
                        <w:rPr>
                          <w:sz w:val="18"/>
                          <w:szCs w:val="18"/>
                        </w:rPr>
                        <w:t>Estas técnicas incluem: a análise do contributo na qual o avaliador identifica um conjunto de causalidade necessário e suficiente para explicar a mudança</w:t>
                      </w:r>
                      <w:r w:rsidRPr="00F12FAB">
                        <w:rPr>
                          <w:sz w:val="18"/>
                          <w:szCs w:val="18"/>
                          <w:vertAlign w:val="superscript"/>
                        </w:rPr>
                        <w:t>82</w:t>
                      </w:r>
                      <w:r>
                        <w:rPr>
                          <w:sz w:val="18"/>
                          <w:szCs w:val="18"/>
                        </w:rPr>
                        <w:t>; estabelecer e colocar de parte explicações de causalidade alternativas</w:t>
                      </w:r>
                      <w:r w:rsidRPr="00F12FAB">
                        <w:rPr>
                          <w:sz w:val="18"/>
                          <w:szCs w:val="18"/>
                          <w:vertAlign w:val="superscript"/>
                        </w:rPr>
                        <w:t>83</w:t>
                      </w:r>
                      <w:r>
                        <w:rPr>
                          <w:sz w:val="18"/>
                          <w:szCs w:val="18"/>
                        </w:rPr>
                        <w:t xml:space="preserve"> e/ou identificar e consubstanciar partes cruciais da cadeia de elementos de prova reunidos para defender o contributo do PDR</w:t>
                      </w:r>
                      <w:r w:rsidRPr="00F12FAB">
                        <w:rPr>
                          <w:sz w:val="18"/>
                          <w:szCs w:val="18"/>
                          <w:vertAlign w:val="superscript"/>
                        </w:rPr>
                        <w:t>84</w:t>
                      </w:r>
                      <w:r>
                        <w:rPr>
                          <w:sz w:val="18"/>
                          <w:szCs w:val="18"/>
                        </w:rPr>
                        <w:t>.</w:t>
                      </w:r>
                    </w:p>
                    <w:p w:rsidR="00B06BF7" w:rsidRPr="000E5745" w:rsidRDefault="00B06BF7" w:rsidP="00E05D08">
                      <w:pPr>
                        <w:pStyle w:val="HStandard"/>
                      </w:pPr>
                      <w:r>
                        <w:rPr>
                          <w:sz w:val="18"/>
                          <w:szCs w:val="18"/>
                        </w:rPr>
                        <w:t>A medida do contributo do PDR deve ser avaliada em função de uma escala de Likert</w:t>
                      </w:r>
                      <w:r w:rsidRPr="00F12FAB">
                        <w:rPr>
                          <w:sz w:val="18"/>
                          <w:szCs w:val="18"/>
                          <w:vertAlign w:val="superscript"/>
                        </w:rPr>
                        <w:t>85</w:t>
                      </w:r>
                      <w:r>
                        <w:rPr>
                          <w:sz w:val="18"/>
                          <w:szCs w:val="18"/>
                        </w:rPr>
                        <w:t xml:space="preserve"> como Inexistente, Praticamente inexistente, Mediano, Fator contributivo principal, Único fator contributivo. O avaliador deve igualmente classificar o nível de confiança que tem nas conclusões utilizando uma escala semelhante de cinco pontos. A classificação atribuída terá de ser justificada.</w:t>
                      </w:r>
                    </w:p>
                  </w:txbxContent>
                </v:textbox>
                <w10:wrap type="square"/>
              </v:shape>
            </w:pict>
          </mc:Fallback>
        </mc:AlternateContent>
      </w:r>
      <w:r>
        <w:rPr>
          <w:b/>
        </w:rPr>
        <w:t>PASSO 3 - Desenvolver um calendário e uma narrativa de causalidade</w:t>
      </w:r>
      <w:r>
        <w:t xml:space="preserve"> que descreva o modo como ocorreu(ocorreram) a(s) alteração(ões) identificada(s) na Etapa n.º 1. A narrativa deverá pressupor a priori que a(s) alteração(ões) ocorreu(ocorreram) através de uma ou mais das três vias, bem como das suas interações (ver a </w:t>
      </w:r>
      <w:hyperlink w:anchor="Pathways" w:history="1">
        <w:r>
          <w:rPr>
            <w:rStyle w:val="Hyperlink"/>
            <w:sz w:val="20"/>
          </w:rPr>
          <w:t>Figura 1</w:t>
        </w:r>
      </w:hyperlink>
      <w:r>
        <w:t>). O calendário e a narrativa devem incluir todos os acontecimentos e processos mais importantes que conduziram à alteração, e não apenas os que resultaram da atividade dos PDR. Esta abordagem baseia-se numa metodologia de estudo de caso</w:t>
      </w:r>
      <w:r>
        <w:rPr>
          <w:rFonts w:cs="Arial"/>
          <w:vertAlign w:val="superscript"/>
        </w:rPr>
        <w:footnoteReference w:id="79"/>
      </w:r>
      <w:r>
        <w:t>. Os métodos específicos que poderão ser úteis são o rastreio de processo (estabelecer um percurso teórico desde o resultado até às suas causas, considerando várias alternativas)</w:t>
      </w:r>
      <w:r>
        <w:rPr>
          <w:rFonts w:cs="Arial"/>
          <w:vertAlign w:val="superscript"/>
        </w:rPr>
        <w:footnoteReference w:id="80"/>
      </w:r>
      <w:r>
        <w:t xml:space="preserve"> e a construção de histórias de inovação (método de registo e de reflexão sobre um processo de inovação)</w:t>
      </w:r>
      <w:r>
        <w:rPr>
          <w:rFonts w:cs="Arial"/>
          <w:vertAlign w:val="superscript"/>
        </w:rPr>
        <w:footnoteReference w:id="81"/>
      </w:r>
      <w:r>
        <w:t>. Os dados provirão das etapas anteriores, da revisão da documentação do PDR e/ou de entrevistas realizadas a informadores-chave com o pessoal do programa e as partes interessadas</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PASSO 4 - Comparar o potencial de inovação identificado antes da avaliação com o contributo efetuado pelo PDR.</w:t>
      </w:r>
      <w:r>
        <w:t xml:space="preserve"> A nossa hipótese de trabalho é a de que haverá diferenças que ajudam as pessoas envolvidas a compreender melhor a inovação como um processo emergente e imprevisível que, no entanto, pode ser cultivado se no PDR estiverem implementados mecanismos de aprendizagem e de gestão adaptativa.</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Riscos e soluções</w:t>
      </w:r>
      <w:r>
        <w:t xml:space="preserve"> </w:t>
      </w:r>
    </w:p>
    <w:p w:rsidR="00E05D08" w:rsidRPr="00AB6603" w:rsidRDefault="00AB6603" w:rsidP="00A847F8">
      <w:pPr>
        <w:spacing w:before="120" w:after="120" w:line="280" w:lineRule="atLeast"/>
        <w:mirrorIndents/>
        <w:rPr>
          <w:rFonts w:eastAsia="Times New Roman" w:cs="Times New Roman"/>
          <w:b/>
          <w:szCs w:val="20"/>
        </w:rPr>
      </w:pPr>
      <w:r>
        <w:t>O principal risco consiste em a avaliação do estudo de caso descrita acima não ser realizada com um nível de qualidade suficientemente elevado para ser convincente nas suas conclusões.</w:t>
      </w:r>
    </w:p>
    <w:p w:rsidR="00E05D08" w:rsidRDefault="00E05D08" w:rsidP="00E05D08">
      <w:pPr>
        <w:spacing w:after="120" w:line="280" w:lineRule="atLeast"/>
        <w:mirrorIndents/>
        <w:rPr>
          <w:rFonts w:eastAsia="Times New Roman" w:cs="Arial"/>
          <w:szCs w:val="20"/>
        </w:rPr>
      </w:pPr>
      <w:r>
        <w:t xml:space="preserve">Por outro lado, se não for utilizada uma abordagem de estudo de caso, o risco consiste em avaliar a QAC n.º 30 apenas com base nos critérios de apreciação e indicadores, o que não permitirá avaliar a </w:t>
      </w:r>
      <w:r>
        <w:lastRenderedPageBreak/>
        <w:t xml:space="preserve">extensão dos contributos do PDR, nem ajudará as pessoas envolvidas a saber como ocorre a mudança em sistemas complexos.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Conclusões e recomendações</w:t>
      </w:r>
    </w:p>
    <w:p w:rsidR="00E05D08" w:rsidRPr="00E05D08" w:rsidRDefault="00E05D08" w:rsidP="00E05D08">
      <w:pPr>
        <w:spacing w:after="120" w:line="280" w:lineRule="atLeast"/>
        <w:mirrorIndents/>
        <w:rPr>
          <w:rFonts w:eastAsia="Times New Roman" w:cs="Arial"/>
          <w:szCs w:val="20"/>
        </w:rPr>
      </w:pPr>
      <w:r>
        <w:t>As conclusões e recomendações relativas à QAC n.º 30 devem ter em consideração os aspetos seguintes:</w:t>
      </w:r>
    </w:p>
    <w:p w:rsidR="00E05D08" w:rsidRPr="00812586" w:rsidRDefault="00E05D08" w:rsidP="00320AA0">
      <w:pPr>
        <w:pStyle w:val="Hlistbullet"/>
      </w:pPr>
      <w:r>
        <w:t xml:space="preserve">as medidas específicas (e respetiva combinação) que foram mais eficazes e eficientes para fomentar a inovação nas zonas rurais através do PDR; </w:t>
      </w:r>
    </w:p>
    <w:p w:rsidR="00E05D08" w:rsidRPr="00812586" w:rsidRDefault="00E05D08" w:rsidP="00320AA0">
      <w:pPr>
        <w:pStyle w:val="Hlistbullet"/>
      </w:pPr>
      <w:r>
        <w:t xml:space="preserve">as formas como o PDR fomentou as inovações tal como tem associação com as três vias; </w:t>
      </w:r>
    </w:p>
    <w:p w:rsidR="00E05D08" w:rsidRPr="00812586" w:rsidRDefault="00E05D08" w:rsidP="00320AA0">
      <w:pPr>
        <w:pStyle w:val="Hlistbullet"/>
      </w:pPr>
      <w:r>
        <w:t xml:space="preserve">os objetivos em termos de política para os quais a inovação fomentada contribuiu de forma mais significativa; </w:t>
      </w:r>
    </w:p>
    <w:p w:rsidR="000E0FE4" w:rsidRDefault="00E05D08" w:rsidP="00320AA0">
      <w:pPr>
        <w:pStyle w:val="Hlistbullet"/>
      </w:pPr>
      <w:r>
        <w:t xml:space="preserve">as partes interessadas e os beneficiários do PDR que foram os veículos mais eficazes de inovação. </w:t>
      </w:r>
    </w:p>
    <w:p w:rsidR="000E0FE4" w:rsidRDefault="000E0FE4" w:rsidP="000E0FE4">
      <w:pPr>
        <w:ind w:left="720"/>
        <w:mirrorIndents/>
        <w:rPr>
          <w:szCs w:val="20"/>
        </w:rPr>
        <w:sectPr w:rsidR="000E0FE4" w:rsidSect="001F6F07">
          <w:headerReference w:type="first" r:id="rId103"/>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mc:AlternateContent>
          <mc:Choice Requires="wps">
            <w:drawing>
              <wp:anchor distT="0" distB="0" distL="114300" distR="114300" simplePos="0" relativeHeight="251695104" behindDoc="0" locked="0" layoutInCell="1" allowOverlap="1" wp14:anchorId="2CBB898F" wp14:editId="3198FBB5">
                <wp:simplePos x="0" y="0"/>
                <wp:positionH relativeFrom="column">
                  <wp:posOffset>-54244</wp:posOffset>
                </wp:positionH>
                <wp:positionV relativeFrom="paragraph">
                  <wp:posOffset>325465</wp:posOffset>
                </wp:positionV>
                <wp:extent cx="5811864" cy="4083804"/>
                <wp:effectExtent l="0" t="0" r="17780" b="1206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083804"/>
                        </a:xfrm>
                        <a:prstGeom prst="round2DiagRect">
                          <a:avLst>
                            <a:gd name="adj1" fmla="val 6996"/>
                            <a:gd name="adj2" fmla="val 0"/>
                          </a:avLst>
                        </a:prstGeom>
                        <a:noFill/>
                        <a:ln w="25400" cap="flat" cmpd="sng" algn="ctr">
                          <a:solidFill>
                            <a:srgbClr val="59638E"/>
                          </a:solidFill>
                          <a:prstDash val="solid"/>
                        </a:ln>
                        <a:effectLst/>
                      </wps:spPr>
                      <wps:txbx>
                        <w:txbxContent>
                          <w:p w:rsidR="00B06BF7" w:rsidRDefault="00B06BF7" w:rsidP="00BA450C">
                            <w:pPr>
                              <w:pStyle w:val="HStandard"/>
                              <w:rPr>
                                <w:sz w:val="18"/>
                                <w:szCs w:val="18"/>
                              </w:rPr>
                            </w:pPr>
                            <w:r>
                              <w:rPr>
                                <w:lang w:val="en-GB" w:eastAsia="en-GB"/>
                              </w:rPr>
                              <w:drawing>
                                <wp:inline distT="0" distB="0" distL="0" distR="0" wp14:anchorId="5072A008" wp14:editId="58723510">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BA450C">
                            <w:pPr>
                              <w:pStyle w:val="HStandard"/>
                              <w:rPr>
                                <w:sz w:val="18"/>
                                <w:szCs w:val="18"/>
                                <w:lang w:val="en-GB"/>
                              </w:rPr>
                            </w:pPr>
                            <w:r w:rsidRPr="00A04B6A">
                              <w:rPr>
                                <w:sz w:val="18"/>
                                <w:szCs w:val="18"/>
                                <w:lang w:val="en-GB"/>
                              </w:rPr>
                              <w:t xml:space="preserve">Allen, I.E. and Seaman, C.A. (2007). </w:t>
                            </w:r>
                            <w:hyperlink r:id="rId104" w:history="1">
                              <w:r w:rsidRPr="00A04B6A">
                                <w:rPr>
                                  <w:rStyle w:val="Hyperlink"/>
                                  <w:sz w:val="18"/>
                                  <w:szCs w:val="18"/>
                                  <w:lang w:val="en-GB"/>
                                </w:rPr>
                                <w:t>Likert scales and data analyses</w:t>
                              </w:r>
                            </w:hyperlink>
                            <w:r w:rsidRPr="00A04B6A">
                              <w:rPr>
                                <w:lang w:val="en-GB"/>
                              </w:rPr>
                              <w:t>.</w:t>
                            </w:r>
                            <w:r w:rsidRPr="00A04B6A">
                              <w:rPr>
                                <w:sz w:val="18"/>
                                <w:szCs w:val="18"/>
                                <w:lang w:val="en-GB"/>
                              </w:rPr>
                              <w:t> Quality progress, 40(7), p. 64.</w:t>
                            </w:r>
                          </w:p>
                          <w:p w:rsidR="00B06BF7" w:rsidRPr="00A04B6A" w:rsidRDefault="00B06BF7" w:rsidP="00BA450C">
                            <w:pPr>
                              <w:pStyle w:val="HStandard"/>
                              <w:jc w:val="left"/>
                              <w:rPr>
                                <w:sz w:val="18"/>
                                <w:szCs w:val="18"/>
                                <w:lang w:val="en-GB"/>
                              </w:rPr>
                            </w:pPr>
                            <w:r w:rsidRPr="00A04B6A">
                              <w:rPr>
                                <w:sz w:val="18"/>
                                <w:szCs w:val="18"/>
                                <w:lang w:val="en-GB"/>
                              </w:rPr>
                              <w:t xml:space="preserve">Collier, D., 2011. </w:t>
                            </w:r>
                            <w:r w:rsidRPr="00A04B6A">
                              <w:rPr>
                                <w:lang w:val="en-GB"/>
                              </w:rPr>
                              <w:t>«</w:t>
                            </w:r>
                            <w:hyperlink r:id="rId105" w:history="1">
                              <w:r w:rsidRPr="00A04B6A">
                                <w:rPr>
                                  <w:rStyle w:val="Hyperlink"/>
                                  <w:sz w:val="18"/>
                                  <w:szCs w:val="18"/>
                                  <w:lang w:val="en-GB"/>
                                </w:rPr>
                                <w:t>Understanding process tracing.</w:t>
                              </w:r>
                            </w:hyperlink>
                            <w:r w:rsidRPr="00A04B6A">
                              <w:rPr>
                                <w:lang w:val="en-GB"/>
                              </w:rPr>
                              <w:t>»</w:t>
                            </w:r>
                            <w:r w:rsidRPr="00A04B6A">
                              <w:rPr>
                                <w:sz w:val="18"/>
                                <w:szCs w:val="18"/>
                                <w:lang w:val="en-GB"/>
                              </w:rPr>
                              <w:t> PS: Political Science &amp; Politics 44.04: 823-830.</w:t>
                            </w:r>
                          </w:p>
                          <w:p w:rsidR="00B06BF7" w:rsidRPr="00BA450C" w:rsidRDefault="00B06BF7" w:rsidP="00BA450C">
                            <w:pPr>
                              <w:pStyle w:val="HStandard"/>
                              <w:jc w:val="left"/>
                              <w:rPr>
                                <w:sz w:val="18"/>
                                <w:szCs w:val="18"/>
                              </w:rPr>
                            </w:pPr>
                            <w:r w:rsidRPr="00A04B6A">
                              <w:rPr>
                                <w:sz w:val="18"/>
                                <w:szCs w:val="18"/>
                                <w:lang w:val="en-GB"/>
                              </w:rPr>
                              <w:t xml:space="preserve">Douthwaite, B. and Ashby, J., 2005. Innovation histories: a method from learning from experience. </w:t>
                            </w:r>
                            <w:r>
                              <w:rPr>
                                <w:sz w:val="18"/>
                                <w:szCs w:val="18"/>
                              </w:rPr>
                              <w:t xml:space="preserve">Institutional Learning and Change Initiative. Consultado em 15 de maio no endereço: </w:t>
                            </w:r>
                            <w:hyperlink r:id="rId106" w:history="1">
                              <w:r>
                                <w:rPr>
                                  <w:rStyle w:val="Hyperlink"/>
                                  <w:sz w:val="18"/>
                                  <w:szCs w:val="18"/>
                                </w:rPr>
                                <w:t>http://ageconsearch.umn.edu/bitstream/52515/2/ILAC_Brief05_Histories.pdf</w:t>
                              </w:r>
                            </w:hyperlink>
                          </w:p>
                          <w:p w:rsidR="00B06BF7" w:rsidRPr="00A04B6A" w:rsidRDefault="00B06BF7" w:rsidP="00BA450C">
                            <w:pPr>
                              <w:pStyle w:val="HStandard"/>
                              <w:jc w:val="left"/>
                              <w:rPr>
                                <w:sz w:val="18"/>
                                <w:szCs w:val="18"/>
                                <w:lang w:val="en-GB"/>
                              </w:rPr>
                            </w:pPr>
                            <w:r>
                              <w:t xml:space="preserve">GAO (Serviço Geral de Contabilidade) (1987) </w:t>
                            </w:r>
                            <w:hyperlink r:id="rId107" w:history="1">
                              <w:r>
                                <w:rPr>
                                  <w:rStyle w:val="Hyperlink"/>
                                  <w:sz w:val="18"/>
                                  <w:szCs w:val="18"/>
                                </w:rPr>
                                <w:t>Case study evaluation.</w:t>
                              </w:r>
                            </w:hyperlink>
                            <w:hyperlink r:id="rId108" w:history="1">
                              <w:r>
                                <w:rPr>
                                  <w:rStyle w:val="Hyperlink"/>
                                  <w:sz w:val="18"/>
                                  <w:szCs w:val="18"/>
                                </w:rPr>
                                <w:t xml:space="preserve"> </w:t>
                              </w:r>
                              <w:r w:rsidRPr="00A04B6A">
                                <w:rPr>
                                  <w:rStyle w:val="Hyperlink"/>
                                  <w:sz w:val="18"/>
                                  <w:szCs w:val="18"/>
                                  <w:lang w:val="en-GB"/>
                                </w:rPr>
                                <w:t>Program Evaluation and Methodology</w:t>
                              </w:r>
                            </w:hyperlink>
                            <w:r w:rsidRPr="00A04B6A">
                              <w:rPr>
                                <w:sz w:val="18"/>
                                <w:szCs w:val="18"/>
                                <w:lang w:val="en-GB"/>
                              </w:rPr>
                              <w:t>. Division, Transfer Paper 9. Washington DC: GAO.</w:t>
                            </w:r>
                          </w:p>
                          <w:p w:rsidR="00B06BF7" w:rsidRPr="00A04B6A" w:rsidRDefault="00B06BF7" w:rsidP="00BA450C">
                            <w:pPr>
                              <w:pStyle w:val="HStandard"/>
                              <w:jc w:val="left"/>
                              <w:rPr>
                                <w:sz w:val="18"/>
                                <w:szCs w:val="18"/>
                                <w:lang w:val="en-GB"/>
                              </w:rPr>
                            </w:pPr>
                            <w:r w:rsidRPr="00A04B6A">
                              <w:rPr>
                                <w:sz w:val="18"/>
                                <w:szCs w:val="18"/>
                                <w:lang w:val="en-GB"/>
                              </w:rPr>
                              <w:t xml:space="preserve">Hilton, D.J., 1996. </w:t>
                            </w:r>
                            <w:hyperlink r:id="rId109" w:history="1">
                              <w:r w:rsidRPr="00A04B6A">
                                <w:rPr>
                                  <w:rStyle w:val="Hyperlink"/>
                                  <w:sz w:val="18"/>
                                  <w:szCs w:val="18"/>
                                  <w:lang w:val="en-GB"/>
                                </w:rPr>
                                <w:t>Mental models and causal explanation:</w:t>
                              </w:r>
                            </w:hyperlink>
                            <w:hyperlink r:id="rId110" w:history="1">
                              <w:r w:rsidRPr="00A04B6A">
                                <w:rPr>
                                  <w:rStyle w:val="Hyperlink"/>
                                  <w:sz w:val="18"/>
                                  <w:szCs w:val="18"/>
                                  <w:lang w:val="en-GB"/>
                                </w:rPr>
                                <w:t xml:space="preserve"> Judgments of probable cause and explanatory relevance</w:t>
                              </w:r>
                            </w:hyperlink>
                            <w:r w:rsidRPr="00A04B6A">
                              <w:rPr>
                                <w:sz w:val="18"/>
                                <w:szCs w:val="18"/>
                                <w:lang w:val="en-GB"/>
                              </w:rPr>
                              <w:t>. Thinking &amp; Reasoning, 2(4), pp. 273-308.</w:t>
                            </w:r>
                          </w:p>
                          <w:p w:rsidR="00B06BF7" w:rsidRPr="0088770F" w:rsidRDefault="00B06BF7" w:rsidP="00BA450C">
                            <w:pPr>
                              <w:pStyle w:val="HStandard"/>
                              <w:jc w:val="left"/>
                              <w:rPr>
                                <w:sz w:val="18"/>
                                <w:szCs w:val="18"/>
                                <w:lang w:val="en-GB"/>
                              </w:rPr>
                            </w:pPr>
                            <w:r w:rsidRPr="00A04B6A">
                              <w:rPr>
                                <w:sz w:val="18"/>
                                <w:szCs w:val="18"/>
                                <w:lang w:val="en-GB"/>
                              </w:rPr>
                              <w:t xml:space="preserve">Mayne, J., 2012. </w:t>
                            </w:r>
                            <w:hyperlink r:id="rId111" w:history="1">
                              <w:r w:rsidRPr="00A04B6A">
                                <w:rPr>
                                  <w:rStyle w:val="Hyperlink"/>
                                  <w:sz w:val="18"/>
                                  <w:szCs w:val="18"/>
                                  <w:lang w:val="en-GB"/>
                                </w:rPr>
                                <w:t>Contribution analysis:</w:t>
                              </w:r>
                            </w:hyperlink>
                            <w:hyperlink r:id="rId112" w:history="1">
                              <w:r w:rsidRPr="00A04B6A">
                                <w:rPr>
                                  <w:rStyle w:val="Hyperlink"/>
                                  <w:sz w:val="18"/>
                                  <w:szCs w:val="18"/>
                                  <w:lang w:val="en-GB"/>
                                </w:rPr>
                                <w:t xml:space="preserve"> Coming of age?</w:t>
                              </w:r>
                            </w:hyperlink>
                            <w:hyperlink r:id="rId113" w:history="1">
                              <w:r w:rsidRPr="00A04B6A">
                                <w:rPr>
                                  <w:rStyle w:val="Hyperlink"/>
                                  <w:sz w:val="18"/>
                                  <w:szCs w:val="18"/>
                                  <w:lang w:val="en-GB"/>
                                </w:rPr>
                                <w:t> </w:t>
                              </w:r>
                            </w:hyperlink>
                            <w:r w:rsidRPr="0088770F">
                              <w:rPr>
                                <w:sz w:val="18"/>
                                <w:szCs w:val="18"/>
                                <w:lang w:val="en-GB"/>
                              </w:rPr>
                              <w:t>Evaluation 18.3 (2012): 270-280.</w:t>
                            </w:r>
                          </w:p>
                          <w:p w:rsidR="00B06BF7" w:rsidRPr="0088770F" w:rsidRDefault="00B06BF7" w:rsidP="00BA450C">
                            <w:pPr>
                              <w:pStyle w:val="HStandard"/>
                              <w:jc w:val="left"/>
                              <w:rPr>
                                <w:sz w:val="18"/>
                                <w:szCs w:val="18"/>
                                <w:lang w:val="en-GB"/>
                              </w:rPr>
                            </w:pPr>
                            <w:r w:rsidRPr="0088770F">
                              <w:rPr>
                                <w:sz w:val="18"/>
                                <w:szCs w:val="18"/>
                                <w:lang w:val="en-GB"/>
                              </w:rPr>
                              <w:t xml:space="preserve">Greenhalgh Pawson, R., G. e T., Harvey, Padraig Walshe, K., 2005. </w:t>
                            </w:r>
                            <w:hyperlink r:id="rId114" w:history="1">
                              <w:r w:rsidRPr="00A04B6A">
                                <w:rPr>
                                  <w:rStyle w:val="Hyperlink"/>
                                  <w:sz w:val="18"/>
                                  <w:szCs w:val="18"/>
                                  <w:lang w:val="en-GB"/>
                                </w:rPr>
                                <w:t>Realist review–a new method of systematic review designed for complex policy interventions.</w:t>
                              </w:r>
                            </w:hyperlink>
                            <w:r w:rsidRPr="00A04B6A">
                              <w:rPr>
                                <w:sz w:val="18"/>
                                <w:szCs w:val="18"/>
                                <w:lang w:val="en-GB"/>
                              </w:rPr>
                              <w:t> </w:t>
                            </w:r>
                            <w:r w:rsidRPr="0088770F">
                              <w:rPr>
                                <w:sz w:val="18"/>
                                <w:szCs w:val="18"/>
                                <w:lang w:val="en-GB"/>
                              </w:rPr>
                              <w:t>Journal of health services research &amp; policy, 10 (supl. 1), pp. 21-34.</w:t>
                            </w:r>
                          </w:p>
                          <w:p w:rsidR="00B06BF7" w:rsidRPr="00BA450C" w:rsidRDefault="00B06BF7" w:rsidP="00BA450C">
                            <w:pPr>
                              <w:pStyle w:val="HStandard"/>
                              <w:jc w:val="left"/>
                              <w:rPr>
                                <w:sz w:val="18"/>
                                <w:szCs w:val="18"/>
                              </w:rPr>
                            </w:pPr>
                            <w:r w:rsidRPr="00A04B6A">
                              <w:rPr>
                                <w:sz w:val="18"/>
                                <w:szCs w:val="18"/>
                                <w:lang w:val="en-GB"/>
                              </w:rPr>
                              <w:t xml:space="preserve">Wilson-Grau, R. (2015) Outcome Harvesting. </w:t>
                            </w:r>
                            <w:r>
                              <w:rPr>
                                <w:sz w:val="18"/>
                                <w:szCs w:val="18"/>
                              </w:rPr>
                              <w:t xml:space="preserve">Better Evaluation. </w:t>
                            </w:r>
                            <w:r>
                              <w:t>Extraído de </w:t>
                            </w:r>
                            <w:hyperlink r:id="rId115" w:history="1">
                              <w:r>
                                <w:rPr>
                                  <w:rStyle w:val="Hyperlink"/>
                                  <w:sz w:val="18"/>
                                  <w:szCs w:val="18"/>
                                </w:rPr>
                                <w:t>http://betterevaluation.org/plan/approach/outcome_harvesting</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898F" id="Rectangle: Diagonal Corners Rounded 582" o:spid="_x0000_s1059" style="position:absolute;left:0;text-align:left;margin-left:-4.25pt;margin-top:25.65pt;width:457.65pt;height:3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08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" adj="-11796480,,5400" path="m285703,l5811864,r,l5811864,3798101v,157789,-127914,285703,-285703,285703l,4083804r,l,285703c,127914,127914,,285703,xe" filled="f" strokecolor="#59638e" strokeweight="2pt">
                <v:stroke joinstyle="miter"/>
                <v:formulas/>
                <v:path arrowok="t" o:connecttype="custom" o:connectlocs="285703,0;5811864,0;5811864,0;5811864,3798101;5526161,4083804;0,4083804;0,4083804;0,285703;285703,0" o:connectangles="0,0,0,0,0,0,0,0,0" textboxrect="0,0,5811864,4083804"/>
                <v:textbox>
                  <w:txbxContent>
                    <w:p w:rsidR="00B06BF7" w:rsidRDefault="00B06BF7" w:rsidP="00BA450C">
                      <w:pPr>
                        <w:pStyle w:val="HStandard"/>
                        <w:rPr>
                          <w:sz w:val="18"/>
                          <w:szCs w:val="18"/>
                        </w:rPr>
                      </w:pPr>
                      <w:r>
                        <w:rPr>
                          <w:lang w:val="en-GB" w:eastAsia="en-GB"/>
                        </w:rPr>
                        <w:drawing>
                          <wp:inline distT="0" distB="0" distL="0" distR="0" wp14:anchorId="5072A008" wp14:editId="58723510">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06BF7" w:rsidRPr="00A04B6A" w:rsidRDefault="00B06BF7" w:rsidP="00BA450C">
                      <w:pPr>
                        <w:pStyle w:val="HStandard"/>
                        <w:rPr>
                          <w:sz w:val="18"/>
                          <w:szCs w:val="18"/>
                          <w:lang w:val="en-GB"/>
                        </w:rPr>
                      </w:pPr>
                      <w:r w:rsidRPr="00A04B6A">
                        <w:rPr>
                          <w:sz w:val="18"/>
                          <w:szCs w:val="18"/>
                          <w:lang w:val="en-GB"/>
                        </w:rPr>
                        <w:t xml:space="preserve">Allen, I.E. and Seaman, C.A. (2007). </w:t>
                      </w:r>
                      <w:hyperlink r:id="rId116" w:history="1">
                        <w:r w:rsidRPr="00A04B6A">
                          <w:rPr>
                            <w:rStyle w:val="Hyperlink"/>
                            <w:sz w:val="18"/>
                            <w:szCs w:val="18"/>
                            <w:lang w:val="en-GB"/>
                          </w:rPr>
                          <w:t>Likert scales and data analyses</w:t>
                        </w:r>
                      </w:hyperlink>
                      <w:r w:rsidRPr="00A04B6A">
                        <w:rPr>
                          <w:lang w:val="en-GB"/>
                        </w:rPr>
                        <w:t>.</w:t>
                      </w:r>
                      <w:r w:rsidRPr="00A04B6A">
                        <w:rPr>
                          <w:sz w:val="18"/>
                          <w:szCs w:val="18"/>
                          <w:lang w:val="en-GB"/>
                        </w:rPr>
                        <w:t> Quality progress, 40(7), p. 64.</w:t>
                      </w:r>
                    </w:p>
                    <w:p w:rsidR="00B06BF7" w:rsidRPr="00A04B6A" w:rsidRDefault="00B06BF7" w:rsidP="00BA450C">
                      <w:pPr>
                        <w:pStyle w:val="HStandard"/>
                        <w:jc w:val="left"/>
                        <w:rPr>
                          <w:sz w:val="18"/>
                          <w:szCs w:val="18"/>
                          <w:lang w:val="en-GB"/>
                        </w:rPr>
                      </w:pPr>
                      <w:r w:rsidRPr="00A04B6A">
                        <w:rPr>
                          <w:sz w:val="18"/>
                          <w:szCs w:val="18"/>
                          <w:lang w:val="en-GB"/>
                        </w:rPr>
                        <w:t xml:space="preserve">Collier, D., 2011. </w:t>
                      </w:r>
                      <w:r w:rsidRPr="00A04B6A">
                        <w:rPr>
                          <w:lang w:val="en-GB"/>
                        </w:rPr>
                        <w:t>«</w:t>
                      </w:r>
                      <w:hyperlink r:id="rId117" w:history="1">
                        <w:r w:rsidRPr="00A04B6A">
                          <w:rPr>
                            <w:rStyle w:val="Hyperlink"/>
                            <w:sz w:val="18"/>
                            <w:szCs w:val="18"/>
                            <w:lang w:val="en-GB"/>
                          </w:rPr>
                          <w:t>Understanding process tracing.</w:t>
                        </w:r>
                      </w:hyperlink>
                      <w:r w:rsidRPr="00A04B6A">
                        <w:rPr>
                          <w:lang w:val="en-GB"/>
                        </w:rPr>
                        <w:t>»</w:t>
                      </w:r>
                      <w:r w:rsidRPr="00A04B6A">
                        <w:rPr>
                          <w:sz w:val="18"/>
                          <w:szCs w:val="18"/>
                          <w:lang w:val="en-GB"/>
                        </w:rPr>
                        <w:t> PS: Political Science &amp; Politics 44.04: 823-830.</w:t>
                      </w:r>
                    </w:p>
                    <w:p w:rsidR="00B06BF7" w:rsidRPr="00BA450C" w:rsidRDefault="00B06BF7" w:rsidP="00BA450C">
                      <w:pPr>
                        <w:pStyle w:val="HStandard"/>
                        <w:jc w:val="left"/>
                        <w:rPr>
                          <w:sz w:val="18"/>
                          <w:szCs w:val="18"/>
                        </w:rPr>
                      </w:pPr>
                      <w:r w:rsidRPr="00A04B6A">
                        <w:rPr>
                          <w:sz w:val="18"/>
                          <w:szCs w:val="18"/>
                          <w:lang w:val="en-GB"/>
                        </w:rPr>
                        <w:t xml:space="preserve">Douthwaite, B. and Ashby, J., 2005. Innovation histories: a method from learning from experience. </w:t>
                      </w:r>
                      <w:r>
                        <w:rPr>
                          <w:sz w:val="18"/>
                          <w:szCs w:val="18"/>
                        </w:rPr>
                        <w:t xml:space="preserve">Institutional Learning and Change Initiative. Consultado em 15 de maio no endereço: </w:t>
                      </w:r>
                      <w:hyperlink r:id="rId118" w:history="1">
                        <w:r>
                          <w:rPr>
                            <w:rStyle w:val="Hyperlink"/>
                            <w:sz w:val="18"/>
                            <w:szCs w:val="18"/>
                          </w:rPr>
                          <w:t>http://ageconsearch.umn.edu/bitstream/52515/2/ILAC_Brief05_Histories.pdf</w:t>
                        </w:r>
                      </w:hyperlink>
                    </w:p>
                    <w:p w:rsidR="00B06BF7" w:rsidRPr="00A04B6A" w:rsidRDefault="00B06BF7" w:rsidP="00BA450C">
                      <w:pPr>
                        <w:pStyle w:val="HStandard"/>
                        <w:jc w:val="left"/>
                        <w:rPr>
                          <w:sz w:val="18"/>
                          <w:szCs w:val="18"/>
                          <w:lang w:val="en-GB"/>
                        </w:rPr>
                      </w:pPr>
                      <w:r>
                        <w:t xml:space="preserve">GAO (Serviço Geral de Contabilidade) (1987) </w:t>
                      </w:r>
                      <w:hyperlink r:id="rId119" w:history="1">
                        <w:r>
                          <w:rPr>
                            <w:rStyle w:val="Hyperlink"/>
                            <w:sz w:val="18"/>
                            <w:szCs w:val="18"/>
                          </w:rPr>
                          <w:t>Case study evaluation.</w:t>
                        </w:r>
                      </w:hyperlink>
                      <w:hyperlink r:id="rId120" w:history="1">
                        <w:r>
                          <w:rPr>
                            <w:rStyle w:val="Hyperlink"/>
                            <w:sz w:val="18"/>
                            <w:szCs w:val="18"/>
                          </w:rPr>
                          <w:t xml:space="preserve"> </w:t>
                        </w:r>
                        <w:r w:rsidRPr="00A04B6A">
                          <w:rPr>
                            <w:rStyle w:val="Hyperlink"/>
                            <w:sz w:val="18"/>
                            <w:szCs w:val="18"/>
                            <w:lang w:val="en-GB"/>
                          </w:rPr>
                          <w:t>Program Evaluation and Methodology</w:t>
                        </w:r>
                      </w:hyperlink>
                      <w:r w:rsidRPr="00A04B6A">
                        <w:rPr>
                          <w:sz w:val="18"/>
                          <w:szCs w:val="18"/>
                          <w:lang w:val="en-GB"/>
                        </w:rPr>
                        <w:t>. Division, Transfer Paper 9. Washington DC: GAO.</w:t>
                      </w:r>
                    </w:p>
                    <w:p w:rsidR="00B06BF7" w:rsidRPr="00A04B6A" w:rsidRDefault="00B06BF7" w:rsidP="00BA450C">
                      <w:pPr>
                        <w:pStyle w:val="HStandard"/>
                        <w:jc w:val="left"/>
                        <w:rPr>
                          <w:sz w:val="18"/>
                          <w:szCs w:val="18"/>
                          <w:lang w:val="en-GB"/>
                        </w:rPr>
                      </w:pPr>
                      <w:r w:rsidRPr="00A04B6A">
                        <w:rPr>
                          <w:sz w:val="18"/>
                          <w:szCs w:val="18"/>
                          <w:lang w:val="en-GB"/>
                        </w:rPr>
                        <w:t xml:space="preserve">Hilton, D.J., 1996. </w:t>
                      </w:r>
                      <w:hyperlink r:id="rId121" w:history="1">
                        <w:r w:rsidRPr="00A04B6A">
                          <w:rPr>
                            <w:rStyle w:val="Hyperlink"/>
                            <w:sz w:val="18"/>
                            <w:szCs w:val="18"/>
                            <w:lang w:val="en-GB"/>
                          </w:rPr>
                          <w:t>Mental models and causal explanation:</w:t>
                        </w:r>
                      </w:hyperlink>
                      <w:hyperlink r:id="rId122" w:history="1">
                        <w:r w:rsidRPr="00A04B6A">
                          <w:rPr>
                            <w:rStyle w:val="Hyperlink"/>
                            <w:sz w:val="18"/>
                            <w:szCs w:val="18"/>
                            <w:lang w:val="en-GB"/>
                          </w:rPr>
                          <w:t xml:space="preserve"> Judgments of probable cause and explanatory relevance</w:t>
                        </w:r>
                      </w:hyperlink>
                      <w:r w:rsidRPr="00A04B6A">
                        <w:rPr>
                          <w:sz w:val="18"/>
                          <w:szCs w:val="18"/>
                          <w:lang w:val="en-GB"/>
                        </w:rPr>
                        <w:t>. Thinking &amp; Reasoning, 2(4), pp. 273-308.</w:t>
                      </w:r>
                    </w:p>
                    <w:p w:rsidR="00B06BF7" w:rsidRPr="0088770F" w:rsidRDefault="00B06BF7" w:rsidP="00BA450C">
                      <w:pPr>
                        <w:pStyle w:val="HStandard"/>
                        <w:jc w:val="left"/>
                        <w:rPr>
                          <w:sz w:val="18"/>
                          <w:szCs w:val="18"/>
                          <w:lang w:val="en-GB"/>
                        </w:rPr>
                      </w:pPr>
                      <w:r w:rsidRPr="00A04B6A">
                        <w:rPr>
                          <w:sz w:val="18"/>
                          <w:szCs w:val="18"/>
                          <w:lang w:val="en-GB"/>
                        </w:rPr>
                        <w:t xml:space="preserve">Mayne, J., 2012. </w:t>
                      </w:r>
                      <w:hyperlink r:id="rId123" w:history="1">
                        <w:r w:rsidRPr="00A04B6A">
                          <w:rPr>
                            <w:rStyle w:val="Hyperlink"/>
                            <w:sz w:val="18"/>
                            <w:szCs w:val="18"/>
                            <w:lang w:val="en-GB"/>
                          </w:rPr>
                          <w:t>Contribution analysis:</w:t>
                        </w:r>
                      </w:hyperlink>
                      <w:hyperlink r:id="rId124" w:history="1">
                        <w:r w:rsidRPr="00A04B6A">
                          <w:rPr>
                            <w:rStyle w:val="Hyperlink"/>
                            <w:sz w:val="18"/>
                            <w:szCs w:val="18"/>
                            <w:lang w:val="en-GB"/>
                          </w:rPr>
                          <w:t xml:space="preserve"> Coming of age?</w:t>
                        </w:r>
                      </w:hyperlink>
                      <w:hyperlink r:id="rId125" w:history="1">
                        <w:r w:rsidRPr="00A04B6A">
                          <w:rPr>
                            <w:rStyle w:val="Hyperlink"/>
                            <w:sz w:val="18"/>
                            <w:szCs w:val="18"/>
                            <w:lang w:val="en-GB"/>
                          </w:rPr>
                          <w:t> </w:t>
                        </w:r>
                      </w:hyperlink>
                      <w:r w:rsidRPr="0088770F">
                        <w:rPr>
                          <w:sz w:val="18"/>
                          <w:szCs w:val="18"/>
                          <w:lang w:val="en-GB"/>
                        </w:rPr>
                        <w:t>Evaluation 18.3 (2012): 270-280.</w:t>
                      </w:r>
                    </w:p>
                    <w:p w:rsidR="00B06BF7" w:rsidRPr="0088770F" w:rsidRDefault="00B06BF7" w:rsidP="00BA450C">
                      <w:pPr>
                        <w:pStyle w:val="HStandard"/>
                        <w:jc w:val="left"/>
                        <w:rPr>
                          <w:sz w:val="18"/>
                          <w:szCs w:val="18"/>
                          <w:lang w:val="en-GB"/>
                        </w:rPr>
                      </w:pPr>
                      <w:r w:rsidRPr="0088770F">
                        <w:rPr>
                          <w:sz w:val="18"/>
                          <w:szCs w:val="18"/>
                          <w:lang w:val="en-GB"/>
                        </w:rPr>
                        <w:t xml:space="preserve">Greenhalgh Pawson, R., G. e T., Harvey, Padraig Walshe, K., 2005. </w:t>
                      </w:r>
                      <w:hyperlink r:id="rId126" w:history="1">
                        <w:r w:rsidRPr="00A04B6A">
                          <w:rPr>
                            <w:rStyle w:val="Hyperlink"/>
                            <w:sz w:val="18"/>
                            <w:szCs w:val="18"/>
                            <w:lang w:val="en-GB"/>
                          </w:rPr>
                          <w:t>Realist review–a new method of systematic review designed for complex policy interventions.</w:t>
                        </w:r>
                      </w:hyperlink>
                      <w:r w:rsidRPr="00A04B6A">
                        <w:rPr>
                          <w:sz w:val="18"/>
                          <w:szCs w:val="18"/>
                          <w:lang w:val="en-GB"/>
                        </w:rPr>
                        <w:t> </w:t>
                      </w:r>
                      <w:r w:rsidRPr="0088770F">
                        <w:rPr>
                          <w:sz w:val="18"/>
                          <w:szCs w:val="18"/>
                          <w:lang w:val="en-GB"/>
                        </w:rPr>
                        <w:t>Journal of health services research &amp; policy, 10 (supl. 1), pp. 21-34.</w:t>
                      </w:r>
                    </w:p>
                    <w:p w:rsidR="00B06BF7" w:rsidRPr="00BA450C" w:rsidRDefault="00B06BF7" w:rsidP="00BA450C">
                      <w:pPr>
                        <w:pStyle w:val="HStandard"/>
                        <w:jc w:val="left"/>
                        <w:rPr>
                          <w:sz w:val="18"/>
                          <w:szCs w:val="18"/>
                        </w:rPr>
                      </w:pPr>
                      <w:r w:rsidRPr="00A04B6A">
                        <w:rPr>
                          <w:sz w:val="18"/>
                          <w:szCs w:val="18"/>
                          <w:lang w:val="en-GB"/>
                        </w:rPr>
                        <w:t xml:space="preserve">Wilson-Grau, R. (2015) Outcome Harvesting. </w:t>
                      </w:r>
                      <w:r>
                        <w:rPr>
                          <w:sz w:val="18"/>
                          <w:szCs w:val="18"/>
                        </w:rPr>
                        <w:t xml:space="preserve">Better Evaluation. </w:t>
                      </w:r>
                      <w:r>
                        <w:t>Extraído de </w:t>
                      </w:r>
                      <w:hyperlink r:id="rId127" w:history="1">
                        <w:r>
                          <w:rPr>
                            <w:rStyle w:val="Hyperlink"/>
                            <w:sz w:val="18"/>
                            <w:szCs w:val="18"/>
                          </w:rPr>
                          <w:t>http://betterevaluation.org/plan/approach/outcome_harvesting</w:t>
                        </w:r>
                      </w:hyperlink>
                      <w:r>
                        <w:t>.</w:t>
                      </w:r>
                    </w:p>
                  </w:txbxContent>
                </v:textbox>
              </v:shape>
            </w:pict>
          </mc:Fallback>
        </mc:AlternateContent>
      </w:r>
      <w:r>
        <w:rPr>
          <w:b/>
          <w:color w:val="57825E"/>
          <w:szCs w:val="20"/>
        </w:rPr>
        <w:t>Mais informações</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7" w:name="_Toc493151905"/>
      <w:bookmarkStart w:id="138" w:name="_Toc501382136"/>
    </w:p>
    <w:p w:rsidR="00E05D08" w:rsidRPr="00F5230D" w:rsidRDefault="00E05D08" w:rsidP="0025413B">
      <w:pPr>
        <w:pStyle w:val="HHeading1"/>
        <w:tabs>
          <w:tab w:val="clear" w:pos="567"/>
        </w:tabs>
      </w:pPr>
      <w:bookmarkStart w:id="139" w:name="_Toc508372670"/>
      <w:r>
        <w:lastRenderedPageBreak/>
        <w:t>ANEXOS</w:t>
      </w:r>
      <w:bookmarkEnd w:id="137"/>
      <w:bookmarkEnd w:id="138"/>
      <w:bookmarkEnd w:id="139"/>
    </w:p>
    <w:p w:rsidR="00E05D08" w:rsidRPr="009414CC" w:rsidRDefault="00E05D08" w:rsidP="0025413B">
      <w:pPr>
        <w:pStyle w:val="HHeading2"/>
        <w:numPr>
          <w:ilvl w:val="1"/>
          <w:numId w:val="119"/>
        </w:numPr>
        <w:ind w:left="567" w:hanging="567"/>
      </w:pPr>
      <w:bookmarkStart w:id="140" w:name="_Toc476063939"/>
      <w:bookmarkStart w:id="141" w:name="_Toc476064206"/>
      <w:bookmarkStart w:id="142" w:name="_Toc476064501"/>
      <w:bookmarkStart w:id="143" w:name="_Toc476064561"/>
      <w:bookmarkStart w:id="144" w:name="_Toc493151906"/>
      <w:bookmarkStart w:id="145" w:name="_Toc501382137"/>
      <w:bookmarkStart w:id="146" w:name="_Toc508372671"/>
      <w:bookmarkEnd w:id="140"/>
      <w:bookmarkEnd w:id="141"/>
      <w:bookmarkEnd w:id="142"/>
      <w:bookmarkEnd w:id="143"/>
      <w:r>
        <w:t>Glossário</w:t>
      </w:r>
      <w:bookmarkEnd w:id="144"/>
      <w:bookmarkEnd w:id="145"/>
      <w:bookmarkEnd w:id="146"/>
    </w:p>
    <w:p w:rsidR="0025413B" w:rsidRDefault="00A90DF2" w:rsidP="0025413B">
      <w:pPr>
        <w:rPr>
          <w:rFonts w:eastAsia="Arial" w:cs="Arial"/>
          <w:b/>
          <w:color w:val="57825E"/>
          <w:szCs w:val="20"/>
        </w:rPr>
      </w:pPr>
      <w:r>
        <w:rPr>
          <w:b/>
          <w:color w:val="57825E"/>
          <w:szCs w:val="20"/>
        </w:rPr>
        <w:t xml:space="preserve">Capacidade de inovação </w:t>
      </w:r>
    </w:p>
    <w:p w:rsidR="00A90DF2" w:rsidRPr="006D2503" w:rsidRDefault="00A90DF2" w:rsidP="00A90DF2">
      <w:pPr>
        <w:rPr>
          <w:rFonts w:cs="Arial"/>
          <w:szCs w:val="20"/>
        </w:rPr>
      </w:pPr>
      <w:r w:rsidRPr="006D2503">
        <w:rPr>
          <w:szCs w:val="20"/>
        </w:rPr>
        <w:t>«A capacidade contínua para combinar e utilizar diferentes tipos de conhecimentos».</w:t>
      </w:r>
    </w:p>
    <w:p w:rsidR="00A90DF2" w:rsidRPr="00D5702B" w:rsidRDefault="00A90DF2" w:rsidP="00A90DF2">
      <w:pPr>
        <w:rPr>
          <w:rFonts w:eastAsia="Times New Roman" w:cs="Arial"/>
          <w:i/>
          <w:color w:val="404040" w:themeColor="background1" w:themeShade="40"/>
          <w:sz w:val="16"/>
          <w:szCs w:val="16"/>
        </w:rPr>
      </w:pPr>
      <w:r w:rsidRPr="007934A9">
        <w:rPr>
          <w:i/>
          <w:color w:val="404040" w:themeColor="background1" w:themeShade="40"/>
          <w:sz w:val="16"/>
          <w:szCs w:val="16"/>
          <w:u w:val="single"/>
        </w:rPr>
        <w:t>Referência</w:t>
      </w:r>
      <w:r>
        <w:rPr>
          <w:i/>
          <w:color w:val="404040" w:themeColor="background1" w:themeShade="40"/>
          <w:sz w:val="16"/>
          <w:szCs w:val="16"/>
        </w:rPr>
        <w:t>: Chuluunbaatar, D. and LeGrand, S., 2015. Enabling the capacity to innovate with a system-wide assessment process (Possibilitar a capacidade de inovação com um processo de avaliação abrangente de todo o sistema). Occasional Papers in Innovation in Family Farming (Documentos ocasionais sobre inovação na agricultura familiar). FAO, Roma.</w:t>
      </w:r>
      <w:r w:rsidR="007934A9">
        <w:rPr>
          <w:i/>
          <w:color w:val="404040" w:themeColor="background1" w:themeShade="40"/>
          <w:sz w:val="16"/>
          <w:szCs w:val="16"/>
        </w:rPr>
        <w:tab/>
      </w:r>
      <w:r>
        <w:rPr>
          <w:i/>
          <w:color w:val="404040" w:themeColor="background1" w:themeShade="40"/>
          <w:sz w:val="16"/>
          <w:szCs w:val="16"/>
        </w:rPr>
        <w:t xml:space="preserve"> </w:t>
      </w:r>
      <w:r>
        <w:rPr>
          <w:rStyle w:val="Hyperlink"/>
          <w:i/>
          <w:szCs w:val="16"/>
        </w:rPr>
        <w:t>http://www.fao.org/3/a-i5097e.pdf</w:t>
      </w:r>
      <w:r>
        <w:rPr>
          <w:color w:val="404040" w:themeColor="background1" w:themeShade="40"/>
          <w:szCs w:val="20"/>
        </w:rPr>
        <w:t xml:space="preserve"> </w:t>
      </w:r>
    </w:p>
    <w:p w:rsidR="0025413B" w:rsidRPr="009125CD" w:rsidRDefault="00A90DF2" w:rsidP="0025413B">
      <w:pPr>
        <w:rPr>
          <w:rFonts w:eastAsia="Arial" w:cs="Arial"/>
          <w:b/>
          <w:color w:val="57825E"/>
          <w:szCs w:val="20"/>
        </w:rPr>
      </w:pPr>
      <w:r>
        <w:rPr>
          <w:b/>
          <w:color w:val="57825E"/>
          <w:szCs w:val="20"/>
        </w:rPr>
        <w:t xml:space="preserve">Grupos operacionais </w:t>
      </w:r>
    </w:p>
    <w:p w:rsidR="00A90DF2" w:rsidRDefault="00A90DF2" w:rsidP="00A90DF2">
      <w:pPr>
        <w:rPr>
          <w:rFonts w:cs="Arial"/>
          <w:color w:val="404040" w:themeColor="background1" w:themeShade="40"/>
          <w:szCs w:val="20"/>
        </w:rPr>
      </w:pPr>
      <w:r>
        <w:rPr>
          <w:color w:val="404040" w:themeColor="background1" w:themeShade="40"/>
          <w:szCs w:val="20"/>
        </w:rPr>
        <w:t>Grupos de pessoas (tais como agricultores, investigadores, conselheiros, etc.) que trabalham em conjunto num projeto de inovação prático com objetivos concretos.</w:t>
      </w:r>
    </w:p>
    <w:p w:rsidR="00A90DF2" w:rsidRDefault="00A90DF2" w:rsidP="00A90DF2">
      <w:pPr>
        <w:rPr>
          <w:i/>
          <w:color w:val="404040" w:themeColor="background1" w:themeShade="40"/>
          <w:sz w:val="16"/>
          <w:szCs w:val="16"/>
        </w:rPr>
      </w:pPr>
      <w:r w:rsidRPr="007934A9">
        <w:rPr>
          <w:i/>
          <w:color w:val="404040" w:themeColor="background1" w:themeShade="40"/>
          <w:sz w:val="16"/>
          <w:szCs w:val="16"/>
          <w:u w:val="single"/>
        </w:rPr>
        <w:t>Referência</w:t>
      </w:r>
      <w:r>
        <w:rPr>
          <w:i/>
          <w:color w:val="404040" w:themeColor="background1" w:themeShade="40"/>
          <w:sz w:val="16"/>
          <w:szCs w:val="16"/>
        </w:rPr>
        <w:t>: EIP-AGRI brochure on innovation support services (Brochura da PEI-AGRI sobre serviços de apoio à inovação):</w:t>
      </w:r>
      <w:r w:rsidR="007934A9">
        <w:rPr>
          <w:i/>
          <w:color w:val="404040" w:themeColor="background1" w:themeShade="40"/>
          <w:sz w:val="16"/>
          <w:szCs w:val="16"/>
        </w:rPr>
        <w:tab/>
      </w:r>
      <w:r w:rsidR="007934A9">
        <w:rPr>
          <w:i/>
          <w:color w:val="404040" w:themeColor="background1" w:themeShade="40"/>
          <w:sz w:val="16"/>
          <w:szCs w:val="16"/>
        </w:rPr>
        <w:br/>
      </w:r>
      <w:hyperlink r:id="rId128" w:history="1">
        <w:r>
          <w:rPr>
            <w:rStyle w:val="Hyperlink"/>
            <w:i/>
            <w:szCs w:val="16"/>
          </w:rPr>
          <w:t>https://ec.europa.eu/eip/agriculture/en/content/innovation-support-services</w:t>
        </w:r>
      </w:hyperlink>
    </w:p>
    <w:p w:rsidR="0025413B" w:rsidRDefault="00A90DF2" w:rsidP="0025413B">
      <w:pPr>
        <w:rPr>
          <w:rFonts w:eastAsia="Arial" w:cs="Arial"/>
          <w:b/>
          <w:color w:val="57825E"/>
          <w:szCs w:val="20"/>
        </w:rPr>
      </w:pPr>
      <w:r>
        <w:rPr>
          <w:b/>
          <w:color w:val="57825E"/>
          <w:szCs w:val="20"/>
        </w:rPr>
        <w:t xml:space="preserve">Inovação interativa </w:t>
      </w:r>
    </w:p>
    <w:p w:rsidR="00A90DF2" w:rsidRDefault="00A90DF2" w:rsidP="00A90DF2">
      <w:pPr>
        <w:rPr>
          <w:rFonts w:cs="Arial"/>
          <w:color w:val="404040" w:themeColor="background1" w:themeShade="40"/>
          <w:szCs w:val="20"/>
        </w:rPr>
      </w:pPr>
      <w:r>
        <w:rPr>
          <w:color w:val="404040" w:themeColor="background1" w:themeShade="40"/>
          <w:szCs w:val="20"/>
        </w:rPr>
        <w:t>Na inovação interativa (do sistema) os elementos de base para inovações deverão provir da ciência, mas também da prática e de intermediários, incluindo agricultores, serviços de aconselhamento, ONG, investigadores, etc., como agentes num processo de caráter ascendente. A inovação interativa inclui os conhecimentos existentes (por vezes tácitos) que nem sempre são puramente científicos.</w:t>
      </w:r>
    </w:p>
    <w:p w:rsidR="0025413B" w:rsidRPr="00A05F6E" w:rsidRDefault="00A90DF2" w:rsidP="00A90DF2">
      <w:pPr>
        <w:rPr>
          <w:rFonts w:eastAsia="Times New Roman"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xml:space="preserve">: Guidelines on programming for innovation and the implementation of the EIP for agricultural productivity and sustainability (Orientações em matéria de programação para a inovação e a execução da PEI para a produtividade e sustentabilidade agrícolas): </w:t>
      </w:r>
      <w:hyperlink r:id="rId129" w:history="1">
        <w:r>
          <w:rPr>
            <w:rStyle w:val="Hyperlink"/>
            <w:i/>
            <w:szCs w:val="16"/>
          </w:rPr>
          <w:t>http://ec.europa.eu/eip/agriculture/sites/agri-eip/files/eip-guidelines-july-2014_en.pdf</w:t>
        </w:r>
      </w:hyperlink>
      <w:r>
        <w:t>.</w:t>
      </w:r>
    </w:p>
    <w:p w:rsidR="0025413B" w:rsidRDefault="00E76A0C" w:rsidP="000E0FE4">
      <w:pPr>
        <w:jc w:val="left"/>
        <w:rPr>
          <w:rFonts w:eastAsia="Arial" w:cs="Arial"/>
          <w:b/>
          <w:color w:val="57825E"/>
          <w:szCs w:val="20"/>
        </w:rPr>
      </w:pPr>
      <w:r>
        <w:rPr>
          <w:b/>
          <w:color w:val="57825E"/>
          <w:szCs w:val="20"/>
        </w:rPr>
        <w:t xml:space="preserve">Inovação Social </w:t>
      </w:r>
    </w:p>
    <w:p w:rsidR="00E76A0C" w:rsidRDefault="00E76A0C" w:rsidP="00E76A0C">
      <w:pPr>
        <w:rPr>
          <w:rFonts w:cs="Arial"/>
          <w:color w:val="404040" w:themeColor="background1" w:themeShade="40"/>
          <w:szCs w:val="20"/>
        </w:rPr>
      </w:pPr>
      <w:r>
        <w:rPr>
          <w:color w:val="404040" w:themeColor="background1" w:themeShade="40"/>
          <w:szCs w:val="20"/>
        </w:rPr>
        <w:t>A inovação social pode ser definida como o desenvolvimento e a execução de novas ideias (produtos, serviços e modelos) para satisfazer as necessidades sociais e criar novas relações sociais ou colaborações.</w:t>
      </w:r>
    </w:p>
    <w:p w:rsidR="00E76A0C" w:rsidRPr="00D5702B" w:rsidRDefault="00E76A0C" w:rsidP="00E76A0C">
      <w:pPr>
        <w:rPr>
          <w:rFonts w:eastAsia="Times New Roman" w:cs="Arial"/>
          <w:i/>
          <w:szCs w:val="20"/>
        </w:rPr>
      </w:pPr>
      <w:r w:rsidRPr="007934A9">
        <w:rPr>
          <w:i/>
          <w:color w:val="404040" w:themeColor="background1" w:themeShade="40"/>
          <w:sz w:val="16"/>
          <w:szCs w:val="16"/>
          <w:u w:val="single"/>
        </w:rPr>
        <w:t>Referência</w:t>
      </w:r>
      <w:r>
        <w:rPr>
          <w:i/>
          <w:color w:val="404040" w:themeColor="background1" w:themeShade="40"/>
          <w:sz w:val="16"/>
          <w:szCs w:val="16"/>
        </w:rPr>
        <w:t>: DG Política Regional e Urbana, DG Emprego, Assuntos Sociais e Inclusão, DG Agricultura e Desenvolvimento Rural, etc. (2013), Guide to Social Innovation (Guia para a Inovação Social).</w:t>
      </w:r>
      <w:r w:rsidRPr="00D5702B">
        <w:rPr>
          <w:rFonts w:eastAsia="Times New Roman" w:cs="Arial"/>
          <w:i/>
          <w:szCs w:val="20"/>
        </w:rPr>
        <w:t xml:space="preserve"> </w:t>
      </w:r>
    </w:p>
    <w:p w:rsidR="0051213B" w:rsidRDefault="0051213B" w:rsidP="0025413B">
      <w:pPr>
        <w:rPr>
          <w:b/>
          <w:color w:val="57825E"/>
          <w:szCs w:val="20"/>
        </w:rPr>
      </w:pPr>
    </w:p>
    <w:p w:rsidR="0025413B" w:rsidRPr="009125CD" w:rsidRDefault="00756091" w:rsidP="0025413B">
      <w:pPr>
        <w:rPr>
          <w:rFonts w:eastAsia="Arial" w:cs="Arial"/>
          <w:b/>
          <w:color w:val="57825E"/>
          <w:szCs w:val="20"/>
        </w:rPr>
      </w:pPr>
      <w:r>
        <w:rPr>
          <w:b/>
          <w:color w:val="57825E"/>
          <w:szCs w:val="20"/>
        </w:rPr>
        <w:t xml:space="preserve">Intercâmbios temáticos e analíticos </w:t>
      </w:r>
    </w:p>
    <w:p w:rsidR="00756091" w:rsidRDefault="00756091" w:rsidP="00756091">
      <w:pPr>
        <w:rPr>
          <w:rFonts w:cs="Arial"/>
          <w:color w:val="404040" w:themeColor="background1" w:themeShade="40"/>
          <w:szCs w:val="20"/>
        </w:rPr>
      </w:pPr>
      <w:r>
        <w:rPr>
          <w:color w:val="404040" w:themeColor="background1" w:themeShade="40"/>
          <w:szCs w:val="20"/>
        </w:rPr>
        <w:t>Os intercâmbios podem ser promovidos pelas RRN de diferentes formas. A forma mais comum de intercâmbios temáticos desenvolvida pelas RRN foi os Grupos de Trabalho Temáticos (GTT) permanentes ou ad hoc. Os GTT da RRN congregam diversas partes interessadas para debater, analisar e partilhar informações sobre temas comuns, muitas vezes dando origem a recomendações relacionadas com a programação e a execução do PDR.</w:t>
      </w:r>
    </w:p>
    <w:p w:rsidR="00756091" w:rsidRPr="005E61D0" w:rsidRDefault="00756091" w:rsidP="00756091">
      <w:pPr>
        <w:rPr>
          <w:rFonts w:cs="Arial"/>
          <w:i/>
          <w:color w:val="404040" w:themeColor="background1" w:themeShade="40"/>
          <w:sz w:val="16"/>
          <w:szCs w:val="16"/>
        </w:rPr>
      </w:pPr>
      <w:r w:rsidRPr="007934A9">
        <w:rPr>
          <w:i/>
          <w:color w:val="404040" w:themeColor="background1" w:themeShade="40"/>
          <w:sz w:val="16"/>
          <w:szCs w:val="16"/>
          <w:u w:val="single"/>
        </w:rPr>
        <w:t>Referência</w:t>
      </w:r>
      <w:r>
        <w:rPr>
          <w:i/>
          <w:color w:val="404040" w:themeColor="background1" w:themeShade="40"/>
          <w:sz w:val="16"/>
          <w:szCs w:val="16"/>
        </w:rPr>
        <w:t xml:space="preserve">: NRN guidebook (Guia das RRN): </w:t>
      </w:r>
      <w:hyperlink r:id="rId130" w:history="1">
        <w:r>
          <w:rPr>
            <w:rStyle w:val="Hyperlink"/>
            <w:i/>
            <w:szCs w:val="16"/>
          </w:rPr>
          <w:t>http://enrd.ec.europa.eu/enrd-static/app_templates/enrd_assets/pdf/guidebook/nrn_handbook_webversion.pdf</w:t>
        </w:r>
      </w:hyperlink>
      <w:r>
        <w:rPr>
          <w:rStyle w:val="Hyperlink"/>
          <w:i/>
          <w:szCs w:val="16"/>
        </w:rPr>
        <w:t xml:space="preserve"> </w:t>
      </w:r>
    </w:p>
    <w:p w:rsidR="0025413B" w:rsidRPr="009125CD" w:rsidRDefault="0051213B" w:rsidP="0025413B">
      <w:pPr>
        <w:rPr>
          <w:rFonts w:eastAsia="Arial" w:cs="Arial"/>
          <w:b/>
          <w:color w:val="57825E"/>
          <w:szCs w:val="20"/>
        </w:rPr>
      </w:pPr>
      <w:r>
        <w:rPr>
          <w:b/>
          <w:color w:val="57825E"/>
          <w:szCs w:val="20"/>
        </w:rPr>
        <w:t xml:space="preserve">Parceria Europeia de Inovação </w:t>
      </w:r>
    </w:p>
    <w:p w:rsidR="00266532" w:rsidRDefault="00266532" w:rsidP="00266532">
      <w:pPr>
        <w:rPr>
          <w:rFonts w:cs="Arial"/>
          <w:color w:val="404040" w:themeColor="background1" w:themeShade="40"/>
          <w:szCs w:val="20"/>
        </w:rPr>
      </w:pPr>
      <w:r>
        <w:rPr>
          <w:color w:val="404040" w:themeColor="background1" w:themeShade="40"/>
          <w:szCs w:val="20"/>
        </w:rPr>
        <w:t>No âmbito da iniciativa emblemática «União da Inovação», trata-se de uma abordagem à investigação e à inovação da UE. É motivada pelo desafio, incide em toda a cadeia de investigação e inovação, e otimiza, simplifica e coordena melhor os instrumentos e iniciativas existentes.</w:t>
      </w:r>
    </w:p>
    <w:p w:rsidR="0051213B" w:rsidRPr="00A05F6E" w:rsidRDefault="00266532" w:rsidP="00266532">
      <w:pPr>
        <w:rPr>
          <w:rFonts w:eastAsia="Arial"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xml:space="preserve">: Comunicação da Comissão ao Parlamento Europeu, ao Conselho, ao Comité Económico e Social Europeu e ao Comité das Regiões «Europa 2020». </w:t>
      </w:r>
      <w:r w:rsidRPr="00C02906">
        <w:rPr>
          <w:i/>
          <w:color w:val="404040" w:themeColor="background1" w:themeShade="40"/>
          <w:sz w:val="16"/>
          <w:szCs w:val="16"/>
        </w:rPr>
        <w:t>Iniciativa emblemática «União da inovação» (2010)</w:t>
      </w:r>
      <w:r>
        <w:t xml:space="preserve"> </w:t>
      </w:r>
      <w:hyperlink r:id="rId131" w:history="1">
        <w:r>
          <w:rPr>
            <w:rStyle w:val="Hyperlink"/>
            <w:i/>
            <w:szCs w:val="16"/>
          </w:rPr>
          <w:t>https://ec.europa.eu/research/innovation-union/pdf/innovation-union-communication_en.pdf</w:t>
        </w:r>
      </w:hyperlink>
    </w:p>
    <w:p w:rsidR="0025413B" w:rsidRDefault="0051213B" w:rsidP="0025413B">
      <w:pPr>
        <w:rPr>
          <w:rFonts w:eastAsia="Arial" w:cs="Arial"/>
          <w:b/>
          <w:color w:val="57825E"/>
          <w:szCs w:val="20"/>
        </w:rPr>
      </w:pPr>
      <w:r>
        <w:rPr>
          <w:b/>
          <w:color w:val="57825E"/>
          <w:szCs w:val="20"/>
        </w:rPr>
        <w:t>Parceria Europeia de Inovação «Produtividade e Sustentabilidade Agrícola» (PEI-AGRI)</w:t>
      </w:r>
    </w:p>
    <w:p w:rsidR="00266532" w:rsidRPr="006D2503" w:rsidRDefault="00266532" w:rsidP="00266532">
      <w:pPr>
        <w:rPr>
          <w:rFonts w:cs="Arial"/>
          <w:sz w:val="18"/>
          <w:szCs w:val="18"/>
        </w:rPr>
      </w:pPr>
      <w:r w:rsidRPr="006D2503">
        <w:rPr>
          <w:sz w:val="18"/>
          <w:szCs w:val="18"/>
        </w:rPr>
        <w:t>Lançada pela Comissão Europeia em 2012, a PEI AGRI é a Parceria Europeia de Inovação que incide sobre os setores da agricultura e da silvicultura. A PEI AGRI reúne agentes de inovação e cria sinergias entre as políticas existentes. O seu objetivo global consiste em fomentar a competitividade e a sustentabilidade nestes setores, contribuindo, assim, para: garantir um abastecimento seguro e estável de alimentos para consumo humano e animal e de biomateriais, bem como a gestão sustentável dos recursos naturais essenciais de que a agricultura e a silvicultura dependem, trabalhando em harmonia com o ambiente.</w:t>
      </w:r>
    </w:p>
    <w:p w:rsidR="00266532" w:rsidRPr="00D5702B" w:rsidRDefault="00266532" w:rsidP="00266532">
      <w:pPr>
        <w:spacing w:after="120" w:line="280" w:lineRule="atLeast"/>
        <w:jc w:val="left"/>
        <w:rPr>
          <w:rFonts w:cs="Arial"/>
          <w:i/>
          <w:color w:val="404040" w:themeColor="background1" w:themeShade="40"/>
          <w:sz w:val="16"/>
          <w:szCs w:val="16"/>
        </w:rPr>
      </w:pPr>
      <w:r w:rsidRPr="003A0643">
        <w:rPr>
          <w:i/>
          <w:color w:val="404040" w:themeColor="background1" w:themeShade="40"/>
          <w:sz w:val="16"/>
          <w:szCs w:val="16"/>
          <w:u w:val="single"/>
        </w:rPr>
        <w:t>Referência</w:t>
      </w:r>
      <w:r>
        <w:rPr>
          <w:i/>
          <w:color w:val="404040" w:themeColor="background1" w:themeShade="40"/>
          <w:sz w:val="16"/>
          <w:szCs w:val="16"/>
        </w:rPr>
        <w:t xml:space="preserve">: </w:t>
      </w:r>
      <w:r>
        <w:rPr>
          <w:i/>
          <w:sz w:val="16"/>
          <w:szCs w:val="16"/>
        </w:rPr>
        <w:t xml:space="preserve">Evaluation study of the implementation of the European Innovation Partnership for Agricultural Productivity and Sustainability (Estudo de avaliação da execução da parceria europeia de inovação para a produtividade e sustentabilidade agrícolas) </w:t>
      </w:r>
      <w:r w:rsidRPr="00D5702B">
        <w:rPr>
          <w:rFonts w:cs="Arial"/>
          <w:i/>
          <w:color w:val="F07E31"/>
          <w:sz w:val="16"/>
          <w:szCs w:val="16"/>
          <w:u w:val="single"/>
          <w:lang w:eastAsia="fr-FR"/>
        </w:rPr>
        <w:t>https://ec.europa.eu/agriculture/external-studies/2016-eip_en</w:t>
      </w:r>
    </w:p>
    <w:p w:rsidR="00266532" w:rsidRPr="009125CD" w:rsidRDefault="00266532" w:rsidP="00266532">
      <w:pPr>
        <w:rPr>
          <w:rFonts w:cs="Arial"/>
          <w:color w:val="404040" w:themeColor="background1" w:themeShade="40"/>
          <w:szCs w:val="20"/>
        </w:rPr>
      </w:pPr>
      <w:r w:rsidRPr="006D2503">
        <w:rPr>
          <w:sz w:val="16"/>
          <w:szCs w:val="16"/>
        </w:rPr>
        <w:lastRenderedPageBreak/>
        <w:t>Comunicação da Comissão ao Parlamento Europeu e ao Conselho relativa à parceria europeia de inovação «Produtividade e Sustentabilidade no Setor Agrícola» (2012)</w:t>
      </w:r>
      <w:r>
        <w:t xml:space="preserve"> </w:t>
      </w:r>
      <w:hyperlink r:id="rId132" w:history="1">
        <w:r>
          <w:rPr>
            <w:rStyle w:val="Hyperlink"/>
            <w:i/>
            <w:szCs w:val="16"/>
          </w:rPr>
          <w:t>https://ec.europa.eu/eip/agriculture/sites/agri-eip/files/communication_on_eip_-_en.pdf</w:t>
        </w:r>
      </w:hyperlink>
      <w:r>
        <w:rPr>
          <w:rStyle w:val="Hyperlink"/>
          <w:i/>
          <w:szCs w:val="16"/>
        </w:rPr>
        <w:t xml:space="preserve"> </w:t>
      </w:r>
    </w:p>
    <w:p w:rsidR="0025413B" w:rsidRPr="009125CD" w:rsidRDefault="0051213B" w:rsidP="0025413B">
      <w:pPr>
        <w:rPr>
          <w:rFonts w:eastAsia="Arial" w:cs="Arial"/>
          <w:b/>
          <w:color w:val="57825E"/>
          <w:szCs w:val="20"/>
        </w:rPr>
      </w:pPr>
      <w:r>
        <w:rPr>
          <w:b/>
          <w:color w:val="57825E"/>
          <w:szCs w:val="20"/>
        </w:rPr>
        <w:t xml:space="preserve">Polo </w:t>
      </w:r>
    </w:p>
    <w:p w:rsidR="0051213B" w:rsidRDefault="0051213B" w:rsidP="0051213B">
      <w:pPr>
        <w:rPr>
          <w:rFonts w:cs="Arial"/>
          <w:color w:val="404040" w:themeColor="background1" w:themeShade="40"/>
          <w:szCs w:val="20"/>
        </w:rPr>
      </w:pPr>
      <w:r>
        <w:rPr>
          <w:color w:val="404040" w:themeColor="background1" w:themeShade="40"/>
          <w:szCs w:val="20"/>
        </w:rPr>
        <w:t>Um agrupamento de empresas independentes, incluindo empresas em fase de arranque (start-ups), pequenas, médias e grandes empresas, bem como organismos consultivos e/ou organismos de investigação – destinado a incentivar a atividade económica/inovadora através da promoção de interações intensivas, partilha de instalações e intercâmbio de conhecimentos e experiências e ainda da contribuição efetiva para a transferência de conhecimento, ligação em rede e divulgação da informação entre as empresas que constituem o polo.</w:t>
      </w:r>
    </w:p>
    <w:p w:rsidR="0051213B" w:rsidRDefault="0051213B" w:rsidP="0051213B">
      <w:pPr>
        <w:rPr>
          <w:rFonts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xml:space="preserve">: Documento de orientação, medida de «Cooperação», novembro de 2014: </w:t>
      </w:r>
      <w:hyperlink r:id="rId133" w:history="1">
        <w:r>
          <w:rPr>
            <w:rStyle w:val="Hyperlink"/>
            <w:i/>
            <w:szCs w:val="16"/>
          </w:rPr>
          <w:t>http://ec.europa.eu/eip/agriculture/sites/agri-eip/files/16_measure_fiche_art_35_co-operation.pdf</w:t>
        </w:r>
      </w:hyperlink>
    </w:p>
    <w:p w:rsidR="0025413B" w:rsidRPr="009125CD" w:rsidRDefault="0051213B" w:rsidP="0025413B">
      <w:pPr>
        <w:rPr>
          <w:rFonts w:eastAsia="Arial" w:cs="Arial"/>
          <w:b/>
          <w:color w:val="57825E"/>
          <w:szCs w:val="20"/>
        </w:rPr>
      </w:pPr>
      <w:r>
        <w:rPr>
          <w:b/>
          <w:color w:val="57825E"/>
          <w:szCs w:val="20"/>
        </w:rPr>
        <w:t xml:space="preserve">Potencial de inovação do PDR </w:t>
      </w:r>
    </w:p>
    <w:p w:rsidR="0051213B" w:rsidRDefault="0051213B" w:rsidP="0051213B">
      <w:pPr>
        <w:rPr>
          <w:rFonts w:cs="Arial"/>
          <w:color w:val="404040" w:themeColor="background1" w:themeShade="40"/>
          <w:szCs w:val="20"/>
        </w:rPr>
      </w:pPr>
      <w:r>
        <w:rPr>
          <w:color w:val="404040" w:themeColor="background1" w:themeShade="40"/>
          <w:szCs w:val="20"/>
        </w:rPr>
        <w:t xml:space="preserve">O potencial de inovação do PDR é a medida em que a abordagem específica do PDR concebida para a inovação pode fomentar a inovação e realizar os objetivos em termos de política nas zonas rurais dentro de um determinado sistema ou contexto de inovação. </w:t>
      </w:r>
    </w:p>
    <w:p w:rsidR="0051213B" w:rsidRPr="009125CD" w:rsidRDefault="0051213B" w:rsidP="0051213B">
      <w:pPr>
        <w:rPr>
          <w:rFonts w:eastAsia="Arial"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GTT-4.</w:t>
      </w:r>
    </w:p>
    <w:p w:rsidR="0025413B" w:rsidRDefault="0051213B" w:rsidP="0025413B">
      <w:pPr>
        <w:rPr>
          <w:rFonts w:eastAsia="Arial" w:cs="Arial"/>
          <w:b/>
          <w:color w:val="57825E"/>
          <w:szCs w:val="20"/>
        </w:rPr>
      </w:pPr>
      <w:r>
        <w:rPr>
          <w:b/>
          <w:color w:val="57825E"/>
          <w:szCs w:val="20"/>
        </w:rPr>
        <w:t>Resultado da inovação</w:t>
      </w:r>
    </w:p>
    <w:p w:rsidR="0051213B" w:rsidRPr="006D2503" w:rsidRDefault="0051213B" w:rsidP="0051213B">
      <w:pPr>
        <w:rPr>
          <w:rFonts w:cs="Arial"/>
          <w:color w:val="404040" w:themeColor="background1" w:themeShade="40"/>
          <w:sz w:val="18"/>
          <w:szCs w:val="18"/>
        </w:rPr>
      </w:pPr>
      <w:r w:rsidRPr="006D2503">
        <w:rPr>
          <w:color w:val="404040" w:themeColor="background1" w:themeShade="40"/>
          <w:sz w:val="18"/>
          <w:szCs w:val="18"/>
        </w:rPr>
        <w:t>Os resultados da inovação derivam dos resultados propícios (por exemplo, novas práticas, aumento do rendimento, adoção de práticas agrícolas mais sustentáveis).</w:t>
      </w:r>
    </w:p>
    <w:p w:rsidR="0025413B" w:rsidRPr="00A05F6E" w:rsidRDefault="0051213B" w:rsidP="0051213B">
      <w:pPr>
        <w:jc w:val="left"/>
        <w:rPr>
          <w:rFonts w:eastAsia="Times New Roman"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GTT-4, página 11.</w:t>
      </w:r>
    </w:p>
    <w:p w:rsidR="0025413B" w:rsidRDefault="00A90DF2" w:rsidP="0025413B">
      <w:pPr>
        <w:rPr>
          <w:rFonts w:eastAsia="Arial" w:cs="Arial"/>
          <w:b/>
          <w:color w:val="57825E"/>
          <w:szCs w:val="20"/>
        </w:rPr>
      </w:pPr>
      <w:r>
        <w:rPr>
          <w:b/>
          <w:color w:val="57825E"/>
          <w:szCs w:val="20"/>
        </w:rPr>
        <w:t>Resultado propício</w:t>
      </w:r>
    </w:p>
    <w:p w:rsidR="00A90DF2" w:rsidRDefault="00A90DF2" w:rsidP="00A90DF2">
      <w:pPr>
        <w:rPr>
          <w:rFonts w:cs="Arial"/>
          <w:color w:val="404040" w:themeColor="background1" w:themeShade="40"/>
          <w:szCs w:val="20"/>
        </w:rPr>
      </w:pPr>
      <w:r>
        <w:rPr>
          <w:color w:val="404040" w:themeColor="background1" w:themeShade="40"/>
          <w:szCs w:val="20"/>
        </w:rPr>
        <w:t xml:space="preserve">Resultado associado às três vias de inovação, tais como: 1) identificar e cultivar potenciais ideias inovadoras; 2) o reforço da capacidade de inovação; e 3) criar um contexto propício à </w:t>
      </w:r>
      <w:r>
        <w:rPr>
          <w:color w:val="404040" w:themeColor="background1" w:themeShade="40"/>
          <w:szCs w:val="20"/>
        </w:rPr>
        <w:t>inovação. Este pode ser expresso como alterações à taxa e à qualidade de ideias inovadoras emergentes; alterações na capacidade de inovação; e alterações no ambiente propício.</w:t>
      </w:r>
    </w:p>
    <w:p w:rsidR="0025413B" w:rsidRPr="00A05F6E" w:rsidRDefault="00A90DF2" w:rsidP="00A90DF2">
      <w:pPr>
        <w:rPr>
          <w:rFonts w:eastAsia="Times New Roman"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GTT-4</w:t>
      </w:r>
    </w:p>
    <w:p w:rsidR="0025413B" w:rsidRPr="009125CD" w:rsidRDefault="0051213B" w:rsidP="0025413B">
      <w:pPr>
        <w:rPr>
          <w:rFonts w:eastAsia="Arial" w:cs="Arial"/>
          <w:b/>
          <w:color w:val="57825E"/>
          <w:szCs w:val="20"/>
        </w:rPr>
      </w:pPr>
      <w:r>
        <w:rPr>
          <w:b/>
          <w:color w:val="57825E"/>
          <w:szCs w:val="20"/>
        </w:rPr>
        <w:t xml:space="preserve">Serviços de apoio à inovação </w:t>
      </w:r>
    </w:p>
    <w:p w:rsidR="00266532" w:rsidRPr="006D2503" w:rsidRDefault="00266532" w:rsidP="00266532">
      <w:pPr>
        <w:rPr>
          <w:rFonts w:cs="Arial"/>
          <w:color w:val="404040" w:themeColor="background1" w:themeShade="40"/>
          <w:sz w:val="18"/>
          <w:szCs w:val="18"/>
        </w:rPr>
      </w:pPr>
      <w:r w:rsidRPr="006D2503">
        <w:rPr>
          <w:color w:val="404040" w:themeColor="background1" w:themeShade="40"/>
          <w:sz w:val="18"/>
          <w:szCs w:val="18"/>
        </w:rPr>
        <w:t>Os serviços de apoio à inovação funcionam utilizando modelos adaptados às condições locais e podem representar um papel importante na captação das pessoas adequadas para os projetos, fazendo a ligação dos agricultores e conselheiros com os investigadores e ajudando a identificar o financiamento.</w:t>
      </w:r>
    </w:p>
    <w:p w:rsidR="00266532" w:rsidRDefault="00266532" w:rsidP="00266532">
      <w:pPr>
        <w:rPr>
          <w:i/>
          <w:color w:val="404040" w:themeColor="background1" w:themeShade="40"/>
          <w:sz w:val="16"/>
          <w:szCs w:val="16"/>
        </w:rPr>
      </w:pPr>
      <w:r w:rsidRPr="007934A9">
        <w:rPr>
          <w:i/>
          <w:color w:val="404040" w:themeColor="background1" w:themeShade="40"/>
          <w:sz w:val="16"/>
          <w:szCs w:val="16"/>
          <w:u w:val="single"/>
        </w:rPr>
        <w:t>Referência</w:t>
      </w:r>
      <w:r>
        <w:rPr>
          <w:i/>
          <w:color w:val="404040" w:themeColor="background1" w:themeShade="40"/>
          <w:sz w:val="16"/>
          <w:szCs w:val="16"/>
        </w:rPr>
        <w:t>: EIP-AGRI brochure on innovation support services (Brochura da PEI-AGRI sobre serviços de apoio à inovação):</w:t>
      </w:r>
    </w:p>
    <w:p w:rsidR="00266532" w:rsidRDefault="00B06BF7" w:rsidP="00266532">
      <w:pPr>
        <w:rPr>
          <w:rStyle w:val="Hyperlink"/>
          <w:i/>
          <w:szCs w:val="16"/>
        </w:rPr>
      </w:pPr>
      <w:hyperlink r:id="rId134" w:history="1">
        <w:r w:rsidR="00266532">
          <w:rPr>
            <w:rStyle w:val="Hyperlink"/>
            <w:i/>
            <w:szCs w:val="16"/>
          </w:rPr>
          <w:t>https://ec.europa.eu/eip/agriculture/en/content/innovation-support-services</w:t>
        </w:r>
      </w:hyperlink>
      <w:r w:rsidR="00266532">
        <w:t>.</w:t>
      </w:r>
    </w:p>
    <w:p w:rsidR="0051213B" w:rsidRDefault="0051213B" w:rsidP="0051213B">
      <w:pPr>
        <w:rPr>
          <w:b/>
          <w:color w:val="57825E"/>
          <w:szCs w:val="20"/>
        </w:rPr>
      </w:pPr>
      <w:r>
        <w:rPr>
          <w:b/>
          <w:color w:val="57825E"/>
          <w:szCs w:val="20"/>
        </w:rPr>
        <w:t xml:space="preserve">Sistema de inovação </w:t>
      </w:r>
    </w:p>
    <w:p w:rsidR="0051213B" w:rsidRDefault="0051213B" w:rsidP="0051213B">
      <w:pPr>
        <w:rPr>
          <w:rFonts w:cs="Arial"/>
          <w:color w:val="404040" w:themeColor="background1" w:themeShade="40"/>
          <w:szCs w:val="20"/>
        </w:rPr>
      </w:pPr>
      <w:r>
        <w:rPr>
          <w:color w:val="404040" w:themeColor="background1" w:themeShade="40"/>
          <w:szCs w:val="20"/>
        </w:rPr>
        <w:t>«Os grupos de organizações e de indivíduos envolvidos na produção, divulgação e adaptação, e utilização de conhecimentos de importância socioeconómica, e o contexto institucional que rege a forma como estas interações e processos ocorrem».</w:t>
      </w:r>
    </w:p>
    <w:p w:rsidR="0051213B" w:rsidRPr="00A05F6E" w:rsidRDefault="0051213B" w:rsidP="0051213B">
      <w:pPr>
        <w:rPr>
          <w:rFonts w:eastAsia="Arial" w:cs="Arial"/>
          <w:color w:val="404040" w:themeColor="background1" w:themeShade="40"/>
          <w:szCs w:val="20"/>
        </w:rPr>
      </w:pPr>
      <w:r w:rsidRPr="007934A9">
        <w:rPr>
          <w:i/>
          <w:color w:val="404040" w:themeColor="background1" w:themeShade="40"/>
          <w:sz w:val="16"/>
          <w:szCs w:val="16"/>
          <w:u w:val="single"/>
          <w:lang w:val="en-GB"/>
        </w:rPr>
        <w:t>Referência</w:t>
      </w:r>
      <w:r w:rsidRPr="00A04B6A">
        <w:rPr>
          <w:i/>
          <w:color w:val="404040" w:themeColor="background1" w:themeShade="40"/>
          <w:sz w:val="16"/>
          <w:szCs w:val="16"/>
          <w:lang w:val="en-GB"/>
        </w:rPr>
        <w:t xml:space="preserve">: Hall, A., S. Rasheed, N. Clark, and B. Yoganand. 2003. From measuring impact to learning institutional lessons: an innovation system’s perspective on improving the management of international agricultural research. </w:t>
      </w:r>
      <w:r>
        <w:rPr>
          <w:i/>
          <w:color w:val="404040" w:themeColor="background1" w:themeShade="40"/>
          <w:sz w:val="16"/>
          <w:szCs w:val="16"/>
        </w:rPr>
        <w:t xml:space="preserve">(Da avaliação do impacto às lições de aprendizagem institucionais: uma perspetiva do sistema de inovação sobre a melhoria da gestão internacional de investigação agrícola). Agricultural Systems (Sistemas agrícolas) 78: 213-241 </w:t>
      </w:r>
    </w:p>
    <w:p w:rsidR="0025413B" w:rsidRPr="009125CD" w:rsidRDefault="0051213B" w:rsidP="0025413B">
      <w:pPr>
        <w:rPr>
          <w:rFonts w:eastAsia="Arial" w:cs="Arial"/>
          <w:b/>
          <w:color w:val="57825E"/>
          <w:szCs w:val="20"/>
        </w:rPr>
      </w:pPr>
      <w:r>
        <w:rPr>
          <w:b/>
          <w:color w:val="57825E"/>
          <w:szCs w:val="20"/>
        </w:rPr>
        <w:t>Via de inovação</w:t>
      </w:r>
    </w:p>
    <w:p w:rsidR="0051213B" w:rsidRDefault="0051213B" w:rsidP="0051213B">
      <w:pPr>
        <w:rPr>
          <w:rFonts w:cs="Arial"/>
          <w:color w:val="404040" w:themeColor="background1" w:themeShade="40"/>
          <w:szCs w:val="20"/>
        </w:rPr>
      </w:pPr>
      <w:r>
        <w:rPr>
          <w:color w:val="404040" w:themeColor="background1" w:themeShade="40"/>
          <w:szCs w:val="20"/>
        </w:rPr>
        <w:t>Um processo através do qual as atividades do PDR produzem as realizações, os resultados e os impactos que contribuem para a realização dos objetivos dos PDR, influenciando e sendo influenciado pelo sistema de inovação em que ocorre.</w:t>
      </w:r>
    </w:p>
    <w:p w:rsidR="0025413B" w:rsidRPr="00A05F6E" w:rsidRDefault="0051213B" w:rsidP="0051213B">
      <w:pPr>
        <w:jc w:val="left"/>
        <w:rPr>
          <w:rFonts w:eastAsia="Arial" w:cs="Arial"/>
          <w:color w:val="404040" w:themeColor="background1" w:themeShade="40"/>
          <w:szCs w:val="20"/>
        </w:rPr>
      </w:pPr>
      <w:r w:rsidRPr="007934A9">
        <w:rPr>
          <w:i/>
          <w:color w:val="404040" w:themeColor="background1" w:themeShade="40"/>
          <w:sz w:val="16"/>
          <w:szCs w:val="16"/>
          <w:u w:val="single"/>
        </w:rPr>
        <w:t>Referência</w:t>
      </w:r>
      <w:r>
        <w:rPr>
          <w:i/>
          <w:color w:val="404040" w:themeColor="background1" w:themeShade="40"/>
          <w:sz w:val="16"/>
          <w:szCs w:val="16"/>
        </w:rPr>
        <w:t>: GTT-4, página 5..</w:t>
      </w:r>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A04B6A" w:rsidRDefault="00E05D08" w:rsidP="00E05D08">
      <w:pPr>
        <w:spacing w:before="60" w:after="140" w:line="220" w:lineRule="atLeast"/>
        <w:rPr>
          <w:rFonts w:eastAsia="Times New Roman" w:cs="Times New Roman"/>
          <w:sz w:val="18"/>
          <w:szCs w:val="24"/>
          <w:lang w:eastAsia="de-DE"/>
        </w:rPr>
        <w:sectPr w:rsidR="00E05D08" w:rsidRPr="00A04B6A"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7" w:name="_Toc493151908"/>
      <w:bookmarkStart w:id="148" w:name="_Toc501382138"/>
      <w:bookmarkStart w:id="149" w:name="_Toc508372672"/>
      <w:r>
        <w:lastRenderedPageBreak/>
        <w:t>Identificar o potencial de inovação do PDR: passo a passo</w:t>
      </w:r>
      <w:bookmarkEnd w:id="147"/>
      <w:bookmarkEnd w:id="148"/>
      <w:bookmarkEnd w:id="149"/>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6D2503" w:rsidTr="00E05D08">
        <w:trPr>
          <w:trHeight w:val="294"/>
        </w:trPr>
        <w:tc>
          <w:tcPr>
            <w:tcW w:w="1980" w:type="dxa"/>
            <w:shd w:val="clear" w:color="auto" w:fill="F07E31"/>
          </w:tcPr>
          <w:p w:rsidR="00E05D08" w:rsidRPr="006D2503" w:rsidRDefault="00E05D08" w:rsidP="00E05D08">
            <w:pPr>
              <w:tabs>
                <w:tab w:val="right" w:pos="2885"/>
              </w:tabs>
              <w:spacing w:before="120" w:after="120" w:line="280" w:lineRule="atLeast"/>
              <w:jc w:val="center"/>
              <w:rPr>
                <w:rFonts w:cs="Arial"/>
                <w:b/>
                <w:color w:val="FFFFFF"/>
                <w:sz w:val="15"/>
                <w:szCs w:val="15"/>
              </w:rPr>
            </w:pPr>
            <w:r w:rsidRPr="006D2503">
              <w:rPr>
                <w:b/>
                <w:color w:val="FFFFFF"/>
                <w:sz w:val="15"/>
                <w:szCs w:val="15"/>
              </w:rPr>
              <w:t>Passos</w:t>
            </w:r>
          </w:p>
        </w:tc>
        <w:tc>
          <w:tcPr>
            <w:tcW w:w="3260" w:type="dxa"/>
            <w:shd w:val="clear" w:color="auto" w:fill="F07E31"/>
          </w:tcPr>
          <w:p w:rsidR="00E05D08" w:rsidRPr="006D2503" w:rsidRDefault="00E05D08" w:rsidP="00E05D08">
            <w:pPr>
              <w:spacing w:before="120" w:after="120" w:line="280" w:lineRule="atLeast"/>
              <w:jc w:val="center"/>
              <w:rPr>
                <w:rFonts w:cs="Arial"/>
                <w:b/>
                <w:color w:val="FFFFFF"/>
                <w:sz w:val="15"/>
                <w:szCs w:val="15"/>
              </w:rPr>
            </w:pPr>
            <w:r w:rsidRPr="006D2503">
              <w:rPr>
                <w:b/>
                <w:color w:val="FFFFFF"/>
                <w:sz w:val="15"/>
                <w:szCs w:val="15"/>
              </w:rPr>
              <w:t xml:space="preserve">Questão fundamental a ser respondida </w:t>
            </w:r>
          </w:p>
        </w:tc>
        <w:tc>
          <w:tcPr>
            <w:tcW w:w="2268" w:type="dxa"/>
            <w:shd w:val="clear" w:color="auto" w:fill="F07E31"/>
          </w:tcPr>
          <w:p w:rsidR="00E05D08" w:rsidRPr="006D2503" w:rsidRDefault="00E05D08" w:rsidP="00E05D08">
            <w:pPr>
              <w:spacing w:before="120" w:after="120" w:line="280" w:lineRule="atLeast"/>
              <w:jc w:val="center"/>
              <w:rPr>
                <w:rFonts w:cs="Arial"/>
                <w:b/>
                <w:color w:val="FFFFFF"/>
                <w:sz w:val="15"/>
                <w:szCs w:val="15"/>
              </w:rPr>
            </w:pPr>
            <w:r w:rsidRPr="006D2503">
              <w:rPr>
                <w:b/>
                <w:color w:val="FFFFFF"/>
                <w:sz w:val="15"/>
                <w:szCs w:val="15"/>
              </w:rPr>
              <w:t>Em que ponto no PDR?</w:t>
            </w:r>
          </w:p>
        </w:tc>
        <w:tc>
          <w:tcPr>
            <w:tcW w:w="2693" w:type="dxa"/>
            <w:shd w:val="clear" w:color="auto" w:fill="F07E31"/>
          </w:tcPr>
          <w:p w:rsidR="00E05D08" w:rsidRPr="006D2503" w:rsidRDefault="00E05D08" w:rsidP="00E05D08">
            <w:pPr>
              <w:spacing w:before="120" w:after="120" w:line="280" w:lineRule="atLeast"/>
              <w:jc w:val="center"/>
              <w:rPr>
                <w:rFonts w:cs="Arial"/>
                <w:b/>
                <w:color w:val="FFFFFF"/>
                <w:sz w:val="15"/>
                <w:szCs w:val="15"/>
              </w:rPr>
            </w:pPr>
            <w:r w:rsidRPr="006D2503">
              <w:rPr>
                <w:b/>
                <w:color w:val="FFFFFF"/>
                <w:sz w:val="15"/>
                <w:szCs w:val="15"/>
              </w:rPr>
              <w:t>Exemplos</w:t>
            </w:r>
          </w:p>
        </w:tc>
        <w:tc>
          <w:tcPr>
            <w:tcW w:w="2268" w:type="dxa"/>
            <w:shd w:val="clear" w:color="auto" w:fill="F07E31"/>
          </w:tcPr>
          <w:p w:rsidR="00E05D08" w:rsidRPr="006D2503" w:rsidRDefault="00E05D08" w:rsidP="00E05D08">
            <w:pPr>
              <w:spacing w:before="120" w:after="120" w:line="280" w:lineRule="atLeast"/>
              <w:jc w:val="center"/>
              <w:rPr>
                <w:rFonts w:cs="Arial"/>
                <w:b/>
                <w:color w:val="FFFFFF"/>
                <w:sz w:val="15"/>
                <w:szCs w:val="15"/>
              </w:rPr>
            </w:pPr>
            <w:r w:rsidRPr="006D2503">
              <w:rPr>
                <w:b/>
                <w:color w:val="FFFFFF"/>
                <w:sz w:val="15"/>
                <w:szCs w:val="15"/>
              </w:rPr>
              <w:t>Riscos associados ao passo</w:t>
            </w:r>
          </w:p>
        </w:tc>
        <w:tc>
          <w:tcPr>
            <w:tcW w:w="2410" w:type="dxa"/>
            <w:shd w:val="clear" w:color="auto" w:fill="F07E31"/>
          </w:tcPr>
          <w:p w:rsidR="00E05D08" w:rsidRPr="006D2503" w:rsidRDefault="00E05D08" w:rsidP="00E05D08">
            <w:pPr>
              <w:spacing w:before="120" w:after="120" w:line="280" w:lineRule="atLeast"/>
              <w:jc w:val="center"/>
              <w:rPr>
                <w:rFonts w:cs="Arial"/>
                <w:b/>
                <w:color w:val="FFFFFF"/>
                <w:sz w:val="15"/>
                <w:szCs w:val="15"/>
              </w:rPr>
            </w:pPr>
            <w:r w:rsidRPr="006D2503">
              <w:rPr>
                <w:b/>
                <w:color w:val="FFFFFF"/>
                <w:sz w:val="15"/>
                <w:szCs w:val="15"/>
              </w:rPr>
              <w:t>Soluções</w:t>
            </w:r>
          </w:p>
        </w:tc>
      </w:tr>
      <w:tr w:rsidR="00E05D08" w:rsidRPr="006D2503" w:rsidTr="00E05D08">
        <w:tc>
          <w:tcPr>
            <w:tcW w:w="1980" w:type="dxa"/>
          </w:tcPr>
          <w:p w:rsidR="00E05D08" w:rsidRPr="006D2503" w:rsidRDefault="00E05D08" w:rsidP="00F31494">
            <w:pPr>
              <w:jc w:val="left"/>
              <w:rPr>
                <w:rFonts w:cs="Arial"/>
                <w:color w:val="F07E31"/>
                <w:sz w:val="15"/>
                <w:szCs w:val="15"/>
              </w:rPr>
            </w:pPr>
            <w:r w:rsidRPr="006D2503">
              <w:rPr>
                <w:color w:val="F07E31"/>
                <w:sz w:val="15"/>
                <w:szCs w:val="15"/>
              </w:rPr>
              <w:t xml:space="preserve">Passo 1: identificar ligações entre necessidades relacionadas com a inovação e a medida/submedida </w:t>
            </w:r>
          </w:p>
        </w:tc>
        <w:tc>
          <w:tcPr>
            <w:tcW w:w="3260" w:type="dxa"/>
          </w:tcPr>
          <w:p w:rsidR="00E05D08" w:rsidRPr="006D2503" w:rsidRDefault="00AA5817" w:rsidP="00F31494">
            <w:pPr>
              <w:spacing w:after="120"/>
              <w:jc w:val="left"/>
              <w:rPr>
                <w:rFonts w:cs="Arial"/>
                <w:sz w:val="15"/>
                <w:szCs w:val="15"/>
              </w:rPr>
            </w:pPr>
            <w:r w:rsidRPr="006D2503">
              <w:rPr>
                <w:sz w:val="15"/>
                <w:szCs w:val="15"/>
              </w:rPr>
              <w:t>Quais são as necessidades relacionadas com a inovação identificadas na avaliação de necessidades relativamente à medida/submedida?</w:t>
            </w:r>
          </w:p>
          <w:p w:rsidR="00E05D08" w:rsidRPr="006D2503" w:rsidRDefault="00E05D08" w:rsidP="00F31494">
            <w:pPr>
              <w:spacing w:after="120"/>
              <w:jc w:val="left"/>
              <w:rPr>
                <w:rFonts w:cs="Arial"/>
                <w:sz w:val="15"/>
                <w:szCs w:val="15"/>
              </w:rPr>
            </w:pPr>
            <w:r w:rsidRPr="006D2503">
              <w:rPr>
                <w:sz w:val="15"/>
                <w:szCs w:val="15"/>
              </w:rPr>
              <w:t>Como está a medida/submedida a abordar estas necessidades, tendo em consideração as três vias?</w:t>
            </w:r>
          </w:p>
        </w:tc>
        <w:tc>
          <w:tcPr>
            <w:tcW w:w="2268" w:type="dxa"/>
          </w:tcPr>
          <w:p w:rsidR="00E05D08" w:rsidRPr="006D2503" w:rsidRDefault="00E05D08" w:rsidP="00F31494">
            <w:pPr>
              <w:jc w:val="left"/>
              <w:rPr>
                <w:rFonts w:cs="Arial"/>
                <w:sz w:val="15"/>
                <w:szCs w:val="15"/>
              </w:rPr>
            </w:pPr>
            <w:r w:rsidRPr="006D2503">
              <w:rPr>
                <w:sz w:val="15"/>
                <w:szCs w:val="15"/>
              </w:rPr>
              <w:t>Secção 4 – Análise SWOT e análise de necessidades</w:t>
            </w:r>
          </w:p>
          <w:p w:rsidR="00E05D08" w:rsidRPr="006D2503" w:rsidRDefault="00E05D08" w:rsidP="00F31494">
            <w:pPr>
              <w:jc w:val="left"/>
              <w:rPr>
                <w:rFonts w:cs="Arial"/>
                <w:sz w:val="15"/>
                <w:szCs w:val="15"/>
              </w:rPr>
            </w:pPr>
            <w:r w:rsidRPr="006D2503">
              <w:rPr>
                <w:sz w:val="15"/>
                <w:szCs w:val="15"/>
              </w:rPr>
              <w:t>Secção 5 – Descrição da estratégia</w:t>
            </w:r>
          </w:p>
          <w:p w:rsidR="00E05D08" w:rsidRPr="006D2503" w:rsidRDefault="00E05D08" w:rsidP="00F31494">
            <w:pPr>
              <w:jc w:val="left"/>
              <w:rPr>
                <w:rFonts w:cs="Arial"/>
                <w:sz w:val="15"/>
                <w:szCs w:val="15"/>
              </w:rPr>
            </w:pPr>
            <w:r w:rsidRPr="006D2503">
              <w:rPr>
                <w:sz w:val="15"/>
                <w:szCs w:val="15"/>
              </w:rPr>
              <w:t>Secção 8 – Descrição das medidas e submedidas</w:t>
            </w:r>
          </w:p>
        </w:tc>
        <w:tc>
          <w:tcPr>
            <w:tcW w:w="2693" w:type="dxa"/>
          </w:tcPr>
          <w:p w:rsidR="00E05D08" w:rsidRPr="006D2503" w:rsidRDefault="00E05D08" w:rsidP="00F31494">
            <w:pPr>
              <w:jc w:val="left"/>
              <w:rPr>
                <w:rFonts w:cs="Arial"/>
                <w:sz w:val="15"/>
                <w:szCs w:val="15"/>
              </w:rPr>
            </w:pPr>
            <w:r w:rsidRPr="006D2503">
              <w:rPr>
                <w:sz w:val="15"/>
                <w:szCs w:val="15"/>
              </w:rPr>
              <w:t>Necessidade de melhorar o sistema I&amp;D+i; necessidade de melhorar os mecanismos de transferência de conhecimentos; necessidade de promover a cultura da inovação entre os agentes no setor agroalimentar.</w:t>
            </w:r>
          </w:p>
        </w:tc>
        <w:tc>
          <w:tcPr>
            <w:tcW w:w="2268" w:type="dxa"/>
          </w:tcPr>
          <w:p w:rsidR="00E05D08" w:rsidRPr="006D2503" w:rsidRDefault="00AA5817" w:rsidP="00963A81">
            <w:pPr>
              <w:jc w:val="left"/>
              <w:rPr>
                <w:rFonts w:cs="Arial"/>
                <w:sz w:val="15"/>
                <w:szCs w:val="15"/>
              </w:rPr>
            </w:pPr>
            <w:r w:rsidRPr="006D2503">
              <w:rPr>
                <w:sz w:val="15"/>
                <w:szCs w:val="15"/>
              </w:rPr>
              <w:t xml:space="preserve">As necessidades relacionadas com a inovação não foram claramente expressas na análise SWOT e na avaliação de necessidades. </w:t>
            </w:r>
          </w:p>
        </w:tc>
        <w:tc>
          <w:tcPr>
            <w:tcW w:w="2410" w:type="dxa"/>
          </w:tcPr>
          <w:p w:rsidR="00E05D08" w:rsidRPr="006D2503" w:rsidRDefault="00E05D08" w:rsidP="00F31494">
            <w:pPr>
              <w:jc w:val="left"/>
              <w:rPr>
                <w:rFonts w:cs="Arial"/>
                <w:sz w:val="15"/>
                <w:szCs w:val="15"/>
              </w:rPr>
            </w:pPr>
            <w:r w:rsidRPr="006D2503">
              <w:rPr>
                <w:sz w:val="15"/>
                <w:szCs w:val="15"/>
              </w:rPr>
              <w:t>Rever a análise SWOT e a avaliação de necessidades do ponto de vista das necessidades relacionadas com a inovação.</w:t>
            </w:r>
          </w:p>
        </w:tc>
      </w:tr>
      <w:tr w:rsidR="00E05D08" w:rsidRPr="006D2503" w:rsidTr="00E05D08">
        <w:tc>
          <w:tcPr>
            <w:tcW w:w="1980" w:type="dxa"/>
          </w:tcPr>
          <w:p w:rsidR="00E05D08" w:rsidRPr="006D2503" w:rsidRDefault="00AA5817" w:rsidP="00F31494">
            <w:pPr>
              <w:spacing w:after="120"/>
              <w:jc w:val="left"/>
              <w:rPr>
                <w:rFonts w:cs="Arial"/>
                <w:color w:val="F07E31"/>
                <w:sz w:val="15"/>
                <w:szCs w:val="15"/>
              </w:rPr>
            </w:pPr>
            <w:r w:rsidRPr="006D2503">
              <w:rPr>
                <w:color w:val="F07E31"/>
                <w:sz w:val="15"/>
                <w:szCs w:val="15"/>
              </w:rPr>
              <w:t>Passo 2: identificar as partes relacionadas com a inovação dos objetivos da medida/submedida</w:t>
            </w:r>
          </w:p>
        </w:tc>
        <w:tc>
          <w:tcPr>
            <w:tcW w:w="3260" w:type="dxa"/>
          </w:tcPr>
          <w:p w:rsidR="00E05D08" w:rsidRPr="006D2503" w:rsidRDefault="00E05D08" w:rsidP="00F31494">
            <w:pPr>
              <w:spacing w:after="120"/>
              <w:jc w:val="left"/>
              <w:rPr>
                <w:rFonts w:cs="Arial"/>
                <w:sz w:val="15"/>
                <w:szCs w:val="15"/>
              </w:rPr>
            </w:pPr>
            <w:r w:rsidRPr="006D2503">
              <w:rPr>
                <w:sz w:val="15"/>
                <w:szCs w:val="15"/>
              </w:rPr>
              <w:t>Até que ponto os objetivos da medida/submedida respondem às necessidades relacionadas com a inovação?</w:t>
            </w:r>
          </w:p>
          <w:p w:rsidR="00E05D08" w:rsidRPr="006D2503" w:rsidRDefault="00E05D08" w:rsidP="00F31494">
            <w:pPr>
              <w:spacing w:after="120"/>
              <w:jc w:val="left"/>
              <w:rPr>
                <w:rFonts w:cs="Arial"/>
                <w:sz w:val="15"/>
                <w:szCs w:val="15"/>
              </w:rPr>
            </w:pPr>
            <w:r w:rsidRPr="006D2503">
              <w:rPr>
                <w:sz w:val="15"/>
                <w:szCs w:val="15"/>
              </w:rPr>
              <w:t>Como está(estão) formulado(s) o(s) objetivo(s) em relação à inovação?</w:t>
            </w:r>
          </w:p>
        </w:tc>
        <w:tc>
          <w:tcPr>
            <w:tcW w:w="2268" w:type="dxa"/>
          </w:tcPr>
          <w:p w:rsidR="00E05D08" w:rsidRPr="006D2503" w:rsidRDefault="00E05D08" w:rsidP="00F31494">
            <w:pPr>
              <w:jc w:val="left"/>
              <w:rPr>
                <w:rFonts w:cs="Arial"/>
                <w:sz w:val="15"/>
                <w:szCs w:val="15"/>
              </w:rPr>
            </w:pPr>
            <w:r w:rsidRPr="006D2503">
              <w:rPr>
                <w:sz w:val="15"/>
                <w:szCs w:val="15"/>
              </w:rPr>
              <w:t>Secção 5 – Descrição da estratégia</w:t>
            </w:r>
          </w:p>
          <w:p w:rsidR="00E05D08" w:rsidRPr="006D2503" w:rsidRDefault="00E05D08" w:rsidP="00F31494">
            <w:pPr>
              <w:jc w:val="left"/>
              <w:rPr>
                <w:rFonts w:cs="Arial"/>
                <w:sz w:val="15"/>
                <w:szCs w:val="15"/>
              </w:rPr>
            </w:pPr>
            <w:r w:rsidRPr="006D2503">
              <w:rPr>
                <w:sz w:val="15"/>
                <w:szCs w:val="15"/>
              </w:rPr>
              <w:t>Secção 8 – Descrição das medidas e submedidas</w:t>
            </w:r>
          </w:p>
        </w:tc>
        <w:tc>
          <w:tcPr>
            <w:tcW w:w="2693" w:type="dxa"/>
          </w:tcPr>
          <w:p w:rsidR="00E05D08" w:rsidRPr="006D2503" w:rsidRDefault="00E05D08" w:rsidP="00F31494">
            <w:pPr>
              <w:jc w:val="left"/>
              <w:rPr>
                <w:rFonts w:cs="Arial"/>
                <w:sz w:val="15"/>
                <w:szCs w:val="15"/>
              </w:rPr>
            </w:pPr>
            <w:r w:rsidRPr="006D2503">
              <w:rPr>
                <w:sz w:val="15"/>
                <w:szCs w:val="15"/>
              </w:rPr>
              <w:t>Promover novas tecnologias nos sistemas de irrigação; introduzir novos conhecimentos no domínio da proteção das culturas e da transformação; melhorar os resultados económicos das empresas rurais através da inovação.</w:t>
            </w:r>
          </w:p>
        </w:tc>
        <w:tc>
          <w:tcPr>
            <w:tcW w:w="2268" w:type="dxa"/>
          </w:tcPr>
          <w:p w:rsidR="00E05D08" w:rsidRPr="006D2503" w:rsidRDefault="00AA5817" w:rsidP="00F31494">
            <w:pPr>
              <w:jc w:val="left"/>
              <w:rPr>
                <w:rFonts w:cs="Arial"/>
                <w:sz w:val="15"/>
                <w:szCs w:val="15"/>
              </w:rPr>
            </w:pPr>
            <w:r w:rsidRPr="006D2503">
              <w:rPr>
                <w:sz w:val="15"/>
                <w:szCs w:val="15"/>
              </w:rPr>
              <w:t>Os objetivos relacionados com a inovação não são evidentes na descrição geral das medidas e submedidas.</w:t>
            </w:r>
          </w:p>
        </w:tc>
        <w:tc>
          <w:tcPr>
            <w:tcW w:w="2410" w:type="dxa"/>
          </w:tcPr>
          <w:p w:rsidR="00E05D08" w:rsidRPr="006D2503" w:rsidRDefault="00E05D08" w:rsidP="00F31494">
            <w:pPr>
              <w:jc w:val="left"/>
              <w:rPr>
                <w:rFonts w:cs="Arial"/>
                <w:sz w:val="15"/>
                <w:szCs w:val="15"/>
              </w:rPr>
            </w:pPr>
            <w:r w:rsidRPr="006D2503">
              <w:rPr>
                <w:sz w:val="15"/>
                <w:szCs w:val="15"/>
              </w:rPr>
              <w:t>Rever todas as submedidas e respetivos objetivos para identificar quaisquer objetivos relacionados com a inovação.</w:t>
            </w:r>
          </w:p>
        </w:tc>
      </w:tr>
      <w:tr w:rsidR="00E05D08" w:rsidRPr="006D2503" w:rsidTr="00E05D08">
        <w:tc>
          <w:tcPr>
            <w:tcW w:w="1980" w:type="dxa"/>
          </w:tcPr>
          <w:p w:rsidR="00E05D08" w:rsidRPr="006D2503" w:rsidRDefault="00AA5817" w:rsidP="00F31494">
            <w:pPr>
              <w:jc w:val="left"/>
              <w:rPr>
                <w:rFonts w:cs="Arial"/>
                <w:color w:val="F07E31"/>
                <w:sz w:val="15"/>
                <w:szCs w:val="15"/>
              </w:rPr>
            </w:pPr>
            <w:r w:rsidRPr="006D2503">
              <w:rPr>
                <w:color w:val="F07E31"/>
                <w:sz w:val="15"/>
                <w:szCs w:val="15"/>
              </w:rPr>
              <w:t>Passo 3: identificar os critérios de seleção da medida/submedida relacionados com a inovação</w:t>
            </w:r>
          </w:p>
        </w:tc>
        <w:tc>
          <w:tcPr>
            <w:tcW w:w="3260" w:type="dxa"/>
          </w:tcPr>
          <w:p w:rsidR="00E05D08" w:rsidRPr="006D2503" w:rsidRDefault="00E05D08" w:rsidP="00F31494">
            <w:pPr>
              <w:spacing w:after="120"/>
              <w:jc w:val="left"/>
              <w:rPr>
                <w:rFonts w:cs="Arial"/>
                <w:sz w:val="15"/>
                <w:szCs w:val="15"/>
              </w:rPr>
            </w:pPr>
            <w:r w:rsidRPr="006D2503">
              <w:rPr>
                <w:sz w:val="15"/>
                <w:szCs w:val="15"/>
              </w:rPr>
              <w:t xml:space="preserve">Até que ponto os critérios de seleção do projeto da medida/submedida promovem o fomento da inovação tendo em conta as três vias? </w:t>
            </w:r>
          </w:p>
          <w:p w:rsidR="00E05D08" w:rsidRPr="006D2503" w:rsidRDefault="00E05D08" w:rsidP="00F31494">
            <w:pPr>
              <w:spacing w:after="120"/>
              <w:jc w:val="left"/>
              <w:rPr>
                <w:rFonts w:cs="Arial"/>
                <w:sz w:val="15"/>
                <w:szCs w:val="15"/>
              </w:rPr>
            </w:pPr>
            <w:r w:rsidRPr="006D2503">
              <w:rPr>
                <w:sz w:val="15"/>
                <w:szCs w:val="15"/>
              </w:rPr>
              <w:t>Que critérios de seleção concretos promovem projetos que fomentam a inovação?</w:t>
            </w:r>
          </w:p>
        </w:tc>
        <w:tc>
          <w:tcPr>
            <w:tcW w:w="2268" w:type="dxa"/>
          </w:tcPr>
          <w:p w:rsidR="00E05D08" w:rsidRPr="006D2503" w:rsidRDefault="00E05D08" w:rsidP="00F31494">
            <w:pPr>
              <w:jc w:val="left"/>
              <w:rPr>
                <w:rFonts w:cs="Arial"/>
                <w:sz w:val="15"/>
                <w:szCs w:val="15"/>
              </w:rPr>
            </w:pPr>
            <w:r w:rsidRPr="006D2503">
              <w:rPr>
                <w:sz w:val="15"/>
                <w:szCs w:val="15"/>
              </w:rPr>
              <w:t>Secção 8 – Descrição das medidas e submedidas</w:t>
            </w:r>
          </w:p>
          <w:p w:rsidR="00E05D08" w:rsidRPr="006D2503" w:rsidRDefault="00E05D08" w:rsidP="00F31494">
            <w:pPr>
              <w:jc w:val="left"/>
              <w:rPr>
                <w:rFonts w:cs="Arial"/>
                <w:sz w:val="15"/>
                <w:szCs w:val="15"/>
              </w:rPr>
            </w:pPr>
            <w:r w:rsidRPr="006D2503">
              <w:rPr>
                <w:sz w:val="15"/>
                <w:szCs w:val="15"/>
              </w:rPr>
              <w:t>Critérios de seleção desenvolvidos durante a execução (fonte: sítio do programa na Internet, a autoridade de gestão)</w:t>
            </w:r>
          </w:p>
        </w:tc>
        <w:tc>
          <w:tcPr>
            <w:tcW w:w="2693" w:type="dxa"/>
          </w:tcPr>
          <w:p w:rsidR="00E05D08" w:rsidRPr="006D2503" w:rsidRDefault="00E05D08" w:rsidP="00F31494">
            <w:pPr>
              <w:jc w:val="left"/>
              <w:rPr>
                <w:rFonts w:cs="Arial"/>
                <w:sz w:val="15"/>
                <w:szCs w:val="15"/>
              </w:rPr>
            </w:pPr>
            <w:r w:rsidRPr="006D2503">
              <w:rPr>
                <w:sz w:val="15"/>
                <w:szCs w:val="15"/>
              </w:rPr>
              <w:t>Priorização de intervenientes com experiência no domínio da inovação; priorização de operações que associam a investigação e a prática; ênfase dada à composição de parcerias (em operações de cooperação).</w:t>
            </w:r>
          </w:p>
        </w:tc>
        <w:tc>
          <w:tcPr>
            <w:tcW w:w="2268" w:type="dxa"/>
          </w:tcPr>
          <w:p w:rsidR="00E05D08" w:rsidRPr="006D2503" w:rsidRDefault="00E05D08" w:rsidP="00F31494">
            <w:pPr>
              <w:jc w:val="left"/>
              <w:rPr>
                <w:rFonts w:cs="Arial"/>
                <w:sz w:val="15"/>
                <w:szCs w:val="15"/>
              </w:rPr>
            </w:pPr>
            <w:r w:rsidRPr="006D2503">
              <w:rPr>
                <w:sz w:val="15"/>
                <w:szCs w:val="15"/>
              </w:rPr>
              <w:t xml:space="preserve">A descrição das medidas não especifica os critérios de seleção de projetos relacionados com a inovação, ou apenas aplica uma formulação geral, como, por exemplo, «os projetos selecionados são inovadores». </w:t>
            </w:r>
          </w:p>
        </w:tc>
        <w:tc>
          <w:tcPr>
            <w:tcW w:w="2410" w:type="dxa"/>
          </w:tcPr>
          <w:p w:rsidR="00E05D08" w:rsidRPr="006D2503" w:rsidRDefault="00E05D08" w:rsidP="00F31494">
            <w:pPr>
              <w:jc w:val="left"/>
              <w:rPr>
                <w:rFonts w:cs="Arial"/>
                <w:sz w:val="15"/>
                <w:szCs w:val="15"/>
              </w:rPr>
            </w:pPr>
            <w:r w:rsidRPr="006D2503">
              <w:rPr>
                <w:sz w:val="15"/>
                <w:szCs w:val="15"/>
              </w:rPr>
              <w:t>Propor critérios operacionais, que especificariam em que condições o projeto é selecionado como inovador.</w:t>
            </w:r>
          </w:p>
        </w:tc>
      </w:tr>
      <w:tr w:rsidR="00E05D08" w:rsidRPr="006D2503" w:rsidTr="00E05D08">
        <w:tc>
          <w:tcPr>
            <w:tcW w:w="1980" w:type="dxa"/>
          </w:tcPr>
          <w:p w:rsidR="00E05D08" w:rsidRPr="006D2503" w:rsidRDefault="00E05D08" w:rsidP="00F31494">
            <w:pPr>
              <w:spacing w:after="120"/>
              <w:jc w:val="left"/>
              <w:rPr>
                <w:rFonts w:cs="Arial"/>
                <w:color w:val="F07E31"/>
                <w:sz w:val="15"/>
                <w:szCs w:val="15"/>
              </w:rPr>
            </w:pPr>
            <w:r w:rsidRPr="006D2503">
              <w:rPr>
                <w:color w:val="F07E31"/>
                <w:sz w:val="15"/>
                <w:szCs w:val="15"/>
              </w:rPr>
              <w:t>Passo 4: identificar as partes interessadas na inovação na descrição da medida/submedida</w:t>
            </w:r>
          </w:p>
        </w:tc>
        <w:tc>
          <w:tcPr>
            <w:tcW w:w="3260" w:type="dxa"/>
          </w:tcPr>
          <w:p w:rsidR="00E05D08" w:rsidRPr="006D2503" w:rsidRDefault="00E05D08" w:rsidP="00F31494">
            <w:pPr>
              <w:spacing w:after="120"/>
              <w:jc w:val="left"/>
              <w:rPr>
                <w:rFonts w:cs="Arial"/>
                <w:sz w:val="15"/>
                <w:szCs w:val="15"/>
              </w:rPr>
            </w:pPr>
            <w:r w:rsidRPr="006D2503">
              <w:rPr>
                <w:sz w:val="15"/>
                <w:szCs w:val="15"/>
              </w:rPr>
              <w:t>Que beneficiários estão previstos para fomentar a inovação através das três vias?</w:t>
            </w:r>
          </w:p>
          <w:p w:rsidR="00E05D08" w:rsidRPr="006D2503" w:rsidRDefault="00E05D08" w:rsidP="00F31494">
            <w:pPr>
              <w:spacing w:after="120"/>
              <w:jc w:val="left"/>
              <w:rPr>
                <w:rFonts w:cs="Arial"/>
                <w:sz w:val="15"/>
                <w:szCs w:val="15"/>
              </w:rPr>
            </w:pPr>
            <w:r w:rsidRPr="006D2503">
              <w:rPr>
                <w:sz w:val="15"/>
                <w:szCs w:val="15"/>
              </w:rPr>
              <w:t>Que outras partes interessadas na inovação estão envolvidas na execução da medida?</w:t>
            </w:r>
          </w:p>
        </w:tc>
        <w:tc>
          <w:tcPr>
            <w:tcW w:w="2268" w:type="dxa"/>
          </w:tcPr>
          <w:p w:rsidR="00E05D08" w:rsidRPr="006D2503" w:rsidRDefault="00E05D08" w:rsidP="00F31494">
            <w:pPr>
              <w:jc w:val="left"/>
              <w:rPr>
                <w:rFonts w:cs="Arial"/>
                <w:sz w:val="15"/>
                <w:szCs w:val="15"/>
              </w:rPr>
            </w:pPr>
            <w:r w:rsidRPr="006D2503">
              <w:rPr>
                <w:sz w:val="15"/>
                <w:szCs w:val="15"/>
              </w:rPr>
              <w:t>Secção 8 – Descrição das medidas e submedidas</w:t>
            </w:r>
          </w:p>
        </w:tc>
        <w:tc>
          <w:tcPr>
            <w:tcW w:w="2693" w:type="dxa"/>
          </w:tcPr>
          <w:p w:rsidR="00E05D08" w:rsidRPr="006D2503" w:rsidRDefault="00E05D08" w:rsidP="00F31494">
            <w:pPr>
              <w:jc w:val="left"/>
              <w:rPr>
                <w:rFonts w:cs="Arial"/>
                <w:sz w:val="15"/>
                <w:szCs w:val="15"/>
              </w:rPr>
            </w:pPr>
            <w:r w:rsidRPr="006D2503">
              <w:rPr>
                <w:sz w:val="15"/>
                <w:szCs w:val="15"/>
              </w:rPr>
              <w:t>Centros de I&amp;D</w:t>
            </w:r>
          </w:p>
          <w:p w:rsidR="00E05D08" w:rsidRPr="006D2503" w:rsidRDefault="00E05D08" w:rsidP="00F31494">
            <w:pPr>
              <w:jc w:val="left"/>
              <w:rPr>
                <w:rFonts w:cs="Arial"/>
                <w:sz w:val="15"/>
                <w:szCs w:val="15"/>
              </w:rPr>
            </w:pPr>
            <w:r w:rsidRPr="006D2503">
              <w:rPr>
                <w:sz w:val="15"/>
                <w:szCs w:val="15"/>
              </w:rPr>
              <w:t>Institutos de tecnologia</w:t>
            </w:r>
          </w:p>
          <w:p w:rsidR="00E05D08" w:rsidRPr="006D2503" w:rsidRDefault="00E05D08" w:rsidP="00F31494">
            <w:pPr>
              <w:jc w:val="left"/>
              <w:rPr>
                <w:rFonts w:cs="Arial"/>
                <w:sz w:val="15"/>
                <w:szCs w:val="15"/>
              </w:rPr>
            </w:pPr>
            <w:r w:rsidRPr="006D2503">
              <w:rPr>
                <w:sz w:val="15"/>
                <w:szCs w:val="15"/>
              </w:rPr>
              <w:t>Departamentos de inovação de instituições públicas</w:t>
            </w:r>
          </w:p>
          <w:p w:rsidR="00E05D08" w:rsidRPr="006D2503" w:rsidRDefault="00E05D08" w:rsidP="00F31494">
            <w:pPr>
              <w:jc w:val="left"/>
              <w:rPr>
                <w:rFonts w:cs="Arial"/>
                <w:sz w:val="15"/>
                <w:szCs w:val="15"/>
              </w:rPr>
            </w:pPr>
          </w:p>
          <w:p w:rsidR="00E05D08" w:rsidRPr="006D2503" w:rsidRDefault="00E05D08" w:rsidP="00F31494">
            <w:pPr>
              <w:jc w:val="left"/>
              <w:rPr>
                <w:rFonts w:cs="Arial"/>
                <w:sz w:val="15"/>
                <w:szCs w:val="15"/>
              </w:rPr>
            </w:pPr>
          </w:p>
        </w:tc>
        <w:tc>
          <w:tcPr>
            <w:tcW w:w="2268" w:type="dxa"/>
          </w:tcPr>
          <w:p w:rsidR="00E05D08" w:rsidRPr="006D2503" w:rsidRDefault="00AA5817" w:rsidP="00F31494">
            <w:pPr>
              <w:jc w:val="left"/>
              <w:rPr>
                <w:rFonts w:cs="Arial"/>
                <w:sz w:val="15"/>
                <w:szCs w:val="15"/>
              </w:rPr>
            </w:pPr>
            <w:r w:rsidRPr="006D2503">
              <w:rPr>
                <w:sz w:val="15"/>
                <w:szCs w:val="15"/>
              </w:rPr>
              <w:t>As partes interessadas relacionadas com a inovação podem não estar definidas na conceção da medida.</w:t>
            </w:r>
          </w:p>
        </w:tc>
        <w:tc>
          <w:tcPr>
            <w:tcW w:w="2410" w:type="dxa"/>
          </w:tcPr>
          <w:p w:rsidR="00E05D08" w:rsidRPr="006D2503" w:rsidRDefault="00E05D08" w:rsidP="00F31494">
            <w:pPr>
              <w:jc w:val="left"/>
              <w:rPr>
                <w:rFonts w:cs="Arial"/>
                <w:sz w:val="15"/>
                <w:szCs w:val="15"/>
              </w:rPr>
            </w:pPr>
            <w:r w:rsidRPr="006D2503">
              <w:rPr>
                <w:sz w:val="15"/>
                <w:szCs w:val="15"/>
              </w:rPr>
              <w:t xml:space="preserve">O avaliador deve verificar se as partes interessadas relacionadas com a inovação foram envolvidas na execução das medidas e submedidas. </w:t>
            </w:r>
          </w:p>
        </w:tc>
      </w:tr>
      <w:tr w:rsidR="00E05D08" w:rsidRPr="006D2503" w:rsidTr="00E05D08">
        <w:tc>
          <w:tcPr>
            <w:tcW w:w="1980" w:type="dxa"/>
          </w:tcPr>
          <w:p w:rsidR="00E05D08" w:rsidRPr="006D2503" w:rsidRDefault="00AA5817" w:rsidP="00F31494">
            <w:pPr>
              <w:spacing w:after="120"/>
              <w:jc w:val="left"/>
              <w:rPr>
                <w:rFonts w:cs="Arial"/>
                <w:color w:val="F07E31"/>
                <w:sz w:val="15"/>
                <w:szCs w:val="15"/>
              </w:rPr>
            </w:pPr>
            <w:r w:rsidRPr="006D2503">
              <w:rPr>
                <w:color w:val="F07E31"/>
                <w:sz w:val="15"/>
                <w:szCs w:val="15"/>
              </w:rPr>
              <w:t>Passo 5: identificar as ações relacionadas com a inovação, os custos e os orçamentos na descrição da medida/submedida</w:t>
            </w:r>
          </w:p>
        </w:tc>
        <w:tc>
          <w:tcPr>
            <w:tcW w:w="3260" w:type="dxa"/>
          </w:tcPr>
          <w:p w:rsidR="00E05D08" w:rsidRPr="006D2503" w:rsidRDefault="00E05D08" w:rsidP="00F31494">
            <w:pPr>
              <w:spacing w:after="120"/>
              <w:jc w:val="left"/>
              <w:rPr>
                <w:rFonts w:cs="Arial"/>
                <w:sz w:val="15"/>
                <w:szCs w:val="15"/>
              </w:rPr>
            </w:pPr>
            <w:r w:rsidRPr="006D2503">
              <w:rPr>
                <w:sz w:val="15"/>
                <w:szCs w:val="15"/>
              </w:rPr>
              <w:t xml:space="preserve">Que ações elegíveis e despesas irão apoiar a inovação? </w:t>
            </w:r>
          </w:p>
          <w:p w:rsidR="00E05D08" w:rsidRPr="006D2503" w:rsidRDefault="00E05D08" w:rsidP="00963A81">
            <w:pPr>
              <w:spacing w:after="120"/>
              <w:jc w:val="left"/>
              <w:rPr>
                <w:rFonts w:cs="Arial"/>
                <w:sz w:val="15"/>
                <w:szCs w:val="15"/>
              </w:rPr>
            </w:pPr>
            <w:r w:rsidRPr="006D2503">
              <w:rPr>
                <w:sz w:val="15"/>
                <w:szCs w:val="15"/>
              </w:rPr>
              <w:t>Qual é o orçamento das ações, as despesas de apoio à inovação?</w:t>
            </w:r>
          </w:p>
        </w:tc>
        <w:tc>
          <w:tcPr>
            <w:tcW w:w="2268" w:type="dxa"/>
          </w:tcPr>
          <w:p w:rsidR="00E05D08" w:rsidRPr="006D2503" w:rsidRDefault="00E05D08" w:rsidP="00F31494">
            <w:pPr>
              <w:jc w:val="left"/>
              <w:rPr>
                <w:rFonts w:cs="Arial"/>
                <w:sz w:val="15"/>
                <w:szCs w:val="15"/>
              </w:rPr>
            </w:pPr>
            <w:r w:rsidRPr="006D2503">
              <w:rPr>
                <w:sz w:val="15"/>
                <w:szCs w:val="15"/>
              </w:rPr>
              <w:t>Secção 8 – Descrição das medidas e submedidas</w:t>
            </w:r>
          </w:p>
          <w:p w:rsidR="00E05D08" w:rsidRPr="006D2503" w:rsidRDefault="00E05D08" w:rsidP="00F31494">
            <w:pPr>
              <w:jc w:val="left"/>
              <w:rPr>
                <w:rFonts w:cs="Arial"/>
                <w:sz w:val="15"/>
                <w:szCs w:val="15"/>
              </w:rPr>
            </w:pPr>
            <w:r w:rsidRPr="006D2503">
              <w:rPr>
                <w:sz w:val="15"/>
                <w:szCs w:val="15"/>
              </w:rPr>
              <w:t>Sistemas de entrega desenvolvidos durante a execução (fonte: sítio do programa na Internet, a autoridade de gestão)</w:t>
            </w:r>
          </w:p>
          <w:p w:rsidR="00E05D08" w:rsidRPr="006D2503" w:rsidRDefault="00E05D08" w:rsidP="00F31494">
            <w:pPr>
              <w:jc w:val="left"/>
              <w:rPr>
                <w:rFonts w:cs="Arial"/>
                <w:sz w:val="15"/>
                <w:szCs w:val="15"/>
              </w:rPr>
            </w:pPr>
          </w:p>
          <w:p w:rsidR="00E05D08" w:rsidRPr="006D2503" w:rsidRDefault="00E05D08" w:rsidP="00F31494">
            <w:pPr>
              <w:jc w:val="left"/>
              <w:rPr>
                <w:rFonts w:cs="Arial"/>
                <w:sz w:val="15"/>
                <w:szCs w:val="15"/>
              </w:rPr>
            </w:pPr>
            <w:r w:rsidRPr="006D2503">
              <w:rPr>
                <w:sz w:val="15"/>
                <w:szCs w:val="15"/>
              </w:rPr>
              <w:t xml:space="preserve">Secção 10 Plano financeiro – orçamento por medida </w:t>
            </w:r>
          </w:p>
        </w:tc>
        <w:tc>
          <w:tcPr>
            <w:tcW w:w="2693" w:type="dxa"/>
          </w:tcPr>
          <w:p w:rsidR="00E05D08" w:rsidRPr="006D2503" w:rsidRDefault="00E05D08" w:rsidP="00F31494">
            <w:pPr>
              <w:jc w:val="left"/>
              <w:rPr>
                <w:rFonts w:cs="Arial"/>
                <w:sz w:val="15"/>
                <w:szCs w:val="15"/>
              </w:rPr>
            </w:pPr>
            <w:r w:rsidRPr="006D2503">
              <w:rPr>
                <w:sz w:val="15"/>
                <w:szCs w:val="15"/>
              </w:rPr>
              <w:t xml:space="preserve">Utilização de mediadores da inovação para a criação de grupos operacionais; criação de grupos diretores para acompanhar a inovação; questões administrativas em intervenções que promovem a inovação; eventos de sensibilização em matéria de inovação. </w:t>
            </w:r>
          </w:p>
        </w:tc>
        <w:tc>
          <w:tcPr>
            <w:tcW w:w="2268" w:type="dxa"/>
          </w:tcPr>
          <w:p w:rsidR="00E05D08" w:rsidRPr="006D2503" w:rsidRDefault="00E05D08" w:rsidP="00F31494">
            <w:pPr>
              <w:jc w:val="left"/>
              <w:rPr>
                <w:rFonts w:cs="Arial"/>
                <w:sz w:val="15"/>
                <w:szCs w:val="15"/>
              </w:rPr>
            </w:pPr>
            <w:r w:rsidRPr="006D2503">
              <w:rPr>
                <w:sz w:val="15"/>
                <w:szCs w:val="15"/>
              </w:rPr>
              <w:t>Inexistência de elementos de prova relativos aos instrumentos relacionados com a inovação e o apoio.</w:t>
            </w:r>
          </w:p>
        </w:tc>
        <w:tc>
          <w:tcPr>
            <w:tcW w:w="2410" w:type="dxa"/>
          </w:tcPr>
          <w:p w:rsidR="00E05D08" w:rsidRPr="006D2503" w:rsidRDefault="00E05D08" w:rsidP="003C4BA9">
            <w:pPr>
              <w:jc w:val="left"/>
              <w:rPr>
                <w:rFonts w:cs="Arial"/>
                <w:sz w:val="15"/>
                <w:szCs w:val="15"/>
              </w:rPr>
            </w:pPr>
            <w:r w:rsidRPr="006D2503">
              <w:rPr>
                <w:sz w:val="15"/>
                <w:szCs w:val="15"/>
              </w:rPr>
              <w:t>Analisar informação adicional relativa à aplicação das medidas e submedidas fornecidas pelos RAE ou pela autoridade de gestão.</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5"/>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C0D" w:rsidRDefault="00594C0D" w:rsidP="00E05D08">
      <w:pPr>
        <w:spacing w:after="0" w:line="240" w:lineRule="auto"/>
      </w:pPr>
      <w:r>
        <w:separator/>
      </w:r>
    </w:p>
  </w:endnote>
  <w:endnote w:type="continuationSeparator" w:id="0">
    <w:p w:rsidR="00594C0D" w:rsidRDefault="00594C0D"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pPr>
      <w:pStyle w:val="Footer"/>
    </w:pPr>
    <w:r>
      <w:t xml:space="preserve">página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F621B13" wp14:editId="41B562B9">
          <wp:extent cx="971550" cy="247650"/>
          <wp:effectExtent l="19050" t="0" r="0" b="0"/>
          <wp:docPr id="45"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611706" w:rsidRDefault="00B06BF7"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677512"/>
      <w:docPartObj>
        <w:docPartGallery w:val="Page Numbers (Bottom of Page)"/>
        <w:docPartUnique/>
      </w:docPartObj>
    </w:sdtPr>
    <w:sdtEndPr>
      <w:rPr>
        <w:noProof/>
        <w:sz w:val="18"/>
        <w:szCs w:val="18"/>
      </w:rPr>
    </w:sdtEndPr>
    <w:sdtContent>
      <w:p w:rsidR="00B06BF7" w:rsidRPr="00611706" w:rsidRDefault="00B06BF7">
        <w:pPr>
          <w:pStyle w:val="Footer"/>
          <w:rPr>
            <w:sz w:val="18"/>
            <w:szCs w:val="18"/>
          </w:rPr>
        </w:pPr>
      </w:p>
    </w:sdtContent>
  </w:sdt>
  <w:p w:rsidR="00B06BF7" w:rsidRPr="006D33F1" w:rsidRDefault="00B06BF7"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431FF5" w:rsidRDefault="00B06BF7"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150D5B" w:rsidRDefault="00B06BF7"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552813"/>
      <w:docPartObj>
        <w:docPartGallery w:val="Page Numbers (Bottom of Page)"/>
        <w:docPartUnique/>
      </w:docPartObj>
    </w:sdtPr>
    <w:sdtEndPr>
      <w:rPr>
        <w:rStyle w:val="PageNumber"/>
        <w:rFonts w:eastAsiaTheme="majorEastAsia"/>
        <w:color w:val="808080"/>
        <w:sz w:val="18"/>
        <w:szCs w:val="18"/>
      </w:rPr>
    </w:sdtEndPr>
    <w:sdtContent>
      <w:p w:rsidR="00B06BF7" w:rsidRDefault="00B06BF7">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4C029E">
          <w:rPr>
            <w:rStyle w:val="PageNumber"/>
            <w:rFonts w:eastAsiaTheme="majorEastAsia"/>
            <w:noProof/>
            <w:color w:val="373737"/>
            <w:szCs w:val="18"/>
          </w:rPr>
          <w:t>12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pPr>
      <w:pStyle w:val="Footer"/>
    </w:pPr>
    <w:r>
      <w:t xml:space="preserve">página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66991D3C" wp14:editId="1B037252">
          <wp:extent cx="971550" cy="247650"/>
          <wp:effectExtent l="19050" t="0" r="0" b="0"/>
          <wp:docPr id="46"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611706" w:rsidRDefault="00B06BF7"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4C029E">
      <w:rPr>
        <w:rStyle w:val="PageNumber"/>
        <w:rFonts w:eastAsiaTheme="majorEastAsia"/>
        <w:noProof/>
        <w:color w:val="373737"/>
        <w:szCs w:val="18"/>
      </w:rPr>
      <w:t>22</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128395"/>
      <w:docPartObj>
        <w:docPartGallery w:val="Page Numbers (Bottom of Page)"/>
        <w:docPartUnique/>
      </w:docPartObj>
    </w:sdtPr>
    <w:sdtEndPr>
      <w:rPr>
        <w:noProof/>
        <w:sz w:val="18"/>
        <w:szCs w:val="18"/>
      </w:rPr>
    </w:sdtEndPr>
    <w:sdtContent>
      <w:p w:rsidR="00B06BF7" w:rsidRDefault="00B06BF7">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4C029E">
          <w:rPr>
            <w:noProof/>
            <w:sz w:val="18"/>
            <w:szCs w:val="18"/>
          </w:rPr>
          <w:t>33</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C0D" w:rsidRPr="00CE2990" w:rsidRDefault="00594C0D" w:rsidP="00E05D08">
      <w:pPr>
        <w:spacing w:after="0" w:line="240" w:lineRule="auto"/>
        <w:rPr>
          <w:color w:val="F07E31"/>
        </w:rPr>
      </w:pPr>
      <w:r>
        <w:rPr>
          <w:color w:val="F07E31"/>
        </w:rPr>
        <w:separator/>
      </w:r>
    </w:p>
  </w:footnote>
  <w:footnote w:type="continuationSeparator" w:id="0">
    <w:p w:rsidR="00594C0D" w:rsidRDefault="00594C0D" w:rsidP="00E05D08">
      <w:pPr>
        <w:spacing w:after="0" w:line="240" w:lineRule="auto"/>
      </w:pPr>
      <w:r>
        <w:continuationSeparator/>
      </w:r>
    </w:p>
  </w:footnote>
  <w:footnote w:id="1">
    <w:p w:rsidR="00B06BF7" w:rsidRPr="00194986" w:rsidRDefault="00B06BF7" w:rsidP="00E05D08">
      <w:pPr>
        <w:pStyle w:val="FootnoteText"/>
      </w:pPr>
      <w:r>
        <w:rPr>
          <w:rStyle w:val="FootnoteReference"/>
          <w:rFonts w:cs="Arial"/>
        </w:rPr>
        <w:footnoteRef/>
      </w:r>
      <w:r>
        <w:t xml:space="preserve">Os outros dois objetivos transversais são o ambiente e a atenuação das alterações climáticas e adaptação às mesmas. </w:t>
      </w:r>
    </w:p>
  </w:footnote>
  <w:footnote w:id="2">
    <w:p w:rsidR="00B06BF7" w:rsidRPr="00194986" w:rsidRDefault="00B06BF7" w:rsidP="00E05D08">
      <w:pPr>
        <w:pStyle w:val="FootnoteText"/>
      </w:pPr>
      <w:r>
        <w:rPr>
          <w:rStyle w:val="FootnoteReference"/>
          <w:rFonts w:cs="Arial"/>
        </w:rPr>
        <w:footnoteRef/>
      </w:r>
      <w:r>
        <w:t xml:space="preserve"> </w:t>
      </w:r>
      <w:r>
        <w:t>Artigo 8.º, n.º 1, alínea c), subalínea v), do Regulamento (UE) n.º 1305/2013 e anexo I, parte I.5, alínea c), do Regulamento (UE) n.º 808/2014.</w:t>
      </w:r>
    </w:p>
  </w:footnote>
  <w:footnote w:id="3">
    <w:p w:rsidR="00B06BF7" w:rsidRPr="00B97B27" w:rsidRDefault="00B06BF7" w:rsidP="00E05D08">
      <w:pPr>
        <w:pStyle w:val="FootnoteText"/>
      </w:pPr>
      <w:r>
        <w:rPr>
          <w:rStyle w:val="FootnoteReference"/>
          <w:rFonts w:cs="Arial"/>
        </w:rPr>
        <w:footnoteRef/>
      </w:r>
      <w:r>
        <w:t xml:space="preserve"> </w:t>
      </w:r>
      <w:r>
        <w:t>Artigo 68.º do Regulamento (UE) n.º 1305/2013.</w:t>
      </w:r>
    </w:p>
  </w:footnote>
  <w:footnote w:id="4">
    <w:p w:rsidR="00B06BF7" w:rsidRDefault="00B06BF7" w:rsidP="000E1D4B">
      <w:pPr>
        <w:pStyle w:val="FootnoteText"/>
      </w:pPr>
      <w:r>
        <w:rPr>
          <w:rStyle w:val="FootnoteReference"/>
          <w:sz w:val="12"/>
          <w:szCs w:val="12"/>
        </w:rPr>
        <w:footnoteRef/>
      </w:r>
      <w:r>
        <w:t xml:space="preserve"> </w:t>
      </w:r>
      <w:r>
        <w:t>«Guidelines on programming for innovation and the implementation of the EIP for agricultural productivity and sustainability» (Orientações em matéria de programação para a inovação e a execução da PEI para a produtividade e sustentabilidade agrícolas):</w:t>
      </w:r>
      <w:r>
        <w:rPr>
          <w:rStyle w:val="Hyperlink"/>
        </w:rPr>
        <w:t>https://ec.europa.eu/eip/agriculture/sites/agri-eip/files/pb_guidelines_eip_implementation_2014_en.pdf</w:t>
      </w:r>
    </w:p>
  </w:footnote>
  <w:footnote w:id="5">
    <w:p w:rsidR="00B06BF7" w:rsidRPr="00DC008D" w:rsidRDefault="00B06BF7" w:rsidP="00F74459">
      <w:pPr>
        <w:pStyle w:val="FootnoteText"/>
        <w:rPr>
          <w:rFonts w:eastAsia="Calibri"/>
        </w:rPr>
      </w:pPr>
      <w:r>
        <w:rPr>
          <w:rStyle w:val="FootnoteReference"/>
        </w:rPr>
        <w:footnoteRef/>
      </w:r>
      <w:r>
        <w:t xml:space="preserve"> </w:t>
      </w:r>
      <w:r>
        <w:t>«Guidelines on programming for innovation and the implementation of the EIP for agricultural productivity and sustainability» (Orientações em matéria de programação para a inovação e a execução da PEI para a produtividade e sustentabilidade agrícolas):</w:t>
      </w:r>
      <w:hyperlink r:id="rId1" w:history="1">
        <w:r>
          <w:rPr>
            <w:rStyle w:val="Hyperlink"/>
          </w:rPr>
          <w:t>https://ec.europa.eu/eip/agriculture/sites/agri-eip/files/pb_guidelines_eip_implementation_2014_en.pdf</w:t>
        </w:r>
      </w:hyperlink>
    </w:p>
  </w:footnote>
  <w:footnote w:id="6">
    <w:p w:rsidR="00B06BF7" w:rsidRPr="008F676D" w:rsidRDefault="00B06BF7" w:rsidP="00F74459">
      <w:pPr>
        <w:pStyle w:val="FootnoteText"/>
      </w:pPr>
      <w:r>
        <w:rPr>
          <w:rStyle w:val="FootnoteReference"/>
        </w:rPr>
        <w:footnoteRef/>
      </w:r>
      <w:r>
        <w:t xml:space="preserve"> </w:t>
      </w:r>
      <w:r>
        <w:t>O Programa-Quadro Horizonte 2020 apoia fortemente o conceito de abordagem baseada em vários intervenientes para investigação, o que faz com que os agricultores, conselheiros e outros profissionais em parcerias com investigadores criem em conjunto soluções ou desenvolvam oportunidades inovadoras com vista a concentrar a investigação e as inovações sobre as necessidades da prática agrícola; ver o documento de trabalho do H2020 para 2018-2020, páginas 8-9, para os requisitos para projetos baseados em vários intervenientes (</w:t>
      </w:r>
      <w:hyperlink r:id="rId2" w:history="1">
        <w:r>
          <w:rPr>
            <w:rStyle w:val="Hyperlink"/>
          </w:rPr>
          <w:t>http://ec.europa.eu/research/participants/data/ref/h2020/wp/2018-2020/main/h2020-wp1820-food_en.pdf</w:t>
        </w:r>
      </w:hyperlink>
      <w:r>
        <w:t>) e a brochura da PEI sobre a abordagem baseada em vários intervenientes (</w:t>
      </w:r>
      <w:hyperlink r:id="rId3" w:history="1">
        <w:r>
          <w:rPr>
            <w:rStyle w:val="Hyperlink"/>
          </w:rPr>
          <w:t>https://ec.europa.eu/eip/agriculture/sites/agri-eip/files/eip-agri_brochure_multi-actor_projects_2017_en_web.pdf</w:t>
        </w:r>
      </w:hyperlink>
      <w:r>
        <w:t>)</w:t>
      </w:r>
    </w:p>
  </w:footnote>
  <w:footnote w:id="7">
    <w:p w:rsidR="00B06BF7" w:rsidRDefault="00B06BF7" w:rsidP="00F74459">
      <w:pPr>
        <w:pStyle w:val="FootnoteText"/>
      </w:pPr>
      <w:r>
        <w:rPr>
          <w:rStyle w:val="FootnoteReference"/>
        </w:rPr>
        <w:footnoteRef/>
      </w:r>
      <w:r>
        <w:t xml:space="preserve"> </w:t>
      </w:r>
      <w:r>
        <w:t>Relatórios do grupo de trabalho estratégico do Comité Permanente de Investigação Agrícola (CPIA) sobre sistemas de conhecimento e inovação agrícola:</w:t>
      </w:r>
    </w:p>
    <w:p w:rsidR="00B06BF7" w:rsidRDefault="00B06BF7" w:rsidP="00F74459">
      <w:pPr>
        <w:pStyle w:val="FootnoteText"/>
      </w:pPr>
      <w:r>
        <w:t>- Agricultural Knowledge and Innovation Systems Towards 2020 – an orientation paper on linking innovation and research (Conhecimento agrícola e sistemas de inovação para 2020 – um documento de orientação sobre a ligação entre a inovação e a investigação)</w:t>
      </w:r>
    </w:p>
    <w:p w:rsidR="00B06BF7" w:rsidRDefault="00B06BF7" w:rsidP="00F74459">
      <w:pPr>
        <w:pStyle w:val="FootnoteText"/>
      </w:pPr>
      <w:hyperlink r:id="rId4" w:history="1">
        <w:r>
          <w:rPr>
            <w:rStyle w:val="Hyperlink"/>
          </w:rPr>
          <w:t xml:space="preserve">http://www.gppq.fct.pt/h2020/_docs/brochuras/bioeco/agricultural-knowledge-innovation-systems-towards-2020_en.pdf </w:t>
        </w:r>
      </w:hyperlink>
      <w:r>
        <w:t>(sobre a criação da abordagem baseada em vários intervenientes)</w:t>
      </w:r>
    </w:p>
    <w:p w:rsidR="00B06BF7" w:rsidRPr="009C39EE" w:rsidRDefault="00B06BF7" w:rsidP="00F74459">
      <w:pPr>
        <w:pStyle w:val="FootnoteText"/>
      </w:pPr>
      <w:r>
        <w:t xml:space="preserve">- Agricultural Knowledge and Innovation Systems towards the Future - A Foresight paper (Conhecimento agrícola e sistemas de inovação para o futuro – Um documento prospetivo),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B06BF7" w:rsidRPr="00B13D00" w:rsidRDefault="00B06BF7" w:rsidP="00F74459">
      <w:pPr>
        <w:pStyle w:val="FootnoteText"/>
      </w:pPr>
      <w:r>
        <w:rPr>
          <w:rStyle w:val="FootnoteReference"/>
          <w:color w:val="373737"/>
        </w:rPr>
        <w:footnoteRef/>
      </w:r>
      <w:r>
        <w:t xml:space="preserve"> </w:t>
      </w:r>
      <w:r>
        <w:t xml:space="preserve">Consultar Schot e H. Geels (2008) para mais informações sobre nichos sociais e técnicos. </w:t>
      </w:r>
    </w:p>
  </w:footnote>
  <w:footnote w:id="9">
    <w:p w:rsidR="00B06BF7" w:rsidRPr="00F74459" w:rsidRDefault="00B06BF7" w:rsidP="00F74459">
      <w:pPr>
        <w:pStyle w:val="FootnoteText"/>
      </w:pPr>
      <w:r>
        <w:rPr>
          <w:szCs w:val="16"/>
          <w:vertAlign w:val="superscript"/>
          <w:lang w:val="en-IE"/>
        </w:rPr>
        <w:footnoteRef/>
      </w:r>
      <w:r>
        <w:t xml:space="preserve"> </w:t>
      </w:r>
      <w:r>
        <w:t>REDR (2013). Towards Successful Innovation Brokerage: Insights for the 2007-2013 Rural Development Programmes (Para uma mediação da inovação bem-sucedida: perspetivas para os programas de desenvolvimento rural 2007-2013) e Leeuwis C, Schut M, Waters-Bayer A, Mur R, Atta-Krah K e Douthwaite B. 2014. Capacity to innovate from a system CGIAR research program perspective (Capacidade para inovar a partir de uma perspetiva do programa de investigação do sistema do CGIAR). Penang, Malásia: CGIAR Research Program on Aquatic Agricultural Systems (CGIAR - Programa de Investigação sobre sistemas aquiagrícolas e agrícolas). Sinopse do programa: AAS-2014-29.</w:t>
      </w:r>
    </w:p>
  </w:footnote>
  <w:footnote w:id="10">
    <w:p w:rsidR="00B06BF7" w:rsidRPr="00F74459" w:rsidRDefault="00B06BF7" w:rsidP="00F74459">
      <w:pPr>
        <w:pStyle w:val="FootnoteText"/>
      </w:pPr>
      <w:r>
        <w:rPr>
          <w:szCs w:val="16"/>
          <w:vertAlign w:val="superscript"/>
          <w:lang w:val="en-IE"/>
        </w:rPr>
        <w:footnoteRef/>
      </w:r>
      <w:r>
        <w:t xml:space="preserve"> </w:t>
      </w:r>
      <w:r>
        <w:t>A REDR (2013) identifica a mediação da inovação como uma das principais capacidades do sistema, nomeadamente, a presença (e a atividade) dos agentes que estão empenhados na mudança, e que são criativos, proativos, motivados, imparciais, transparentes e sensíveis ao contexto da inovação.</w:t>
      </w:r>
    </w:p>
  </w:footnote>
  <w:footnote w:id="11">
    <w:p w:rsidR="00B06BF7" w:rsidRDefault="00B06BF7" w:rsidP="00F74459">
      <w:pPr>
        <w:pStyle w:val="FootnoteText"/>
      </w:pPr>
      <w:r>
        <w:rPr>
          <w:szCs w:val="16"/>
          <w:vertAlign w:val="superscript"/>
          <w:lang w:val="en-IE"/>
        </w:rPr>
        <w:footnoteRef/>
      </w:r>
      <w:r>
        <w:t xml:space="preserve"> </w:t>
      </w:r>
      <w:r>
        <w:t>Douthwaite and Hoffecker (prestes a ser publicado) e Nemes and Augustyn (2017).</w:t>
      </w:r>
    </w:p>
  </w:footnote>
  <w:footnote w:id="12">
    <w:p w:rsidR="00B06BF7" w:rsidRPr="00B13D00" w:rsidRDefault="00B06BF7" w:rsidP="00E05D08">
      <w:pPr>
        <w:pStyle w:val="FootnoteText"/>
      </w:pPr>
      <w:r>
        <w:rPr>
          <w:vertAlign w:val="superscript"/>
        </w:rPr>
        <w:footnoteRef/>
      </w:r>
      <w:r>
        <w:t xml:space="preserve"> </w:t>
      </w:r>
      <w:r>
        <w:t>REDR (2013). Towards Successful Innovation Brokerage: Insights for the 2007-2013 Rural Development Programmes (Para uma mediação da inovação bem-sucedida: perspetivas para os programas de desenvolvimento rural 2007-2013).</w:t>
      </w:r>
    </w:p>
  </w:footnote>
  <w:footnote w:id="13">
    <w:p w:rsidR="00B06BF7" w:rsidRPr="00690E70" w:rsidRDefault="00B06BF7" w:rsidP="004508D0">
      <w:pPr>
        <w:pStyle w:val="FootnoteText"/>
        <w:rPr>
          <w:rStyle w:val="Hyperlink"/>
        </w:rPr>
      </w:pPr>
      <w:r>
        <w:rPr>
          <w:rStyle w:val="FootnoteReference"/>
        </w:rPr>
        <w:footnoteRef/>
      </w:r>
      <w:r>
        <w:t xml:space="preserve"> </w:t>
      </w:r>
      <w:r>
        <w:t xml:space="preserve">PEI AGRI (2016) Sessão de trabalho sobre «Cities and Food: Connecting Consumers and Producers» (Cidades e alimentação: estabelecer ligações entre consumidores e produtores). Versão disponível em: </w:t>
      </w:r>
      <w:hyperlink r:id="rId6" w:history="1">
        <w:r>
          <w:rPr>
            <w:rStyle w:val="Hyperlink"/>
          </w:rPr>
          <w:t>https://ec.europa.eu/eip/agriculture/sites/agri-eip/files/eip-agri_factsheet_cities_and_food_en_web.pdf</w:t>
        </w:r>
      </w:hyperlink>
    </w:p>
  </w:footnote>
  <w:footnote w:id="14">
    <w:p w:rsidR="00B06BF7" w:rsidRPr="00B13D00" w:rsidRDefault="00B06BF7" w:rsidP="00E05D08">
      <w:pPr>
        <w:pStyle w:val="FootnoteText"/>
      </w:pPr>
      <w:r>
        <w:rPr>
          <w:rStyle w:val="FootnoteReference"/>
        </w:rPr>
        <w:footnoteRef/>
      </w:r>
      <w:r>
        <w:t xml:space="preserve"> </w:t>
      </w:r>
      <w:r>
        <w:t>Senge, P. M., &amp; Sterman, J. D. (1992). Systems thinking and organisational learning: Acting locally and thinking globally in the organisation of the future (Raciocínio sistémico e aprendizagem organizacional: agir a nível local e pensar globalmente na organização do futuro). European journal of operational research (Revista europeia de investigação operacional), 59(1), 137-150.</w:t>
      </w:r>
    </w:p>
  </w:footnote>
  <w:footnote w:id="15">
    <w:p w:rsidR="00B06BF7" w:rsidRPr="00554BBB" w:rsidRDefault="00B06BF7"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 xml:space="preserve">The science of evaluation: </w:t>
      </w:r>
      <w:r>
        <w:t>A realist manifesto (A ciência da avaliação: um manifesto realista). Londres, Reino Unido: Sage Publications.</w:t>
      </w:r>
    </w:p>
  </w:footnote>
  <w:footnote w:id="16">
    <w:p w:rsidR="00B06BF7" w:rsidRPr="00B13D00" w:rsidRDefault="00B06BF7" w:rsidP="00E05D08">
      <w:pPr>
        <w:pStyle w:val="FootnoteText"/>
      </w:pPr>
      <w:r>
        <w:rPr>
          <w:rStyle w:val="FootnoteReference"/>
        </w:rPr>
        <w:footnoteRef/>
      </w:r>
      <w:r>
        <w:t xml:space="preserve"> </w:t>
      </w:r>
      <w:r>
        <w:t>O programa Horizonte 2020 é o maior programa de investigação e inovação da UE e visa associar a investigação e a inovação em todos os setores, incluindo a agricultura e a silvicultura, como meio para alcançar um crescimento e emprego inteligentes, sustentáveis e inclusivos. Muitas outras políticas da UE que abordam a inovação e o desenvolvimento de competências podem igualmente contribuir para a investigação e a inovação agrícolas (Política de Coesão, COSME, ERASMUS, LIFE+).</w:t>
      </w:r>
    </w:p>
  </w:footnote>
  <w:footnote w:id="17">
    <w:p w:rsidR="00B06BF7" w:rsidRPr="00B13D00" w:rsidRDefault="00B06BF7" w:rsidP="00E05D08">
      <w:pPr>
        <w:pStyle w:val="FootnoteText"/>
      </w:pPr>
      <w:r>
        <w:rPr>
          <w:rStyle w:val="FootnoteReference"/>
          <w:rFonts w:cs="Helvetica"/>
          <w:szCs w:val="16"/>
        </w:rPr>
        <w:footnoteRef/>
      </w:r>
      <w:r>
        <w:t xml:space="preserve"> </w:t>
      </w:r>
      <w:r>
        <w:t>O seu objetivo consiste em responder aos principais desafios da sociedade, como as alterações climáticas e a eficácia na utilização dos recursos, e em reforçar as ligações na cadeia de inovação (</w:t>
      </w:r>
      <w:hyperlink r:id="rId7" w:history="1">
        <w:r>
          <w:rPr>
            <w:rStyle w:val="Hyperlink"/>
          </w:rPr>
          <w:t>http://ec.europa.eu/europe2020/europe-2020-in-a-nutshell/flagship-initiatives/index_en.htm</w:t>
        </w:r>
      </w:hyperlink>
      <w:r>
        <w:t xml:space="preserve">). </w:t>
      </w:r>
    </w:p>
  </w:footnote>
  <w:footnote w:id="18">
    <w:p w:rsidR="00B06BF7" w:rsidRPr="00275EE5" w:rsidRDefault="00B06BF7"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B06BF7" w:rsidRPr="00B13D00" w:rsidRDefault="00B06BF7" w:rsidP="00E05D08">
      <w:pPr>
        <w:pStyle w:val="FootnoteText"/>
      </w:pPr>
      <w:r>
        <w:rPr>
          <w:rStyle w:val="FootnoteReference"/>
        </w:rPr>
        <w:footnoteRef/>
      </w:r>
      <w:r>
        <w:t xml:space="preserve"> </w:t>
      </w:r>
      <w:r>
        <w:t>Artigo 5.º do Regulamento (UE) n.º 1305/2013.</w:t>
      </w:r>
    </w:p>
  </w:footnote>
  <w:footnote w:id="20">
    <w:p w:rsidR="00B06BF7" w:rsidRPr="00171202" w:rsidRDefault="00B06BF7" w:rsidP="00E05D08">
      <w:pPr>
        <w:pStyle w:val="FootnoteText"/>
      </w:pPr>
      <w:r>
        <w:rPr>
          <w:rStyle w:val="FootnoteReference"/>
        </w:rPr>
        <w:footnoteRef/>
      </w:r>
      <w:r>
        <w:t xml:space="preserve"> </w:t>
      </w:r>
      <w:r>
        <w:t>Artigo 8.º, n.º 1, alínea c), subalínea v), do Regulamento (UE) n.º 1305/2013.</w:t>
      </w:r>
    </w:p>
  </w:footnote>
  <w:footnote w:id="21">
    <w:p w:rsidR="00B06BF7" w:rsidRPr="00171202" w:rsidRDefault="00B06BF7" w:rsidP="00E05D08">
      <w:pPr>
        <w:pStyle w:val="FootnoteText"/>
      </w:pPr>
      <w:r>
        <w:rPr>
          <w:rStyle w:val="FootnoteReference"/>
          <w:i/>
        </w:rPr>
        <w:footnoteRef/>
      </w:r>
      <w:r>
        <w:t xml:space="preserve"> </w:t>
      </w:r>
      <w:r>
        <w:t>Artigo 8.º, n.º 1, alínea b), do Regulamento (UE) n.º 1305/2013.</w:t>
      </w:r>
    </w:p>
  </w:footnote>
  <w:footnote w:id="22">
    <w:p w:rsidR="00B06BF7" w:rsidRPr="00171202" w:rsidRDefault="00B06BF7" w:rsidP="00E05D08">
      <w:pPr>
        <w:pStyle w:val="FootnoteText"/>
      </w:pPr>
      <w:r>
        <w:rPr>
          <w:rStyle w:val="FootnoteReference"/>
          <w:i/>
        </w:rPr>
        <w:footnoteRef/>
      </w:r>
      <w:r>
        <w:t xml:space="preserve"> </w:t>
      </w:r>
      <w:r>
        <w:t>Artigo 5.º do Regulamento (UE) n.º 1305/2013.</w:t>
      </w:r>
    </w:p>
  </w:footnote>
  <w:footnote w:id="23">
    <w:p w:rsidR="00B06BF7" w:rsidRPr="00D461AB" w:rsidRDefault="00B06BF7" w:rsidP="00D461AB">
      <w:pPr>
        <w:pStyle w:val="FootnoteText"/>
      </w:pPr>
      <w:r>
        <w:rPr>
          <w:rStyle w:val="FootnoteReference"/>
        </w:rPr>
        <w:footnoteRef/>
      </w:r>
      <w:r>
        <w:t xml:space="preserve"> </w:t>
      </w:r>
      <w:r>
        <w:t>«Guidelines on programming for innovation and the implementation of the EIP for agricultural productivity and sustainability» (Orientações em matéria de programação para a inovação e a execução da PEI para a produtividade e sustentabilidade agrícolas), secção 8.2, página 13.</w:t>
      </w:r>
    </w:p>
  </w:footnote>
  <w:footnote w:id="24">
    <w:p w:rsidR="00B06BF7" w:rsidRPr="00171202" w:rsidRDefault="00B06BF7" w:rsidP="00E05D08">
      <w:pPr>
        <w:pStyle w:val="FootnoteText"/>
      </w:pPr>
      <w:r>
        <w:rPr>
          <w:rStyle w:val="FootnoteReference"/>
        </w:rPr>
        <w:footnoteRef/>
      </w:r>
      <w:r>
        <w:t xml:space="preserve"> </w:t>
      </w:r>
      <w:r>
        <w:t>Regulamento (UE) n.º 1303/2013, anexo 1, parte 5, do Regulamento (UE) n.º 808/2014, e «Guidelines on programming for innovation and the implementation of the EIP for agricultural productivity and sustainability» (Orientações em matéria de programação para a inovação e a execução da PEI para a produtividade e sustentabilidade agrícolas) (2014, pág. 10).</w:t>
      </w:r>
    </w:p>
  </w:footnote>
  <w:footnote w:id="25">
    <w:p w:rsidR="00B06BF7" w:rsidRPr="00171202" w:rsidRDefault="00B06BF7" w:rsidP="00E05D08">
      <w:pPr>
        <w:pStyle w:val="FootnoteText"/>
      </w:pPr>
      <w:r>
        <w:rPr>
          <w:rStyle w:val="FootnoteReference"/>
        </w:rPr>
        <w:footnoteRef/>
      </w:r>
      <w:r>
        <w:t xml:space="preserve"> </w:t>
      </w:r>
      <w:r>
        <w:t>Artigo 27.º do Regulamento (UE) n.º 1303/2013 e anexo 1, parte 5, do Regulamento (UE) n.º 808/2014.</w:t>
      </w:r>
    </w:p>
  </w:footnote>
  <w:footnote w:id="26">
    <w:p w:rsidR="00B06BF7" w:rsidRPr="00171202" w:rsidRDefault="00B06BF7" w:rsidP="00E05D08">
      <w:pPr>
        <w:pStyle w:val="FootnoteText"/>
      </w:pPr>
      <w:r>
        <w:rPr>
          <w:rStyle w:val="FootnoteReference"/>
        </w:rPr>
        <w:footnoteRef/>
      </w:r>
      <w:r>
        <w:t xml:space="preserve"> </w:t>
      </w:r>
      <w:r>
        <w:t>Artigos 32.º-34.º do Regulamento (UE) n.º 1303/2013 e anexo 1, parte 5, do Regulamento (UE) n.º 808/2014.</w:t>
      </w:r>
    </w:p>
  </w:footnote>
  <w:footnote w:id="27">
    <w:p w:rsidR="00B06BF7" w:rsidRPr="00171202" w:rsidRDefault="00B06BF7" w:rsidP="00E05D08">
      <w:pPr>
        <w:pStyle w:val="FootnoteText"/>
      </w:pPr>
      <w:r>
        <w:rPr>
          <w:rStyle w:val="FootnoteReference"/>
        </w:rPr>
        <w:footnoteRef/>
      </w:r>
      <w:r>
        <w:t xml:space="preserve"> </w:t>
      </w:r>
      <w:r>
        <w:t>Artigo 53.º do Regulamento (UE) n.º 1305/2013.</w:t>
      </w:r>
    </w:p>
  </w:footnote>
  <w:footnote w:id="28">
    <w:p w:rsidR="00B06BF7" w:rsidRPr="00171202" w:rsidRDefault="00B06BF7" w:rsidP="00E05D08">
      <w:pPr>
        <w:pStyle w:val="FootnoteText"/>
      </w:pPr>
      <w:r>
        <w:rPr>
          <w:rStyle w:val="FootnoteReference"/>
        </w:rPr>
        <w:footnoteRef/>
      </w:r>
      <w:r>
        <w:t xml:space="preserve"> </w:t>
      </w:r>
      <w:r>
        <w:t>Artigo 54.º, alínea d), do Regulamento (UE) n.º 1305/2013.</w:t>
      </w:r>
    </w:p>
  </w:footnote>
  <w:footnote w:id="29">
    <w:p w:rsidR="00B06BF7" w:rsidRPr="00171202" w:rsidRDefault="00B06BF7" w:rsidP="00E05D08">
      <w:pPr>
        <w:pStyle w:val="FootnoteText"/>
      </w:pPr>
      <w:r>
        <w:rPr>
          <w:rStyle w:val="FootnoteReference"/>
        </w:rPr>
        <w:footnoteRef/>
      </w:r>
      <w:r>
        <w:t xml:space="preserve"> </w:t>
      </w:r>
      <w:r>
        <w:t>«Guidelines on programming for innovation and the implementation of the EIP for agricultural productivity and sustainability» (Orientações em matéria de programação para a inovação e a execução da PEI para a produtividade e sustentabilidade agrícolas) (2014, pág. 13)</w:t>
      </w:r>
    </w:p>
  </w:footnote>
  <w:footnote w:id="30">
    <w:p w:rsidR="00B06BF7" w:rsidRPr="00171202" w:rsidRDefault="00B06BF7" w:rsidP="00E05D08">
      <w:pPr>
        <w:pStyle w:val="FootnoteText"/>
      </w:pPr>
      <w:r>
        <w:rPr>
          <w:rStyle w:val="FootnoteReference"/>
        </w:rPr>
        <w:footnoteRef/>
      </w:r>
      <w:r>
        <w:t xml:space="preserve"> </w:t>
      </w:r>
      <w:r>
        <w:t>Artigo 54.º n.º 3, alínea b), subalínea iv), do Regulamento (UE) n.º 1305/2013.</w:t>
      </w:r>
    </w:p>
  </w:footnote>
  <w:footnote w:id="31">
    <w:p w:rsidR="00B06BF7" w:rsidRPr="00171202" w:rsidRDefault="00B06BF7" w:rsidP="00E05D08">
      <w:pPr>
        <w:pStyle w:val="FootnoteText"/>
      </w:pPr>
      <w:r>
        <w:rPr>
          <w:rStyle w:val="FootnoteReference"/>
        </w:rPr>
        <w:footnoteRef/>
      </w:r>
      <w:r>
        <w:t xml:space="preserve"> </w:t>
      </w:r>
      <w:r>
        <w:t>Anexo I, parte 1, ponto 9.3, alínea a) do Regulamento (UE) n.º 808/2014.</w:t>
      </w:r>
    </w:p>
  </w:footnote>
  <w:footnote w:id="32">
    <w:p w:rsidR="00B06BF7" w:rsidRPr="00171202" w:rsidRDefault="00B06BF7" w:rsidP="00E05D08">
      <w:pPr>
        <w:pStyle w:val="FootnoteText"/>
      </w:pPr>
      <w:r>
        <w:rPr>
          <w:rStyle w:val="FootnoteReference"/>
        </w:rPr>
        <w:footnoteRef/>
      </w:r>
      <w:r>
        <w:t xml:space="preserve"> </w:t>
      </w:r>
      <w:r>
        <w:t>Anexo VII, ponto 2, do Regulamento (UE) n.º 808/2014.</w:t>
      </w:r>
    </w:p>
  </w:footnote>
  <w:footnote w:id="33">
    <w:p w:rsidR="00B06BF7" w:rsidRPr="005F1B3E" w:rsidRDefault="00B06BF7" w:rsidP="00E05D08">
      <w:pPr>
        <w:pStyle w:val="FootnoteText"/>
      </w:pPr>
      <w:r>
        <w:rPr>
          <w:rStyle w:val="FootnoteReference"/>
        </w:rPr>
        <w:footnoteRef/>
      </w:r>
      <w:r>
        <w:t xml:space="preserve"> </w:t>
      </w:r>
      <w:r>
        <w:t>Anexo IV, Regulamento (UE) n.º 808/2014.</w:t>
      </w:r>
    </w:p>
  </w:footnote>
  <w:footnote w:id="34">
    <w:p w:rsidR="00B06BF7" w:rsidRPr="00E14E11" w:rsidRDefault="00B06BF7" w:rsidP="00E05D08">
      <w:pPr>
        <w:pStyle w:val="FootnoteText"/>
      </w:pPr>
      <w:r>
        <w:rPr>
          <w:rStyle w:val="FootnoteReference"/>
        </w:rPr>
        <w:footnoteRef/>
      </w:r>
      <w:r>
        <w:t>Ver Seminário da PEI sobre «Knowledge Systems and Interactive Innovation» (Sistemas de conhecimento e inovação interativa):</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B06BF7" w:rsidRPr="008F676D" w:rsidRDefault="00B06BF7" w:rsidP="00E05D08">
      <w:pPr>
        <w:pStyle w:val="FootnoteText"/>
      </w:pPr>
      <w:r>
        <w:rPr>
          <w:rStyle w:val="FootnoteReference"/>
        </w:rPr>
        <w:footnoteRef/>
      </w:r>
      <w:r>
        <w:t xml:space="preserve"> </w:t>
      </w:r>
      <w:r>
        <w:t xml:space="preserve">Mais informações nas orientações: «Assessment of RDP results: how to prepare for reporting on evaluation findings in 2017» (Avaliação dos resultados do PDR: como preparar a apresentação dos resultados de avaliação em 2017), </w:t>
      </w:r>
      <w:hyperlink r:id="rId10" w:history="1">
        <w:r>
          <w:rPr>
            <w:rStyle w:val="Hyperlink"/>
          </w:rPr>
          <w:t>https://enrd.ec.europa.eu/evaluation/publications/guidelines-assessment-rdp-results-how-prepare-reporting-evaluation-2017_en</w:t>
        </w:r>
      </w:hyperlink>
    </w:p>
  </w:footnote>
  <w:footnote w:id="36">
    <w:p w:rsidR="00B06BF7" w:rsidRPr="00401F29" w:rsidRDefault="00B06BF7" w:rsidP="00E05D08">
      <w:pPr>
        <w:pStyle w:val="FootnoteText"/>
      </w:pPr>
      <w:r>
        <w:rPr>
          <w:rStyle w:val="FootnoteReference"/>
        </w:rPr>
        <w:footnoteRef/>
      </w:r>
      <w:r>
        <w:t xml:space="preserve"> </w:t>
      </w:r>
      <w:r>
        <w:t>Artigo 66.º do Regulamento (UE) n.º 1305/2013 e artigo 15.º e anexo VII do Regulamento (UE) n.º 808/2014.</w:t>
      </w:r>
    </w:p>
  </w:footnote>
  <w:footnote w:id="37">
    <w:p w:rsidR="00B06BF7" w:rsidRDefault="00B06BF7" w:rsidP="00804433">
      <w:pPr>
        <w:pStyle w:val="FootnoteText"/>
        <w:rPr>
          <w:rStyle w:val="Hyperlink"/>
        </w:rPr>
      </w:pPr>
      <w:r>
        <w:rPr>
          <w:rStyle w:val="FootnoteReference"/>
        </w:rPr>
        <w:footnoteRef/>
      </w:r>
      <w:r>
        <w:t xml:space="preserve"> </w:t>
      </w:r>
      <w:r>
        <w:t xml:space="preserve">Ver as Orientações «Assessment of RDP Results: How to prepare for reporting on evaluation in 2017» (Avaliação dos resultados do PDR: como preparar a apresentação dos resultados de avaliação em 2017), Serviço de Assistência na Avaliação, setembro de 2016, </w:t>
      </w:r>
      <w:hyperlink r:id="rId11" w:history="1">
        <w:r>
          <w:rPr>
            <w:rStyle w:val="Hyperlink"/>
          </w:rPr>
          <w:t>https://enrd.ec.europa.eu/evaluation/publications/guidelines-assessment-rdp-results-how-prepare-reporting-evaluation-2017_en</w:t>
        </w:r>
      </w:hyperlink>
    </w:p>
    <w:p w:rsidR="00B06BF7" w:rsidRPr="00576A73" w:rsidRDefault="00B06BF7" w:rsidP="00023DDA">
      <w:pPr>
        <w:pStyle w:val="FootnoteText"/>
        <w:spacing w:before="600"/>
      </w:pPr>
    </w:p>
  </w:footnote>
  <w:footnote w:id="38">
    <w:p w:rsidR="00B06BF7" w:rsidRPr="00626C0C" w:rsidRDefault="00B06BF7" w:rsidP="00583AC8">
      <w:pPr>
        <w:pStyle w:val="FootnoteText"/>
      </w:pPr>
      <w:r>
        <w:rPr>
          <w:rStyle w:val="FootnoteReference"/>
        </w:rPr>
        <w:footnoteRef/>
      </w:r>
      <w:r>
        <w:t xml:space="preserve"> </w:t>
      </w:r>
      <w:r>
        <w:t xml:space="preserve">Hiperligação para o Secretariado de Avaliação Sueco: </w:t>
      </w:r>
      <w:hyperlink r:id="rId12" w:history="1">
        <w:r>
          <w:rPr>
            <w:rStyle w:val="Hyperlink"/>
          </w:rPr>
          <w:t>https://www.jordbruksverket.se/utvardering</w:t>
        </w:r>
      </w:hyperlink>
    </w:p>
  </w:footnote>
  <w:footnote w:id="39">
    <w:p w:rsidR="00B06BF7" w:rsidRPr="00171202" w:rsidRDefault="00B06BF7" w:rsidP="00804433">
      <w:pPr>
        <w:pStyle w:val="FootnoteText"/>
      </w:pPr>
      <w:r>
        <w:rPr>
          <w:rStyle w:val="FootnoteReference"/>
        </w:rPr>
        <w:footnoteRef/>
      </w:r>
      <w:r>
        <w:t xml:space="preserve"> </w:t>
      </w:r>
      <w:r>
        <w:t>Anexo VII, ponto 7, do Regulamento (UE) n.º 808/2014.</w:t>
      </w:r>
    </w:p>
  </w:footnote>
  <w:footnote w:id="40">
    <w:p w:rsidR="00B06BF7" w:rsidRPr="00171202" w:rsidRDefault="00B06BF7" w:rsidP="00804433">
      <w:pPr>
        <w:pStyle w:val="FootnoteText"/>
      </w:pPr>
      <w:r>
        <w:rPr>
          <w:rStyle w:val="FootnoteReference"/>
        </w:rPr>
        <w:footnoteRef/>
      </w:r>
      <w:r>
        <w:t xml:space="preserve"> </w:t>
      </w:r>
      <w:r>
        <w:t>Anexo IV, pontos 2, 3 e 4, do Regulamento (UE) n.º 808/2014.</w:t>
      </w:r>
    </w:p>
  </w:footnote>
  <w:footnote w:id="41">
    <w:p w:rsidR="00B06BF7" w:rsidRPr="00171202" w:rsidRDefault="00B06BF7" w:rsidP="00E05D08">
      <w:pPr>
        <w:pStyle w:val="FootnoteText"/>
      </w:pPr>
      <w:r>
        <w:rPr>
          <w:rStyle w:val="FootnoteReference"/>
        </w:rPr>
        <w:footnoteRef/>
      </w:r>
      <w:r>
        <w:t xml:space="preserve"> </w:t>
      </w:r>
      <w:r>
        <w:t>Critérios de apreciação previstos no documento de trabalho: Questões de avaliação comuns para os Programas de Desenvolvimento Rural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B06BF7" w:rsidRPr="00171202" w:rsidRDefault="00B06BF7" w:rsidP="00E05D08">
      <w:pPr>
        <w:pStyle w:val="FootnoteText"/>
      </w:pPr>
      <w:r>
        <w:rPr>
          <w:rStyle w:val="FootnoteReference"/>
        </w:rPr>
        <w:footnoteRef/>
      </w:r>
      <w:r>
        <w:t xml:space="preserve"> </w:t>
      </w:r>
      <w:r>
        <w:t>Anexo IV do Regulamento (UE) n.º 808/2014.</w:t>
      </w:r>
    </w:p>
  </w:footnote>
  <w:footnote w:id="43">
    <w:p w:rsidR="00B06BF7" w:rsidRPr="00091F73" w:rsidRDefault="00B06BF7" w:rsidP="00E05D08">
      <w:pPr>
        <w:pStyle w:val="FootnoteText"/>
      </w:pPr>
      <w:r>
        <w:rPr>
          <w:rStyle w:val="FootnoteReference"/>
        </w:rPr>
        <w:footnoteRef/>
      </w:r>
      <w:r>
        <w:t xml:space="preserve"> </w:t>
      </w:r>
      <w:r>
        <w:t xml:space="preserve">Nos Estados-Membros desenvolvem-se critérios de apreciação adicionais, além dos especificados no documento de trabalho: Common evaluation questions for Rural Development Programmes 2014-2020 (Questões de avaliação comuns para os Programas de Desenvolvimento Rural 2014-2020). </w:t>
      </w:r>
    </w:p>
  </w:footnote>
  <w:footnote w:id="44">
    <w:p w:rsidR="00B06BF7" w:rsidRPr="00091F73" w:rsidRDefault="00B06BF7" w:rsidP="00E05D08">
      <w:pPr>
        <w:pStyle w:val="FootnoteText"/>
      </w:pPr>
      <w:r>
        <w:rPr>
          <w:rStyle w:val="FootnoteReference"/>
        </w:rPr>
        <w:footnoteRef/>
      </w:r>
      <w:r>
        <w:t xml:space="preserve"> </w:t>
      </w:r>
      <w:r>
        <w:t xml:space="preserve">Nos Estados-Membros desenvolvem-se indicadores adicionais, para além dos indicadores comuns, se estes não foram suficientes para responder às questões de avaliação, tal como especificado pelos critérios de apreciação. Para mais informações, consultar as orientações: «Assessment of RDP results: how to prepare for reporting on evaluation findings in 2017» (Avaliação dos resultados do PDR: como preparar a apresentação dos resultados de avaliação em 2017), </w:t>
      </w:r>
      <w:hyperlink r:id="rId14" w:history="1">
        <w:r>
          <w:rPr>
            <w:rStyle w:val="Hyperlink"/>
          </w:rPr>
          <w:t>https://enrd.ec.europa.eu/evaluation/publications/guidelines-assessment-rdp-results-how-prepare-reporting-evaluation-2017_en</w:t>
        </w:r>
      </w:hyperlink>
    </w:p>
    <w:p w:rsidR="00B06BF7" w:rsidRPr="00091F73" w:rsidRDefault="00B06BF7" w:rsidP="00F74459">
      <w:pPr>
        <w:pStyle w:val="FootnoteText"/>
        <w:rPr>
          <w:lang w:val="sk-SK"/>
        </w:rPr>
      </w:pPr>
    </w:p>
  </w:footnote>
  <w:footnote w:id="45">
    <w:p w:rsidR="00B06BF7" w:rsidRPr="00576A73" w:rsidRDefault="00B06BF7">
      <w:pPr>
        <w:pStyle w:val="FootnoteText"/>
        <w:rPr>
          <w:sz w:val="12"/>
          <w:szCs w:val="12"/>
        </w:rPr>
      </w:pPr>
      <w:r>
        <w:rPr>
          <w:rStyle w:val="FootnoteReference"/>
          <w:szCs w:val="16"/>
        </w:rPr>
        <w:footnoteRef/>
      </w:r>
      <w:r>
        <w:rPr>
          <w:sz w:val="12"/>
          <w:szCs w:val="12"/>
        </w:rPr>
        <w:t xml:space="preserve"> </w:t>
      </w:r>
      <w:r>
        <w:t>Artigo 15.º, n.º 4, alíneas a) a g).</w:t>
      </w:r>
    </w:p>
  </w:footnote>
  <w:footnote w:id="46">
    <w:p w:rsidR="00B06BF7" w:rsidRPr="00401F29" w:rsidRDefault="00B06BF7" w:rsidP="00E05D08">
      <w:pPr>
        <w:pStyle w:val="FootnoteText"/>
        <w:rPr>
          <w:rStyle w:val="Hyperlink"/>
        </w:rPr>
      </w:pPr>
      <w:r>
        <w:rPr>
          <w:rStyle w:val="FootnoteReference"/>
        </w:rPr>
        <w:footnoteRef/>
      </w:r>
      <w:r>
        <w:t xml:space="preserve"> </w:t>
      </w:r>
      <w:r>
        <w:t>Ver:</w:t>
      </w:r>
      <w:r>
        <w:rPr>
          <w:rStyle w:val="Hyperlink"/>
        </w:rPr>
        <w:t xml:space="preserve"> </w:t>
      </w:r>
      <w:hyperlink r:id="rId15" w:history="1">
        <w:r>
          <w:rPr>
            <w:rStyle w:val="Hyperlink"/>
          </w:rPr>
          <w:t>http://ec.europa.eu/europe2020/targets/eu-targets/index_pt.htm</w:t>
        </w:r>
      </w:hyperlink>
    </w:p>
  </w:footnote>
  <w:footnote w:id="47">
    <w:p w:rsidR="00B06BF7" w:rsidRPr="00401F29" w:rsidRDefault="00B06BF7" w:rsidP="00C3092C">
      <w:pPr>
        <w:pStyle w:val="FootnoteText"/>
      </w:pPr>
      <w:r>
        <w:rPr>
          <w:vertAlign w:val="superscript"/>
        </w:rPr>
        <w:footnoteRef/>
      </w:r>
      <w:r>
        <w:t xml:space="preserve"> </w:t>
      </w:r>
      <w:r>
        <w:t xml:space="preserve">Documento de trabalho: Common evaluation questions for RDPs 2014-2020 (Questões de avaliação comuns para os PDR 2014-2020), </w:t>
      </w:r>
      <w:hyperlink r:id="rId16" w:history="1">
        <w:r>
          <w:rPr>
            <w:rStyle w:val="Hyperlink"/>
          </w:rPr>
          <w:t>http://enrd.ec.europa.eu/evaluation/publications/working-document-common-evaluation-questions-rural-development-programmes_en</w:t>
        </w:r>
      </w:hyperlink>
    </w:p>
  </w:footnote>
  <w:footnote w:id="48">
    <w:p w:rsidR="00B06BF7" w:rsidRPr="00401F29" w:rsidRDefault="00B06BF7" w:rsidP="00E05D08">
      <w:pPr>
        <w:pStyle w:val="FootnoteText"/>
      </w:pPr>
      <w:r>
        <w:rPr>
          <w:rStyle w:val="FootnoteReference"/>
        </w:rPr>
        <w:footnoteRef/>
      </w:r>
      <w:r>
        <w:t xml:space="preserve"> </w:t>
      </w:r>
      <w:r>
        <w:t>Estes artigos constam do Regulamento (UE) n.º 1305/2013.</w:t>
      </w:r>
    </w:p>
  </w:footnote>
  <w:footnote w:id="49">
    <w:p w:rsidR="00B06BF7" w:rsidRPr="00401F29" w:rsidRDefault="00B06BF7" w:rsidP="00E05D08">
      <w:pPr>
        <w:pStyle w:val="FootnoteText"/>
      </w:pPr>
      <w:r>
        <w:rPr>
          <w:rStyle w:val="FootnoteReference"/>
        </w:rPr>
        <w:footnoteRef/>
      </w:r>
      <w:r>
        <w:t xml:space="preserve"> </w:t>
      </w:r>
      <w:r>
        <w:t>Artigo 15.º, n.º 4, alínea c), do Regulamento (UE) n.º 1305/2013.</w:t>
      </w:r>
    </w:p>
  </w:footnote>
  <w:footnote w:id="50">
    <w:p w:rsidR="00B06BF7" w:rsidRPr="00401F29" w:rsidRDefault="00B06BF7" w:rsidP="00E05D08">
      <w:pPr>
        <w:pStyle w:val="FootnoteText"/>
      </w:pPr>
      <w:r>
        <w:rPr>
          <w:rStyle w:val="FootnoteReference"/>
        </w:rPr>
        <w:footnoteRef/>
      </w:r>
      <w:r>
        <w:t xml:space="preserve"> </w:t>
      </w:r>
      <w:r>
        <w:t>Artigo 32.º do Regulamento (UE) n.º 1303/2013.</w:t>
      </w:r>
    </w:p>
  </w:footnote>
  <w:footnote w:id="51">
    <w:p w:rsidR="00E37A81" w:rsidRPr="00C3092C" w:rsidRDefault="00E37A81" w:rsidP="00E37A81">
      <w:pPr>
        <w:pStyle w:val="FootnoteText"/>
      </w:pPr>
      <w:r>
        <w:rPr>
          <w:rStyle w:val="FootnoteReference"/>
        </w:rPr>
        <w:footnoteRef/>
      </w:r>
      <w:r>
        <w:t xml:space="preserve"> </w:t>
      </w:r>
      <w:r>
        <w:t>Artigo 35.º, n.º 2, alínea b), do Regulamento (UE) n.º 1305/2013.</w:t>
      </w:r>
    </w:p>
  </w:footnote>
  <w:footnote w:id="52">
    <w:p w:rsidR="00B06BF7" w:rsidRPr="0026694F" w:rsidRDefault="00B06BF7" w:rsidP="00E05D08">
      <w:pPr>
        <w:pStyle w:val="FootnoteText"/>
        <w:rPr>
          <w:color w:val="373737"/>
        </w:rPr>
      </w:pPr>
      <w:r>
        <w:rPr>
          <w:rStyle w:val="FootnoteReference"/>
        </w:rPr>
        <w:footnoteRef/>
      </w:r>
      <w:r>
        <w:t xml:space="preserve"> </w:t>
      </w:r>
      <w:r>
        <w:t xml:space="preserve">Artigo 35.º do Regulamento (UE) n.º 1305/2013. O documento de orientação «Cooperation measure» (Medida de cooperação) - versão de novembro de 2014 - oferece a lista completa de submedidas da medida de cooperação no anexo I., </w:t>
      </w:r>
      <w:hyperlink r:id="rId17" w:history="1">
        <w:r>
          <w:rPr>
            <w:rStyle w:val="Hyperlink"/>
          </w:rPr>
          <w:t>https://ec.europa.eu/eip/agriculture/sites/agri-eip/files/16_measure_fiche_art_35_co-operation.pdf</w:t>
        </w:r>
      </w:hyperlink>
    </w:p>
  </w:footnote>
  <w:footnote w:id="53">
    <w:p w:rsidR="00B06BF7" w:rsidRPr="00401F29" w:rsidRDefault="00B06BF7" w:rsidP="00E05D08">
      <w:pPr>
        <w:pStyle w:val="FootnoteText"/>
      </w:pPr>
      <w:r>
        <w:rPr>
          <w:rStyle w:val="FootnoteReference"/>
        </w:rPr>
        <w:footnoteRef/>
      </w:r>
      <w:r>
        <w:t xml:space="preserve"> </w:t>
      </w:r>
      <w:r>
        <w:t>Artigo 35.º, n.º 1, do Regulamento (UE) n.º 1305/2013.</w:t>
      </w:r>
    </w:p>
  </w:footnote>
  <w:footnote w:id="54">
    <w:p w:rsidR="00B06BF7" w:rsidRPr="00AB16BB" w:rsidRDefault="00B06BF7">
      <w:pPr>
        <w:pStyle w:val="FootnoteText"/>
        <w:rPr>
          <w:sz w:val="12"/>
          <w:szCs w:val="12"/>
        </w:rPr>
      </w:pPr>
      <w:r>
        <w:rPr>
          <w:rStyle w:val="FootnoteReference"/>
          <w:szCs w:val="16"/>
        </w:rPr>
        <w:footnoteRef/>
      </w:r>
      <w:r>
        <w:t xml:space="preserve">Apresentação de exemplos de programação relacionados com as prioridades P4 e P5 do FEADER. Disponível em: </w:t>
      </w:r>
      <w:hyperlink r:id="rId18" w:history="1">
        <w:r>
          <w:rPr>
            <w:rStyle w:val="Hyperlink"/>
          </w:rPr>
          <w:t>http://enrd.ec.europa.eu/sites/enrd/files/w10_m16_finland_karlsson.pdf</w:t>
        </w:r>
      </w:hyperlink>
      <w:r>
        <w:rPr>
          <w:sz w:val="12"/>
          <w:szCs w:val="12"/>
        </w:rPr>
        <w:t xml:space="preserve"> </w:t>
      </w:r>
    </w:p>
  </w:footnote>
  <w:footnote w:id="55">
    <w:p w:rsidR="00B06BF7" w:rsidRPr="00A45935" w:rsidRDefault="00B06BF7">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B06BF7" w:rsidRDefault="00B06BF7">
      <w:pPr>
        <w:pStyle w:val="FootnoteText"/>
      </w:pPr>
      <w:r>
        <w:rPr>
          <w:rStyle w:val="FootnoteReference"/>
          <w:szCs w:val="16"/>
        </w:rPr>
        <w:footnoteRef/>
      </w:r>
      <w:r>
        <w:t xml:space="preserve"> </w:t>
      </w:r>
      <w:r>
        <w:t xml:space="preserve">Apresentação de exemplos de programação relacionados com as prioridades P4 e P5 do FEADER. Disponível em: </w:t>
      </w:r>
      <w:hyperlink r:id="rId20" w:history="1">
        <w:r>
          <w:rPr>
            <w:rStyle w:val="Hyperlink"/>
          </w:rPr>
          <w:t>http://enrd.ec.europa.eu/sites/enrd/files/w10_m16.5_hesse_de_vonkutzleben.pdf</w:t>
        </w:r>
      </w:hyperlink>
    </w:p>
  </w:footnote>
  <w:footnote w:id="57">
    <w:p w:rsidR="00B06BF7" w:rsidRPr="00401F29" w:rsidRDefault="00B06BF7" w:rsidP="00E05D08">
      <w:pPr>
        <w:pStyle w:val="FootnoteText"/>
      </w:pPr>
      <w:r>
        <w:rPr>
          <w:rStyle w:val="FootnoteReference"/>
        </w:rPr>
        <w:footnoteRef/>
      </w:r>
      <w:r>
        <w:t xml:space="preserve"> </w:t>
      </w:r>
      <w:r>
        <w:t>Artigo 54.º, n.º 2, do Regulamento (UE) n.º 1305/2013.</w:t>
      </w:r>
    </w:p>
  </w:footnote>
  <w:footnote w:id="58">
    <w:p w:rsidR="00B06BF7" w:rsidRPr="002D11C3" w:rsidRDefault="00B06BF7" w:rsidP="00E05D08">
      <w:pPr>
        <w:pStyle w:val="FootnoteText"/>
      </w:pPr>
      <w:r>
        <w:rPr>
          <w:rStyle w:val="FootnoteReference"/>
        </w:rPr>
        <w:footnoteRef/>
      </w:r>
      <w:r>
        <w:t xml:space="preserve"> </w:t>
      </w:r>
      <w:r>
        <w:t>Também foram fornecidas instruções sobre como responder à QAC n.º 21 nas orientações «Assessment of RDP results: how to prepare for reporting on evaluation in 2017» (Avaliação dos resultados do PDR: como preparar a apresentação dos resultados de avaliação em 2017), anexo 11, nas quais se tiveram em consideração todos os objetivos relacionados com a RRN, associados à resposta da QAC,</w:t>
      </w:r>
      <w:hyperlink r:id="rId21" w:history="1">
        <w:r>
          <w:rPr>
            <w:rStyle w:val="Hyperlink"/>
          </w:rPr>
          <w:t>https://enrd.ec.europa.eu/evaluation/publications/guidelines-assessment-rdp-results-how-prepare-reporting-evaluation-2017_en</w:t>
        </w:r>
      </w:hyperlink>
    </w:p>
  </w:footnote>
  <w:footnote w:id="59">
    <w:p w:rsidR="00B06BF7" w:rsidRPr="00401F29" w:rsidRDefault="00B06BF7" w:rsidP="00E05D08">
      <w:pPr>
        <w:pStyle w:val="FootnoteText"/>
      </w:pPr>
      <w:r>
        <w:rPr>
          <w:rStyle w:val="FootnoteReference"/>
        </w:rPr>
        <w:footnoteRef/>
      </w:r>
      <w:r>
        <w:t xml:space="preserve"> </w:t>
      </w:r>
      <w:r>
        <w:t>Artigo 54.º do Regulamento (UE) n.º 1305/2013.</w:t>
      </w:r>
    </w:p>
  </w:footnote>
  <w:footnote w:id="60">
    <w:p w:rsidR="00B06BF7" w:rsidRPr="00401F29" w:rsidRDefault="00B06BF7" w:rsidP="00E05D08">
      <w:pPr>
        <w:pStyle w:val="FootnoteText"/>
      </w:pPr>
      <w:r>
        <w:rPr>
          <w:rStyle w:val="FootnoteReference"/>
        </w:rPr>
        <w:footnoteRef/>
      </w:r>
      <w:r>
        <w:t xml:space="preserve"> </w:t>
      </w:r>
      <w:r>
        <w:t>Artigo 54.º, n.º 3, alínea b), do Regulamento (UE) n.º 1305/2013.</w:t>
      </w:r>
    </w:p>
  </w:footnote>
  <w:footnote w:id="61">
    <w:p w:rsidR="00B06BF7" w:rsidRPr="00401F29" w:rsidRDefault="00B06BF7" w:rsidP="00E05D08">
      <w:pPr>
        <w:pStyle w:val="FootnoteText"/>
      </w:pPr>
      <w:r>
        <w:rPr>
          <w:rStyle w:val="FootnoteReference"/>
        </w:rPr>
        <w:footnoteRef/>
      </w:r>
      <w:r>
        <w:t xml:space="preserve"> </w:t>
      </w:r>
      <w:r>
        <w:t>Artigo 8.º, n.º 1, alínea c), subalínea v), do Regulamento (UE) n.º 1305/2013 e o Anexo I, parte I, ponto 5, alíneas c) e e), do Regulamento (UE) n.º 808/2014.</w:t>
      </w:r>
    </w:p>
  </w:footnote>
  <w:footnote w:id="62">
    <w:p w:rsidR="00B06BF7" w:rsidRPr="00401F29" w:rsidRDefault="00B06BF7" w:rsidP="00E05D08">
      <w:pPr>
        <w:pStyle w:val="FootnoteText"/>
      </w:pPr>
      <w:r>
        <w:rPr>
          <w:rStyle w:val="FootnoteReference"/>
        </w:rPr>
        <w:footnoteRef/>
      </w:r>
      <w:r>
        <w:t xml:space="preserve"> </w:t>
      </w:r>
      <w:r>
        <w:t>Artigo 54.º do Regulamento (UE) n.º 1305/2013.</w:t>
      </w:r>
    </w:p>
  </w:footnote>
  <w:footnote w:id="63">
    <w:p w:rsidR="00B06BF7" w:rsidRPr="00401F29" w:rsidRDefault="00B06BF7" w:rsidP="00E05D08">
      <w:pPr>
        <w:pStyle w:val="FootnoteText"/>
        <w:rPr>
          <w:rStyle w:val="Hyperlink"/>
        </w:rPr>
      </w:pPr>
      <w:r>
        <w:rPr>
          <w:rStyle w:val="FootnoteReference"/>
        </w:rPr>
        <w:footnoteRef/>
      </w:r>
      <w:r>
        <w:t xml:space="preserve"> </w:t>
      </w:r>
      <w:r>
        <w:t xml:space="preserve">Serviço de Assistência na Avaliação, documento de trabalho: «Common Evaluation questions for RDPs 2014-2020» (Questões de avaliação comuns para os PDR 2014-2020), disponível em </w:t>
      </w:r>
      <w:hyperlink r:id="rId22" w:history="1">
        <w:r>
          <w:rPr>
            <w:rStyle w:val="Hyperlink"/>
          </w:rPr>
          <w:t>http://enrd.ec.europa.eu/evaluation/publications/working-document-common-evaluation-questions-rural-development-programmes_en</w:t>
        </w:r>
      </w:hyperlink>
    </w:p>
  </w:footnote>
  <w:footnote w:id="64">
    <w:p w:rsidR="00B06BF7" w:rsidRPr="00401F29" w:rsidRDefault="00B06BF7" w:rsidP="00E05D08">
      <w:pPr>
        <w:pStyle w:val="FootnoteText"/>
      </w:pPr>
      <w:r>
        <w:rPr>
          <w:rStyle w:val="FootnoteReference"/>
        </w:rPr>
        <w:footnoteRef/>
      </w:r>
      <w:r>
        <w:t xml:space="preserve"> </w:t>
      </w:r>
      <w:r>
        <w:t>Idem.</w:t>
      </w:r>
    </w:p>
  </w:footnote>
  <w:footnote w:id="65">
    <w:p w:rsidR="00B06BF7" w:rsidRPr="00401F29" w:rsidRDefault="00B06BF7" w:rsidP="00E05D08">
      <w:pPr>
        <w:pStyle w:val="FootnoteText"/>
      </w:pPr>
      <w:r>
        <w:rPr>
          <w:rStyle w:val="FootnoteReference"/>
        </w:rPr>
        <w:footnoteRef/>
      </w:r>
      <w:r>
        <w:t xml:space="preserve"> </w:t>
      </w:r>
      <w:r>
        <w:t>Allen e Seaman (2007).</w:t>
      </w:r>
    </w:p>
  </w:footnote>
  <w:footnote w:id="66">
    <w:p w:rsidR="00B06BF7" w:rsidRPr="00401F29" w:rsidRDefault="00B06BF7" w:rsidP="00E05D08">
      <w:pPr>
        <w:pStyle w:val="FootnoteText"/>
      </w:pPr>
      <w:r>
        <w:rPr>
          <w:rStyle w:val="FootnoteReference"/>
        </w:rPr>
        <w:footnoteRef/>
      </w:r>
      <w:r>
        <w:t xml:space="preserve"> </w:t>
      </w:r>
      <w:r>
        <w:t xml:space="preserve">Serviço Europeu de Assistência na Avaliação, Orientações «Evaluation of National Rural Networks 2014-2020» (Avaliação das redes rurais nacionais 2014-2020), 2016, Capítulo 3.1.3 e Parte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B06BF7" w:rsidRPr="00401F29" w:rsidRDefault="00B06BF7" w:rsidP="00E05D08">
      <w:pPr>
        <w:pStyle w:val="FootnoteText"/>
        <w:rPr>
          <w:rStyle w:val="Hyperlink"/>
        </w:rPr>
      </w:pPr>
      <w:r>
        <w:rPr>
          <w:rStyle w:val="FootnoteReference"/>
        </w:rPr>
        <w:footnoteRef/>
      </w:r>
      <w:r>
        <w:t xml:space="preserve"> </w:t>
      </w:r>
      <w:r>
        <w:t xml:space="preserve">Exemplo da RRN italiana. </w:t>
      </w:r>
      <w:hyperlink r:id="rId25" w:history="1">
        <w:r>
          <w:rPr>
            <w:rStyle w:val="Hyperlink"/>
          </w:rPr>
          <w:t>http://www.reterurale.it/flex/cm/pages/ServeBLOB.php/L/IT/IDPagina/16281</w:t>
        </w:r>
      </w:hyperlink>
    </w:p>
    <w:p w:rsidR="00B06BF7" w:rsidRPr="00F743D3" w:rsidRDefault="00B06BF7" w:rsidP="00F74459">
      <w:pPr>
        <w:pStyle w:val="FootnoteText"/>
        <w:rPr>
          <w:lang w:val="sk-SK"/>
        </w:rPr>
      </w:pPr>
    </w:p>
  </w:footnote>
  <w:footnote w:id="68">
    <w:p w:rsidR="00B06BF7" w:rsidRPr="00CE37B0" w:rsidRDefault="00B06BF7" w:rsidP="00E05D08">
      <w:pPr>
        <w:pStyle w:val="FootnoteText"/>
      </w:pPr>
      <w:r>
        <w:rPr>
          <w:rStyle w:val="FootnoteReference"/>
        </w:rPr>
        <w:footnoteRef/>
      </w:r>
      <w:r>
        <w:t xml:space="preserve"> </w:t>
      </w:r>
      <w:r>
        <w:t xml:space="preserve">EUROPA 2020, Estratégia para um crescimento inteligente, sustentável e inclusivo, </w:t>
      </w:r>
      <w:hyperlink r:id="rId26" w:history="1">
        <w:r>
          <w:rPr>
            <w:rStyle w:val="Hyperlink"/>
          </w:rPr>
          <w:t>http://eur-lex.europa.eu/legal-content/en/ALL/?uri=CELEX%3A52010DC2020</w:t>
        </w:r>
      </w:hyperlink>
    </w:p>
  </w:footnote>
  <w:footnote w:id="69">
    <w:p w:rsidR="00B06BF7" w:rsidRPr="0026694F" w:rsidRDefault="00B06BF7"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http://ec.europa.eu/europe2020/targets/eu-targets/index_pt.htm</w:t>
        </w:r>
      </w:hyperlink>
    </w:p>
  </w:footnote>
  <w:footnote w:id="70">
    <w:p w:rsidR="00B06BF7" w:rsidRPr="008F676D" w:rsidRDefault="00B06BF7"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B06BF7" w:rsidRPr="0026694F" w:rsidRDefault="00B06BF7"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B06BF7" w:rsidRPr="00401F29" w:rsidRDefault="00B06BF7" w:rsidP="00E05D08">
      <w:pPr>
        <w:pStyle w:val="FootnoteText"/>
      </w:pPr>
      <w:r>
        <w:rPr>
          <w:rStyle w:val="FootnoteReference"/>
          <w:rFonts w:cs="Helvetica"/>
          <w:szCs w:val="18"/>
        </w:rPr>
        <w:footnoteRef/>
      </w:r>
      <w:r>
        <w:rPr>
          <w:color w:val="373737"/>
          <w:szCs w:val="18"/>
        </w:rPr>
        <w:t xml:space="preserve"> </w:t>
      </w:r>
      <w:r>
        <w:t>Decisão n.º 1608/2003/CE do Parlamento Europeu e do Conselho, Regulamento (CE) n.º 753/2004 e Regulamento (UE) n.º 995/2012.</w:t>
      </w:r>
    </w:p>
  </w:footnote>
  <w:footnote w:id="73">
    <w:p w:rsidR="00B06BF7" w:rsidRPr="008F676D" w:rsidRDefault="00B06BF7"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B06BF7" w:rsidRPr="0026694F" w:rsidRDefault="00B06BF7"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6" w:name="_Hlk500419553"/>
      <w:r>
        <w:rPr>
          <w:rFonts w:ascii="Helvetica" w:hAnsi="Helvetica"/>
          <w:szCs w:val="16"/>
        </w:rPr>
        <w:t xml:space="preserve">Na Alemanha, um estudo relativo às avaliações ex ante, que (entre outros) analisou a pertinência dos PDR para alcançar os objetivos da Estratégia Europa 2020, revelou que a contribuição dos PDR para o grande objetivo de 3 % é considerada como muito reduzida. O orçamento apenas afetará uma pequena quantia para as despesas em matéria de I&amp;D em vários Estados federais. </w:t>
      </w:r>
    </w:p>
    <w:bookmarkEnd w:id="126"/>
    <w:p w:rsidR="00B06BF7" w:rsidRPr="00E05D08" w:rsidRDefault="00B06BF7" w:rsidP="00F74459">
      <w:pPr>
        <w:pStyle w:val="FootnoteText"/>
        <w:rPr>
          <w:rFonts w:ascii="Calibri" w:hAnsi="Calibri"/>
          <w:lang w:val="sk-SK"/>
        </w:rPr>
      </w:pPr>
    </w:p>
  </w:footnote>
  <w:footnote w:id="75">
    <w:p w:rsidR="00B06BF7" w:rsidRPr="0026694F" w:rsidRDefault="00B06BF7" w:rsidP="00E05D08">
      <w:pPr>
        <w:pStyle w:val="FootnoteText"/>
        <w:rPr>
          <w:rFonts w:cs="Helvetica"/>
          <w:color w:val="373737"/>
        </w:rPr>
      </w:pPr>
      <w:r>
        <w:rPr>
          <w:rStyle w:val="FootnoteReference"/>
          <w:rFonts w:cs="Helvetica"/>
        </w:rPr>
        <w:footnoteRef/>
      </w:r>
      <w:r>
        <w:t xml:space="preserve"> </w:t>
      </w:r>
      <w:r>
        <w:t xml:space="preserve">Documento de trabalho «Common evaluation questions for RDPs 2014-2020» (Questões de avaliação comuns para os PDR 2014-2020), </w:t>
      </w:r>
      <w:hyperlink r:id="rId31" w:history="1">
        <w:r>
          <w:rPr>
            <w:rStyle w:val="Hyperlink"/>
          </w:rPr>
          <w:t>http://enrd.ec.europa.eu/evaluation/publications/working-document-common-evaluation-questions-rural-development-programmes_en</w:t>
        </w:r>
      </w:hyperlink>
    </w:p>
  </w:footnote>
  <w:footnote w:id="76">
    <w:p w:rsidR="00B06BF7" w:rsidRPr="00014A2E" w:rsidRDefault="00B06BF7" w:rsidP="00E05D08">
      <w:pPr>
        <w:pStyle w:val="FootnoteText"/>
      </w:pPr>
      <w:r>
        <w:rPr>
          <w:rStyle w:val="FootnoteReference"/>
        </w:rPr>
        <w:footnoteRef/>
      </w:r>
      <w:r>
        <w:t xml:space="preserve"> </w:t>
      </w:r>
      <w:r>
        <w:t>Artigo 8.º, n.º 1, alínea c), subalínea v), do Regulamento (UE) n.º 1305/2013 e o Anexo I, parte I, ponto 5, alíneas c) e e), do Regulamento (UE) n.º 808/2014.</w:t>
      </w:r>
    </w:p>
  </w:footnote>
  <w:footnote w:id="77">
    <w:p w:rsidR="00B06BF7" w:rsidRPr="001D68A9" w:rsidRDefault="00B06BF7"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B06BF7" w:rsidRPr="00401F29" w:rsidRDefault="00B06BF7" w:rsidP="00E05D08">
      <w:pPr>
        <w:pStyle w:val="FootnoteText"/>
      </w:pPr>
      <w:r>
        <w:rPr>
          <w:rStyle w:val="FootnoteReference"/>
        </w:rPr>
        <w:footnoteRef/>
      </w:r>
      <w:r>
        <w:t xml:space="preserve"> </w:t>
      </w:r>
      <w:r>
        <w:t>Wilson-Grau, 2015. </w:t>
      </w:r>
    </w:p>
  </w:footnote>
  <w:footnote w:id="79">
    <w:p w:rsidR="00B06BF7" w:rsidRPr="00401F29" w:rsidRDefault="00B06BF7" w:rsidP="00E05D08">
      <w:pPr>
        <w:pStyle w:val="FootnoteText"/>
      </w:pPr>
      <w:r>
        <w:rPr>
          <w:rStyle w:val="FootnoteReference"/>
        </w:rPr>
        <w:footnoteRef/>
      </w:r>
      <w:r>
        <w:t xml:space="preserve"> </w:t>
      </w:r>
      <w:r>
        <w:t>Um estudo de caso é um método de aprendizagem sobre um caso complexo, com base numa compreensão global desse caso obtida através de uma descrição e análise aprofundadas do referido caso, tomado como um todo e no seu contexto» (GAO, 1990, p. 15).</w:t>
      </w:r>
    </w:p>
  </w:footnote>
  <w:footnote w:id="80">
    <w:p w:rsidR="00B06BF7" w:rsidRPr="00401F29" w:rsidRDefault="00B06BF7" w:rsidP="00E05D08">
      <w:pPr>
        <w:pStyle w:val="FootnoteText"/>
      </w:pPr>
      <w:r>
        <w:rPr>
          <w:rStyle w:val="FootnoteReference"/>
        </w:rPr>
        <w:footnoteRef/>
      </w:r>
      <w:r>
        <w:rPr>
          <w:rStyle w:val="FootnoteReference"/>
        </w:rPr>
        <w:t xml:space="preserve"> </w:t>
      </w:r>
      <w:r>
        <w:t>O rastreio de processo é uma abordagem baseada em casos à inferência causal que incide sobre a utilização de indícios no âmbito de um processo (observações causais-processuais, OCP), para decidir entre possíveis explicações alternativas; para mais informações consultar</w:t>
      </w:r>
      <w:r>
        <w:rPr>
          <w:color w:val="373737"/>
          <w:szCs w:val="16"/>
          <w:shd w:val="clear" w:color="auto" w:fill="FFFFFF"/>
        </w:rPr>
        <w:t xml:space="preserve"> </w:t>
      </w:r>
      <w:hyperlink r:id="rId33" w:history="1">
        <w:r>
          <w:rPr>
            <w:rStyle w:val="Hyperlink"/>
            <w:szCs w:val="16"/>
            <w:shd w:val="clear" w:color="auto" w:fill="FFFFFF"/>
          </w:rPr>
          <w:t>http://www.betterevaluation.org/en/evaluation-options/processtracing</w:t>
        </w:r>
      </w:hyperlink>
      <w:r>
        <w:rPr>
          <w:color w:val="373737"/>
          <w:szCs w:val="16"/>
        </w:rPr>
        <w:t>,</w:t>
      </w:r>
      <w:r>
        <w:t xml:space="preserve"> ler também Collier 2011, ver a bibliografia.</w:t>
      </w:r>
    </w:p>
  </w:footnote>
  <w:footnote w:id="81">
    <w:p w:rsidR="00B06BF7" w:rsidRPr="00401F29" w:rsidRDefault="00B06BF7" w:rsidP="00E05D08">
      <w:pPr>
        <w:pStyle w:val="FootnoteText"/>
      </w:pPr>
      <w:r>
        <w:rPr>
          <w:rStyle w:val="FootnoteReference"/>
        </w:rPr>
        <w:footnoteRef/>
      </w:r>
      <w:r>
        <w:t xml:space="preserve"> </w:t>
      </w:r>
      <w:r>
        <w:t xml:space="preserve">«A elaboração de uma "história de inovação" é um método de registo e de reflexão sobre um processo de inovação. As pessoas que estiveram envolvidas na inovação constroem em conjunto um relato escrito pormenorizado (por vezes referido como uma "história de aprendizagem") com base nas suas memórias e em documentos disponíveis». Ler mais em </w:t>
      </w:r>
      <w:hyperlink r:id="rId34" w:history="1">
        <w:r>
          <w:rPr>
            <w:rStyle w:val="Hyperlink"/>
          </w:rPr>
          <w:t>http://www.betterevaluation.org/en/resources/tools/innovation_history/innovation_timeline</w:t>
        </w:r>
      </w:hyperlink>
      <w:r>
        <w:t xml:space="preserve">; ler também Douthwaite and Ashby, 2005; ver a bibliografia. </w:t>
      </w:r>
    </w:p>
  </w:footnote>
  <w:footnote w:id="82">
    <w:p w:rsidR="00B06BF7" w:rsidRPr="00A847F8" w:rsidRDefault="00B06BF7" w:rsidP="00A847F8">
      <w:pPr>
        <w:pStyle w:val="FootnoteText"/>
      </w:pPr>
      <w:r>
        <w:rPr>
          <w:rStyle w:val="FootnoteReference"/>
        </w:rPr>
        <w:footnoteRef/>
      </w:r>
      <w:r>
        <w:t xml:space="preserve"> </w:t>
      </w:r>
      <w:r>
        <w:t>Mayne, 2012, ver a bibliografia.</w:t>
      </w:r>
    </w:p>
  </w:footnote>
  <w:footnote w:id="83">
    <w:p w:rsidR="00B06BF7" w:rsidRPr="00A847F8" w:rsidRDefault="00B06BF7" w:rsidP="00A847F8">
      <w:pPr>
        <w:pStyle w:val="FootnoteText"/>
      </w:pPr>
      <w:r>
        <w:rPr>
          <w:rStyle w:val="FootnoteReference"/>
        </w:rPr>
        <w:footnoteRef/>
      </w:r>
      <w:r>
        <w:t xml:space="preserve"> </w:t>
      </w:r>
      <w:r>
        <w:t>Hilton, 1996, ver a bibliografia.</w:t>
      </w:r>
    </w:p>
  </w:footnote>
  <w:footnote w:id="84">
    <w:p w:rsidR="00B06BF7" w:rsidRDefault="00B06BF7" w:rsidP="00A847F8">
      <w:pPr>
        <w:pStyle w:val="FootnoteText"/>
      </w:pPr>
      <w:r>
        <w:rPr>
          <w:rStyle w:val="FootnoteReference"/>
        </w:rPr>
        <w:footnoteRef/>
      </w:r>
      <w:r>
        <w:t xml:space="preserve"> </w:t>
      </w:r>
      <w:r>
        <w:t>Pawson et al., 2005, ver a bibliografia.</w:t>
      </w:r>
    </w:p>
  </w:footnote>
  <w:footnote w:id="85">
    <w:p w:rsidR="00B06BF7" w:rsidRDefault="00B06BF7"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e Allen and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rsidP="00400064">
    <w:pPr>
      <w:pStyle w:val="Header"/>
      <w:tabs>
        <w:tab w:val="clear" w:pos="4513"/>
        <w:tab w:val="clear" w:pos="9026"/>
      </w:tabs>
      <w:jc w:val="right"/>
    </w:pPr>
    <w:r>
      <w:t>Orientações: Avaliação da Inovação nos Programas de Desenvolvimento Rural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400064" w:rsidRDefault="00B06BF7" w:rsidP="0025413B">
    <w:pPr>
      <w:jc w:val="right"/>
      <w:rPr>
        <w:color w:val="F07E31"/>
        <w:sz w:val="18"/>
        <w:szCs w:val="18"/>
      </w:rPr>
    </w:pPr>
    <w:r>
      <w:rPr>
        <w:color w:val="F07E31"/>
        <w:sz w:val="18"/>
        <w:szCs w:val="18"/>
      </w:rPr>
      <w:t>Orientações: Avaliação da Inovação nos Programas de Desenvolvimento Rural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400064" w:rsidRDefault="00B06BF7" w:rsidP="00400064">
    <w:pPr>
      <w:jc w:val="right"/>
      <w:rPr>
        <w:color w:val="F07E31"/>
        <w:sz w:val="18"/>
        <w:szCs w:val="18"/>
      </w:rPr>
    </w:pPr>
    <w:r>
      <w:rPr>
        <w:color w:val="F07E31"/>
        <w:sz w:val="18"/>
        <w:szCs w:val="18"/>
      </w:rPr>
      <w:t>Orientações: Avaliação da Inovação nos Programas de Desenvolvimento Rural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E4509B" w:rsidRDefault="00B06BF7" w:rsidP="00D50EF0">
    <w:pPr>
      <w:pStyle w:val="Header"/>
      <w:tabs>
        <w:tab w:val="clear" w:pos="4513"/>
      </w:tabs>
    </w:pPr>
    <w:r>
      <w:tab/>
    </w:r>
    <w:bookmarkStart w:id="5" w:name="_Hlk503344243"/>
    <w:r>
      <w:t>Orientações: Avaliação da Inovação nos Programas de Desenvolvimento Rural</w:t>
    </w:r>
    <w:bookmarkEnd w:id="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400064" w:rsidRDefault="00B06BF7" w:rsidP="00400064">
    <w:pPr>
      <w:jc w:val="right"/>
      <w:rPr>
        <w:color w:val="F07E31"/>
        <w:sz w:val="18"/>
        <w:szCs w:val="18"/>
      </w:rPr>
    </w:pPr>
    <w:r>
      <w:rPr>
        <w:color w:val="F07E31"/>
        <w:sz w:val="18"/>
        <w:szCs w:val="18"/>
      </w:rPr>
      <w:t>Orientações: Avaliação da Inovação nos Programas de Desenvolvimento Rural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C947BA" w:rsidRDefault="00B06BF7" w:rsidP="00C947BA">
    <w:pPr>
      <w:jc w:val="right"/>
      <w:rPr>
        <w:color w:val="F07E31"/>
        <w:sz w:val="18"/>
        <w:szCs w:val="18"/>
      </w:rPr>
    </w:pPr>
    <w:r>
      <w:rPr>
        <w:color w:val="F07E31"/>
        <w:sz w:val="18"/>
        <w:szCs w:val="18"/>
      </w:rPr>
      <w:t>Orientações: Avaliação da Inovação nos Programas de Desenvolvimento Rural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52778E" w:rsidRDefault="00B06BF7" w:rsidP="00E16522">
    <w:pPr>
      <w:pStyle w:val="Header"/>
      <w:rPr>
        <w:sz w:val="24"/>
      </w:rPr>
    </w:pPr>
    <w:r>
      <w:tab/>
    </w:r>
  </w:p>
  <w:p w:rsidR="00B06BF7" w:rsidRPr="0047590C" w:rsidRDefault="00B06BF7"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Default="00B06B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BF7" w:rsidRPr="00656719" w:rsidRDefault="00B06BF7" w:rsidP="00E16522">
    <w:pPr>
      <w:pStyle w:val="Header"/>
    </w:pPr>
    <w:r>
      <w:tab/>
    </w:r>
    <w:r>
      <w:t>Documento de referência: Avaliação da Inovação nos Programas de Desenvolvimento Rural</w:t>
    </w:r>
  </w:p>
  <w:p w:rsidR="00B06BF7" w:rsidRPr="00A04B6A" w:rsidRDefault="00B06BF7" w:rsidP="00E16522">
    <w:pPr>
      <w:pStyle w:val="Header"/>
      <w:rPr>
        <w:sz w:val="24"/>
      </w:rPr>
    </w:pPr>
  </w:p>
  <w:p w:rsidR="00B06BF7" w:rsidRPr="0047590C" w:rsidRDefault="00B06BF7"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B9CC6D06"/>
    <w:styleLink w:val="MaListe1"/>
    <w:lvl w:ilvl="0" w:tplc="E9449B84">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4880B43E"/>
    <w:lvl w:ilvl="0" w:tplc="5F50F1D2">
      <w:start w:val="1"/>
      <w:numFmt w:val="decimal"/>
      <w:pStyle w:val="HHeadingtables"/>
      <w:lvlText w:val="Table %1."/>
      <w:lvlJc w:val="left"/>
      <w:pPr>
        <w:ind w:left="644"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E9449B84">
        <w:start w:val="1"/>
        <w:numFmt w:val="decimal"/>
        <w:pStyle w:val="HHeadingfigures"/>
        <w:lvlText w:val="Figure %1."/>
        <w:lvlJc w:val="left"/>
        <w:pPr>
          <w:ind w:left="1211"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542" w:hanging="360"/>
        </w:pPr>
      </w:lvl>
    </w:lvlOverride>
    <w:lvlOverride w:ilvl="2">
      <w:lvl w:ilvl="2" w:tplc="0407001B" w:tentative="1">
        <w:start w:val="1"/>
        <w:numFmt w:val="lowerRoman"/>
        <w:lvlText w:val="%3."/>
        <w:lvlJc w:val="right"/>
        <w:pPr>
          <w:ind w:left="2262" w:hanging="180"/>
        </w:pPr>
      </w:lvl>
    </w:lvlOverride>
    <w:lvlOverride w:ilvl="3">
      <w:lvl w:ilvl="3" w:tplc="0407000F" w:tentative="1">
        <w:start w:val="1"/>
        <w:numFmt w:val="decimal"/>
        <w:lvlText w:val="%4."/>
        <w:lvlJc w:val="left"/>
        <w:pPr>
          <w:ind w:left="2982" w:hanging="360"/>
        </w:pPr>
      </w:lvl>
    </w:lvlOverride>
    <w:lvlOverride w:ilvl="4">
      <w:lvl w:ilvl="4" w:tplc="04070019" w:tentative="1">
        <w:start w:val="1"/>
        <w:numFmt w:val="lowerLetter"/>
        <w:lvlText w:val="%5."/>
        <w:lvlJc w:val="left"/>
        <w:pPr>
          <w:ind w:left="3702" w:hanging="360"/>
        </w:pPr>
      </w:lvl>
    </w:lvlOverride>
    <w:lvlOverride w:ilvl="5">
      <w:lvl w:ilvl="5" w:tplc="0407001B" w:tentative="1">
        <w:start w:val="1"/>
        <w:numFmt w:val="lowerRoman"/>
        <w:lvlText w:val="%6."/>
        <w:lvlJc w:val="right"/>
        <w:pPr>
          <w:ind w:left="4422" w:hanging="180"/>
        </w:pPr>
      </w:lvl>
    </w:lvlOverride>
    <w:lvlOverride w:ilvl="6">
      <w:lvl w:ilvl="6" w:tplc="0407000F" w:tentative="1">
        <w:start w:val="1"/>
        <w:numFmt w:val="decimal"/>
        <w:lvlText w:val="%7."/>
        <w:lvlJc w:val="left"/>
        <w:pPr>
          <w:ind w:left="5142" w:hanging="360"/>
        </w:pPr>
      </w:lvl>
    </w:lvlOverride>
    <w:lvlOverride w:ilvl="7">
      <w:lvl w:ilvl="7" w:tplc="04070019" w:tentative="1">
        <w:start w:val="1"/>
        <w:numFmt w:val="lowerLetter"/>
        <w:lvlText w:val="%8."/>
        <w:lvlJc w:val="left"/>
        <w:pPr>
          <w:ind w:left="5862" w:hanging="360"/>
        </w:pPr>
      </w:lvl>
    </w:lvlOverride>
    <w:lvlOverride w:ilvl="8">
      <w:lvl w:ilvl="8" w:tplc="0407001B" w:tentative="1">
        <w:start w:val="1"/>
        <w:numFmt w:val="lowerRoman"/>
        <w:lvlText w:val="%9."/>
        <w:lvlJc w:val="right"/>
        <w:pPr>
          <w:ind w:left="6582"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AA7"/>
    <w:rsid w:val="00021844"/>
    <w:rsid w:val="00021A55"/>
    <w:rsid w:val="00022CA7"/>
    <w:rsid w:val="00023DDA"/>
    <w:rsid w:val="00027AF3"/>
    <w:rsid w:val="000324A5"/>
    <w:rsid w:val="0003671F"/>
    <w:rsid w:val="00036912"/>
    <w:rsid w:val="00037CA6"/>
    <w:rsid w:val="000520DE"/>
    <w:rsid w:val="00053109"/>
    <w:rsid w:val="00055039"/>
    <w:rsid w:val="0006599B"/>
    <w:rsid w:val="00070489"/>
    <w:rsid w:val="000828C6"/>
    <w:rsid w:val="00096490"/>
    <w:rsid w:val="000A1399"/>
    <w:rsid w:val="000A14B3"/>
    <w:rsid w:val="000A250D"/>
    <w:rsid w:val="000A307F"/>
    <w:rsid w:val="000A43B7"/>
    <w:rsid w:val="000A718F"/>
    <w:rsid w:val="000B1654"/>
    <w:rsid w:val="000B6304"/>
    <w:rsid w:val="000C61FE"/>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BD9"/>
    <w:rsid w:val="00177C4F"/>
    <w:rsid w:val="001823C4"/>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E1B68"/>
    <w:rsid w:val="001E4AE1"/>
    <w:rsid w:val="001E7100"/>
    <w:rsid w:val="001F6140"/>
    <w:rsid w:val="001F626E"/>
    <w:rsid w:val="001F6F07"/>
    <w:rsid w:val="001F7296"/>
    <w:rsid w:val="0020060A"/>
    <w:rsid w:val="0021105B"/>
    <w:rsid w:val="002126B4"/>
    <w:rsid w:val="0022388F"/>
    <w:rsid w:val="002271D9"/>
    <w:rsid w:val="00230C31"/>
    <w:rsid w:val="00232CF1"/>
    <w:rsid w:val="00235D46"/>
    <w:rsid w:val="00237EDF"/>
    <w:rsid w:val="002403DE"/>
    <w:rsid w:val="00241313"/>
    <w:rsid w:val="00241663"/>
    <w:rsid w:val="00253803"/>
    <w:rsid w:val="0025413B"/>
    <w:rsid w:val="00260275"/>
    <w:rsid w:val="00260B97"/>
    <w:rsid w:val="00266532"/>
    <w:rsid w:val="0027166D"/>
    <w:rsid w:val="00276F14"/>
    <w:rsid w:val="002803D8"/>
    <w:rsid w:val="00282948"/>
    <w:rsid w:val="00283811"/>
    <w:rsid w:val="002964ED"/>
    <w:rsid w:val="002B4923"/>
    <w:rsid w:val="002B590B"/>
    <w:rsid w:val="002C2419"/>
    <w:rsid w:val="002C2C15"/>
    <w:rsid w:val="002C3A1C"/>
    <w:rsid w:val="002C4556"/>
    <w:rsid w:val="002C50C5"/>
    <w:rsid w:val="002C661A"/>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370DF"/>
    <w:rsid w:val="0034028A"/>
    <w:rsid w:val="003411D5"/>
    <w:rsid w:val="0034160A"/>
    <w:rsid w:val="00347A2C"/>
    <w:rsid w:val="00350B30"/>
    <w:rsid w:val="00364255"/>
    <w:rsid w:val="00364799"/>
    <w:rsid w:val="003737FE"/>
    <w:rsid w:val="00374290"/>
    <w:rsid w:val="003766ED"/>
    <w:rsid w:val="00382BE4"/>
    <w:rsid w:val="00385368"/>
    <w:rsid w:val="00387226"/>
    <w:rsid w:val="003A0643"/>
    <w:rsid w:val="003A1316"/>
    <w:rsid w:val="003A5A53"/>
    <w:rsid w:val="003B44A9"/>
    <w:rsid w:val="003B7EB7"/>
    <w:rsid w:val="003C170B"/>
    <w:rsid w:val="003C4BA9"/>
    <w:rsid w:val="003D242C"/>
    <w:rsid w:val="003D5EED"/>
    <w:rsid w:val="003E2CE0"/>
    <w:rsid w:val="003E55F2"/>
    <w:rsid w:val="003F416E"/>
    <w:rsid w:val="003F6478"/>
    <w:rsid w:val="003F6AF1"/>
    <w:rsid w:val="00400064"/>
    <w:rsid w:val="00402C8C"/>
    <w:rsid w:val="00405B0B"/>
    <w:rsid w:val="00406C98"/>
    <w:rsid w:val="00412D26"/>
    <w:rsid w:val="00413B67"/>
    <w:rsid w:val="0042403E"/>
    <w:rsid w:val="00426618"/>
    <w:rsid w:val="00431FF5"/>
    <w:rsid w:val="00433405"/>
    <w:rsid w:val="00447906"/>
    <w:rsid w:val="004508D0"/>
    <w:rsid w:val="00451BFA"/>
    <w:rsid w:val="00452B13"/>
    <w:rsid w:val="004674D4"/>
    <w:rsid w:val="00471221"/>
    <w:rsid w:val="00472162"/>
    <w:rsid w:val="00472181"/>
    <w:rsid w:val="00475ED7"/>
    <w:rsid w:val="00485923"/>
    <w:rsid w:val="0048755C"/>
    <w:rsid w:val="00490F5A"/>
    <w:rsid w:val="00497AC7"/>
    <w:rsid w:val="004A2B05"/>
    <w:rsid w:val="004B5B60"/>
    <w:rsid w:val="004C029E"/>
    <w:rsid w:val="004C17C9"/>
    <w:rsid w:val="004C2BB4"/>
    <w:rsid w:val="004C32F7"/>
    <w:rsid w:val="004C68C8"/>
    <w:rsid w:val="004C7474"/>
    <w:rsid w:val="004D352C"/>
    <w:rsid w:val="004E1E1F"/>
    <w:rsid w:val="004E272E"/>
    <w:rsid w:val="004E38AA"/>
    <w:rsid w:val="004E3DD3"/>
    <w:rsid w:val="004F244D"/>
    <w:rsid w:val="004F414C"/>
    <w:rsid w:val="00500604"/>
    <w:rsid w:val="00500D52"/>
    <w:rsid w:val="00501827"/>
    <w:rsid w:val="0050721E"/>
    <w:rsid w:val="0051213B"/>
    <w:rsid w:val="0051700B"/>
    <w:rsid w:val="00530DA6"/>
    <w:rsid w:val="00533971"/>
    <w:rsid w:val="00535A54"/>
    <w:rsid w:val="005411F9"/>
    <w:rsid w:val="00541A7D"/>
    <w:rsid w:val="00543EC8"/>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4C0D"/>
    <w:rsid w:val="00595D16"/>
    <w:rsid w:val="00596A5B"/>
    <w:rsid w:val="00597107"/>
    <w:rsid w:val="005A0605"/>
    <w:rsid w:val="005A0DA2"/>
    <w:rsid w:val="005A5457"/>
    <w:rsid w:val="005B3685"/>
    <w:rsid w:val="005D0347"/>
    <w:rsid w:val="005D5864"/>
    <w:rsid w:val="005E1D93"/>
    <w:rsid w:val="005F09BC"/>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67696"/>
    <w:rsid w:val="00673E3D"/>
    <w:rsid w:val="00674A4B"/>
    <w:rsid w:val="00676750"/>
    <w:rsid w:val="00676B41"/>
    <w:rsid w:val="006803A8"/>
    <w:rsid w:val="00682C8C"/>
    <w:rsid w:val="006871D2"/>
    <w:rsid w:val="00690E70"/>
    <w:rsid w:val="00695A11"/>
    <w:rsid w:val="00697455"/>
    <w:rsid w:val="006A092E"/>
    <w:rsid w:val="006A32EF"/>
    <w:rsid w:val="006A4AEC"/>
    <w:rsid w:val="006B72BF"/>
    <w:rsid w:val="006C068E"/>
    <w:rsid w:val="006C085A"/>
    <w:rsid w:val="006C63CD"/>
    <w:rsid w:val="006C66EC"/>
    <w:rsid w:val="006D0B02"/>
    <w:rsid w:val="006D209F"/>
    <w:rsid w:val="006D2503"/>
    <w:rsid w:val="006E0E48"/>
    <w:rsid w:val="006E2A31"/>
    <w:rsid w:val="006E592C"/>
    <w:rsid w:val="006E597D"/>
    <w:rsid w:val="006F0B79"/>
    <w:rsid w:val="006F1601"/>
    <w:rsid w:val="006F3FC1"/>
    <w:rsid w:val="006F63C5"/>
    <w:rsid w:val="00703AD9"/>
    <w:rsid w:val="00704A96"/>
    <w:rsid w:val="00710753"/>
    <w:rsid w:val="0071141A"/>
    <w:rsid w:val="00712357"/>
    <w:rsid w:val="00717885"/>
    <w:rsid w:val="00725801"/>
    <w:rsid w:val="00734B11"/>
    <w:rsid w:val="007372CD"/>
    <w:rsid w:val="007416D0"/>
    <w:rsid w:val="007441E3"/>
    <w:rsid w:val="00747754"/>
    <w:rsid w:val="00756091"/>
    <w:rsid w:val="00757688"/>
    <w:rsid w:val="007603A8"/>
    <w:rsid w:val="00764D33"/>
    <w:rsid w:val="00766324"/>
    <w:rsid w:val="00767F5C"/>
    <w:rsid w:val="007707EC"/>
    <w:rsid w:val="0078182B"/>
    <w:rsid w:val="00782C87"/>
    <w:rsid w:val="0079071D"/>
    <w:rsid w:val="007934A9"/>
    <w:rsid w:val="007968A6"/>
    <w:rsid w:val="00796E4E"/>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25B9"/>
    <w:rsid w:val="00814B95"/>
    <w:rsid w:val="008164E6"/>
    <w:rsid w:val="0081791E"/>
    <w:rsid w:val="00826484"/>
    <w:rsid w:val="008348B2"/>
    <w:rsid w:val="008518F2"/>
    <w:rsid w:val="00857D5C"/>
    <w:rsid w:val="00863DB0"/>
    <w:rsid w:val="00864D7B"/>
    <w:rsid w:val="00866B4D"/>
    <w:rsid w:val="00876579"/>
    <w:rsid w:val="0088190F"/>
    <w:rsid w:val="008873D9"/>
    <w:rsid w:val="0088770F"/>
    <w:rsid w:val="00890C92"/>
    <w:rsid w:val="00890EEC"/>
    <w:rsid w:val="00891109"/>
    <w:rsid w:val="00893616"/>
    <w:rsid w:val="00897804"/>
    <w:rsid w:val="008A0CFF"/>
    <w:rsid w:val="008A260B"/>
    <w:rsid w:val="008B008F"/>
    <w:rsid w:val="008B1A09"/>
    <w:rsid w:val="008C0B17"/>
    <w:rsid w:val="008C3EAC"/>
    <w:rsid w:val="008D05D4"/>
    <w:rsid w:val="008D178A"/>
    <w:rsid w:val="008D63A8"/>
    <w:rsid w:val="008E4AA6"/>
    <w:rsid w:val="008F1F04"/>
    <w:rsid w:val="008F5600"/>
    <w:rsid w:val="00900981"/>
    <w:rsid w:val="0090245E"/>
    <w:rsid w:val="009044EE"/>
    <w:rsid w:val="009106EA"/>
    <w:rsid w:val="00912430"/>
    <w:rsid w:val="00916AB5"/>
    <w:rsid w:val="00916BE2"/>
    <w:rsid w:val="0092027D"/>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00CB"/>
    <w:rsid w:val="009837FF"/>
    <w:rsid w:val="00984DC5"/>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04B6A"/>
    <w:rsid w:val="00A209BF"/>
    <w:rsid w:val="00A304B0"/>
    <w:rsid w:val="00A31D39"/>
    <w:rsid w:val="00A35C6D"/>
    <w:rsid w:val="00A41C35"/>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0DF2"/>
    <w:rsid w:val="00A92E91"/>
    <w:rsid w:val="00A961A7"/>
    <w:rsid w:val="00AA5817"/>
    <w:rsid w:val="00AA7F79"/>
    <w:rsid w:val="00AB16BB"/>
    <w:rsid w:val="00AB45F8"/>
    <w:rsid w:val="00AB60A2"/>
    <w:rsid w:val="00AB6603"/>
    <w:rsid w:val="00AB74DA"/>
    <w:rsid w:val="00AC1B3E"/>
    <w:rsid w:val="00AC664B"/>
    <w:rsid w:val="00AC75B9"/>
    <w:rsid w:val="00AC7DDF"/>
    <w:rsid w:val="00AD39B9"/>
    <w:rsid w:val="00AD3CD7"/>
    <w:rsid w:val="00AD72DD"/>
    <w:rsid w:val="00AE3E85"/>
    <w:rsid w:val="00AE68CA"/>
    <w:rsid w:val="00AE704F"/>
    <w:rsid w:val="00B017A2"/>
    <w:rsid w:val="00B05B45"/>
    <w:rsid w:val="00B06BF7"/>
    <w:rsid w:val="00B10B3C"/>
    <w:rsid w:val="00B24679"/>
    <w:rsid w:val="00B311E6"/>
    <w:rsid w:val="00B35581"/>
    <w:rsid w:val="00B36B77"/>
    <w:rsid w:val="00B37E2A"/>
    <w:rsid w:val="00B40BDE"/>
    <w:rsid w:val="00B40DBF"/>
    <w:rsid w:val="00B41573"/>
    <w:rsid w:val="00B421B9"/>
    <w:rsid w:val="00B44C5C"/>
    <w:rsid w:val="00B51B3B"/>
    <w:rsid w:val="00B5530E"/>
    <w:rsid w:val="00B61CF5"/>
    <w:rsid w:val="00B63DE8"/>
    <w:rsid w:val="00B64C7D"/>
    <w:rsid w:val="00B737D4"/>
    <w:rsid w:val="00B76BA4"/>
    <w:rsid w:val="00B83BA7"/>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906"/>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78B"/>
    <w:rsid w:val="00CA3A48"/>
    <w:rsid w:val="00CA6EC8"/>
    <w:rsid w:val="00CB01B1"/>
    <w:rsid w:val="00CB3AD0"/>
    <w:rsid w:val="00CB4818"/>
    <w:rsid w:val="00CB60CA"/>
    <w:rsid w:val="00CB68D9"/>
    <w:rsid w:val="00CC53B5"/>
    <w:rsid w:val="00CD3BC8"/>
    <w:rsid w:val="00CD7942"/>
    <w:rsid w:val="00CE2990"/>
    <w:rsid w:val="00CF14F6"/>
    <w:rsid w:val="00CF37F0"/>
    <w:rsid w:val="00CF4822"/>
    <w:rsid w:val="00CF6D0E"/>
    <w:rsid w:val="00D010F5"/>
    <w:rsid w:val="00D05E3A"/>
    <w:rsid w:val="00D076E7"/>
    <w:rsid w:val="00D10FA6"/>
    <w:rsid w:val="00D13817"/>
    <w:rsid w:val="00D201A2"/>
    <w:rsid w:val="00D32DA8"/>
    <w:rsid w:val="00D32E53"/>
    <w:rsid w:val="00D35751"/>
    <w:rsid w:val="00D35DF4"/>
    <w:rsid w:val="00D40512"/>
    <w:rsid w:val="00D4053E"/>
    <w:rsid w:val="00D4147C"/>
    <w:rsid w:val="00D461AB"/>
    <w:rsid w:val="00D50380"/>
    <w:rsid w:val="00D50EF0"/>
    <w:rsid w:val="00D53343"/>
    <w:rsid w:val="00D55226"/>
    <w:rsid w:val="00D57D0A"/>
    <w:rsid w:val="00D612DC"/>
    <w:rsid w:val="00D615F0"/>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A619E"/>
    <w:rsid w:val="00DB1887"/>
    <w:rsid w:val="00DC1C77"/>
    <w:rsid w:val="00DC20D6"/>
    <w:rsid w:val="00DC2840"/>
    <w:rsid w:val="00DC6C4F"/>
    <w:rsid w:val="00DD247A"/>
    <w:rsid w:val="00DD473C"/>
    <w:rsid w:val="00DD4C4C"/>
    <w:rsid w:val="00DE256D"/>
    <w:rsid w:val="00DE2C82"/>
    <w:rsid w:val="00DF68E2"/>
    <w:rsid w:val="00DF7873"/>
    <w:rsid w:val="00E009A1"/>
    <w:rsid w:val="00E03826"/>
    <w:rsid w:val="00E05D08"/>
    <w:rsid w:val="00E16522"/>
    <w:rsid w:val="00E30E27"/>
    <w:rsid w:val="00E33F37"/>
    <w:rsid w:val="00E34FAC"/>
    <w:rsid w:val="00E36F81"/>
    <w:rsid w:val="00E37A81"/>
    <w:rsid w:val="00E54013"/>
    <w:rsid w:val="00E54929"/>
    <w:rsid w:val="00E634DC"/>
    <w:rsid w:val="00E64309"/>
    <w:rsid w:val="00E71021"/>
    <w:rsid w:val="00E713B8"/>
    <w:rsid w:val="00E72529"/>
    <w:rsid w:val="00E76A0C"/>
    <w:rsid w:val="00E8197A"/>
    <w:rsid w:val="00E849E7"/>
    <w:rsid w:val="00EA0618"/>
    <w:rsid w:val="00EA0974"/>
    <w:rsid w:val="00EB2EBF"/>
    <w:rsid w:val="00EB77F2"/>
    <w:rsid w:val="00EB7915"/>
    <w:rsid w:val="00EC468B"/>
    <w:rsid w:val="00EC4AF4"/>
    <w:rsid w:val="00EC5172"/>
    <w:rsid w:val="00ED1295"/>
    <w:rsid w:val="00ED1649"/>
    <w:rsid w:val="00ED47C5"/>
    <w:rsid w:val="00ED5B77"/>
    <w:rsid w:val="00EE3543"/>
    <w:rsid w:val="00EF0A96"/>
    <w:rsid w:val="00EF1B0F"/>
    <w:rsid w:val="00EF4540"/>
    <w:rsid w:val="00EF5936"/>
    <w:rsid w:val="00F01E0F"/>
    <w:rsid w:val="00F0545B"/>
    <w:rsid w:val="00F117CA"/>
    <w:rsid w:val="00F12FAB"/>
    <w:rsid w:val="00F13B45"/>
    <w:rsid w:val="00F16CAB"/>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2671"/>
    <w:rsid w:val="00F8743F"/>
    <w:rsid w:val="00F9406A"/>
    <w:rsid w:val="00F94F86"/>
    <w:rsid w:val="00FA12EA"/>
    <w:rsid w:val="00FA6691"/>
    <w:rsid w:val="00FB51EF"/>
    <w:rsid w:val="00FB5B14"/>
    <w:rsid w:val="00FB6B17"/>
    <w:rsid w:val="00FC1408"/>
    <w:rsid w:val="00FC14FF"/>
    <w:rsid w:val="00FC7364"/>
    <w:rsid w:val="00FD3B66"/>
    <w:rsid w:val="00FE6B45"/>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C6DC5"/>
  <w15:docId w15:val="{822EF743-89D5-4AA5-B26B-FC5931FF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pt-PT"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pt-PT"/>
    </w:rPr>
  </w:style>
  <w:style w:type="paragraph" w:customStyle="1" w:styleId="HStandard">
    <w:name w:val="H_Standard"/>
    <w:rsid w:val="000C61FE"/>
    <w:pPr>
      <w:spacing w:after="120" w:line="280" w:lineRule="atLeast"/>
      <w:jc w:val="both"/>
    </w:pPr>
    <w:rPr>
      <w:rFonts w:ascii="Arial" w:eastAsia="Times New Roman" w:hAnsi="Arial" w:cs="Times New Roman"/>
      <w:noProof/>
      <w:color w:val="373737"/>
      <w:sz w:val="20"/>
      <w:szCs w:val="20"/>
      <w:lang w:eastAsia="pt-PT"/>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D7942"/>
    <w:pPr>
      <w:numPr>
        <w:numId w:val="7"/>
      </w:numPr>
      <w:spacing w:before="200" w:after="140" w:line="240" w:lineRule="auto"/>
      <w:ind w:left="851" w:hanging="851"/>
    </w:pPr>
    <w:rPr>
      <w:rFonts w:ascii="Arial" w:eastAsia="Times New Roman" w:hAnsi="Arial" w:cs="Times New Roman"/>
      <w:b/>
      <w:color w:val="6F6F6F"/>
      <w:sz w:val="18"/>
      <w:szCs w:val="18"/>
      <w:lang w:eastAsia="de-DE"/>
    </w:rPr>
  </w:style>
  <w:style w:type="paragraph" w:customStyle="1" w:styleId="HHeadingfigures">
    <w:name w:val="H_Heading_figures"/>
    <w:basedOn w:val="HHeadingtables"/>
    <w:next w:val="HStandard"/>
    <w:qFormat/>
    <w:rsid w:val="00E05D08"/>
    <w:pPr>
      <w:numPr>
        <w:numId w:val="8"/>
      </w:numPr>
      <w:tabs>
        <w:tab w:val="num" w:pos="964"/>
      </w:tabs>
      <w:ind w:left="964"/>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pt-PT"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cambridge.org/core/journals/ps-political-science-and-politics/article/understanding-process-tracing/183A057AD6A36783E678CB37440346D1"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nrd.ec.europa.eu/sites/enrd/files/twg-02-nrn-july2016.pdf" TargetMode="External"/><Relationship Id="rId84" Type="http://schemas.openxmlformats.org/officeDocument/2006/relationships/hyperlink" Target="http://www.men-d.de/uploads/media/MEN-D_Jahresveranstaltung_2017.pdf"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c.europa.eu/eip/agriculture/sites/agri-eip/files/16_measure_fiche_art_35_co-operation.pdf" TargetMode="Externa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enrd.ec.europa.eu/enrd-static/app_templates/enrd_assets/pdf/guidebook/nrn_handbook_webversion.pdf" TargetMode="External"/><Relationship Id="rId79" Type="http://schemas.openxmlformats.org/officeDocument/2006/relationships/hyperlink" Target="https://enrd.ec.europa.eu/sites/enrd/files/uploaded-files/wp_evaluation_questions_2015.pdf" TargetMode="External"/><Relationship Id="rId102" Type="http://schemas.openxmlformats.org/officeDocument/2006/relationships/hyperlink" Target="https://enrd.ec.europa.eu/sites/enrd/files/uploaded-files/wp_evaluation_questions_2015.pdf" TargetMode="External"/><Relationship Id="rId123" Type="http://schemas.openxmlformats.org/officeDocument/2006/relationships/hyperlink" Target="http://journals.sagepub.com/doi/abs/10.1177/1356389012451663" TargetMode="External"/><Relationship Id="rId128"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90" Type="http://schemas.openxmlformats.org/officeDocument/2006/relationships/hyperlink" Target="http://www.men-d.de/uploads/media/MEN-D_Jahresveranstaltung_2017.pdf" TargetMode="External"/><Relationship Id="rId95" Type="http://schemas.openxmlformats.org/officeDocument/2006/relationships/header" Target="header9.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c.europa.eu/eip/agriculture/sites/agri-eip/files/16_measure_fiche_art_35_co-operation.pdf" TargetMode="External"/><Relationship Id="rId64" Type="http://schemas.openxmlformats.org/officeDocument/2006/relationships/hyperlink" Target="https://enrd.ec.europa.eu/evaluation/publications/guidelines-evaluation-national-rural-networks-2014-2020_en" TargetMode="External"/><Relationship Id="rId69" Type="http://schemas.openxmlformats.org/officeDocument/2006/relationships/hyperlink" Target="https://ec.europa.eu/eip/agriculture/en/publications/guidelines-programming-innovation-and"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 TargetMode="External"/><Relationship Id="rId105" Type="http://schemas.openxmlformats.org/officeDocument/2006/relationships/hyperlink" Target="https://www.cambridge.org/core/journals/ps-political-science-and-politics/article/understanding-process-tracing/183A057AD6A36783E678CB37440346D1" TargetMode="External"/><Relationship Id="rId113" Type="http://schemas.openxmlformats.org/officeDocument/2006/relationships/hyperlink" Target="http://journals.sagepub.com/doi/abs/10.1177/1356389012451663" TargetMode="External"/><Relationship Id="rId118" Type="http://schemas.openxmlformats.org/officeDocument/2006/relationships/hyperlink" Target="http://ageconsearch.umn.edu/bitstream/52515/2/ILAC_Brief05_Histories.pdf" TargetMode="External"/><Relationship Id="rId126" Type="http://schemas.openxmlformats.org/officeDocument/2006/relationships/hyperlink" Target="https://www.ncbi.nlm.nih.gov/pubmed/16053581" TargetMode="External"/><Relationship Id="rId134"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6.emf"/><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eader" Target="header7.xml"/><Relationship Id="rId85" Type="http://schemas.openxmlformats.org/officeDocument/2006/relationships/hyperlink" Target="http://www.men-d.de/index.php?id=81&amp;tx_ttnews%5btt_news%5d=150&amp;tx_ttnews%5bbackPid%5d=85&amp;cHash=41ecd4ea5c" TargetMode="External"/><Relationship Id="rId93" Type="http://schemas.openxmlformats.org/officeDocument/2006/relationships/image" Target="media/image18.emf"/><Relationship Id="rId98" Type="http://schemas.openxmlformats.org/officeDocument/2006/relationships/hyperlink" Target="http://www.hnvlink.eu/" TargetMode="External"/><Relationship Id="rId121" Type="http://schemas.openxmlformats.org/officeDocument/2006/relationships/hyperlink" Target="http://www.tandfonline.com/doi/abs/10.1080/13546789639444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enrd.ec.europa.eu/enrd-static/app_templates/enrd_assets/pdf/guidebook/nrn_handbook_webversion.pdf" TargetMode="External"/><Relationship Id="rId103" Type="http://schemas.openxmlformats.org/officeDocument/2006/relationships/header" Target="header10.xml"/><Relationship Id="rId108" Type="http://schemas.openxmlformats.org/officeDocument/2006/relationships/hyperlink" Target="https://www.gao.gov/products/GAO/PEMD-10.1.9" TargetMode="External"/><Relationship Id="rId116" Type="http://schemas.openxmlformats.org/officeDocument/2006/relationships/hyperlink" Target="http://asq.org/quality-progress/2007/07/statistics/likert-scales-and-data-analyses.html"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ec.europa.eu/eip/agriculture/sites/agri-eip/files/eip-guidelines-july-2014_en.pdf" TargetMode="External"/><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7.emf"/><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nrd.ec.europa.eu/sites/enrd/files/twg-02-nrn-july2016.pdf"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50&amp;tx_ttnews%5bbackPid%5d=85&amp;cHash=41ecd4ea5c"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s://ec.europa.eu/eip/agriculture/sites/agri-eip/files/communication_on_eip_-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ageconsearch.umn.edu/bitstream/52515/2/ILAC_Brief05_Histories.pdf" TargetMode="External"/><Relationship Id="rId114" Type="http://schemas.openxmlformats.org/officeDocument/2006/relationships/hyperlink" Target="https://www.ncbi.nlm.nih.gov/pubmed/16053581" TargetMode="External"/><Relationship Id="rId119" Type="http://schemas.openxmlformats.org/officeDocument/2006/relationships/hyperlink" Target="https://www.gao.gov/products/GAO/PEMD-10.1.9" TargetMode="External"/><Relationship Id="rId127" Type="http://schemas.openxmlformats.org/officeDocument/2006/relationships/hyperlink" Target="http://betterevaluation.org/plan/approach/outcome_harvesting"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EN:PDF" TargetMode="External"/><Relationship Id="rId86" Type="http://schemas.openxmlformats.org/officeDocument/2006/relationships/hyperlink" Target="http://www.men-d.de/index.php?id=81&amp;tx_ttnews%5btt_news%5d=195&amp;tx_ttnews%5bbackPid%5d=85&amp;cHash=08539b2ad7" TargetMode="External"/><Relationship Id="rId94" Type="http://schemas.openxmlformats.org/officeDocument/2006/relationships/header" Target="header8.xml"/><Relationship Id="rId99" Type="http://schemas.openxmlformats.org/officeDocument/2006/relationships/hyperlink" Target="http://www.hnvlink.eu/download/D1.3BAcomplete.pdf" TargetMode="External"/><Relationship Id="rId101" Type="http://schemas.openxmlformats.org/officeDocument/2006/relationships/hyperlink" Target="http://www.hnvlink.eu/download/D1.3BAcomplete.pdf" TargetMode="External"/><Relationship Id="rId122" Type="http://schemas.openxmlformats.org/officeDocument/2006/relationships/hyperlink" Target="http://www.tandfonline.com/doi/abs/10.1080/135467896394447" TargetMode="External"/><Relationship Id="rId130" Type="http://schemas.openxmlformats.org/officeDocument/2006/relationships/hyperlink" Target="http://enrd.ec.europa.eu/enrd-static/app_templates/enrd_assets/pdf/guidebook/nrn_handbook_webversion.pdf" TargetMode="External"/><Relationship Id="rId13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www.tandfonline.com/doi/abs/10.1080/135467896394447"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enrd.ec.europa.eu/news-events/events/enrd-workshop-measure-16-cooperation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c.europa.eu/eip/agriculture/en/publications/guidelines-programming-innovation-and"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yperlink" Target="http://asq.org/quality-progress/2007/07/statistics/likert-scales-and-data-analyses.html" TargetMode="External"/><Relationship Id="rId120" Type="http://schemas.openxmlformats.org/officeDocument/2006/relationships/hyperlink" Target="https://www.gao.gov/products/GAO/PEMD-10.1.9" TargetMode="External"/><Relationship Id="rId125" Type="http://schemas.openxmlformats.org/officeDocument/2006/relationships/hyperlink" Target="http://journals.sagepub.com/doi/abs/10.1177/1356389012451663"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yperlink" Target="http://www.men-d.de/index.php?id=81&amp;tx_ttnews%5btt_news%5d=195&amp;tx_ttnews%5bbackPid%5d=85&amp;cHash=08539b2ad7"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gi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ur-lex.europa.eu/LexUriServ/LexUriServ.do?uri=COM:2010:2020:FIN:EN:PDF" TargetMode="External"/><Relationship Id="rId110" Type="http://schemas.openxmlformats.org/officeDocument/2006/relationships/hyperlink" Target="http://www.tandfonline.com/doi/abs/10.1080/135467896394447" TargetMode="External"/><Relationship Id="rId115" Type="http://schemas.openxmlformats.org/officeDocument/2006/relationships/hyperlink" Target="http://betterevaluation.org/plan/approach/outcome_harvesting" TargetMode="External"/><Relationship Id="rId131" Type="http://schemas.openxmlformats.org/officeDocument/2006/relationships/hyperlink" Target="https://ec.europa.eu/research/innovation-union/pdf/innovation-union-communication_en.pdf" TargetMode="External"/><Relationship Id="rId136" Type="http://schemas.openxmlformats.org/officeDocument/2006/relationships/fontTable" Target="fontTable.xml"/><Relationship Id="rId61" Type="http://schemas.openxmlformats.org/officeDocument/2006/relationships/hyperlink" Target="http://enrd.ec.europa.eu/news-events/events/enrd-workshop-measure-16-cooperation_en"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pt.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pt.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8562D-FE28-43BB-B9C9-0FAE262E3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84</Pages>
  <Words>21895</Words>
  <Characters>124808</Characters>
  <Application>Microsoft Office Word</Application>
  <DocSecurity>0</DocSecurity>
  <Lines>1040</Lines>
  <Paragraphs>292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2018-03-13T13:34:00Z</cp:lastPrinted>
  <dcterms:created xsi:type="dcterms:W3CDTF">2018-03-20T09:19:00Z</dcterms:created>
  <dcterms:modified xsi:type="dcterms:W3CDTF">2018-03-20T09:37:00Z</dcterms:modified>
</cp:coreProperties>
</file>