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D08" w:rsidRPr="00290F11" w:rsidRDefault="00E05D08" w:rsidP="00E05D08">
      <w:pPr>
        <w:spacing w:after="120" w:line="280" w:lineRule="atLeast"/>
        <w:mirrorIndents/>
        <w:rPr>
          <w:rFonts w:eastAsia="Times New Roman" w:cs="Times New Roman"/>
          <w:szCs w:val="20"/>
        </w:rPr>
      </w:pPr>
      <w:bookmarkStart w:id="0" w:name="_Hlk503275930"/>
      <w:r w:rsidRPr="00290F11">
        <w:rPr>
          <w:rFonts w:eastAsia="Times New Roman" w:cs="Times New Roman"/>
          <w:noProof/>
          <w:szCs w:val="24"/>
          <w:lang w:val="en-GB" w:eastAsia="en-GB"/>
        </w:rPr>
        <mc:AlternateContent>
          <mc:Choice Requires="wps">
            <w:drawing>
              <wp:anchor distT="0" distB="0" distL="114300" distR="114300" simplePos="0" relativeHeight="251660288" behindDoc="1" locked="0" layoutInCell="1" allowOverlap="1" wp14:anchorId="28DACB5C" wp14:editId="6CB84988">
                <wp:simplePos x="0" y="0"/>
                <wp:positionH relativeFrom="page">
                  <wp:posOffset>2052320</wp:posOffset>
                </wp:positionH>
                <wp:positionV relativeFrom="page">
                  <wp:posOffset>5022850</wp:posOffset>
                </wp:positionV>
                <wp:extent cx="4958080" cy="3855720"/>
                <wp:effectExtent l="0" t="0" r="13970" b="11430"/>
                <wp:wrapTight wrapText="bothSides">
                  <wp:wrapPolygon edited="0">
                    <wp:start x="0" y="0"/>
                    <wp:lineTo x="0" y="21557"/>
                    <wp:lineTo x="21578" y="21557"/>
                    <wp:lineTo x="21578"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70DA" w:rsidRPr="00DD6E53" w:rsidRDefault="005570DA" w:rsidP="00E05D08">
                            <w:pPr>
                              <w:pStyle w:val="HTitle1"/>
                            </w:pPr>
                            <w:r>
                              <w:t xml:space="preserve">Linji Gwida </w:t>
                            </w:r>
                          </w:p>
                          <w:p w:rsidR="005570DA" w:rsidRPr="00DD6E53" w:rsidRDefault="005570DA" w:rsidP="00C947BA">
                            <w:pPr>
                              <w:pStyle w:val="HTitle2"/>
                              <w:jc w:val="left"/>
                            </w:pPr>
                            <w:bookmarkStart w:id="1" w:name="_Hlk501355929"/>
                            <w:r>
                              <w:t xml:space="preserve">Evalwazzjoni tal-Innovazzjoni </w:t>
                            </w:r>
                            <w:r>
                              <w:br/>
                              <w:t>fil-Programmi tal-Iżvilupp Rurali 2014-2020</w:t>
                            </w:r>
                            <w:bookmarkEnd w:id="1"/>
                            <w:r>
                              <w:t xml:space="preserve"> </w:t>
                            </w:r>
                          </w:p>
                          <w:p w:rsidR="005570DA" w:rsidRPr="00DD6E53" w:rsidRDefault="005570DA" w:rsidP="00E05D08">
                            <w:pPr>
                              <w:rPr>
                                <w:color w:val="6F6F6F"/>
                                <w:sz w:val="28"/>
                                <w:szCs w:val="28"/>
                              </w:rPr>
                            </w:pPr>
                          </w:p>
                          <w:p w:rsidR="005570DA" w:rsidRDefault="005570DA" w:rsidP="00E05D08">
                            <w:pPr>
                              <w:pStyle w:val="HTitle3"/>
                            </w:pPr>
                            <w:r>
                              <w:t xml:space="preserve">Diċembru 2017 </w:t>
                            </w:r>
                          </w:p>
                          <w:p w:rsidR="005570DA" w:rsidRDefault="005570DA" w:rsidP="00E05D08">
                            <w:pPr>
                              <w:pStyle w:val="HTitle3"/>
                            </w:pPr>
                          </w:p>
                          <w:p w:rsidR="005570DA" w:rsidRDefault="005570DA" w:rsidP="00E05D08">
                            <w:pPr>
                              <w:pStyle w:val="HTitle3"/>
                            </w:pPr>
                          </w:p>
                          <w:p w:rsidR="005570DA" w:rsidRDefault="005570DA" w:rsidP="00E05D08">
                            <w:pPr>
                              <w:pStyle w:val="HTitle3"/>
                            </w:pPr>
                          </w:p>
                          <w:p w:rsidR="005570DA" w:rsidRPr="00912430" w:rsidRDefault="005570DA" w:rsidP="00912430">
                            <w:pPr>
                              <w:rPr>
                                <w:color w:val="auto"/>
                                <w:sz w:val="18"/>
                                <w:szCs w:val="18"/>
                              </w:rPr>
                            </w:pPr>
                            <w:r>
                              <w:rPr>
                                <w:i/>
                                <w:sz w:val="18"/>
                                <w:szCs w:val="18"/>
                              </w:rPr>
                              <w:t xml:space="preserve">Dan id-dokument fih it-traduzzjoni tal-verżjoni ta’ Diċembru 2017 tal-“Linji Gwida: Evalwazzjoni tal-Innovazzjoni fil-Programmi tal-Iżvilupp Rurali 2014-2020”. Din it-traduzzjoni hija pprovduta sabiex tagħmel il-Linji Gwida aktar utli u aċċessibbli għall-partijiet ikkonċernati kollha. Għandu jiġi nnotat li l-verżjoni bl-Ingliż għandha tintuża bħala t-test ta’ referenza definittiv. Il-verżjoni bl-Ingliż hija disponibbli fuq </w:t>
                            </w:r>
                            <w:hyperlink r:id="rId8" w:tgtFrame="_blank" w:history="1">
                              <w:r>
                                <w:rPr>
                                  <w:rStyle w:val="Hyperlink"/>
                                  <w:i/>
                                  <w:sz w:val="18"/>
                                  <w:szCs w:val="18"/>
                                </w:rPr>
                                <w:t>il-link li ġejja</w:t>
                              </w:r>
                            </w:hyperlink>
                            <w:r>
                              <w:rPr>
                                <w:rStyle w:val="Hyperlink"/>
                                <w:color w:val="auto"/>
                                <w:sz w:val="18"/>
                                <w:szCs w:val="18"/>
                                <w:u w:val="no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ACB5C" id="_x0000_t202" coordsize="21600,21600" o:spt="202" path="m,l,21600r21600,l21600,xe">
                <v:stroke joinstyle="miter"/>
                <v:path gradientshapeok="t" o:connecttype="rect"/>
              </v:shapetype>
              <v:shape id="Text Box 5" o:spid="_x0000_s1026" type="#_x0000_t202" style="position:absolute;left:0;text-align:left;margin-left:161.6pt;margin-top:395.5pt;width:390.4pt;height:303.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DQrw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" filled="f" stroked="f">
                <v:textbox inset="0,0,0,0">
                  <w:txbxContent>
                    <w:p w:rsidR="005570DA" w:rsidRPr="00DD6E53" w:rsidRDefault="005570DA" w:rsidP="00E05D08">
                      <w:pPr>
                        <w:pStyle w:val="HTitle1"/>
                      </w:pPr>
                      <w:r>
                        <w:t xml:space="preserve">Linji Gwida </w:t>
                      </w:r>
                    </w:p>
                    <w:p w:rsidR="005570DA" w:rsidRPr="00DD6E53" w:rsidRDefault="005570DA" w:rsidP="00C947BA">
                      <w:pPr>
                        <w:pStyle w:val="HTitle2"/>
                        <w:jc w:val="left"/>
                      </w:pPr>
                      <w:bookmarkStart w:id="2" w:name="_Hlk501355929"/>
                      <w:r>
                        <w:t xml:space="preserve">Evalwazzjoni tal-Innovazzjoni </w:t>
                      </w:r>
                      <w:r>
                        <w:br/>
                        <w:t>fil-Programmi tal-Iżvilupp Rurali 2014-2020</w:t>
                      </w:r>
                      <w:bookmarkEnd w:id="2"/>
                      <w:r>
                        <w:t xml:space="preserve"> </w:t>
                      </w:r>
                    </w:p>
                    <w:p w:rsidR="005570DA" w:rsidRPr="00DD6E53" w:rsidRDefault="005570DA" w:rsidP="00E05D08">
                      <w:pPr>
                        <w:rPr>
                          <w:color w:val="6F6F6F"/>
                          <w:sz w:val="28"/>
                          <w:szCs w:val="28"/>
                        </w:rPr>
                      </w:pPr>
                    </w:p>
                    <w:p w:rsidR="005570DA" w:rsidRDefault="005570DA" w:rsidP="00E05D08">
                      <w:pPr>
                        <w:pStyle w:val="HTitle3"/>
                      </w:pPr>
                      <w:r>
                        <w:t xml:space="preserve">Diċembru 2017 </w:t>
                      </w:r>
                    </w:p>
                    <w:p w:rsidR="005570DA" w:rsidRDefault="005570DA" w:rsidP="00E05D08">
                      <w:pPr>
                        <w:pStyle w:val="HTitle3"/>
                      </w:pPr>
                    </w:p>
                    <w:p w:rsidR="005570DA" w:rsidRDefault="005570DA" w:rsidP="00E05D08">
                      <w:pPr>
                        <w:pStyle w:val="HTitle3"/>
                      </w:pPr>
                    </w:p>
                    <w:p w:rsidR="005570DA" w:rsidRDefault="005570DA" w:rsidP="00E05D08">
                      <w:pPr>
                        <w:pStyle w:val="HTitle3"/>
                      </w:pPr>
                    </w:p>
                    <w:p w:rsidR="005570DA" w:rsidRPr="00912430" w:rsidRDefault="005570DA" w:rsidP="00912430">
                      <w:pPr>
                        <w:rPr>
                          <w:color w:val="auto"/>
                          <w:sz w:val="18"/>
                          <w:szCs w:val="18"/>
                        </w:rPr>
                      </w:pPr>
                      <w:r>
                        <w:rPr>
                          <w:i/>
                          <w:sz w:val="18"/>
                          <w:szCs w:val="18"/>
                        </w:rPr>
                        <w:t xml:space="preserve">Dan id-dokument fih it-traduzzjoni tal-verżjoni ta’ Diċembru 2017 tal-“Linji Gwida: Evalwazzjoni tal-Innovazzjoni fil-Programmi tal-Iżvilupp Rurali 2014-2020”. Din it-traduzzjoni hija pprovduta sabiex tagħmel il-Linji Gwida aktar utli u aċċessibbli għall-partijiet ikkonċernati kollha. Għandu jiġi nnotat li l-verżjoni bl-Ingliż għandha tintuża bħala t-test ta’ referenza definittiv. Il-verżjoni bl-Ingliż hija disponibbli fuq </w:t>
                      </w:r>
                      <w:hyperlink r:id="rId9" w:tgtFrame="_blank" w:history="1">
                        <w:r>
                          <w:rPr>
                            <w:rStyle w:val="Hyperlink"/>
                            <w:i/>
                            <w:sz w:val="18"/>
                            <w:szCs w:val="18"/>
                          </w:rPr>
                          <w:t>il-link li ġejja</w:t>
                        </w:r>
                      </w:hyperlink>
                      <w:r>
                        <w:rPr>
                          <w:rStyle w:val="Hyperlink"/>
                          <w:color w:val="auto"/>
                          <w:sz w:val="18"/>
                          <w:szCs w:val="18"/>
                          <w:u w:val="none"/>
                        </w:rPr>
                        <w:t>.</w:t>
                      </w:r>
                    </w:p>
                  </w:txbxContent>
                </v:textbox>
                <w10:wrap type="tight" anchorx="page" anchory="page"/>
              </v:shape>
            </w:pict>
          </mc:Fallback>
        </mc:AlternateContent>
      </w:r>
      <w:r w:rsidRPr="00290F11">
        <w:br w:type="page"/>
      </w:r>
    </w:p>
    <w:p w:rsidR="00E05D08" w:rsidRPr="00290F11" w:rsidRDefault="00E05D08" w:rsidP="00E05D08">
      <w:pPr>
        <w:spacing w:after="120" w:line="280" w:lineRule="atLeast"/>
        <w:mirrorIndents/>
        <w:rPr>
          <w:rFonts w:eastAsia="Times New Roman" w:cs="Times New Roman"/>
          <w:szCs w:val="20"/>
        </w:rPr>
      </w:pPr>
      <w:r w:rsidRPr="00290F11">
        <w:rPr>
          <w:rFonts w:eastAsia="Times New Roman" w:cs="Times New Roman"/>
          <w:noProof/>
          <w:szCs w:val="20"/>
          <w:lang w:val="en-GB" w:eastAsia="en-GB"/>
        </w:rPr>
        <w:lastRenderedPageBreak/>
        <mc:AlternateContent>
          <mc:Choice Requires="wps">
            <w:drawing>
              <wp:anchor distT="0" distB="0" distL="114300" distR="114300" simplePos="0" relativeHeight="251661312" behindDoc="0" locked="0" layoutInCell="1" allowOverlap="1" wp14:anchorId="74E9E0B0" wp14:editId="4B5DAA8F">
                <wp:simplePos x="0" y="0"/>
                <wp:positionH relativeFrom="margin">
                  <wp:posOffset>-457200</wp:posOffset>
                </wp:positionH>
                <wp:positionV relativeFrom="paragraph">
                  <wp:posOffset>4094328</wp:posOffset>
                </wp:positionV>
                <wp:extent cx="6455391"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391" cy="5161915"/>
                        </a:xfrm>
                        <a:prstGeom prst="rect">
                          <a:avLst/>
                        </a:prstGeom>
                        <a:solidFill>
                          <a:srgbClr val="FFFFFF">
                            <a:alpha val="0"/>
                          </a:srgbClr>
                        </a:solidFill>
                        <a:ln>
                          <a:noFill/>
                        </a:ln>
                        <a:extLst/>
                      </wps:spPr>
                      <wps:txbx>
                        <w:txbxContent>
                          <w:p w:rsidR="005570DA" w:rsidRPr="007F1B7F" w:rsidRDefault="005570DA" w:rsidP="00E05D08">
                            <w:pPr>
                              <w:pStyle w:val="Normal12PTcouleurgris"/>
                              <w:rPr>
                                <w:sz w:val="18"/>
                              </w:rPr>
                            </w:pPr>
                            <w:r>
                              <w:rPr>
                                <w:sz w:val="18"/>
                              </w:rPr>
                              <w:t>Avviż tad-dritt tal-awtur</w:t>
                            </w:r>
                          </w:p>
                          <w:p w:rsidR="005570DA" w:rsidRPr="007F1B7F" w:rsidRDefault="005570DA" w:rsidP="00E05D08">
                            <w:pPr>
                              <w:pStyle w:val="Normal12PTcouleurgris"/>
                              <w:rPr>
                                <w:sz w:val="18"/>
                              </w:rPr>
                            </w:pPr>
                            <w:r>
                              <w:rPr>
                                <w:sz w:val="18"/>
                              </w:rPr>
                              <w:t>© L-Unjoni Ewropea, 2017</w:t>
                            </w:r>
                          </w:p>
                          <w:p w:rsidR="005570DA" w:rsidRPr="007F1B7F" w:rsidRDefault="005570DA" w:rsidP="00E05D08">
                            <w:pPr>
                              <w:pStyle w:val="Normal12PTcouleurgris"/>
                              <w:rPr>
                                <w:sz w:val="18"/>
                              </w:rPr>
                            </w:pPr>
                            <w:r>
                              <w:rPr>
                                <w:sz w:val="18"/>
                              </w:rPr>
                              <w:t>Ir-riproduzzjoni hija awtorizzata kemm-il darba jiġi rikonoxxut is-sors oriġinali.</w:t>
                            </w:r>
                          </w:p>
                          <w:p w:rsidR="005570DA" w:rsidRPr="0002668A" w:rsidRDefault="005570DA" w:rsidP="00E05D08">
                            <w:pPr>
                              <w:pStyle w:val="Normal12PTcouleurgris"/>
                              <w:rPr>
                                <w:sz w:val="18"/>
                              </w:rPr>
                            </w:pPr>
                            <w:r>
                              <w:rPr>
                                <w:bCs/>
                                <w:sz w:val="18"/>
                                <w:u w:val="single"/>
                              </w:rPr>
                              <w:t>Kwotazzjoni rrakkomandata</w:t>
                            </w:r>
                            <w:r>
                              <w:rPr>
                                <w:bCs/>
                                <w:sz w:val="18"/>
                              </w:rPr>
                              <w:t>:</w:t>
                            </w:r>
                            <w:r>
                              <w:rPr>
                                <w:sz w:val="18"/>
                              </w:rPr>
                              <w:t xml:space="preserve"> </w:t>
                            </w:r>
                          </w:p>
                          <w:p w:rsidR="005570DA" w:rsidRPr="0002668A" w:rsidRDefault="005570DA" w:rsidP="00E05D08">
                            <w:pPr>
                              <w:pStyle w:val="Normal12PTcouleurgris"/>
                              <w:rPr>
                                <w:sz w:val="18"/>
                              </w:rPr>
                            </w:pPr>
                            <w:r>
                              <w:rPr>
                                <w:sz w:val="18"/>
                              </w:rPr>
                              <w:t>IL-KUMMISSJONI EWROPEA, Id-Direttorat Ġenerali għall-Agrikoltura u l-Iżvilupp Rurali, Unità C.4 (2017): Linji gwida. Evalwazzjoni tal-innovazzjoni fil-programmi tal-iżvilupp rurali 2014-2020.</w:t>
                            </w:r>
                          </w:p>
                          <w:p w:rsidR="005570DA" w:rsidRPr="0002668A" w:rsidRDefault="005570DA" w:rsidP="00E05D08">
                            <w:pPr>
                              <w:pStyle w:val="Normal12PTcouleurgris"/>
                              <w:rPr>
                                <w:bCs/>
                                <w:sz w:val="18"/>
                                <w:u w:val="single"/>
                              </w:rPr>
                            </w:pPr>
                            <w:r>
                              <w:rPr>
                                <w:bCs/>
                                <w:sz w:val="18"/>
                                <w:u w:val="single"/>
                              </w:rPr>
                              <w:t>Dikjarazzjoni ta’ ċaħda ta’ responsabbiltà:</w:t>
                            </w:r>
                          </w:p>
                          <w:p w:rsidR="005570DA" w:rsidRPr="0002668A" w:rsidRDefault="005570DA" w:rsidP="00E05D08">
                            <w:pPr>
                              <w:pStyle w:val="Normal12PTcouleurgris"/>
                              <w:rPr>
                                <w:sz w:val="18"/>
                              </w:rPr>
                            </w:pPr>
                            <w:r>
                              <w:rPr>
                                <w:sz w:val="18"/>
                              </w:rPr>
                              <w:t>L-informazzjoni u l-opinjonijiet ippreżentati f’dan ir-rapport huma tal-awtur(i) u mhux neċessarjament jirriflettu l-opinjoni uffiċjali tal-Kummissjoni. Il-Kummissjoni ma tiggarantixxix il-preċiżjoni tad-data inkluża f’dan ir-rapport. La l-Kummissjoni u lanqas xi persuna oħra li taġixxi f’isem il-Kummissjoni ma jistgħu jinżammu responsabbli għall-użu li jista’ jsir mill-informazzjoni li tinsab fiha.</w:t>
                            </w:r>
                          </w:p>
                          <w:p w:rsidR="005570DA" w:rsidRPr="000B1DDA" w:rsidRDefault="005570DA" w:rsidP="00E05D08">
                            <w:pPr>
                              <w:pStyle w:val="Normal12PTcouleurgris"/>
                            </w:pPr>
                          </w:p>
                          <w:p w:rsidR="005570DA" w:rsidRPr="004D4D87" w:rsidRDefault="005570DA" w:rsidP="00E05D08">
                            <w:pPr>
                              <w:pStyle w:val="Normal12PTcouleurgris"/>
                            </w:pPr>
                            <w:r>
                              <w:rPr>
                                <w:noProof/>
                                <w:lang w:val="en-GB" w:eastAsia="en-GB"/>
                              </w:rPr>
                              <w:drawing>
                                <wp:inline distT="0" distB="0" distL="0" distR="0" wp14:anchorId="59CF2CBF" wp14:editId="7BF47B5E">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D2DB923" wp14:editId="0E245473">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5570DA" w:rsidRPr="00E05D08" w:rsidRDefault="005570DA" w:rsidP="00E05D08">
                            <w:pPr>
                              <w:pStyle w:val="Normal12PTcouleurgris"/>
                              <w:rPr>
                                <w:color w:val="BFBFBF"/>
                              </w:rPr>
                            </w:pPr>
                          </w:p>
                          <w:p w:rsidR="005570DA" w:rsidRPr="007F1B7F" w:rsidRDefault="005570DA" w:rsidP="00E05D08">
                            <w:pPr>
                              <w:pStyle w:val="Normal12PTcouleurgris"/>
                              <w:rPr>
                                <w:sz w:val="18"/>
                              </w:rPr>
                            </w:pPr>
                            <w:r w:rsidRPr="002B5B92">
                              <w:rPr>
                                <w:sz w:val="18"/>
                              </w:rPr>
                              <w:t>Il-Helpdesk ta’ Evalwazzjoni huwa responsabbli għall-funzjoni ta' evalwazzjoni fi ħdan in-Netwerk Ewropew għall-Iżvilupp Rurali (ENRD) billi jipprovdi gwida dwar l-evalwazzjoni tal-PŻR u tal-politiki li jaqgħu taħt il-mandat u l-gwida tal-Unità C.4 ‘Monitoraġġ u evalwazzjoni’ tad-DĠ AGRI tal-Kummissjoni Ewropea (KE). Sabiex titjieb l-evalwazzjoni tal-politika ta’ żvilupp rurali tal-UE, il-Helpdesk ta’ Evalwazzjoni jappoġġja lill-partijiet ikkonċernati tal-evalwazzjoni kollha, b’mod partikolari lid-DĠ AGRI, lill-awtoritajiet nazzjonali, lill-awtoritajiet maniġerjali u l-evalwaturi tal-PŻR, permezz tal-iżvilupp u t-tixrid tal-metodoloġiji u l-għodod xierqa; il-ġbir u l-iskambju ta’ prattiki tajba; il-bini ta’ kapaċità, u l-komunikazzjoni mal-membri tan-netwerk dwar suġġetti relatati mal-evalwazzjoni.</w:t>
                            </w:r>
                          </w:p>
                          <w:p w:rsidR="005570DA" w:rsidRPr="007F1B7F" w:rsidRDefault="005570DA" w:rsidP="00E05D08">
                            <w:pPr>
                              <w:pStyle w:val="Normal12PTcouleurgris"/>
                              <w:rPr>
                                <w:sz w:val="18"/>
                              </w:rPr>
                            </w:pPr>
                            <w:r>
                              <w:rPr>
                                <w:sz w:val="18"/>
                              </w:rPr>
                              <w:t>Informazzjoni addizzjonali dwar l-attivitajiet tal-Helpdesk ta’ Evalwazzjoni Ewropew għall-Iżvilupp Rurali hija disponibbli fuq l-Internet permezz tas-server Europa (http://enrd.ec.europa.eu).</w:t>
                            </w:r>
                          </w:p>
                          <w:p w:rsidR="005570DA" w:rsidRPr="00811EF1" w:rsidRDefault="005570DA" w:rsidP="00E05D08">
                            <w:pPr>
                              <w:pStyle w:val="Hdisclaim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9E0B0" id="Text Box 7" o:spid="_x0000_s1027" type="#_x0000_t202" style="position:absolute;left:0;text-align:left;margin-left:-36pt;margin-top:322.4pt;width:508.3pt;height:406.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" stroked="f">
                <v:fill opacity="0"/>
                <v:textbox>
                  <w:txbxContent>
                    <w:p w:rsidR="005570DA" w:rsidRPr="007F1B7F" w:rsidRDefault="005570DA" w:rsidP="00E05D08">
                      <w:pPr>
                        <w:pStyle w:val="Normal12PTcouleurgris"/>
                        <w:rPr>
                          <w:sz w:val="18"/>
                        </w:rPr>
                      </w:pPr>
                      <w:r>
                        <w:rPr>
                          <w:sz w:val="18"/>
                        </w:rPr>
                        <w:t>Avviż tad-dritt tal-awtur</w:t>
                      </w:r>
                    </w:p>
                    <w:p w:rsidR="005570DA" w:rsidRPr="007F1B7F" w:rsidRDefault="005570DA" w:rsidP="00E05D08">
                      <w:pPr>
                        <w:pStyle w:val="Normal12PTcouleurgris"/>
                        <w:rPr>
                          <w:sz w:val="18"/>
                        </w:rPr>
                      </w:pPr>
                      <w:r>
                        <w:rPr>
                          <w:sz w:val="18"/>
                        </w:rPr>
                        <w:t>© L-Unjoni Ewropea, 2017</w:t>
                      </w:r>
                    </w:p>
                    <w:p w:rsidR="005570DA" w:rsidRPr="007F1B7F" w:rsidRDefault="005570DA" w:rsidP="00E05D08">
                      <w:pPr>
                        <w:pStyle w:val="Normal12PTcouleurgris"/>
                        <w:rPr>
                          <w:sz w:val="18"/>
                        </w:rPr>
                      </w:pPr>
                      <w:r>
                        <w:rPr>
                          <w:sz w:val="18"/>
                        </w:rPr>
                        <w:t>Ir-riproduzzjoni hija awtorizzata kemm-il darba jiġi rikonoxxut is-sors oriġinali.</w:t>
                      </w:r>
                    </w:p>
                    <w:p w:rsidR="005570DA" w:rsidRPr="0002668A" w:rsidRDefault="005570DA" w:rsidP="00E05D08">
                      <w:pPr>
                        <w:pStyle w:val="Normal12PTcouleurgris"/>
                        <w:rPr>
                          <w:sz w:val="18"/>
                        </w:rPr>
                      </w:pPr>
                      <w:r>
                        <w:rPr>
                          <w:bCs/>
                          <w:sz w:val="18"/>
                          <w:u w:val="single"/>
                        </w:rPr>
                        <w:t>Kwotazzjoni rrakkomandata</w:t>
                      </w:r>
                      <w:r>
                        <w:rPr>
                          <w:bCs/>
                          <w:sz w:val="18"/>
                        </w:rPr>
                        <w:t>:</w:t>
                      </w:r>
                      <w:r>
                        <w:rPr>
                          <w:sz w:val="18"/>
                        </w:rPr>
                        <w:t xml:space="preserve"> </w:t>
                      </w:r>
                    </w:p>
                    <w:p w:rsidR="005570DA" w:rsidRPr="0002668A" w:rsidRDefault="005570DA" w:rsidP="00E05D08">
                      <w:pPr>
                        <w:pStyle w:val="Normal12PTcouleurgris"/>
                        <w:rPr>
                          <w:sz w:val="18"/>
                        </w:rPr>
                      </w:pPr>
                      <w:r>
                        <w:rPr>
                          <w:sz w:val="18"/>
                        </w:rPr>
                        <w:t>IL-KUMMISSJONI EWROPEA, Id-Direttorat Ġenerali għall-Agrikoltura u l-Iżvilupp Rurali, Unità C.4 (2017): Linji gwida. Evalwazzjoni tal-innovazzjoni fil-programmi tal-iżvilupp rurali 2014-2020.</w:t>
                      </w:r>
                    </w:p>
                    <w:p w:rsidR="005570DA" w:rsidRPr="0002668A" w:rsidRDefault="005570DA" w:rsidP="00E05D08">
                      <w:pPr>
                        <w:pStyle w:val="Normal12PTcouleurgris"/>
                        <w:rPr>
                          <w:bCs/>
                          <w:sz w:val="18"/>
                          <w:u w:val="single"/>
                        </w:rPr>
                      </w:pPr>
                      <w:r>
                        <w:rPr>
                          <w:bCs/>
                          <w:sz w:val="18"/>
                          <w:u w:val="single"/>
                        </w:rPr>
                        <w:t>Dikjarazzjoni ta’ ċaħda ta’ responsabbiltà:</w:t>
                      </w:r>
                    </w:p>
                    <w:p w:rsidR="005570DA" w:rsidRPr="0002668A" w:rsidRDefault="005570DA" w:rsidP="00E05D08">
                      <w:pPr>
                        <w:pStyle w:val="Normal12PTcouleurgris"/>
                        <w:rPr>
                          <w:sz w:val="18"/>
                        </w:rPr>
                      </w:pPr>
                      <w:r>
                        <w:rPr>
                          <w:sz w:val="18"/>
                        </w:rPr>
                        <w:t>L-informazzjoni u l-opinjonijiet ippreżentati f’dan ir-rapport huma tal-awtur(i) u mhux neċessarjament jirriflettu l-opinjoni uffiċjali tal-Kummissjoni. Il-Kummissjoni ma tiggarantixxix il-preċiżjoni tad-data inkluża f’dan ir-rapport. La l-Kummissjoni u lanqas xi persuna oħra li taġixxi f’isem il-Kummissjoni ma jistgħu jinżammu responsabbli għall-użu li jista’ jsir mill-informazzjoni li tinsab fiha.</w:t>
                      </w:r>
                    </w:p>
                    <w:p w:rsidR="005570DA" w:rsidRPr="000B1DDA" w:rsidRDefault="005570DA" w:rsidP="00E05D08">
                      <w:pPr>
                        <w:pStyle w:val="Normal12PTcouleurgris"/>
                      </w:pPr>
                    </w:p>
                    <w:p w:rsidR="005570DA" w:rsidRPr="004D4D87" w:rsidRDefault="005570DA" w:rsidP="00E05D08">
                      <w:pPr>
                        <w:pStyle w:val="Normal12PTcouleurgris"/>
                      </w:pPr>
                      <w:r>
                        <w:rPr>
                          <w:noProof/>
                          <w:lang w:val="en-GB" w:eastAsia="en-GB"/>
                        </w:rPr>
                        <w:drawing>
                          <wp:inline distT="0" distB="0" distL="0" distR="0" wp14:anchorId="59CF2CBF" wp14:editId="7BF47B5E">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D2DB923" wp14:editId="0E245473">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5570DA" w:rsidRPr="00E05D08" w:rsidRDefault="005570DA" w:rsidP="00E05D08">
                      <w:pPr>
                        <w:pStyle w:val="Normal12PTcouleurgris"/>
                        <w:rPr>
                          <w:color w:val="BFBFBF"/>
                        </w:rPr>
                      </w:pPr>
                    </w:p>
                    <w:p w:rsidR="005570DA" w:rsidRPr="007F1B7F" w:rsidRDefault="005570DA" w:rsidP="00E05D08">
                      <w:pPr>
                        <w:pStyle w:val="Normal12PTcouleurgris"/>
                        <w:rPr>
                          <w:sz w:val="18"/>
                        </w:rPr>
                      </w:pPr>
                      <w:r w:rsidRPr="002B5B92">
                        <w:rPr>
                          <w:sz w:val="18"/>
                        </w:rPr>
                        <w:t>Il-Helpdesk ta’ Evalwazzjoni huwa responsabbli għall-funzjoni ta' evalwazzjoni fi ħdan in-Netwerk Ewropew għall-Iżvilupp Rurali (ENRD) billi jipprovdi gwida dwar l-evalwazzjoni tal-PŻR u tal-politiki li jaqgħu taħt il-mandat u l-gwida tal-Unità C.4 ‘Monitoraġġ u evalwazzjoni’ tad-DĠ AGRI tal-Kummissjoni Ewropea (KE). Sabiex titjieb l-evalwazzjoni tal-politika ta’ żvilupp rurali tal-UE, il-Helpdesk ta’ Evalwazzjoni jappoġġja lill-partijiet ikkonċernati tal-evalwazzjoni kollha, b’mod partikolari lid-DĠ AGRI, lill-awtoritajiet nazzjonali, lill-awtoritajiet maniġerjali u l-evalwaturi tal-PŻR, permezz tal-iżvilupp u t-tixrid tal-metodoloġiji u l-għodod xierqa; il-ġbir u l-iskambju ta’ prattiki tajba; il-bini ta’ kapaċità, u l-komunikazzjoni mal-membri tan-netwerk dwar suġġetti relatati mal-evalwazzjoni.</w:t>
                      </w:r>
                    </w:p>
                    <w:p w:rsidR="005570DA" w:rsidRPr="007F1B7F" w:rsidRDefault="005570DA" w:rsidP="00E05D08">
                      <w:pPr>
                        <w:pStyle w:val="Normal12PTcouleurgris"/>
                        <w:rPr>
                          <w:sz w:val="18"/>
                        </w:rPr>
                      </w:pPr>
                      <w:r>
                        <w:rPr>
                          <w:sz w:val="18"/>
                        </w:rPr>
                        <w:t>Informazzjoni addizzjonali dwar l-attivitajiet tal-Helpdesk ta’ Evalwazzjoni Ewropew għall-Iżvilupp Rurali hija disponibbli fuq l-Internet permezz tas-server Europa (http://enrd.ec.europa.eu).</w:t>
                      </w:r>
                    </w:p>
                    <w:p w:rsidR="005570DA" w:rsidRPr="00811EF1" w:rsidRDefault="005570DA" w:rsidP="00E05D08">
                      <w:pPr>
                        <w:pStyle w:val="Hdisclaimer"/>
                      </w:pPr>
                    </w:p>
                  </w:txbxContent>
                </v:textbox>
                <w10:wrap anchorx="margin"/>
              </v:shape>
            </w:pict>
          </mc:Fallback>
        </mc:AlternateContent>
      </w:r>
      <w:r w:rsidRPr="00290F11">
        <w:br w:type="page"/>
      </w:r>
    </w:p>
    <w:p w:rsidR="00E05D08" w:rsidRPr="00290F11" w:rsidRDefault="00E05D08" w:rsidP="00E05D08">
      <w:pPr>
        <w:spacing w:after="120" w:line="280" w:lineRule="atLeast"/>
        <w:mirrorIndents/>
        <w:rPr>
          <w:rFonts w:eastAsia="Times New Roman" w:cs="Times New Roman"/>
          <w:szCs w:val="20"/>
          <w:lang w:eastAsia="de-DE"/>
        </w:rPr>
      </w:pPr>
    </w:p>
    <w:p w:rsidR="00E05D08" w:rsidRPr="00290F11" w:rsidRDefault="00E05D08" w:rsidP="00E05D08">
      <w:pPr>
        <w:spacing w:after="120" w:line="280" w:lineRule="atLeast"/>
        <w:mirrorIndents/>
        <w:rPr>
          <w:rFonts w:eastAsia="Times New Roman" w:cs="Times New Roman"/>
          <w:szCs w:val="20"/>
          <w:lang w:eastAsia="de-DE"/>
        </w:rPr>
      </w:pPr>
    </w:p>
    <w:p w:rsidR="00E05D08" w:rsidRPr="00290F11" w:rsidRDefault="00E05D08" w:rsidP="00E05D08">
      <w:pPr>
        <w:spacing w:after="120" w:line="280" w:lineRule="atLeast"/>
        <w:mirrorIndents/>
        <w:rPr>
          <w:rFonts w:eastAsia="Times New Roman" w:cs="Times New Roman"/>
          <w:szCs w:val="20"/>
          <w:lang w:eastAsia="de-DE"/>
        </w:rPr>
      </w:pPr>
    </w:p>
    <w:p w:rsidR="00E05D08" w:rsidRPr="00290F11" w:rsidRDefault="00E05D08" w:rsidP="00E05D08">
      <w:pPr>
        <w:spacing w:after="120" w:line="280" w:lineRule="atLeast"/>
        <w:mirrorIndents/>
        <w:rPr>
          <w:rFonts w:eastAsia="Times New Roman" w:cs="Times New Roman"/>
          <w:szCs w:val="20"/>
        </w:rPr>
      </w:pPr>
      <w:r w:rsidRPr="00290F11">
        <w:rPr>
          <w:rFonts w:eastAsia="Times New Roman" w:cs="Times New Roman"/>
          <w:noProof/>
          <w:szCs w:val="20"/>
          <w:lang w:val="en-GB" w:eastAsia="en-GB"/>
        </w:rPr>
        <mc:AlternateContent>
          <mc:Choice Requires="wps">
            <w:drawing>
              <wp:anchor distT="0" distB="0" distL="114300" distR="114300" simplePos="0" relativeHeight="251662336" behindDoc="1" locked="0" layoutInCell="1" allowOverlap="1" wp14:anchorId="63651C12" wp14:editId="38F2BC80">
                <wp:simplePos x="0" y="0"/>
                <wp:positionH relativeFrom="page">
                  <wp:posOffset>2204720</wp:posOffset>
                </wp:positionH>
                <wp:positionV relativeFrom="page">
                  <wp:posOffset>5175250</wp:posOffset>
                </wp:positionV>
                <wp:extent cx="4958080" cy="3855720"/>
                <wp:effectExtent l="4445" t="3175" r="0" b="0"/>
                <wp:wrapTight wrapText="bothSides">
                  <wp:wrapPolygon edited="0">
                    <wp:start x="0" y="0"/>
                    <wp:lineTo x="21600" y="0"/>
                    <wp:lineTo x="21600" y="21600"/>
                    <wp:lineTo x="0" y="21600"/>
                    <wp:lineTo x="0" y="0"/>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70DA" w:rsidRPr="002D3552" w:rsidRDefault="005570DA" w:rsidP="00E05D08">
                            <w:pPr>
                              <w:pStyle w:val="HTitle1"/>
                            </w:pPr>
                            <w:r>
                              <w:t xml:space="preserve">Linji Gwida </w:t>
                            </w:r>
                          </w:p>
                          <w:p w:rsidR="005570DA" w:rsidRPr="00DD6E53" w:rsidRDefault="005570DA" w:rsidP="00C947BA">
                            <w:pPr>
                              <w:pStyle w:val="HTitle2"/>
                              <w:jc w:val="left"/>
                            </w:pPr>
                            <w:r>
                              <w:t xml:space="preserve">Evalwazzjoni tal-Innovazzjoni </w:t>
                            </w:r>
                            <w:r>
                              <w:br/>
                              <w:t xml:space="preserve">fil-Programmi tal-Iżvilupp Rurali 2014-2020 </w:t>
                            </w:r>
                          </w:p>
                          <w:p w:rsidR="005570DA" w:rsidRPr="00DD6E53" w:rsidRDefault="005570DA" w:rsidP="00E05D08">
                            <w:pPr>
                              <w:rPr>
                                <w:color w:val="6F6F6F"/>
                                <w:sz w:val="28"/>
                                <w:szCs w:val="28"/>
                              </w:rPr>
                            </w:pPr>
                          </w:p>
                          <w:p w:rsidR="005570DA" w:rsidRDefault="005570DA" w:rsidP="00E05D08">
                            <w:pPr>
                              <w:pStyle w:val="HTitle3"/>
                            </w:pPr>
                            <w:r>
                              <w:t xml:space="preserve">Diċembru 2017 </w:t>
                            </w:r>
                          </w:p>
                          <w:p w:rsidR="005570DA" w:rsidRPr="00BE49CF" w:rsidRDefault="005570DA" w:rsidP="00E05D08">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51C12" id="Text Box 16" o:spid="_x0000_s1028" type="#_x0000_t202" style="position:absolute;left:0;text-align:left;margin-left:173.6pt;margin-top:407.5pt;width:390.4pt;height:30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Gt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cxdRrbMCAACy&#10;BQAADgAAAAAAAAAAAAAAAAAuAgAAZHJzL2Uyb0RvYy54bWxQSwECLQAUAAYACAAAACEAec+11OEA&#10;AAANAQAADwAAAAAAAAAAAAAAAAANBQAAZHJzL2Rvd25yZXYueG1sUEsFBgAAAAAEAAQA8wAAABsG&#10;AAAAAA==&#10;" filled="f" stroked="f">
                <v:textbox inset="0,0,0,0">
                  <w:txbxContent>
                    <w:p w:rsidR="005570DA" w:rsidRPr="002D3552" w:rsidRDefault="005570DA" w:rsidP="00E05D08">
                      <w:pPr>
                        <w:pStyle w:val="HTitle1"/>
                      </w:pPr>
                      <w:r>
                        <w:t xml:space="preserve">Linji Gwida </w:t>
                      </w:r>
                    </w:p>
                    <w:p w:rsidR="005570DA" w:rsidRPr="00DD6E53" w:rsidRDefault="005570DA" w:rsidP="00C947BA">
                      <w:pPr>
                        <w:pStyle w:val="HTitle2"/>
                        <w:jc w:val="left"/>
                      </w:pPr>
                      <w:r>
                        <w:t xml:space="preserve">Evalwazzjoni tal-Innovazzjoni </w:t>
                      </w:r>
                      <w:r>
                        <w:br/>
                        <w:t xml:space="preserve">fil-Programmi tal-Iżvilupp Rurali 2014-2020 </w:t>
                      </w:r>
                    </w:p>
                    <w:p w:rsidR="005570DA" w:rsidRPr="00DD6E53" w:rsidRDefault="005570DA" w:rsidP="00E05D08">
                      <w:pPr>
                        <w:rPr>
                          <w:color w:val="6F6F6F"/>
                          <w:sz w:val="28"/>
                          <w:szCs w:val="28"/>
                        </w:rPr>
                      </w:pPr>
                    </w:p>
                    <w:p w:rsidR="005570DA" w:rsidRDefault="005570DA" w:rsidP="00E05D08">
                      <w:pPr>
                        <w:pStyle w:val="HTitle3"/>
                      </w:pPr>
                      <w:r>
                        <w:t xml:space="preserve">Diċembru 2017 </w:t>
                      </w:r>
                    </w:p>
                    <w:p w:rsidR="005570DA" w:rsidRPr="00BE49CF" w:rsidRDefault="005570DA" w:rsidP="00E05D08">
                      <w:pPr>
                        <w:pStyle w:val="HTitle3"/>
                      </w:pPr>
                    </w:p>
                  </w:txbxContent>
                </v:textbox>
                <w10:wrap type="tight" anchorx="page" anchory="page"/>
              </v:shape>
            </w:pict>
          </mc:Fallback>
        </mc:AlternateContent>
      </w:r>
    </w:p>
    <w:p w:rsidR="00E05D08" w:rsidRPr="00290F11" w:rsidRDefault="00E05D08" w:rsidP="00E05D08">
      <w:pPr>
        <w:spacing w:after="120" w:line="280" w:lineRule="atLeast"/>
        <w:mirrorIndents/>
        <w:rPr>
          <w:rFonts w:eastAsia="Times New Roman" w:cs="Times New Roman"/>
          <w:szCs w:val="20"/>
          <w:lang w:eastAsia="de-DE"/>
        </w:rPr>
        <w:sectPr w:rsidR="00E05D08" w:rsidRPr="00290F11" w:rsidSect="00BC211C">
          <w:headerReference w:type="default" r:id="rId12"/>
          <w:endnotePr>
            <w:numFmt w:val="decimal"/>
          </w:endnotePr>
          <w:pgSz w:w="11906" w:h="16838" w:code="9"/>
          <w:pgMar w:top="1440" w:right="1440" w:bottom="1134" w:left="1440" w:header="624" w:footer="709" w:gutter="0"/>
          <w:cols w:space="708"/>
          <w:titlePg/>
          <w:docGrid w:linePitch="360"/>
        </w:sectPr>
      </w:pPr>
    </w:p>
    <w:p w:rsidR="00405B0B" w:rsidRPr="00290F11" w:rsidRDefault="00405B0B"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sidRPr="00290F11">
        <w:lastRenderedPageBreak/>
        <w:br w:type="page"/>
      </w:r>
    </w:p>
    <w:p w:rsidR="00E05D08" w:rsidRPr="00290F11"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sidRPr="00290F11">
        <w:rPr>
          <w:b/>
          <w:bCs/>
          <w:caps/>
          <w:color w:val="F07E31"/>
          <w:szCs w:val="32"/>
        </w:rPr>
        <w:lastRenderedPageBreak/>
        <w:t>Kontenut</w:t>
      </w:r>
    </w:p>
    <w:p w:rsidR="00857495" w:rsidRDefault="009837FF">
      <w:pPr>
        <w:pStyle w:val="TOC1"/>
        <w:tabs>
          <w:tab w:val="right" w:leader="dot" w:pos="9040"/>
        </w:tabs>
        <w:rPr>
          <w:rFonts w:asciiTheme="minorHAnsi" w:eastAsiaTheme="minorEastAsia" w:hAnsiTheme="minorHAnsi"/>
          <w:b w:val="0"/>
          <w:caps w:val="0"/>
          <w:noProof/>
          <w:color w:val="auto"/>
          <w:sz w:val="22"/>
          <w:lang w:val="en-GB" w:eastAsia="en-GB"/>
        </w:rPr>
      </w:pPr>
      <w:r w:rsidRPr="00290F11">
        <w:rPr>
          <w:rFonts w:ascii="Helvetica LT Pro" w:eastAsia="Times New Roman" w:hAnsi="Helvetica LT Pro" w:cs="Times New Roman"/>
          <w:caps w:val="0"/>
          <w:color w:val="000000" w:themeColor="text1"/>
          <w:szCs w:val="20"/>
        </w:rPr>
        <w:fldChar w:fldCharType="begin"/>
      </w:r>
      <w:r w:rsidRPr="00290F11">
        <w:rPr>
          <w:rFonts w:ascii="Helvetica LT Pro" w:eastAsia="Times New Roman" w:hAnsi="Helvetica LT Pro" w:cs="Times New Roman"/>
          <w:caps w:val="0"/>
          <w:color w:val="000000" w:themeColor="text1"/>
          <w:szCs w:val="20"/>
        </w:rPr>
        <w:instrText xml:space="preserve"> TOC \h \z \t "H_Heading 1;1;H_Heading 2;2;H_Heading 3;3" </w:instrText>
      </w:r>
      <w:r w:rsidRPr="00290F11">
        <w:rPr>
          <w:rFonts w:ascii="Helvetica LT Pro" w:eastAsia="Times New Roman" w:hAnsi="Helvetica LT Pro" w:cs="Times New Roman"/>
          <w:caps w:val="0"/>
          <w:color w:val="000000" w:themeColor="text1"/>
          <w:szCs w:val="20"/>
        </w:rPr>
        <w:fldChar w:fldCharType="separate"/>
      </w:r>
      <w:hyperlink w:anchor="_Toc508960910" w:history="1">
        <w:r w:rsidR="00857495" w:rsidRPr="002936DB">
          <w:rPr>
            <w:rStyle w:val="Hyperlink"/>
            <w:noProof/>
          </w:rPr>
          <w:t>1.</w:t>
        </w:r>
        <w:r w:rsidR="00857495">
          <w:rPr>
            <w:rFonts w:asciiTheme="minorHAnsi" w:eastAsiaTheme="minorEastAsia" w:hAnsiTheme="minorHAnsi"/>
            <w:b w:val="0"/>
            <w:caps w:val="0"/>
            <w:noProof/>
            <w:color w:val="auto"/>
            <w:sz w:val="22"/>
            <w:lang w:val="en-GB" w:eastAsia="en-GB"/>
          </w:rPr>
          <w:tab/>
        </w:r>
        <w:r w:rsidR="00857495" w:rsidRPr="002936DB">
          <w:rPr>
            <w:rStyle w:val="Hyperlink"/>
            <w:noProof/>
          </w:rPr>
          <w:t>QAFAS KUNĊETTWALI</w:t>
        </w:r>
        <w:r w:rsidR="00857495">
          <w:rPr>
            <w:noProof/>
            <w:webHidden/>
          </w:rPr>
          <w:tab/>
        </w:r>
        <w:r w:rsidR="00857495">
          <w:rPr>
            <w:noProof/>
            <w:webHidden/>
          </w:rPr>
          <w:fldChar w:fldCharType="begin"/>
        </w:r>
        <w:r w:rsidR="00857495">
          <w:rPr>
            <w:noProof/>
            <w:webHidden/>
          </w:rPr>
          <w:instrText xml:space="preserve"> PAGEREF _Toc508960910 \h </w:instrText>
        </w:r>
        <w:r w:rsidR="00857495">
          <w:rPr>
            <w:noProof/>
            <w:webHidden/>
          </w:rPr>
        </w:r>
        <w:r w:rsidR="00857495">
          <w:rPr>
            <w:noProof/>
            <w:webHidden/>
          </w:rPr>
          <w:fldChar w:fldCharType="separate"/>
        </w:r>
        <w:r w:rsidR="009F33FD">
          <w:rPr>
            <w:noProof/>
            <w:webHidden/>
          </w:rPr>
          <w:t>3</w:t>
        </w:r>
        <w:r w:rsidR="00857495">
          <w:rPr>
            <w:noProof/>
            <w:webHidden/>
          </w:rPr>
          <w:fldChar w:fldCharType="end"/>
        </w:r>
      </w:hyperlink>
    </w:p>
    <w:p w:rsidR="00857495" w:rsidRDefault="005570DA" w:rsidP="00266A8E">
      <w:pPr>
        <w:pStyle w:val="TOC2"/>
        <w:rPr>
          <w:rFonts w:asciiTheme="minorHAnsi" w:eastAsiaTheme="minorEastAsia" w:hAnsiTheme="minorHAnsi"/>
          <w:noProof/>
          <w:color w:val="auto"/>
          <w:sz w:val="22"/>
          <w:lang w:val="en-GB" w:eastAsia="en-GB"/>
        </w:rPr>
      </w:pPr>
      <w:hyperlink w:anchor="_Toc508960911" w:history="1">
        <w:r w:rsidR="00857495" w:rsidRPr="002936DB">
          <w:rPr>
            <w:rStyle w:val="Hyperlink"/>
            <w:noProof/>
          </w:rPr>
          <w:t>1.1</w:t>
        </w:r>
        <w:r w:rsidR="00857495">
          <w:rPr>
            <w:rFonts w:asciiTheme="minorHAnsi" w:eastAsiaTheme="minorEastAsia" w:hAnsiTheme="minorHAnsi"/>
            <w:noProof/>
            <w:color w:val="auto"/>
            <w:sz w:val="22"/>
            <w:lang w:val="en-GB" w:eastAsia="en-GB"/>
          </w:rPr>
          <w:tab/>
        </w:r>
        <w:r w:rsidR="00857495" w:rsidRPr="002936DB">
          <w:rPr>
            <w:rStyle w:val="Hyperlink"/>
            <w:noProof/>
          </w:rPr>
          <w:t>L-Innovazzjoni u l-Iżvilupp Rurali</w:t>
        </w:r>
        <w:r w:rsidR="00857495">
          <w:rPr>
            <w:noProof/>
            <w:webHidden/>
          </w:rPr>
          <w:tab/>
        </w:r>
        <w:r w:rsidR="00857495">
          <w:rPr>
            <w:noProof/>
            <w:webHidden/>
          </w:rPr>
          <w:fldChar w:fldCharType="begin"/>
        </w:r>
        <w:r w:rsidR="00857495">
          <w:rPr>
            <w:noProof/>
            <w:webHidden/>
          </w:rPr>
          <w:instrText xml:space="preserve"> PAGEREF _Toc508960911 \h </w:instrText>
        </w:r>
        <w:r w:rsidR="00857495">
          <w:rPr>
            <w:noProof/>
            <w:webHidden/>
          </w:rPr>
        </w:r>
        <w:r w:rsidR="00857495">
          <w:rPr>
            <w:noProof/>
            <w:webHidden/>
          </w:rPr>
          <w:fldChar w:fldCharType="separate"/>
        </w:r>
        <w:r w:rsidR="009F33FD">
          <w:rPr>
            <w:noProof/>
            <w:webHidden/>
          </w:rPr>
          <w:t>3</w:t>
        </w:r>
        <w:r w:rsidR="00857495">
          <w:rPr>
            <w:noProof/>
            <w:webHidden/>
          </w:rPr>
          <w:fldChar w:fldCharType="end"/>
        </w:r>
      </w:hyperlink>
    </w:p>
    <w:p w:rsidR="00857495" w:rsidRDefault="005570DA" w:rsidP="00266A8E">
      <w:pPr>
        <w:pStyle w:val="TOC2"/>
        <w:rPr>
          <w:rFonts w:asciiTheme="minorHAnsi" w:eastAsiaTheme="minorEastAsia" w:hAnsiTheme="minorHAnsi"/>
          <w:noProof/>
          <w:color w:val="auto"/>
          <w:sz w:val="22"/>
          <w:lang w:val="en-GB" w:eastAsia="en-GB"/>
        </w:rPr>
      </w:pPr>
      <w:hyperlink w:anchor="_Toc508960912" w:history="1">
        <w:r w:rsidR="00857495" w:rsidRPr="002936DB">
          <w:rPr>
            <w:rStyle w:val="Hyperlink"/>
            <w:noProof/>
          </w:rPr>
          <w:t>1.2</w:t>
        </w:r>
        <w:r w:rsidR="00857495">
          <w:rPr>
            <w:rFonts w:asciiTheme="minorHAnsi" w:eastAsiaTheme="minorEastAsia" w:hAnsiTheme="minorHAnsi"/>
            <w:noProof/>
            <w:color w:val="auto"/>
            <w:sz w:val="22"/>
            <w:lang w:val="en-GB" w:eastAsia="en-GB"/>
          </w:rPr>
          <w:tab/>
        </w:r>
        <w:r w:rsidR="00857495" w:rsidRPr="002936DB">
          <w:rPr>
            <w:rStyle w:val="Hyperlink"/>
            <w:noProof/>
          </w:rPr>
          <w:t>Il-qafas ta’ politika tal-UE</w:t>
        </w:r>
        <w:r w:rsidR="00857495">
          <w:rPr>
            <w:noProof/>
            <w:webHidden/>
          </w:rPr>
          <w:tab/>
        </w:r>
        <w:r w:rsidR="00857495">
          <w:rPr>
            <w:noProof/>
            <w:webHidden/>
          </w:rPr>
          <w:fldChar w:fldCharType="begin"/>
        </w:r>
        <w:r w:rsidR="00857495">
          <w:rPr>
            <w:noProof/>
            <w:webHidden/>
          </w:rPr>
          <w:instrText xml:space="preserve"> PAGEREF _Toc508960912 \h </w:instrText>
        </w:r>
        <w:r w:rsidR="00857495">
          <w:rPr>
            <w:noProof/>
            <w:webHidden/>
          </w:rPr>
        </w:r>
        <w:r w:rsidR="00857495">
          <w:rPr>
            <w:noProof/>
            <w:webHidden/>
          </w:rPr>
          <w:fldChar w:fldCharType="separate"/>
        </w:r>
        <w:r w:rsidR="009F33FD">
          <w:rPr>
            <w:noProof/>
            <w:webHidden/>
          </w:rPr>
          <w:t>9</w:t>
        </w:r>
        <w:r w:rsidR="00857495">
          <w:rPr>
            <w:noProof/>
            <w:webHidden/>
          </w:rPr>
          <w:fldChar w:fldCharType="end"/>
        </w:r>
      </w:hyperlink>
    </w:p>
    <w:p w:rsidR="00857495" w:rsidRDefault="005570DA">
      <w:pPr>
        <w:pStyle w:val="TOC3"/>
        <w:tabs>
          <w:tab w:val="right" w:leader="dot" w:pos="9040"/>
        </w:tabs>
        <w:rPr>
          <w:rFonts w:asciiTheme="minorHAnsi" w:eastAsiaTheme="minorEastAsia" w:hAnsiTheme="minorHAnsi"/>
          <w:noProof/>
          <w:color w:val="auto"/>
          <w:sz w:val="22"/>
          <w:lang w:val="en-GB" w:eastAsia="en-GB"/>
        </w:rPr>
      </w:pPr>
      <w:hyperlink w:anchor="_Toc508960913" w:history="1">
        <w:r w:rsidR="00857495" w:rsidRPr="002936DB">
          <w:rPr>
            <w:rStyle w:val="Hyperlink"/>
            <w:noProof/>
          </w:rPr>
          <w:t>1.2.1</w:t>
        </w:r>
        <w:r w:rsidR="00857495">
          <w:rPr>
            <w:rFonts w:asciiTheme="minorHAnsi" w:eastAsiaTheme="minorEastAsia" w:hAnsiTheme="minorHAnsi"/>
            <w:noProof/>
            <w:color w:val="auto"/>
            <w:sz w:val="22"/>
            <w:lang w:val="en-GB" w:eastAsia="en-GB"/>
          </w:rPr>
          <w:tab/>
        </w:r>
        <w:r w:rsidR="00857495" w:rsidRPr="002936DB">
          <w:rPr>
            <w:rStyle w:val="Hyperlink"/>
            <w:noProof/>
          </w:rPr>
          <w:t>Il-qafas ta’ politika għall-innovazzjoni fl-UE u l-Politika ta’ Żvilupp Rurali</w:t>
        </w:r>
        <w:r w:rsidR="00857495">
          <w:rPr>
            <w:noProof/>
            <w:webHidden/>
          </w:rPr>
          <w:tab/>
        </w:r>
        <w:r w:rsidR="00857495">
          <w:rPr>
            <w:noProof/>
            <w:webHidden/>
          </w:rPr>
          <w:fldChar w:fldCharType="begin"/>
        </w:r>
        <w:r w:rsidR="00857495">
          <w:rPr>
            <w:noProof/>
            <w:webHidden/>
          </w:rPr>
          <w:instrText xml:space="preserve"> PAGEREF _Toc508960913 \h </w:instrText>
        </w:r>
        <w:r w:rsidR="00857495">
          <w:rPr>
            <w:noProof/>
            <w:webHidden/>
          </w:rPr>
        </w:r>
        <w:r w:rsidR="00857495">
          <w:rPr>
            <w:noProof/>
            <w:webHidden/>
          </w:rPr>
          <w:fldChar w:fldCharType="separate"/>
        </w:r>
        <w:r w:rsidR="009F33FD">
          <w:rPr>
            <w:noProof/>
            <w:webHidden/>
          </w:rPr>
          <w:t>9</w:t>
        </w:r>
        <w:r w:rsidR="00857495">
          <w:rPr>
            <w:noProof/>
            <w:webHidden/>
          </w:rPr>
          <w:fldChar w:fldCharType="end"/>
        </w:r>
      </w:hyperlink>
    </w:p>
    <w:p w:rsidR="00857495" w:rsidRDefault="005570DA">
      <w:pPr>
        <w:pStyle w:val="TOC3"/>
        <w:tabs>
          <w:tab w:val="right" w:leader="dot" w:pos="9040"/>
        </w:tabs>
        <w:rPr>
          <w:rFonts w:asciiTheme="minorHAnsi" w:eastAsiaTheme="minorEastAsia" w:hAnsiTheme="minorHAnsi"/>
          <w:noProof/>
          <w:color w:val="auto"/>
          <w:sz w:val="22"/>
          <w:lang w:val="en-GB" w:eastAsia="en-GB"/>
        </w:rPr>
      </w:pPr>
      <w:hyperlink w:anchor="_Toc508960914" w:history="1">
        <w:r w:rsidR="00857495" w:rsidRPr="002936DB">
          <w:rPr>
            <w:rStyle w:val="Hyperlink"/>
            <w:noProof/>
          </w:rPr>
          <w:t>1.2.2</w:t>
        </w:r>
        <w:r w:rsidR="00857495">
          <w:rPr>
            <w:rFonts w:asciiTheme="minorHAnsi" w:eastAsiaTheme="minorEastAsia" w:hAnsiTheme="minorHAnsi"/>
            <w:noProof/>
            <w:color w:val="auto"/>
            <w:sz w:val="22"/>
            <w:lang w:val="en-GB" w:eastAsia="en-GB"/>
          </w:rPr>
          <w:tab/>
        </w:r>
        <w:r w:rsidR="00857495" w:rsidRPr="002936DB">
          <w:rPr>
            <w:rStyle w:val="Hyperlink"/>
            <w:noProof/>
          </w:rPr>
          <w:t>L-elementi komuni tal-evalwazzjoni għall-innovazzjoni</w:t>
        </w:r>
        <w:r w:rsidR="00857495">
          <w:rPr>
            <w:noProof/>
            <w:webHidden/>
          </w:rPr>
          <w:tab/>
        </w:r>
        <w:r w:rsidR="00857495">
          <w:rPr>
            <w:noProof/>
            <w:webHidden/>
          </w:rPr>
          <w:fldChar w:fldCharType="begin"/>
        </w:r>
        <w:r w:rsidR="00857495">
          <w:rPr>
            <w:noProof/>
            <w:webHidden/>
          </w:rPr>
          <w:instrText xml:space="preserve"> PAGEREF _Toc508960914 \h </w:instrText>
        </w:r>
        <w:r w:rsidR="00857495">
          <w:rPr>
            <w:noProof/>
            <w:webHidden/>
          </w:rPr>
        </w:r>
        <w:r w:rsidR="00857495">
          <w:rPr>
            <w:noProof/>
            <w:webHidden/>
          </w:rPr>
          <w:fldChar w:fldCharType="separate"/>
        </w:r>
        <w:r w:rsidR="009F33FD">
          <w:rPr>
            <w:noProof/>
            <w:webHidden/>
          </w:rPr>
          <w:t>12</w:t>
        </w:r>
        <w:r w:rsidR="00857495">
          <w:rPr>
            <w:noProof/>
            <w:webHidden/>
          </w:rPr>
          <w:fldChar w:fldCharType="end"/>
        </w:r>
      </w:hyperlink>
    </w:p>
    <w:p w:rsidR="00857495" w:rsidRDefault="005570DA" w:rsidP="00266A8E">
      <w:pPr>
        <w:pStyle w:val="TOC2"/>
        <w:rPr>
          <w:rFonts w:asciiTheme="minorHAnsi" w:eastAsiaTheme="minorEastAsia" w:hAnsiTheme="minorHAnsi"/>
          <w:noProof/>
          <w:color w:val="auto"/>
          <w:sz w:val="22"/>
          <w:lang w:val="en-GB" w:eastAsia="en-GB"/>
        </w:rPr>
      </w:pPr>
      <w:hyperlink w:anchor="_Toc508960915" w:history="1">
        <w:r w:rsidR="00857495" w:rsidRPr="002936DB">
          <w:rPr>
            <w:rStyle w:val="Hyperlink"/>
            <w:noProof/>
          </w:rPr>
          <w:t>1.3</w:t>
        </w:r>
        <w:r w:rsidR="00857495">
          <w:rPr>
            <w:rFonts w:asciiTheme="minorHAnsi" w:eastAsiaTheme="minorEastAsia" w:hAnsiTheme="minorHAnsi"/>
            <w:noProof/>
            <w:color w:val="auto"/>
            <w:sz w:val="22"/>
            <w:lang w:val="en-GB" w:eastAsia="en-GB"/>
          </w:rPr>
          <w:tab/>
        </w:r>
        <w:r w:rsidR="00857495" w:rsidRPr="002936DB">
          <w:rPr>
            <w:rStyle w:val="Hyperlink"/>
            <w:noProof/>
          </w:rPr>
          <w:t>L-isfidi fl-evalwazzjoni tal-innovazzjoni</w:t>
        </w:r>
        <w:r w:rsidR="00857495">
          <w:rPr>
            <w:noProof/>
            <w:webHidden/>
          </w:rPr>
          <w:tab/>
        </w:r>
        <w:r w:rsidR="00857495">
          <w:rPr>
            <w:noProof/>
            <w:webHidden/>
          </w:rPr>
          <w:fldChar w:fldCharType="begin"/>
        </w:r>
        <w:r w:rsidR="00857495">
          <w:rPr>
            <w:noProof/>
            <w:webHidden/>
          </w:rPr>
          <w:instrText xml:space="preserve"> PAGEREF _Toc508960915 \h </w:instrText>
        </w:r>
        <w:r w:rsidR="00857495">
          <w:rPr>
            <w:noProof/>
            <w:webHidden/>
          </w:rPr>
        </w:r>
        <w:r w:rsidR="00857495">
          <w:rPr>
            <w:noProof/>
            <w:webHidden/>
          </w:rPr>
          <w:fldChar w:fldCharType="separate"/>
        </w:r>
        <w:r w:rsidR="009F33FD">
          <w:rPr>
            <w:noProof/>
            <w:webHidden/>
          </w:rPr>
          <w:t>14</w:t>
        </w:r>
        <w:r w:rsidR="00857495">
          <w:rPr>
            <w:noProof/>
            <w:webHidden/>
          </w:rPr>
          <w:fldChar w:fldCharType="end"/>
        </w:r>
      </w:hyperlink>
    </w:p>
    <w:p w:rsidR="00857495" w:rsidRDefault="005570DA">
      <w:pPr>
        <w:pStyle w:val="TOC1"/>
        <w:tabs>
          <w:tab w:val="right" w:leader="dot" w:pos="9040"/>
        </w:tabs>
        <w:rPr>
          <w:rFonts w:asciiTheme="minorHAnsi" w:eastAsiaTheme="minorEastAsia" w:hAnsiTheme="minorHAnsi"/>
          <w:b w:val="0"/>
          <w:caps w:val="0"/>
          <w:noProof/>
          <w:color w:val="auto"/>
          <w:sz w:val="22"/>
          <w:lang w:val="en-GB" w:eastAsia="en-GB"/>
        </w:rPr>
      </w:pPr>
      <w:hyperlink w:anchor="_Toc508960916" w:history="1">
        <w:r w:rsidR="00857495" w:rsidRPr="002936DB">
          <w:rPr>
            <w:rStyle w:val="Hyperlink"/>
            <w:noProof/>
          </w:rPr>
          <w:t>2.</w:t>
        </w:r>
        <w:r w:rsidR="00857495">
          <w:rPr>
            <w:rFonts w:asciiTheme="minorHAnsi" w:eastAsiaTheme="minorEastAsia" w:hAnsiTheme="minorHAnsi"/>
            <w:b w:val="0"/>
            <w:caps w:val="0"/>
            <w:noProof/>
            <w:color w:val="auto"/>
            <w:sz w:val="22"/>
            <w:lang w:val="en-GB" w:eastAsia="en-GB"/>
          </w:rPr>
          <w:tab/>
        </w:r>
        <w:r w:rsidR="00857495" w:rsidRPr="002936DB">
          <w:rPr>
            <w:rStyle w:val="Hyperlink"/>
            <w:noProof/>
          </w:rPr>
          <w:t>Kif tevalwa l-innovazzjoni fil-PŻR</w:t>
        </w:r>
        <w:r w:rsidR="00857495">
          <w:rPr>
            <w:noProof/>
            <w:webHidden/>
          </w:rPr>
          <w:tab/>
        </w:r>
        <w:r w:rsidR="00857495">
          <w:rPr>
            <w:noProof/>
            <w:webHidden/>
          </w:rPr>
          <w:fldChar w:fldCharType="begin"/>
        </w:r>
        <w:r w:rsidR="00857495">
          <w:rPr>
            <w:noProof/>
            <w:webHidden/>
          </w:rPr>
          <w:instrText xml:space="preserve"> PAGEREF _Toc508960916 \h </w:instrText>
        </w:r>
        <w:r w:rsidR="00857495">
          <w:rPr>
            <w:noProof/>
            <w:webHidden/>
          </w:rPr>
        </w:r>
        <w:r w:rsidR="00857495">
          <w:rPr>
            <w:noProof/>
            <w:webHidden/>
          </w:rPr>
          <w:fldChar w:fldCharType="separate"/>
        </w:r>
        <w:r w:rsidR="009F33FD">
          <w:rPr>
            <w:noProof/>
            <w:webHidden/>
          </w:rPr>
          <w:t>16</w:t>
        </w:r>
        <w:r w:rsidR="00857495">
          <w:rPr>
            <w:noProof/>
            <w:webHidden/>
          </w:rPr>
          <w:fldChar w:fldCharType="end"/>
        </w:r>
      </w:hyperlink>
    </w:p>
    <w:p w:rsidR="00857495" w:rsidRDefault="005570DA" w:rsidP="00266A8E">
      <w:pPr>
        <w:pStyle w:val="TOC2"/>
        <w:rPr>
          <w:rFonts w:asciiTheme="minorHAnsi" w:eastAsiaTheme="minorEastAsia" w:hAnsiTheme="minorHAnsi"/>
          <w:noProof/>
          <w:color w:val="auto"/>
          <w:sz w:val="22"/>
          <w:lang w:val="en-GB" w:eastAsia="en-GB"/>
        </w:rPr>
      </w:pPr>
      <w:hyperlink w:anchor="_Toc508960917" w:history="1">
        <w:r w:rsidR="00857495" w:rsidRPr="002936DB">
          <w:rPr>
            <w:rStyle w:val="Hyperlink"/>
            <w:noProof/>
          </w:rPr>
          <w:t>2.1</w:t>
        </w:r>
        <w:r w:rsidR="00857495">
          <w:rPr>
            <w:rFonts w:asciiTheme="minorHAnsi" w:eastAsiaTheme="minorEastAsia" w:hAnsiTheme="minorHAnsi"/>
            <w:noProof/>
            <w:color w:val="auto"/>
            <w:sz w:val="22"/>
            <w:lang w:val="en-GB" w:eastAsia="en-GB"/>
          </w:rPr>
          <w:tab/>
        </w:r>
        <w:r w:rsidR="00857495" w:rsidRPr="002936DB">
          <w:rPr>
            <w:rStyle w:val="Hyperlink"/>
            <w:noProof/>
          </w:rPr>
          <w:t>Approċċ suġġerit għall-evalwazzjoni tal-innovazzjoni fil-PŻR 2014-2020 (ħarsa ġenerali)</w:t>
        </w:r>
        <w:r w:rsidR="00857495">
          <w:rPr>
            <w:noProof/>
            <w:webHidden/>
          </w:rPr>
          <w:tab/>
        </w:r>
        <w:r w:rsidR="00857495">
          <w:rPr>
            <w:noProof/>
            <w:webHidden/>
          </w:rPr>
          <w:fldChar w:fldCharType="begin"/>
        </w:r>
        <w:r w:rsidR="00857495">
          <w:rPr>
            <w:noProof/>
            <w:webHidden/>
          </w:rPr>
          <w:instrText xml:space="preserve"> PAGEREF _Toc508960917 \h </w:instrText>
        </w:r>
        <w:r w:rsidR="00857495">
          <w:rPr>
            <w:noProof/>
            <w:webHidden/>
          </w:rPr>
        </w:r>
        <w:r w:rsidR="00857495">
          <w:rPr>
            <w:noProof/>
            <w:webHidden/>
          </w:rPr>
          <w:fldChar w:fldCharType="separate"/>
        </w:r>
        <w:r w:rsidR="009F33FD">
          <w:rPr>
            <w:noProof/>
            <w:webHidden/>
          </w:rPr>
          <w:t>16</w:t>
        </w:r>
        <w:r w:rsidR="00857495">
          <w:rPr>
            <w:noProof/>
            <w:webHidden/>
          </w:rPr>
          <w:fldChar w:fldCharType="end"/>
        </w:r>
      </w:hyperlink>
    </w:p>
    <w:p w:rsidR="00857495" w:rsidRDefault="005570DA" w:rsidP="00266A8E">
      <w:pPr>
        <w:pStyle w:val="TOC2"/>
        <w:rPr>
          <w:rFonts w:asciiTheme="minorHAnsi" w:eastAsiaTheme="minorEastAsia" w:hAnsiTheme="minorHAnsi"/>
          <w:noProof/>
          <w:color w:val="auto"/>
          <w:sz w:val="22"/>
          <w:lang w:val="en-GB" w:eastAsia="en-GB"/>
        </w:rPr>
      </w:pPr>
      <w:hyperlink w:anchor="_Toc508960918" w:history="1">
        <w:r w:rsidR="00857495" w:rsidRPr="002936DB">
          <w:rPr>
            <w:rStyle w:val="Hyperlink"/>
            <w:noProof/>
          </w:rPr>
          <w:t>2.2</w:t>
        </w:r>
        <w:r w:rsidR="00857495">
          <w:rPr>
            <w:rFonts w:asciiTheme="minorHAnsi" w:eastAsiaTheme="minorEastAsia" w:hAnsiTheme="minorHAnsi"/>
            <w:noProof/>
            <w:color w:val="auto"/>
            <w:sz w:val="22"/>
            <w:lang w:val="en-GB" w:eastAsia="en-GB"/>
          </w:rPr>
          <w:tab/>
        </w:r>
        <w:r w:rsidR="00857495" w:rsidRPr="002936DB">
          <w:rPr>
            <w:rStyle w:val="Hyperlink"/>
            <w:noProof/>
          </w:rPr>
          <w:t>Skrinjar tal-potenzjal ta’ innovazzjoni tal-miżuri/submiżuri tal-PŻR (irrakkomandat)</w:t>
        </w:r>
        <w:r w:rsidR="00857495">
          <w:rPr>
            <w:noProof/>
            <w:webHidden/>
          </w:rPr>
          <w:tab/>
        </w:r>
        <w:r w:rsidR="00857495">
          <w:rPr>
            <w:noProof/>
            <w:webHidden/>
          </w:rPr>
          <w:fldChar w:fldCharType="begin"/>
        </w:r>
        <w:r w:rsidR="00857495">
          <w:rPr>
            <w:noProof/>
            <w:webHidden/>
          </w:rPr>
          <w:instrText xml:space="preserve"> PAGEREF _Toc508960918 \h </w:instrText>
        </w:r>
        <w:r w:rsidR="00857495">
          <w:rPr>
            <w:noProof/>
            <w:webHidden/>
          </w:rPr>
        </w:r>
        <w:r w:rsidR="00857495">
          <w:rPr>
            <w:noProof/>
            <w:webHidden/>
          </w:rPr>
          <w:fldChar w:fldCharType="separate"/>
        </w:r>
        <w:r w:rsidR="009F33FD">
          <w:rPr>
            <w:noProof/>
            <w:webHidden/>
          </w:rPr>
          <w:t>19</w:t>
        </w:r>
        <w:r w:rsidR="00857495">
          <w:rPr>
            <w:noProof/>
            <w:webHidden/>
          </w:rPr>
          <w:fldChar w:fldCharType="end"/>
        </w:r>
      </w:hyperlink>
    </w:p>
    <w:p w:rsidR="00857495" w:rsidRDefault="005570DA" w:rsidP="00266A8E">
      <w:pPr>
        <w:pStyle w:val="TOC2"/>
        <w:rPr>
          <w:rFonts w:asciiTheme="minorHAnsi" w:eastAsiaTheme="minorEastAsia" w:hAnsiTheme="minorHAnsi"/>
          <w:noProof/>
          <w:color w:val="auto"/>
          <w:sz w:val="22"/>
          <w:lang w:val="en-GB" w:eastAsia="en-GB"/>
        </w:rPr>
      </w:pPr>
      <w:hyperlink w:anchor="_Toc508960919" w:history="1">
        <w:r w:rsidR="00857495" w:rsidRPr="002936DB">
          <w:rPr>
            <w:rStyle w:val="Hyperlink"/>
            <w:noProof/>
          </w:rPr>
          <w:t>2.3</w:t>
        </w:r>
        <w:r w:rsidR="00857495">
          <w:rPr>
            <w:rFonts w:asciiTheme="minorHAnsi" w:eastAsiaTheme="minorEastAsia" w:hAnsiTheme="minorHAnsi"/>
            <w:noProof/>
            <w:color w:val="auto"/>
            <w:sz w:val="22"/>
            <w:lang w:val="en-GB" w:eastAsia="en-GB"/>
          </w:rPr>
          <w:tab/>
        </w:r>
        <w:r w:rsidR="00857495" w:rsidRPr="002936DB">
          <w:rPr>
            <w:rStyle w:val="Hyperlink"/>
            <w:noProof/>
          </w:rPr>
          <w:t>L-ikkomplementar tal-elementi komuni tal-evalwazzjoni għall-innovazzjoni (irrakkomandat)</w:t>
        </w:r>
        <w:r w:rsidR="00857495">
          <w:rPr>
            <w:noProof/>
            <w:webHidden/>
          </w:rPr>
          <w:tab/>
        </w:r>
        <w:r w:rsidR="00857495">
          <w:rPr>
            <w:noProof/>
            <w:webHidden/>
          </w:rPr>
          <w:fldChar w:fldCharType="begin"/>
        </w:r>
        <w:r w:rsidR="00857495">
          <w:rPr>
            <w:noProof/>
            <w:webHidden/>
          </w:rPr>
          <w:instrText xml:space="preserve"> PAGEREF _Toc508960919 \h </w:instrText>
        </w:r>
        <w:r w:rsidR="00857495">
          <w:rPr>
            <w:noProof/>
            <w:webHidden/>
          </w:rPr>
        </w:r>
        <w:r w:rsidR="00857495">
          <w:rPr>
            <w:noProof/>
            <w:webHidden/>
          </w:rPr>
          <w:fldChar w:fldCharType="separate"/>
        </w:r>
        <w:r w:rsidR="009F33FD">
          <w:rPr>
            <w:noProof/>
            <w:webHidden/>
          </w:rPr>
          <w:t>22</w:t>
        </w:r>
        <w:r w:rsidR="00857495">
          <w:rPr>
            <w:noProof/>
            <w:webHidden/>
          </w:rPr>
          <w:fldChar w:fldCharType="end"/>
        </w:r>
      </w:hyperlink>
    </w:p>
    <w:p w:rsidR="00857495" w:rsidRDefault="005570DA" w:rsidP="00266A8E">
      <w:pPr>
        <w:pStyle w:val="TOC2"/>
        <w:rPr>
          <w:rFonts w:asciiTheme="minorHAnsi" w:eastAsiaTheme="minorEastAsia" w:hAnsiTheme="minorHAnsi"/>
          <w:noProof/>
          <w:color w:val="auto"/>
          <w:sz w:val="22"/>
          <w:lang w:val="en-GB" w:eastAsia="en-GB"/>
        </w:rPr>
      </w:pPr>
      <w:hyperlink w:anchor="_Toc508960920" w:history="1">
        <w:r w:rsidR="00857495" w:rsidRPr="002936DB">
          <w:rPr>
            <w:rStyle w:val="Hyperlink"/>
            <w:noProof/>
            <w:snapToGrid w:val="0"/>
          </w:rPr>
          <w:t>2.4</w:t>
        </w:r>
        <w:r w:rsidR="00857495">
          <w:rPr>
            <w:rFonts w:asciiTheme="minorHAnsi" w:eastAsiaTheme="minorEastAsia" w:hAnsiTheme="minorHAnsi"/>
            <w:noProof/>
            <w:color w:val="auto"/>
            <w:sz w:val="22"/>
            <w:lang w:val="en-GB" w:eastAsia="en-GB"/>
          </w:rPr>
          <w:tab/>
        </w:r>
        <w:r w:rsidR="00857495" w:rsidRPr="002936DB">
          <w:rPr>
            <w:rStyle w:val="Hyperlink"/>
            <w:noProof/>
          </w:rPr>
          <w:t>Tweġiba għall-mistoqsijiet komuni tal-evalwazzjoni rilevanti (obbligatorja)</w:t>
        </w:r>
        <w:r w:rsidR="00857495">
          <w:rPr>
            <w:noProof/>
            <w:webHidden/>
          </w:rPr>
          <w:tab/>
        </w:r>
        <w:r w:rsidR="00857495">
          <w:rPr>
            <w:noProof/>
            <w:webHidden/>
          </w:rPr>
          <w:fldChar w:fldCharType="begin"/>
        </w:r>
        <w:r w:rsidR="00857495">
          <w:rPr>
            <w:noProof/>
            <w:webHidden/>
          </w:rPr>
          <w:instrText xml:space="preserve"> PAGEREF _Toc508960920 \h </w:instrText>
        </w:r>
        <w:r w:rsidR="00857495">
          <w:rPr>
            <w:noProof/>
            <w:webHidden/>
          </w:rPr>
        </w:r>
        <w:r w:rsidR="00857495">
          <w:rPr>
            <w:noProof/>
            <w:webHidden/>
          </w:rPr>
          <w:fldChar w:fldCharType="separate"/>
        </w:r>
        <w:r w:rsidR="009F33FD">
          <w:rPr>
            <w:noProof/>
            <w:webHidden/>
          </w:rPr>
          <w:t>23</w:t>
        </w:r>
        <w:r w:rsidR="00857495">
          <w:rPr>
            <w:noProof/>
            <w:webHidden/>
          </w:rPr>
          <w:fldChar w:fldCharType="end"/>
        </w:r>
      </w:hyperlink>
    </w:p>
    <w:p w:rsidR="00857495" w:rsidRDefault="005570DA">
      <w:pPr>
        <w:pStyle w:val="TOC3"/>
        <w:tabs>
          <w:tab w:val="right" w:leader="dot" w:pos="9040"/>
        </w:tabs>
        <w:rPr>
          <w:rFonts w:asciiTheme="minorHAnsi" w:eastAsiaTheme="minorEastAsia" w:hAnsiTheme="minorHAnsi"/>
          <w:noProof/>
          <w:color w:val="auto"/>
          <w:sz w:val="22"/>
          <w:lang w:val="en-GB" w:eastAsia="en-GB"/>
        </w:rPr>
      </w:pPr>
      <w:hyperlink w:anchor="_Toc508960921" w:history="1">
        <w:r w:rsidR="00857495" w:rsidRPr="002936DB">
          <w:rPr>
            <w:rStyle w:val="Hyperlink"/>
            <w:noProof/>
          </w:rPr>
          <w:t>2.4.1</w:t>
        </w:r>
        <w:r w:rsidR="00857495">
          <w:rPr>
            <w:rFonts w:asciiTheme="minorHAnsi" w:eastAsiaTheme="minorEastAsia" w:hAnsiTheme="minorHAnsi"/>
            <w:noProof/>
            <w:color w:val="auto"/>
            <w:sz w:val="22"/>
            <w:lang w:val="en-GB" w:eastAsia="en-GB"/>
          </w:rPr>
          <w:tab/>
        </w:r>
        <w:r w:rsidR="00857495" w:rsidRPr="002936DB">
          <w:rPr>
            <w:rStyle w:val="Hyperlink"/>
            <w:noProof/>
          </w:rPr>
          <w:t>CEQ nru. 1: “Sa liema punt l-interventi tal-PŻR appoġġjaw l-innovazzjoni, il-kooperazzjoni u l-iżvilupp tal-bażi tal-għarfien fiż-żoni rurali?”</w:t>
        </w:r>
        <w:r w:rsidR="00857495">
          <w:rPr>
            <w:noProof/>
            <w:webHidden/>
          </w:rPr>
          <w:tab/>
        </w:r>
        <w:r w:rsidR="00857495">
          <w:rPr>
            <w:noProof/>
            <w:webHidden/>
          </w:rPr>
          <w:fldChar w:fldCharType="begin"/>
        </w:r>
        <w:r w:rsidR="00857495">
          <w:rPr>
            <w:noProof/>
            <w:webHidden/>
          </w:rPr>
          <w:instrText xml:space="preserve"> PAGEREF _Toc508960921 \h </w:instrText>
        </w:r>
        <w:r w:rsidR="00857495">
          <w:rPr>
            <w:noProof/>
            <w:webHidden/>
          </w:rPr>
        </w:r>
        <w:r w:rsidR="00857495">
          <w:rPr>
            <w:noProof/>
            <w:webHidden/>
          </w:rPr>
          <w:fldChar w:fldCharType="separate"/>
        </w:r>
        <w:r w:rsidR="009F33FD">
          <w:rPr>
            <w:noProof/>
            <w:webHidden/>
          </w:rPr>
          <w:t>24</w:t>
        </w:r>
        <w:r w:rsidR="00857495">
          <w:rPr>
            <w:noProof/>
            <w:webHidden/>
          </w:rPr>
          <w:fldChar w:fldCharType="end"/>
        </w:r>
      </w:hyperlink>
    </w:p>
    <w:p w:rsidR="00857495" w:rsidRDefault="005570DA">
      <w:pPr>
        <w:pStyle w:val="TOC3"/>
        <w:tabs>
          <w:tab w:val="right" w:leader="dot" w:pos="9040"/>
        </w:tabs>
        <w:rPr>
          <w:rFonts w:asciiTheme="minorHAnsi" w:eastAsiaTheme="minorEastAsia" w:hAnsiTheme="minorHAnsi"/>
          <w:noProof/>
          <w:color w:val="auto"/>
          <w:sz w:val="22"/>
          <w:lang w:val="en-GB" w:eastAsia="en-GB"/>
        </w:rPr>
      </w:pPr>
      <w:hyperlink w:anchor="_Toc508960922" w:history="1">
        <w:r w:rsidR="00857495" w:rsidRPr="002936DB">
          <w:rPr>
            <w:rStyle w:val="Hyperlink"/>
            <w:noProof/>
          </w:rPr>
          <w:t>2.4.2</w:t>
        </w:r>
        <w:r w:rsidR="00857495">
          <w:rPr>
            <w:rFonts w:asciiTheme="minorHAnsi" w:eastAsiaTheme="minorEastAsia" w:hAnsiTheme="minorHAnsi"/>
            <w:noProof/>
            <w:color w:val="auto"/>
            <w:sz w:val="22"/>
            <w:lang w:val="en-GB" w:eastAsia="en-GB"/>
          </w:rPr>
          <w:tab/>
        </w:r>
        <w:r w:rsidR="00857495" w:rsidRPr="002936DB">
          <w:rPr>
            <w:rStyle w:val="Hyperlink"/>
            <w:noProof/>
          </w:rPr>
          <w:t>CEQ nru. 2: “Sa liema punt l-interventi tal-PŻR appoġġaw it-tisħiħ tar-rabtiet bejn l-agrikoltura, il-produzzjoni tal-ikel, il-forestrija u r-riċerka u l-innovazzjoni, inkluż għall-fini ta’ ġestjoni u prestazzjoni ambjentali mtejba?”</w:t>
        </w:r>
        <w:r w:rsidR="00857495">
          <w:rPr>
            <w:noProof/>
            <w:webHidden/>
          </w:rPr>
          <w:tab/>
        </w:r>
        <w:r w:rsidR="00857495">
          <w:rPr>
            <w:noProof/>
            <w:webHidden/>
          </w:rPr>
          <w:fldChar w:fldCharType="begin"/>
        </w:r>
        <w:r w:rsidR="00857495">
          <w:rPr>
            <w:noProof/>
            <w:webHidden/>
          </w:rPr>
          <w:instrText xml:space="preserve"> PAGEREF _Toc508960922 \h </w:instrText>
        </w:r>
        <w:r w:rsidR="00857495">
          <w:rPr>
            <w:noProof/>
            <w:webHidden/>
          </w:rPr>
        </w:r>
        <w:r w:rsidR="00857495">
          <w:rPr>
            <w:noProof/>
            <w:webHidden/>
          </w:rPr>
          <w:fldChar w:fldCharType="separate"/>
        </w:r>
        <w:r w:rsidR="009F33FD">
          <w:rPr>
            <w:noProof/>
            <w:webHidden/>
          </w:rPr>
          <w:t>33</w:t>
        </w:r>
        <w:r w:rsidR="00857495">
          <w:rPr>
            <w:noProof/>
            <w:webHidden/>
          </w:rPr>
          <w:fldChar w:fldCharType="end"/>
        </w:r>
      </w:hyperlink>
    </w:p>
    <w:p w:rsidR="00857495" w:rsidRDefault="005570DA">
      <w:pPr>
        <w:pStyle w:val="TOC3"/>
        <w:tabs>
          <w:tab w:val="right" w:leader="dot" w:pos="9040"/>
        </w:tabs>
        <w:rPr>
          <w:rFonts w:asciiTheme="minorHAnsi" w:eastAsiaTheme="minorEastAsia" w:hAnsiTheme="minorHAnsi"/>
          <w:noProof/>
          <w:color w:val="auto"/>
          <w:sz w:val="22"/>
          <w:lang w:val="en-GB" w:eastAsia="en-GB"/>
        </w:rPr>
      </w:pPr>
      <w:hyperlink w:anchor="_Toc508960923" w:history="1">
        <w:r w:rsidR="00857495" w:rsidRPr="002936DB">
          <w:rPr>
            <w:rStyle w:val="Hyperlink"/>
            <w:noProof/>
          </w:rPr>
          <w:t>2.4.3</w:t>
        </w:r>
        <w:r w:rsidR="00857495">
          <w:rPr>
            <w:rFonts w:asciiTheme="minorHAnsi" w:eastAsiaTheme="minorEastAsia" w:hAnsiTheme="minorHAnsi"/>
            <w:noProof/>
            <w:color w:val="auto"/>
            <w:sz w:val="22"/>
            <w:lang w:val="en-GB" w:eastAsia="en-GB"/>
          </w:rPr>
          <w:tab/>
        </w:r>
        <w:r w:rsidR="00857495" w:rsidRPr="002936DB">
          <w:rPr>
            <w:rStyle w:val="Hyperlink"/>
            <w:noProof/>
          </w:rPr>
          <w:t>CEQ nru. 21: “Sa liema punt in-netwerk rurali nazzjonali kkontribwixxa sabiex jintlaħqu l-objettivi stipulati fl-Artikolu 54(2) tar-Regolament (UE) Nru 1305/2013?</w:t>
        </w:r>
        <w:r w:rsidR="00857495">
          <w:rPr>
            <w:noProof/>
            <w:webHidden/>
          </w:rPr>
          <w:tab/>
        </w:r>
        <w:r w:rsidR="00857495">
          <w:rPr>
            <w:noProof/>
            <w:webHidden/>
          </w:rPr>
          <w:fldChar w:fldCharType="begin"/>
        </w:r>
        <w:r w:rsidR="00857495">
          <w:rPr>
            <w:noProof/>
            <w:webHidden/>
          </w:rPr>
          <w:instrText xml:space="preserve"> PAGEREF _Toc508960923 \h </w:instrText>
        </w:r>
        <w:r w:rsidR="00857495">
          <w:rPr>
            <w:noProof/>
            <w:webHidden/>
          </w:rPr>
        </w:r>
        <w:r w:rsidR="00857495">
          <w:rPr>
            <w:noProof/>
            <w:webHidden/>
          </w:rPr>
          <w:fldChar w:fldCharType="separate"/>
        </w:r>
        <w:r w:rsidR="009F33FD">
          <w:rPr>
            <w:noProof/>
            <w:webHidden/>
          </w:rPr>
          <w:t>41</w:t>
        </w:r>
        <w:r w:rsidR="00857495">
          <w:rPr>
            <w:noProof/>
            <w:webHidden/>
          </w:rPr>
          <w:fldChar w:fldCharType="end"/>
        </w:r>
      </w:hyperlink>
    </w:p>
    <w:p w:rsidR="00857495" w:rsidRDefault="005570DA">
      <w:pPr>
        <w:pStyle w:val="TOC3"/>
        <w:tabs>
          <w:tab w:val="right" w:leader="dot" w:pos="9040"/>
        </w:tabs>
        <w:rPr>
          <w:rFonts w:asciiTheme="minorHAnsi" w:eastAsiaTheme="minorEastAsia" w:hAnsiTheme="minorHAnsi"/>
          <w:noProof/>
          <w:color w:val="auto"/>
          <w:sz w:val="22"/>
          <w:lang w:val="en-GB" w:eastAsia="en-GB"/>
        </w:rPr>
      </w:pPr>
      <w:hyperlink w:anchor="_Toc508960924" w:history="1">
        <w:r w:rsidR="00857495" w:rsidRPr="002936DB">
          <w:rPr>
            <w:rStyle w:val="Hyperlink"/>
            <w:noProof/>
          </w:rPr>
          <w:t>2.4.4</w:t>
        </w:r>
        <w:r w:rsidR="00857495">
          <w:rPr>
            <w:rFonts w:asciiTheme="minorHAnsi" w:eastAsiaTheme="minorEastAsia" w:hAnsiTheme="minorHAnsi"/>
            <w:noProof/>
            <w:color w:val="auto"/>
            <w:sz w:val="22"/>
            <w:lang w:val="en-GB" w:eastAsia="en-GB"/>
          </w:rPr>
          <w:tab/>
        </w:r>
        <w:r w:rsidR="00857495" w:rsidRPr="002936DB">
          <w:rPr>
            <w:rStyle w:val="Hyperlink"/>
            <w:noProof/>
          </w:rPr>
          <w:t>CEQ nru. 23: “Sa liema punt il-PŻR ikkontribwixxa għall-kisba tal-mira ewlenija tal-UE 2020 li jiġi investit 3 % tal-PDG tal-UE fir-riċerka u l-iżvilupp u fl-innovazzjoni?”</w:t>
        </w:r>
        <w:r w:rsidR="00857495">
          <w:rPr>
            <w:noProof/>
            <w:webHidden/>
          </w:rPr>
          <w:tab/>
        </w:r>
        <w:r w:rsidR="00857495">
          <w:rPr>
            <w:noProof/>
            <w:webHidden/>
          </w:rPr>
          <w:fldChar w:fldCharType="begin"/>
        </w:r>
        <w:r w:rsidR="00857495">
          <w:rPr>
            <w:noProof/>
            <w:webHidden/>
          </w:rPr>
          <w:instrText xml:space="preserve"> PAGEREF _Toc508960924 \h </w:instrText>
        </w:r>
        <w:r w:rsidR="00857495">
          <w:rPr>
            <w:noProof/>
            <w:webHidden/>
          </w:rPr>
        </w:r>
        <w:r w:rsidR="00857495">
          <w:rPr>
            <w:noProof/>
            <w:webHidden/>
          </w:rPr>
          <w:fldChar w:fldCharType="separate"/>
        </w:r>
        <w:r w:rsidR="009F33FD">
          <w:rPr>
            <w:noProof/>
            <w:webHidden/>
          </w:rPr>
          <w:t>51</w:t>
        </w:r>
        <w:r w:rsidR="00857495">
          <w:rPr>
            <w:noProof/>
            <w:webHidden/>
          </w:rPr>
          <w:fldChar w:fldCharType="end"/>
        </w:r>
      </w:hyperlink>
    </w:p>
    <w:p w:rsidR="00857495" w:rsidRDefault="005570DA">
      <w:pPr>
        <w:pStyle w:val="TOC3"/>
        <w:tabs>
          <w:tab w:val="right" w:leader="dot" w:pos="9040"/>
        </w:tabs>
        <w:rPr>
          <w:rFonts w:asciiTheme="minorHAnsi" w:eastAsiaTheme="minorEastAsia" w:hAnsiTheme="minorHAnsi"/>
          <w:noProof/>
          <w:color w:val="auto"/>
          <w:sz w:val="22"/>
          <w:lang w:val="en-GB" w:eastAsia="en-GB"/>
        </w:rPr>
      </w:pPr>
      <w:hyperlink w:anchor="_Toc508960925" w:history="1">
        <w:r w:rsidR="00857495" w:rsidRPr="002936DB">
          <w:rPr>
            <w:rStyle w:val="Hyperlink"/>
            <w:noProof/>
          </w:rPr>
          <w:t>2.4.5</w:t>
        </w:r>
        <w:r w:rsidR="00857495">
          <w:rPr>
            <w:rFonts w:asciiTheme="minorHAnsi" w:eastAsiaTheme="minorEastAsia" w:hAnsiTheme="minorHAnsi"/>
            <w:noProof/>
            <w:color w:val="auto"/>
            <w:sz w:val="22"/>
            <w:lang w:val="en-GB" w:eastAsia="en-GB"/>
          </w:rPr>
          <w:tab/>
        </w:r>
        <w:r w:rsidR="00857495" w:rsidRPr="002936DB">
          <w:rPr>
            <w:rStyle w:val="Hyperlink"/>
            <w:noProof/>
          </w:rPr>
          <w:t>CEQ nru. 30: “Sa liema punt l-interventi tal-PŻR ikkontribwixxew għat-trawwim tal-innovazzjoni?”</w:t>
        </w:r>
        <w:r w:rsidR="00857495">
          <w:rPr>
            <w:noProof/>
            <w:webHidden/>
          </w:rPr>
          <w:tab/>
        </w:r>
        <w:r w:rsidR="00857495">
          <w:rPr>
            <w:noProof/>
            <w:webHidden/>
          </w:rPr>
          <w:fldChar w:fldCharType="begin"/>
        </w:r>
        <w:r w:rsidR="00857495">
          <w:rPr>
            <w:noProof/>
            <w:webHidden/>
          </w:rPr>
          <w:instrText xml:space="preserve"> PAGEREF _Toc508960925 \h </w:instrText>
        </w:r>
        <w:r w:rsidR="00857495">
          <w:rPr>
            <w:noProof/>
            <w:webHidden/>
          </w:rPr>
        </w:r>
        <w:r w:rsidR="00857495">
          <w:rPr>
            <w:noProof/>
            <w:webHidden/>
          </w:rPr>
          <w:fldChar w:fldCharType="separate"/>
        </w:r>
        <w:r w:rsidR="009F33FD">
          <w:rPr>
            <w:noProof/>
            <w:webHidden/>
          </w:rPr>
          <w:t>58</w:t>
        </w:r>
        <w:r w:rsidR="00857495">
          <w:rPr>
            <w:noProof/>
            <w:webHidden/>
          </w:rPr>
          <w:fldChar w:fldCharType="end"/>
        </w:r>
      </w:hyperlink>
    </w:p>
    <w:p w:rsidR="00857495" w:rsidRDefault="005570DA">
      <w:pPr>
        <w:pStyle w:val="TOC1"/>
        <w:tabs>
          <w:tab w:val="right" w:leader="dot" w:pos="9040"/>
        </w:tabs>
        <w:rPr>
          <w:rFonts w:asciiTheme="minorHAnsi" w:eastAsiaTheme="minorEastAsia" w:hAnsiTheme="minorHAnsi"/>
          <w:b w:val="0"/>
          <w:caps w:val="0"/>
          <w:noProof/>
          <w:color w:val="auto"/>
          <w:sz w:val="22"/>
          <w:lang w:val="en-GB" w:eastAsia="en-GB"/>
        </w:rPr>
      </w:pPr>
      <w:hyperlink w:anchor="_Toc508960926" w:history="1">
        <w:r w:rsidR="00857495" w:rsidRPr="002936DB">
          <w:rPr>
            <w:rStyle w:val="Hyperlink"/>
            <w:noProof/>
          </w:rPr>
          <w:t>3.</w:t>
        </w:r>
        <w:r w:rsidR="00857495">
          <w:rPr>
            <w:rFonts w:asciiTheme="minorHAnsi" w:eastAsiaTheme="minorEastAsia" w:hAnsiTheme="minorHAnsi"/>
            <w:b w:val="0"/>
            <w:caps w:val="0"/>
            <w:noProof/>
            <w:color w:val="auto"/>
            <w:sz w:val="22"/>
            <w:lang w:val="en-GB" w:eastAsia="en-GB"/>
          </w:rPr>
          <w:tab/>
        </w:r>
        <w:r w:rsidR="00857495" w:rsidRPr="002936DB">
          <w:rPr>
            <w:rStyle w:val="Hyperlink"/>
            <w:noProof/>
          </w:rPr>
          <w:t>ANNESSI</w:t>
        </w:r>
        <w:r w:rsidR="00857495">
          <w:rPr>
            <w:noProof/>
            <w:webHidden/>
          </w:rPr>
          <w:tab/>
        </w:r>
        <w:r w:rsidR="00857495">
          <w:rPr>
            <w:noProof/>
            <w:webHidden/>
          </w:rPr>
          <w:fldChar w:fldCharType="begin"/>
        </w:r>
        <w:r w:rsidR="00857495">
          <w:rPr>
            <w:noProof/>
            <w:webHidden/>
          </w:rPr>
          <w:instrText xml:space="preserve"> PAGEREF _Toc508960926 \h </w:instrText>
        </w:r>
        <w:r w:rsidR="00857495">
          <w:rPr>
            <w:noProof/>
            <w:webHidden/>
          </w:rPr>
        </w:r>
        <w:r w:rsidR="00857495">
          <w:rPr>
            <w:noProof/>
            <w:webHidden/>
          </w:rPr>
          <w:fldChar w:fldCharType="separate"/>
        </w:r>
        <w:r w:rsidR="009F33FD">
          <w:rPr>
            <w:noProof/>
            <w:webHidden/>
          </w:rPr>
          <w:t>71</w:t>
        </w:r>
        <w:r w:rsidR="00857495">
          <w:rPr>
            <w:noProof/>
            <w:webHidden/>
          </w:rPr>
          <w:fldChar w:fldCharType="end"/>
        </w:r>
      </w:hyperlink>
    </w:p>
    <w:p w:rsidR="00857495" w:rsidRDefault="005570DA" w:rsidP="00266A8E">
      <w:pPr>
        <w:pStyle w:val="TOC2"/>
        <w:rPr>
          <w:rFonts w:asciiTheme="minorHAnsi" w:eastAsiaTheme="minorEastAsia" w:hAnsiTheme="minorHAnsi"/>
          <w:noProof/>
          <w:color w:val="auto"/>
          <w:sz w:val="22"/>
          <w:lang w:val="en-GB" w:eastAsia="en-GB"/>
        </w:rPr>
      </w:pPr>
      <w:hyperlink w:anchor="_Toc508960927" w:history="1">
        <w:r w:rsidR="00857495" w:rsidRPr="002936DB">
          <w:rPr>
            <w:rStyle w:val="Hyperlink"/>
            <w:noProof/>
          </w:rPr>
          <w:t>3.1</w:t>
        </w:r>
        <w:r w:rsidR="00857495">
          <w:rPr>
            <w:rFonts w:asciiTheme="minorHAnsi" w:eastAsiaTheme="minorEastAsia" w:hAnsiTheme="minorHAnsi"/>
            <w:noProof/>
            <w:color w:val="auto"/>
            <w:sz w:val="22"/>
            <w:lang w:val="en-GB" w:eastAsia="en-GB"/>
          </w:rPr>
          <w:tab/>
        </w:r>
        <w:r w:rsidR="00857495" w:rsidRPr="002936DB">
          <w:rPr>
            <w:rStyle w:val="Hyperlink"/>
            <w:noProof/>
          </w:rPr>
          <w:t>Glossarju</w:t>
        </w:r>
        <w:r w:rsidR="00857495">
          <w:rPr>
            <w:noProof/>
            <w:webHidden/>
          </w:rPr>
          <w:tab/>
        </w:r>
        <w:r w:rsidR="00857495">
          <w:rPr>
            <w:noProof/>
            <w:webHidden/>
          </w:rPr>
          <w:fldChar w:fldCharType="begin"/>
        </w:r>
        <w:r w:rsidR="00857495">
          <w:rPr>
            <w:noProof/>
            <w:webHidden/>
          </w:rPr>
          <w:instrText xml:space="preserve"> PAGEREF _Toc508960927 \h </w:instrText>
        </w:r>
        <w:r w:rsidR="00857495">
          <w:rPr>
            <w:noProof/>
            <w:webHidden/>
          </w:rPr>
        </w:r>
        <w:r w:rsidR="00857495">
          <w:rPr>
            <w:noProof/>
            <w:webHidden/>
          </w:rPr>
          <w:fldChar w:fldCharType="separate"/>
        </w:r>
        <w:r w:rsidR="009F33FD">
          <w:rPr>
            <w:noProof/>
            <w:webHidden/>
          </w:rPr>
          <w:t>71</w:t>
        </w:r>
        <w:r w:rsidR="00857495">
          <w:rPr>
            <w:noProof/>
            <w:webHidden/>
          </w:rPr>
          <w:fldChar w:fldCharType="end"/>
        </w:r>
      </w:hyperlink>
    </w:p>
    <w:p w:rsidR="00857495" w:rsidRDefault="005570DA" w:rsidP="00266A8E">
      <w:pPr>
        <w:pStyle w:val="TOC2"/>
        <w:rPr>
          <w:rFonts w:asciiTheme="minorHAnsi" w:eastAsiaTheme="minorEastAsia" w:hAnsiTheme="minorHAnsi"/>
          <w:noProof/>
          <w:color w:val="auto"/>
          <w:sz w:val="22"/>
          <w:lang w:val="en-GB" w:eastAsia="en-GB"/>
        </w:rPr>
      </w:pPr>
      <w:hyperlink w:anchor="_Toc508960928" w:history="1">
        <w:r w:rsidR="00857495" w:rsidRPr="002936DB">
          <w:rPr>
            <w:rStyle w:val="Hyperlink"/>
            <w:noProof/>
          </w:rPr>
          <w:t>3.2</w:t>
        </w:r>
        <w:r w:rsidR="00857495">
          <w:rPr>
            <w:rFonts w:asciiTheme="minorHAnsi" w:eastAsiaTheme="minorEastAsia" w:hAnsiTheme="minorHAnsi"/>
            <w:noProof/>
            <w:color w:val="auto"/>
            <w:sz w:val="22"/>
            <w:lang w:val="en-GB" w:eastAsia="en-GB"/>
          </w:rPr>
          <w:tab/>
        </w:r>
        <w:r w:rsidR="00857495" w:rsidRPr="002936DB">
          <w:rPr>
            <w:rStyle w:val="Hyperlink"/>
            <w:noProof/>
          </w:rPr>
          <w:t>L-identifikazzjoni tal-potenzjal tal-innovazzjoni tal-PŻR: pass pass</w:t>
        </w:r>
        <w:r w:rsidR="00857495">
          <w:rPr>
            <w:noProof/>
            <w:webHidden/>
          </w:rPr>
          <w:tab/>
        </w:r>
        <w:r w:rsidR="00857495">
          <w:rPr>
            <w:noProof/>
            <w:webHidden/>
          </w:rPr>
          <w:fldChar w:fldCharType="begin"/>
        </w:r>
        <w:r w:rsidR="00857495">
          <w:rPr>
            <w:noProof/>
            <w:webHidden/>
          </w:rPr>
          <w:instrText xml:space="preserve"> PAGEREF _Toc508960928 \h </w:instrText>
        </w:r>
        <w:r w:rsidR="00857495">
          <w:rPr>
            <w:noProof/>
            <w:webHidden/>
          </w:rPr>
        </w:r>
        <w:r w:rsidR="00857495">
          <w:rPr>
            <w:noProof/>
            <w:webHidden/>
          </w:rPr>
          <w:fldChar w:fldCharType="separate"/>
        </w:r>
        <w:r w:rsidR="009F33FD">
          <w:rPr>
            <w:noProof/>
            <w:webHidden/>
          </w:rPr>
          <w:t>73</w:t>
        </w:r>
        <w:r w:rsidR="00857495">
          <w:rPr>
            <w:noProof/>
            <w:webHidden/>
          </w:rPr>
          <w:fldChar w:fldCharType="end"/>
        </w:r>
      </w:hyperlink>
    </w:p>
    <w:p w:rsidR="00501827" w:rsidRPr="00290F11" w:rsidRDefault="009837FF" w:rsidP="00E05D08">
      <w:pPr>
        <w:tabs>
          <w:tab w:val="left" w:pos="454"/>
          <w:tab w:val="right" w:leader="dot" w:pos="9072"/>
        </w:tabs>
        <w:suppressAutoHyphens/>
        <w:ind w:left="454" w:hanging="454"/>
        <w:rPr>
          <w:rFonts w:ascii="Helvetica LT Pro" w:eastAsia="Times New Roman" w:hAnsi="Helvetica LT Pro" w:cs="Times New Roman"/>
          <w:b/>
          <w:color w:val="000000" w:themeColor="text1"/>
          <w:szCs w:val="20"/>
        </w:rPr>
      </w:pPr>
      <w:r w:rsidRPr="00290F11">
        <w:rPr>
          <w:rFonts w:ascii="Helvetica LT Pro" w:eastAsia="Times New Roman" w:hAnsi="Helvetica LT Pro" w:cs="Times New Roman"/>
          <w:caps/>
          <w:color w:val="000000" w:themeColor="text1"/>
          <w:szCs w:val="20"/>
        </w:rPr>
        <w:fldChar w:fldCharType="end"/>
      </w:r>
    </w:p>
    <w:p w:rsidR="00E05D08" w:rsidRPr="00290F11"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sidRPr="00290F11">
        <w:rPr>
          <w:b/>
          <w:bCs/>
          <w:caps/>
          <w:color w:val="F07E31"/>
          <w:szCs w:val="32"/>
        </w:rPr>
        <w:lastRenderedPageBreak/>
        <w:t>Tabelli u figuri</w:t>
      </w:r>
    </w:p>
    <w:p w:rsidR="00266A8E" w:rsidRDefault="00E05D08" w:rsidP="00266A8E">
      <w:pPr>
        <w:pStyle w:val="TOC2"/>
        <w:rPr>
          <w:rFonts w:asciiTheme="minorHAnsi" w:eastAsiaTheme="minorEastAsia" w:hAnsiTheme="minorHAnsi"/>
          <w:noProof/>
          <w:color w:val="auto"/>
          <w:sz w:val="22"/>
          <w:lang w:val="en-GB" w:eastAsia="en-GB"/>
        </w:rPr>
      </w:pPr>
      <w:r w:rsidRPr="00290F11">
        <w:rPr>
          <w:rStyle w:val="Hyperlink"/>
          <w14:scene3d>
            <w14:camera w14:prst="orthographicFront"/>
            <w14:lightRig w14:rig="threePt" w14:dir="t">
              <w14:rot w14:lat="0" w14:lon="0" w14:rev="0"/>
            </w14:lightRig>
          </w14:scene3d>
        </w:rPr>
        <w:fldChar w:fldCharType="begin"/>
      </w:r>
      <w:r w:rsidRPr="00290F11">
        <w:rPr>
          <w:rStyle w:val="Hyperlink"/>
          <w14:scene3d>
            <w14:camera w14:prst="orthographicFront"/>
            <w14:lightRig w14:rig="threePt" w14:dir="t">
              <w14:rot w14:lat="0" w14:lon="0" w14:rev="0"/>
            </w14:lightRig>
          </w14:scene3d>
        </w:rPr>
        <w:instrText xml:space="preserve"> TOC \h \z \t "H_Heading_tables;2" </w:instrText>
      </w:r>
      <w:r w:rsidRPr="00290F11">
        <w:rPr>
          <w:rStyle w:val="Hyperlink"/>
          <w14:scene3d>
            <w14:camera w14:prst="orthographicFront"/>
            <w14:lightRig w14:rig="threePt" w14:dir="t">
              <w14:rot w14:lat="0" w14:lon="0" w14:rev="0"/>
            </w14:lightRig>
          </w14:scene3d>
        </w:rPr>
        <w:fldChar w:fldCharType="separate"/>
      </w:r>
      <w:hyperlink w:anchor="_Toc508964832" w:history="1">
        <w:r w:rsidR="00266A8E" w:rsidRPr="00586ABD">
          <w:rPr>
            <w:rStyle w:val="Hyperlink"/>
            <w:noProof/>
          </w:rPr>
          <w:t>Tabella 1.</w:t>
        </w:r>
        <w:r w:rsidR="00266A8E">
          <w:rPr>
            <w:rFonts w:asciiTheme="minorHAnsi" w:eastAsiaTheme="minorEastAsia" w:hAnsiTheme="minorHAnsi"/>
            <w:noProof/>
            <w:color w:val="auto"/>
            <w:sz w:val="22"/>
            <w:lang w:val="en-GB" w:eastAsia="en-GB"/>
          </w:rPr>
          <w:tab/>
        </w:r>
        <w:r w:rsidR="00266A8E" w:rsidRPr="00586ABD">
          <w:rPr>
            <w:rStyle w:val="Hyperlink"/>
            <w:noProof/>
          </w:rPr>
          <w:t>Tabella 1. Elementi tal-evalwazzjoni u sorsi ta’ informazzjoni fir-rigward tas-CEQ nru. 1</w:t>
        </w:r>
        <w:r w:rsidR="00266A8E">
          <w:rPr>
            <w:noProof/>
            <w:webHidden/>
          </w:rPr>
          <w:tab/>
        </w:r>
        <w:r w:rsidR="00266A8E">
          <w:rPr>
            <w:noProof/>
            <w:webHidden/>
          </w:rPr>
          <w:fldChar w:fldCharType="begin"/>
        </w:r>
        <w:r w:rsidR="00266A8E">
          <w:rPr>
            <w:noProof/>
            <w:webHidden/>
          </w:rPr>
          <w:instrText xml:space="preserve"> PAGEREF _Toc508964832 \h </w:instrText>
        </w:r>
        <w:r w:rsidR="00266A8E">
          <w:rPr>
            <w:noProof/>
            <w:webHidden/>
          </w:rPr>
        </w:r>
        <w:r w:rsidR="00266A8E">
          <w:rPr>
            <w:noProof/>
            <w:webHidden/>
          </w:rPr>
          <w:fldChar w:fldCharType="separate"/>
        </w:r>
        <w:r w:rsidR="009F33FD">
          <w:rPr>
            <w:noProof/>
            <w:webHidden/>
          </w:rPr>
          <w:t>28</w:t>
        </w:r>
        <w:r w:rsidR="00266A8E">
          <w:rPr>
            <w:noProof/>
            <w:webHidden/>
          </w:rPr>
          <w:fldChar w:fldCharType="end"/>
        </w:r>
      </w:hyperlink>
    </w:p>
    <w:p w:rsidR="00266A8E" w:rsidRDefault="005570DA" w:rsidP="00266A8E">
      <w:pPr>
        <w:pStyle w:val="TOC2"/>
        <w:rPr>
          <w:rFonts w:asciiTheme="minorHAnsi" w:eastAsiaTheme="minorEastAsia" w:hAnsiTheme="minorHAnsi"/>
          <w:noProof/>
          <w:color w:val="auto"/>
          <w:sz w:val="22"/>
          <w:lang w:val="en-GB" w:eastAsia="en-GB"/>
        </w:rPr>
      </w:pPr>
      <w:hyperlink w:anchor="_Toc508964833" w:history="1">
        <w:r w:rsidR="00266A8E" w:rsidRPr="00586ABD">
          <w:rPr>
            <w:rStyle w:val="Hyperlink"/>
            <w:noProof/>
          </w:rPr>
          <w:t>Tabella 2.</w:t>
        </w:r>
        <w:r w:rsidR="00266A8E">
          <w:rPr>
            <w:rFonts w:asciiTheme="minorHAnsi" w:eastAsiaTheme="minorEastAsia" w:hAnsiTheme="minorHAnsi"/>
            <w:noProof/>
            <w:color w:val="auto"/>
            <w:sz w:val="22"/>
            <w:lang w:val="en-GB" w:eastAsia="en-GB"/>
          </w:rPr>
          <w:tab/>
        </w:r>
        <w:r w:rsidR="00266A8E" w:rsidRPr="00586ABD">
          <w:rPr>
            <w:rStyle w:val="Hyperlink"/>
            <w:noProof/>
          </w:rPr>
          <w:t>Metodi rrakkomandati għas-CEQ nru. 1</w:t>
        </w:r>
        <w:r w:rsidR="00266A8E">
          <w:rPr>
            <w:noProof/>
            <w:webHidden/>
          </w:rPr>
          <w:tab/>
        </w:r>
        <w:r w:rsidR="00266A8E">
          <w:rPr>
            <w:noProof/>
            <w:webHidden/>
          </w:rPr>
          <w:fldChar w:fldCharType="begin"/>
        </w:r>
        <w:r w:rsidR="00266A8E">
          <w:rPr>
            <w:noProof/>
            <w:webHidden/>
          </w:rPr>
          <w:instrText xml:space="preserve"> PAGEREF _Toc508964833 \h </w:instrText>
        </w:r>
        <w:r w:rsidR="00266A8E">
          <w:rPr>
            <w:noProof/>
            <w:webHidden/>
          </w:rPr>
        </w:r>
        <w:r w:rsidR="00266A8E">
          <w:rPr>
            <w:noProof/>
            <w:webHidden/>
          </w:rPr>
          <w:fldChar w:fldCharType="separate"/>
        </w:r>
        <w:r w:rsidR="009F33FD">
          <w:rPr>
            <w:noProof/>
            <w:webHidden/>
          </w:rPr>
          <w:t>30</w:t>
        </w:r>
        <w:r w:rsidR="00266A8E">
          <w:rPr>
            <w:noProof/>
            <w:webHidden/>
          </w:rPr>
          <w:fldChar w:fldCharType="end"/>
        </w:r>
      </w:hyperlink>
    </w:p>
    <w:p w:rsidR="00266A8E" w:rsidRDefault="005570DA" w:rsidP="00266A8E">
      <w:pPr>
        <w:pStyle w:val="TOC2"/>
        <w:rPr>
          <w:rFonts w:asciiTheme="minorHAnsi" w:eastAsiaTheme="minorEastAsia" w:hAnsiTheme="minorHAnsi"/>
          <w:noProof/>
          <w:color w:val="auto"/>
          <w:sz w:val="22"/>
          <w:lang w:val="en-GB" w:eastAsia="en-GB"/>
        </w:rPr>
      </w:pPr>
      <w:hyperlink w:anchor="_Toc508964834" w:history="1">
        <w:r w:rsidR="00266A8E" w:rsidRPr="00586ABD">
          <w:rPr>
            <w:rStyle w:val="Hyperlink"/>
            <w:noProof/>
          </w:rPr>
          <w:t>Tabella 3.</w:t>
        </w:r>
        <w:r w:rsidR="00266A8E">
          <w:rPr>
            <w:rFonts w:asciiTheme="minorHAnsi" w:eastAsiaTheme="minorEastAsia" w:hAnsiTheme="minorHAnsi"/>
            <w:noProof/>
            <w:color w:val="auto"/>
            <w:sz w:val="22"/>
            <w:lang w:val="en-GB" w:eastAsia="en-GB"/>
          </w:rPr>
          <w:tab/>
        </w:r>
        <w:r w:rsidR="00266A8E" w:rsidRPr="00586ABD">
          <w:rPr>
            <w:rStyle w:val="Hyperlink"/>
            <w:noProof/>
          </w:rPr>
          <w:t>Il-kriterji tal-ġudizzju, l-indikaturi u l-ħtiġijiet u s-sorsi tad-data</w:t>
        </w:r>
        <w:r w:rsidR="00266A8E">
          <w:rPr>
            <w:noProof/>
            <w:webHidden/>
          </w:rPr>
          <w:tab/>
        </w:r>
        <w:r w:rsidR="00266A8E">
          <w:rPr>
            <w:noProof/>
            <w:webHidden/>
          </w:rPr>
          <w:fldChar w:fldCharType="begin"/>
        </w:r>
        <w:r w:rsidR="00266A8E">
          <w:rPr>
            <w:noProof/>
            <w:webHidden/>
          </w:rPr>
          <w:instrText xml:space="preserve"> PAGEREF _Toc508964834 \h </w:instrText>
        </w:r>
        <w:r w:rsidR="00266A8E">
          <w:rPr>
            <w:noProof/>
            <w:webHidden/>
          </w:rPr>
        </w:r>
        <w:r w:rsidR="00266A8E">
          <w:rPr>
            <w:noProof/>
            <w:webHidden/>
          </w:rPr>
          <w:fldChar w:fldCharType="separate"/>
        </w:r>
        <w:r w:rsidR="009F33FD">
          <w:rPr>
            <w:noProof/>
            <w:webHidden/>
          </w:rPr>
          <w:t>37</w:t>
        </w:r>
        <w:r w:rsidR="00266A8E">
          <w:rPr>
            <w:noProof/>
            <w:webHidden/>
          </w:rPr>
          <w:fldChar w:fldCharType="end"/>
        </w:r>
      </w:hyperlink>
    </w:p>
    <w:p w:rsidR="00266A8E" w:rsidRDefault="005570DA" w:rsidP="00266A8E">
      <w:pPr>
        <w:pStyle w:val="TOC2"/>
        <w:rPr>
          <w:rFonts w:asciiTheme="minorHAnsi" w:eastAsiaTheme="minorEastAsia" w:hAnsiTheme="minorHAnsi"/>
          <w:noProof/>
          <w:color w:val="auto"/>
          <w:sz w:val="22"/>
          <w:lang w:val="en-GB" w:eastAsia="en-GB"/>
        </w:rPr>
      </w:pPr>
      <w:hyperlink w:anchor="_Toc508964835" w:history="1">
        <w:r w:rsidR="00266A8E" w:rsidRPr="00586ABD">
          <w:rPr>
            <w:rStyle w:val="Hyperlink"/>
            <w:noProof/>
          </w:rPr>
          <w:t>Tabella 4.</w:t>
        </w:r>
        <w:r w:rsidR="00266A8E">
          <w:rPr>
            <w:rFonts w:asciiTheme="minorHAnsi" w:eastAsiaTheme="minorEastAsia" w:hAnsiTheme="minorHAnsi"/>
            <w:noProof/>
            <w:color w:val="auto"/>
            <w:sz w:val="22"/>
            <w:lang w:val="en-GB" w:eastAsia="en-GB"/>
          </w:rPr>
          <w:tab/>
        </w:r>
        <w:r w:rsidR="00266A8E" w:rsidRPr="00586ABD">
          <w:rPr>
            <w:rStyle w:val="Hyperlink"/>
            <w:noProof/>
          </w:rPr>
          <w:t>Metodi rrakkomandati għas-CEQ nru. 2</w:t>
        </w:r>
        <w:r w:rsidR="00266A8E">
          <w:rPr>
            <w:noProof/>
            <w:webHidden/>
          </w:rPr>
          <w:tab/>
        </w:r>
        <w:r w:rsidR="00266A8E">
          <w:rPr>
            <w:noProof/>
            <w:webHidden/>
          </w:rPr>
          <w:fldChar w:fldCharType="begin"/>
        </w:r>
        <w:r w:rsidR="00266A8E">
          <w:rPr>
            <w:noProof/>
            <w:webHidden/>
          </w:rPr>
          <w:instrText xml:space="preserve"> PAGEREF _Toc508964835 \h </w:instrText>
        </w:r>
        <w:r w:rsidR="00266A8E">
          <w:rPr>
            <w:noProof/>
            <w:webHidden/>
          </w:rPr>
        </w:r>
        <w:r w:rsidR="00266A8E">
          <w:rPr>
            <w:noProof/>
            <w:webHidden/>
          </w:rPr>
          <w:fldChar w:fldCharType="separate"/>
        </w:r>
        <w:r w:rsidR="009F33FD">
          <w:rPr>
            <w:noProof/>
            <w:webHidden/>
          </w:rPr>
          <w:t>39</w:t>
        </w:r>
        <w:r w:rsidR="00266A8E">
          <w:rPr>
            <w:noProof/>
            <w:webHidden/>
          </w:rPr>
          <w:fldChar w:fldCharType="end"/>
        </w:r>
      </w:hyperlink>
    </w:p>
    <w:p w:rsidR="00266A8E" w:rsidRDefault="005570DA" w:rsidP="00266A8E">
      <w:pPr>
        <w:pStyle w:val="TOC2"/>
        <w:rPr>
          <w:rFonts w:asciiTheme="minorHAnsi" w:eastAsiaTheme="minorEastAsia" w:hAnsiTheme="minorHAnsi"/>
          <w:noProof/>
          <w:color w:val="auto"/>
          <w:sz w:val="22"/>
          <w:lang w:val="en-GB" w:eastAsia="en-GB"/>
        </w:rPr>
      </w:pPr>
      <w:hyperlink w:anchor="_Toc508964836" w:history="1">
        <w:r w:rsidR="00266A8E" w:rsidRPr="00586ABD">
          <w:rPr>
            <w:rStyle w:val="Hyperlink"/>
            <w:noProof/>
          </w:rPr>
          <w:t>Tabella 5.</w:t>
        </w:r>
        <w:r w:rsidR="00266A8E">
          <w:rPr>
            <w:rFonts w:asciiTheme="minorHAnsi" w:eastAsiaTheme="minorEastAsia" w:hAnsiTheme="minorHAnsi"/>
            <w:noProof/>
            <w:color w:val="auto"/>
            <w:sz w:val="22"/>
            <w:lang w:val="en-GB" w:eastAsia="en-GB"/>
          </w:rPr>
          <w:tab/>
        </w:r>
        <w:r w:rsidR="00266A8E" w:rsidRPr="00586ABD">
          <w:rPr>
            <w:rStyle w:val="Hyperlink"/>
            <w:noProof/>
          </w:rPr>
          <w:t>Kriterji, indikaturi u data addizzjonali tal-ġudizzju proposti sabiex tiġi mwieġba s-CEQ nru. 21</w:t>
        </w:r>
        <w:r w:rsidR="00266A8E">
          <w:rPr>
            <w:noProof/>
            <w:webHidden/>
          </w:rPr>
          <w:tab/>
        </w:r>
        <w:r w:rsidR="00266A8E">
          <w:rPr>
            <w:noProof/>
            <w:webHidden/>
          </w:rPr>
          <w:fldChar w:fldCharType="begin"/>
        </w:r>
        <w:r w:rsidR="00266A8E">
          <w:rPr>
            <w:noProof/>
            <w:webHidden/>
          </w:rPr>
          <w:instrText xml:space="preserve"> PAGEREF _Toc508964836 \h </w:instrText>
        </w:r>
        <w:r w:rsidR="00266A8E">
          <w:rPr>
            <w:noProof/>
            <w:webHidden/>
          </w:rPr>
        </w:r>
        <w:r w:rsidR="00266A8E">
          <w:rPr>
            <w:noProof/>
            <w:webHidden/>
          </w:rPr>
          <w:fldChar w:fldCharType="separate"/>
        </w:r>
        <w:r w:rsidR="009F33FD">
          <w:rPr>
            <w:noProof/>
            <w:webHidden/>
          </w:rPr>
          <w:t>45</w:t>
        </w:r>
        <w:r w:rsidR="00266A8E">
          <w:rPr>
            <w:noProof/>
            <w:webHidden/>
          </w:rPr>
          <w:fldChar w:fldCharType="end"/>
        </w:r>
      </w:hyperlink>
    </w:p>
    <w:p w:rsidR="00266A8E" w:rsidRDefault="005570DA" w:rsidP="00266A8E">
      <w:pPr>
        <w:pStyle w:val="TOC2"/>
        <w:rPr>
          <w:rFonts w:asciiTheme="minorHAnsi" w:eastAsiaTheme="minorEastAsia" w:hAnsiTheme="minorHAnsi"/>
          <w:noProof/>
          <w:color w:val="auto"/>
          <w:sz w:val="22"/>
          <w:lang w:val="en-GB" w:eastAsia="en-GB"/>
        </w:rPr>
      </w:pPr>
      <w:hyperlink w:anchor="_Toc508964837" w:history="1">
        <w:r w:rsidR="00266A8E" w:rsidRPr="00586ABD">
          <w:rPr>
            <w:rStyle w:val="Hyperlink"/>
            <w:noProof/>
          </w:rPr>
          <w:t>Tabella 6.</w:t>
        </w:r>
        <w:r w:rsidR="00266A8E">
          <w:rPr>
            <w:rFonts w:asciiTheme="minorHAnsi" w:eastAsiaTheme="minorEastAsia" w:hAnsiTheme="minorHAnsi"/>
            <w:noProof/>
            <w:color w:val="auto"/>
            <w:sz w:val="22"/>
            <w:lang w:val="en-GB" w:eastAsia="en-GB"/>
          </w:rPr>
          <w:tab/>
        </w:r>
        <w:r w:rsidR="00266A8E" w:rsidRPr="00586ABD">
          <w:rPr>
            <w:rStyle w:val="Hyperlink"/>
            <w:noProof/>
          </w:rPr>
          <w:t>Metodi rrakkomandati għas-CEQ nru. 21</w:t>
        </w:r>
        <w:r w:rsidR="00266A8E">
          <w:rPr>
            <w:noProof/>
            <w:webHidden/>
          </w:rPr>
          <w:tab/>
        </w:r>
        <w:r w:rsidR="00266A8E">
          <w:rPr>
            <w:noProof/>
            <w:webHidden/>
          </w:rPr>
          <w:fldChar w:fldCharType="begin"/>
        </w:r>
        <w:r w:rsidR="00266A8E">
          <w:rPr>
            <w:noProof/>
            <w:webHidden/>
          </w:rPr>
          <w:instrText xml:space="preserve"> PAGEREF _Toc508964837 \h </w:instrText>
        </w:r>
        <w:r w:rsidR="00266A8E">
          <w:rPr>
            <w:noProof/>
            <w:webHidden/>
          </w:rPr>
        </w:r>
        <w:r w:rsidR="00266A8E">
          <w:rPr>
            <w:noProof/>
            <w:webHidden/>
          </w:rPr>
          <w:fldChar w:fldCharType="separate"/>
        </w:r>
        <w:r w:rsidR="009F33FD">
          <w:rPr>
            <w:noProof/>
            <w:webHidden/>
          </w:rPr>
          <w:t>49</w:t>
        </w:r>
        <w:r w:rsidR="00266A8E">
          <w:rPr>
            <w:noProof/>
            <w:webHidden/>
          </w:rPr>
          <w:fldChar w:fldCharType="end"/>
        </w:r>
      </w:hyperlink>
    </w:p>
    <w:p w:rsidR="00266A8E" w:rsidRDefault="005570DA" w:rsidP="00266A8E">
      <w:pPr>
        <w:pStyle w:val="TOC2"/>
        <w:rPr>
          <w:rFonts w:asciiTheme="minorHAnsi" w:eastAsiaTheme="minorEastAsia" w:hAnsiTheme="minorHAnsi"/>
          <w:noProof/>
          <w:color w:val="auto"/>
          <w:sz w:val="22"/>
          <w:lang w:val="en-GB" w:eastAsia="en-GB"/>
        </w:rPr>
      </w:pPr>
      <w:hyperlink w:anchor="_Toc508964838" w:history="1">
        <w:r w:rsidR="00266A8E" w:rsidRPr="00586ABD">
          <w:rPr>
            <w:rStyle w:val="Hyperlink"/>
            <w:noProof/>
          </w:rPr>
          <w:t>Tabella 7.</w:t>
        </w:r>
        <w:r w:rsidR="00266A8E">
          <w:rPr>
            <w:rFonts w:asciiTheme="minorHAnsi" w:eastAsiaTheme="minorEastAsia" w:hAnsiTheme="minorHAnsi"/>
            <w:noProof/>
            <w:color w:val="auto"/>
            <w:sz w:val="22"/>
            <w:lang w:val="en-GB" w:eastAsia="en-GB"/>
          </w:rPr>
          <w:tab/>
        </w:r>
        <w:r w:rsidR="00266A8E" w:rsidRPr="00586ABD">
          <w:rPr>
            <w:rStyle w:val="Hyperlink"/>
            <w:noProof/>
          </w:rPr>
          <w:t>Kriterji tal-ġudizzju, indikaturi u data meħtieġa sabiex tiġi mwieġba s-CEQ nru. 23</w:t>
        </w:r>
        <w:r w:rsidR="00266A8E">
          <w:rPr>
            <w:noProof/>
            <w:webHidden/>
          </w:rPr>
          <w:tab/>
        </w:r>
        <w:r w:rsidR="00266A8E">
          <w:rPr>
            <w:noProof/>
            <w:webHidden/>
          </w:rPr>
          <w:fldChar w:fldCharType="begin"/>
        </w:r>
        <w:r w:rsidR="00266A8E">
          <w:rPr>
            <w:noProof/>
            <w:webHidden/>
          </w:rPr>
          <w:instrText xml:space="preserve"> PAGEREF _Toc508964838 \h </w:instrText>
        </w:r>
        <w:r w:rsidR="00266A8E">
          <w:rPr>
            <w:noProof/>
            <w:webHidden/>
          </w:rPr>
        </w:r>
        <w:r w:rsidR="00266A8E">
          <w:rPr>
            <w:noProof/>
            <w:webHidden/>
          </w:rPr>
          <w:fldChar w:fldCharType="separate"/>
        </w:r>
        <w:r w:rsidR="009F33FD">
          <w:rPr>
            <w:noProof/>
            <w:webHidden/>
          </w:rPr>
          <w:t>54</w:t>
        </w:r>
        <w:r w:rsidR="00266A8E">
          <w:rPr>
            <w:noProof/>
            <w:webHidden/>
          </w:rPr>
          <w:fldChar w:fldCharType="end"/>
        </w:r>
      </w:hyperlink>
    </w:p>
    <w:p w:rsidR="00266A8E" w:rsidRDefault="005570DA" w:rsidP="00266A8E">
      <w:pPr>
        <w:pStyle w:val="TOC2"/>
        <w:rPr>
          <w:rFonts w:asciiTheme="minorHAnsi" w:eastAsiaTheme="minorEastAsia" w:hAnsiTheme="minorHAnsi"/>
          <w:noProof/>
          <w:color w:val="auto"/>
          <w:sz w:val="22"/>
          <w:lang w:val="en-GB" w:eastAsia="en-GB"/>
        </w:rPr>
      </w:pPr>
      <w:hyperlink w:anchor="_Toc508964839" w:history="1">
        <w:r w:rsidR="00266A8E" w:rsidRPr="00586ABD">
          <w:rPr>
            <w:rStyle w:val="Hyperlink"/>
            <w:noProof/>
          </w:rPr>
          <w:t>Tabella 8.</w:t>
        </w:r>
        <w:r w:rsidR="00266A8E">
          <w:rPr>
            <w:rFonts w:asciiTheme="minorHAnsi" w:eastAsiaTheme="minorEastAsia" w:hAnsiTheme="minorHAnsi"/>
            <w:noProof/>
            <w:color w:val="auto"/>
            <w:sz w:val="22"/>
            <w:lang w:val="en-GB" w:eastAsia="en-GB"/>
          </w:rPr>
          <w:tab/>
        </w:r>
        <w:r w:rsidR="00266A8E" w:rsidRPr="00586ABD">
          <w:rPr>
            <w:rStyle w:val="Hyperlink"/>
            <w:noProof/>
          </w:rPr>
          <w:t>Eżempju tal-valuri ppjanati u attwali tal-indikaturi komuni u addizzjonali</w:t>
        </w:r>
        <w:r w:rsidR="00266A8E">
          <w:rPr>
            <w:noProof/>
            <w:webHidden/>
          </w:rPr>
          <w:tab/>
        </w:r>
        <w:r w:rsidR="00266A8E">
          <w:rPr>
            <w:noProof/>
            <w:webHidden/>
          </w:rPr>
          <w:fldChar w:fldCharType="begin"/>
        </w:r>
        <w:r w:rsidR="00266A8E">
          <w:rPr>
            <w:noProof/>
            <w:webHidden/>
          </w:rPr>
          <w:instrText xml:space="preserve"> PAGEREF _Toc508964839 \h </w:instrText>
        </w:r>
        <w:r w:rsidR="00266A8E">
          <w:rPr>
            <w:noProof/>
            <w:webHidden/>
          </w:rPr>
        </w:r>
        <w:r w:rsidR="00266A8E">
          <w:rPr>
            <w:noProof/>
            <w:webHidden/>
          </w:rPr>
          <w:fldChar w:fldCharType="separate"/>
        </w:r>
        <w:r w:rsidR="009F33FD">
          <w:rPr>
            <w:noProof/>
            <w:webHidden/>
          </w:rPr>
          <w:t>57</w:t>
        </w:r>
        <w:r w:rsidR="00266A8E">
          <w:rPr>
            <w:noProof/>
            <w:webHidden/>
          </w:rPr>
          <w:fldChar w:fldCharType="end"/>
        </w:r>
      </w:hyperlink>
    </w:p>
    <w:p w:rsidR="00266A8E" w:rsidRDefault="005570DA" w:rsidP="00266A8E">
      <w:pPr>
        <w:pStyle w:val="TOC2"/>
        <w:rPr>
          <w:rFonts w:asciiTheme="minorHAnsi" w:eastAsiaTheme="minorEastAsia" w:hAnsiTheme="minorHAnsi"/>
          <w:noProof/>
          <w:color w:val="auto"/>
          <w:sz w:val="22"/>
          <w:lang w:val="en-GB" w:eastAsia="en-GB"/>
        </w:rPr>
      </w:pPr>
      <w:hyperlink w:anchor="_Toc508964840" w:history="1">
        <w:r w:rsidR="00266A8E" w:rsidRPr="00586ABD">
          <w:rPr>
            <w:rStyle w:val="Hyperlink"/>
            <w:noProof/>
          </w:rPr>
          <w:t>Tabella 9.</w:t>
        </w:r>
        <w:r w:rsidR="00266A8E">
          <w:rPr>
            <w:rFonts w:asciiTheme="minorHAnsi" w:eastAsiaTheme="minorEastAsia" w:hAnsiTheme="minorHAnsi"/>
            <w:noProof/>
            <w:color w:val="auto"/>
            <w:sz w:val="22"/>
            <w:lang w:val="en-GB" w:eastAsia="en-GB"/>
          </w:rPr>
          <w:tab/>
        </w:r>
        <w:r w:rsidR="00266A8E" w:rsidRPr="00586ABD">
          <w:rPr>
            <w:rStyle w:val="Hyperlink"/>
            <w:noProof/>
          </w:rPr>
          <w:t>Elementi tal-evalwazzjoni marbuta mas-CEQ nru. 30</w:t>
        </w:r>
        <w:r w:rsidR="00266A8E">
          <w:rPr>
            <w:noProof/>
            <w:webHidden/>
          </w:rPr>
          <w:tab/>
        </w:r>
        <w:r w:rsidR="00266A8E">
          <w:rPr>
            <w:noProof/>
            <w:webHidden/>
          </w:rPr>
          <w:fldChar w:fldCharType="begin"/>
        </w:r>
        <w:r w:rsidR="00266A8E">
          <w:rPr>
            <w:noProof/>
            <w:webHidden/>
          </w:rPr>
          <w:instrText xml:space="preserve"> PAGEREF _Toc508964840 \h </w:instrText>
        </w:r>
        <w:r w:rsidR="00266A8E">
          <w:rPr>
            <w:noProof/>
            <w:webHidden/>
          </w:rPr>
        </w:r>
        <w:r w:rsidR="00266A8E">
          <w:rPr>
            <w:noProof/>
            <w:webHidden/>
          </w:rPr>
          <w:fldChar w:fldCharType="separate"/>
        </w:r>
        <w:r w:rsidR="009F33FD">
          <w:rPr>
            <w:noProof/>
            <w:webHidden/>
          </w:rPr>
          <w:t>62</w:t>
        </w:r>
        <w:r w:rsidR="00266A8E">
          <w:rPr>
            <w:noProof/>
            <w:webHidden/>
          </w:rPr>
          <w:fldChar w:fldCharType="end"/>
        </w:r>
      </w:hyperlink>
    </w:p>
    <w:p w:rsidR="001A12C3" w:rsidRPr="00290F11" w:rsidRDefault="00E05D08" w:rsidP="00530DA6">
      <w:pPr>
        <w:tabs>
          <w:tab w:val="left" w:pos="1540"/>
          <w:tab w:val="right" w:leader="dot" w:pos="9016"/>
        </w:tabs>
        <w:ind w:left="1560" w:hanging="1340"/>
        <w:rPr>
          <w:rStyle w:val="Hyperlink"/>
          <w14:scene3d>
            <w14:camera w14:prst="orthographicFront"/>
            <w14:lightRig w14:rig="threePt" w14:dir="t">
              <w14:rot w14:lat="0" w14:lon="0" w14:rev="0"/>
            </w14:lightRig>
          </w14:scene3d>
        </w:rPr>
      </w:pPr>
      <w:r w:rsidRPr="00290F11">
        <w:rPr>
          <w:rStyle w:val="Hyperlink"/>
          <w14:scene3d>
            <w14:camera w14:prst="orthographicFront"/>
            <w14:lightRig w14:rig="threePt" w14:dir="t">
              <w14:rot w14:lat="0" w14:lon="0" w14:rev="0"/>
            </w14:lightRig>
          </w14:scene3d>
        </w:rPr>
        <w:fldChar w:fldCharType="end"/>
      </w:r>
    </w:p>
    <w:p w:rsidR="00A7690F" w:rsidRDefault="002F11D9" w:rsidP="00A7690F">
      <w:pPr>
        <w:pStyle w:val="TOC4"/>
        <w:rPr>
          <w:rFonts w:asciiTheme="minorHAnsi" w:eastAsiaTheme="minorEastAsia" w:hAnsiTheme="minorHAnsi"/>
          <w:color w:val="auto"/>
          <w:sz w:val="22"/>
          <w:lang w:val="en-GB" w:eastAsia="en-GB"/>
        </w:rPr>
      </w:pPr>
      <w:r w:rsidRPr="00290F11">
        <w:rPr>
          <w:rStyle w:val="Hyperlink"/>
          <w14:scene3d>
            <w14:camera w14:prst="orthographicFront"/>
            <w14:lightRig w14:rig="threePt" w14:dir="t">
              <w14:rot w14:lat="0" w14:lon="0" w14:rev="0"/>
            </w14:lightRig>
          </w14:scene3d>
        </w:rPr>
        <w:fldChar w:fldCharType="begin"/>
      </w:r>
      <w:r w:rsidRPr="00290F11">
        <w:rPr>
          <w:rStyle w:val="Hyperlink"/>
          <w14:scene3d>
            <w14:camera w14:prst="orthographicFront"/>
            <w14:lightRig w14:rig="threePt" w14:dir="t">
              <w14:rot w14:lat="0" w14:lon="0" w14:rev="0"/>
            </w14:lightRig>
          </w14:scene3d>
        </w:rPr>
        <w:instrText xml:space="preserve"> TOC \h \z \t "H_Heading_figures;4" </w:instrText>
      </w:r>
      <w:r w:rsidRPr="00290F11">
        <w:rPr>
          <w:rStyle w:val="Hyperlink"/>
          <w14:scene3d>
            <w14:camera w14:prst="orthographicFront"/>
            <w14:lightRig w14:rig="threePt" w14:dir="t">
              <w14:rot w14:lat="0" w14:lon="0" w14:rev="0"/>
            </w14:lightRig>
          </w14:scene3d>
        </w:rPr>
        <w:fldChar w:fldCharType="separate"/>
      </w:r>
      <w:hyperlink w:anchor="_Toc508964961" w:history="1">
        <w:r w:rsidR="00A7690F" w:rsidRPr="00555E2B">
          <w:rPr>
            <w:rStyle w:val="Hyperlink"/>
          </w:rPr>
          <w:t>Figura 1.</w:t>
        </w:r>
        <w:r w:rsidR="00A7690F">
          <w:rPr>
            <w:rFonts w:asciiTheme="minorHAnsi" w:eastAsiaTheme="minorEastAsia" w:hAnsiTheme="minorHAnsi"/>
            <w:color w:val="auto"/>
            <w:sz w:val="22"/>
            <w:lang w:val="en-GB" w:eastAsia="en-GB"/>
          </w:rPr>
          <w:tab/>
        </w:r>
        <w:r w:rsidR="00A7690F" w:rsidRPr="00555E2B">
          <w:rPr>
            <w:rStyle w:val="Hyperlink"/>
          </w:rPr>
          <w:t>Stampa ssimplifikata ta’ kif il-PŻR irawmu l-innovazzjoni</w:t>
        </w:r>
        <w:r w:rsidR="00A7690F">
          <w:rPr>
            <w:webHidden/>
          </w:rPr>
          <w:tab/>
        </w:r>
        <w:r w:rsidR="00A7690F">
          <w:rPr>
            <w:webHidden/>
          </w:rPr>
          <w:fldChar w:fldCharType="begin"/>
        </w:r>
        <w:r w:rsidR="00A7690F">
          <w:rPr>
            <w:webHidden/>
          </w:rPr>
          <w:instrText xml:space="preserve"> PAGEREF _Toc508964961 \h </w:instrText>
        </w:r>
        <w:r w:rsidR="00A7690F">
          <w:rPr>
            <w:webHidden/>
          </w:rPr>
        </w:r>
        <w:r w:rsidR="00A7690F">
          <w:rPr>
            <w:webHidden/>
          </w:rPr>
          <w:fldChar w:fldCharType="separate"/>
        </w:r>
        <w:r w:rsidR="009F33FD">
          <w:rPr>
            <w:webHidden/>
          </w:rPr>
          <w:t>4</w:t>
        </w:r>
        <w:r w:rsidR="00A7690F">
          <w:rPr>
            <w:webHidden/>
          </w:rPr>
          <w:fldChar w:fldCharType="end"/>
        </w:r>
      </w:hyperlink>
    </w:p>
    <w:p w:rsidR="00A7690F" w:rsidRDefault="005570DA" w:rsidP="00A7690F">
      <w:pPr>
        <w:pStyle w:val="TOC4"/>
        <w:rPr>
          <w:rFonts w:asciiTheme="minorHAnsi" w:eastAsiaTheme="minorEastAsia" w:hAnsiTheme="minorHAnsi"/>
          <w:color w:val="auto"/>
          <w:sz w:val="22"/>
          <w:lang w:val="en-GB" w:eastAsia="en-GB"/>
        </w:rPr>
      </w:pPr>
      <w:hyperlink w:anchor="_Toc508964962" w:history="1">
        <w:r w:rsidR="00A7690F" w:rsidRPr="00555E2B">
          <w:rPr>
            <w:rStyle w:val="Hyperlink"/>
          </w:rPr>
          <w:t>Figura 2.</w:t>
        </w:r>
        <w:r w:rsidR="00A7690F">
          <w:rPr>
            <w:rFonts w:asciiTheme="minorHAnsi" w:eastAsiaTheme="minorEastAsia" w:hAnsiTheme="minorHAnsi"/>
            <w:color w:val="auto"/>
            <w:sz w:val="22"/>
            <w:lang w:val="en-GB" w:eastAsia="en-GB"/>
          </w:rPr>
          <w:tab/>
        </w:r>
        <w:r w:rsidR="00A7690F" w:rsidRPr="00555E2B">
          <w:rPr>
            <w:rStyle w:val="Hyperlink"/>
          </w:rPr>
          <w:t>Il-qafas ta’ politika għall-innovazzjoni fl-UE u l-Politika ta’ Żvilupp Rurali</w:t>
        </w:r>
        <w:r w:rsidR="00A7690F">
          <w:rPr>
            <w:webHidden/>
          </w:rPr>
          <w:tab/>
        </w:r>
        <w:r w:rsidR="00A7690F">
          <w:rPr>
            <w:webHidden/>
          </w:rPr>
          <w:fldChar w:fldCharType="begin"/>
        </w:r>
        <w:r w:rsidR="00A7690F">
          <w:rPr>
            <w:webHidden/>
          </w:rPr>
          <w:instrText xml:space="preserve"> PAGEREF _Toc508964962 \h </w:instrText>
        </w:r>
        <w:r w:rsidR="00A7690F">
          <w:rPr>
            <w:webHidden/>
          </w:rPr>
        </w:r>
        <w:r w:rsidR="00A7690F">
          <w:rPr>
            <w:webHidden/>
          </w:rPr>
          <w:fldChar w:fldCharType="separate"/>
        </w:r>
        <w:r w:rsidR="009F33FD">
          <w:rPr>
            <w:webHidden/>
          </w:rPr>
          <w:t>9</w:t>
        </w:r>
        <w:r w:rsidR="00A7690F">
          <w:rPr>
            <w:webHidden/>
          </w:rPr>
          <w:fldChar w:fldCharType="end"/>
        </w:r>
      </w:hyperlink>
    </w:p>
    <w:p w:rsidR="00A7690F" w:rsidRDefault="005570DA" w:rsidP="00A7690F">
      <w:pPr>
        <w:pStyle w:val="TOC4"/>
        <w:rPr>
          <w:rFonts w:asciiTheme="minorHAnsi" w:eastAsiaTheme="minorEastAsia" w:hAnsiTheme="minorHAnsi"/>
          <w:color w:val="auto"/>
          <w:sz w:val="22"/>
          <w:lang w:val="en-GB" w:eastAsia="en-GB"/>
        </w:rPr>
      </w:pPr>
      <w:hyperlink w:anchor="_Toc508964963" w:history="1">
        <w:r w:rsidR="00A7690F" w:rsidRPr="00555E2B">
          <w:rPr>
            <w:rStyle w:val="Hyperlink"/>
          </w:rPr>
          <w:t>Figura 3.</w:t>
        </w:r>
        <w:r w:rsidR="00A7690F">
          <w:rPr>
            <w:rFonts w:asciiTheme="minorHAnsi" w:eastAsiaTheme="minorEastAsia" w:hAnsiTheme="minorHAnsi"/>
            <w:color w:val="auto"/>
            <w:sz w:val="22"/>
            <w:lang w:val="en-GB" w:eastAsia="en-GB"/>
          </w:rPr>
          <w:tab/>
        </w:r>
        <w:r w:rsidR="00A7690F" w:rsidRPr="00555E2B">
          <w:rPr>
            <w:rStyle w:val="Hyperlink"/>
          </w:rPr>
          <w:t>L-elementi komuni tal-evalwazzjoni għall-evalwazzjoni tal-innovazzjoni</w:t>
        </w:r>
        <w:r w:rsidR="00A7690F">
          <w:rPr>
            <w:webHidden/>
          </w:rPr>
          <w:tab/>
        </w:r>
        <w:r w:rsidR="00A7690F">
          <w:rPr>
            <w:webHidden/>
          </w:rPr>
          <w:fldChar w:fldCharType="begin"/>
        </w:r>
        <w:r w:rsidR="00A7690F">
          <w:rPr>
            <w:webHidden/>
          </w:rPr>
          <w:instrText xml:space="preserve"> PAGEREF _Toc508964963 \h </w:instrText>
        </w:r>
        <w:r w:rsidR="00A7690F">
          <w:rPr>
            <w:webHidden/>
          </w:rPr>
        </w:r>
        <w:r w:rsidR="00A7690F">
          <w:rPr>
            <w:webHidden/>
          </w:rPr>
          <w:fldChar w:fldCharType="separate"/>
        </w:r>
        <w:r w:rsidR="009F33FD">
          <w:rPr>
            <w:webHidden/>
          </w:rPr>
          <w:t>13</w:t>
        </w:r>
        <w:r w:rsidR="00A7690F">
          <w:rPr>
            <w:webHidden/>
          </w:rPr>
          <w:fldChar w:fldCharType="end"/>
        </w:r>
      </w:hyperlink>
    </w:p>
    <w:p w:rsidR="00A7690F" w:rsidRDefault="005570DA" w:rsidP="00A7690F">
      <w:pPr>
        <w:pStyle w:val="TOC4"/>
        <w:rPr>
          <w:rFonts w:asciiTheme="minorHAnsi" w:eastAsiaTheme="minorEastAsia" w:hAnsiTheme="minorHAnsi"/>
          <w:color w:val="auto"/>
          <w:sz w:val="22"/>
          <w:lang w:val="en-GB" w:eastAsia="en-GB"/>
        </w:rPr>
      </w:pPr>
      <w:hyperlink w:anchor="_Toc508964964" w:history="1">
        <w:r w:rsidR="00A7690F" w:rsidRPr="00555E2B">
          <w:rPr>
            <w:rStyle w:val="Hyperlink"/>
          </w:rPr>
          <w:t>Figura 4.</w:t>
        </w:r>
        <w:r w:rsidR="00A7690F">
          <w:rPr>
            <w:rFonts w:asciiTheme="minorHAnsi" w:eastAsiaTheme="minorEastAsia" w:hAnsiTheme="minorHAnsi"/>
            <w:color w:val="auto"/>
            <w:sz w:val="22"/>
            <w:lang w:val="en-GB" w:eastAsia="en-GB"/>
          </w:rPr>
          <w:tab/>
        </w:r>
        <w:r w:rsidR="00A7690F" w:rsidRPr="00555E2B">
          <w:rPr>
            <w:rStyle w:val="Hyperlink"/>
          </w:rPr>
          <w:t>Il-ġestjoni tal-evalwazzjoni tal-innova</w:t>
        </w:r>
        <w:bookmarkStart w:id="3" w:name="_GoBack"/>
        <w:bookmarkEnd w:id="3"/>
        <w:r w:rsidR="00A7690F" w:rsidRPr="00555E2B">
          <w:rPr>
            <w:rStyle w:val="Hyperlink"/>
          </w:rPr>
          <w:t>zzjoni fil-PŻR 2014-2020</w:t>
        </w:r>
        <w:r w:rsidR="00A7690F">
          <w:rPr>
            <w:webHidden/>
          </w:rPr>
          <w:tab/>
        </w:r>
        <w:r w:rsidR="00A7690F">
          <w:rPr>
            <w:webHidden/>
          </w:rPr>
          <w:fldChar w:fldCharType="begin"/>
        </w:r>
        <w:r w:rsidR="00A7690F">
          <w:rPr>
            <w:webHidden/>
          </w:rPr>
          <w:instrText xml:space="preserve"> PAGEREF _Toc508964964 \h </w:instrText>
        </w:r>
        <w:r w:rsidR="00A7690F">
          <w:rPr>
            <w:webHidden/>
          </w:rPr>
        </w:r>
        <w:r w:rsidR="00A7690F">
          <w:rPr>
            <w:webHidden/>
          </w:rPr>
          <w:fldChar w:fldCharType="separate"/>
        </w:r>
        <w:r w:rsidR="009F33FD">
          <w:rPr>
            <w:webHidden/>
          </w:rPr>
          <w:t>16</w:t>
        </w:r>
        <w:r w:rsidR="00A7690F">
          <w:rPr>
            <w:webHidden/>
          </w:rPr>
          <w:fldChar w:fldCharType="end"/>
        </w:r>
      </w:hyperlink>
    </w:p>
    <w:p w:rsidR="00A7690F" w:rsidRDefault="005570DA" w:rsidP="00A7690F">
      <w:pPr>
        <w:pStyle w:val="TOC4"/>
        <w:rPr>
          <w:rFonts w:asciiTheme="minorHAnsi" w:eastAsiaTheme="minorEastAsia" w:hAnsiTheme="minorHAnsi"/>
          <w:color w:val="auto"/>
          <w:sz w:val="22"/>
          <w:lang w:val="en-GB" w:eastAsia="en-GB"/>
        </w:rPr>
      </w:pPr>
      <w:hyperlink w:anchor="_Toc508964965" w:history="1">
        <w:r w:rsidR="00A7690F" w:rsidRPr="00555E2B">
          <w:rPr>
            <w:rStyle w:val="Hyperlink"/>
          </w:rPr>
          <w:t>Figura 5.</w:t>
        </w:r>
        <w:r w:rsidR="00A7690F">
          <w:rPr>
            <w:rFonts w:asciiTheme="minorHAnsi" w:eastAsiaTheme="minorEastAsia" w:hAnsiTheme="minorHAnsi"/>
            <w:color w:val="auto"/>
            <w:sz w:val="22"/>
            <w:lang w:val="en-GB" w:eastAsia="en-GB"/>
          </w:rPr>
          <w:tab/>
        </w:r>
        <w:r w:rsidR="00A7690F" w:rsidRPr="00555E2B">
          <w:rPr>
            <w:rStyle w:val="Hyperlink"/>
          </w:rPr>
          <w:t>L-obbligi ta’ rapportar fir-rigward tal-innovazzjoni</w:t>
        </w:r>
        <w:r w:rsidR="00A7690F">
          <w:rPr>
            <w:webHidden/>
          </w:rPr>
          <w:tab/>
        </w:r>
        <w:r w:rsidR="00A7690F">
          <w:rPr>
            <w:webHidden/>
          </w:rPr>
          <w:fldChar w:fldCharType="begin"/>
        </w:r>
        <w:r w:rsidR="00A7690F">
          <w:rPr>
            <w:webHidden/>
          </w:rPr>
          <w:instrText xml:space="preserve"> PAGEREF _Toc508964965 \h </w:instrText>
        </w:r>
        <w:r w:rsidR="00A7690F">
          <w:rPr>
            <w:webHidden/>
          </w:rPr>
        </w:r>
        <w:r w:rsidR="00A7690F">
          <w:rPr>
            <w:webHidden/>
          </w:rPr>
          <w:fldChar w:fldCharType="separate"/>
        </w:r>
        <w:r w:rsidR="009F33FD">
          <w:rPr>
            <w:webHidden/>
          </w:rPr>
          <w:t>17</w:t>
        </w:r>
        <w:r w:rsidR="00A7690F">
          <w:rPr>
            <w:webHidden/>
          </w:rPr>
          <w:fldChar w:fldCharType="end"/>
        </w:r>
      </w:hyperlink>
    </w:p>
    <w:p w:rsidR="00A7690F" w:rsidRDefault="005570DA" w:rsidP="00A7690F">
      <w:pPr>
        <w:pStyle w:val="TOC4"/>
        <w:rPr>
          <w:rFonts w:asciiTheme="minorHAnsi" w:eastAsiaTheme="minorEastAsia" w:hAnsiTheme="minorHAnsi"/>
          <w:color w:val="auto"/>
          <w:sz w:val="22"/>
          <w:lang w:val="en-GB" w:eastAsia="en-GB"/>
        </w:rPr>
      </w:pPr>
      <w:hyperlink w:anchor="_Toc508964966" w:history="1">
        <w:r w:rsidR="00A7690F" w:rsidRPr="00555E2B">
          <w:rPr>
            <w:rStyle w:val="Hyperlink"/>
          </w:rPr>
          <w:t>Figura 6.</w:t>
        </w:r>
        <w:r w:rsidR="00A7690F">
          <w:rPr>
            <w:rFonts w:asciiTheme="minorHAnsi" w:eastAsiaTheme="minorEastAsia" w:hAnsiTheme="minorHAnsi"/>
            <w:color w:val="auto"/>
            <w:sz w:val="22"/>
            <w:lang w:val="en-GB" w:eastAsia="en-GB"/>
          </w:rPr>
          <w:tab/>
        </w:r>
        <w:r w:rsidR="00A7690F" w:rsidRPr="00555E2B">
          <w:rPr>
            <w:rStyle w:val="Hyperlink"/>
          </w:rPr>
          <w:t>Approċċ għall-evalwazzjoni tal-innovazzjoni fil-PŻR</w:t>
        </w:r>
        <w:r w:rsidR="00A7690F">
          <w:rPr>
            <w:webHidden/>
          </w:rPr>
          <w:tab/>
        </w:r>
        <w:r w:rsidR="00A7690F">
          <w:rPr>
            <w:webHidden/>
          </w:rPr>
          <w:fldChar w:fldCharType="begin"/>
        </w:r>
        <w:r w:rsidR="00A7690F">
          <w:rPr>
            <w:webHidden/>
          </w:rPr>
          <w:instrText xml:space="preserve"> PAGEREF _Toc508964966 \h </w:instrText>
        </w:r>
        <w:r w:rsidR="00A7690F">
          <w:rPr>
            <w:webHidden/>
          </w:rPr>
        </w:r>
        <w:r w:rsidR="00A7690F">
          <w:rPr>
            <w:webHidden/>
          </w:rPr>
          <w:fldChar w:fldCharType="separate"/>
        </w:r>
        <w:r w:rsidR="009F33FD">
          <w:rPr>
            <w:webHidden/>
          </w:rPr>
          <w:t>19</w:t>
        </w:r>
        <w:r w:rsidR="00A7690F">
          <w:rPr>
            <w:webHidden/>
          </w:rPr>
          <w:fldChar w:fldCharType="end"/>
        </w:r>
      </w:hyperlink>
    </w:p>
    <w:p w:rsidR="00A7690F" w:rsidRDefault="005570DA" w:rsidP="00A7690F">
      <w:pPr>
        <w:pStyle w:val="TOC4"/>
        <w:rPr>
          <w:rFonts w:asciiTheme="minorHAnsi" w:eastAsiaTheme="minorEastAsia" w:hAnsiTheme="minorHAnsi"/>
          <w:color w:val="auto"/>
          <w:sz w:val="22"/>
          <w:lang w:val="en-GB" w:eastAsia="en-GB"/>
        </w:rPr>
      </w:pPr>
      <w:hyperlink w:anchor="_Toc508964967" w:history="1">
        <w:r w:rsidR="00A7690F" w:rsidRPr="00555E2B">
          <w:rPr>
            <w:rStyle w:val="Hyperlink"/>
          </w:rPr>
          <w:t>Figura 7.</w:t>
        </w:r>
        <w:r w:rsidR="00A7690F">
          <w:rPr>
            <w:rFonts w:asciiTheme="minorHAnsi" w:eastAsiaTheme="minorEastAsia" w:hAnsiTheme="minorHAnsi"/>
            <w:color w:val="auto"/>
            <w:sz w:val="22"/>
            <w:lang w:val="en-GB" w:eastAsia="en-GB"/>
          </w:rPr>
          <w:tab/>
        </w:r>
        <w:r w:rsidR="00A7690F" w:rsidRPr="00555E2B">
          <w:rPr>
            <w:rStyle w:val="Hyperlink"/>
          </w:rPr>
          <w:t>Il-passi tal-iskrinjar tal-miżuri/submiżuri tal-PŻR għall-potenzjal tal-innovazzjoni tagħhom</w:t>
        </w:r>
        <w:r w:rsidR="00A7690F">
          <w:rPr>
            <w:webHidden/>
          </w:rPr>
          <w:tab/>
        </w:r>
        <w:r w:rsidR="00A7690F">
          <w:rPr>
            <w:webHidden/>
          </w:rPr>
          <w:fldChar w:fldCharType="begin"/>
        </w:r>
        <w:r w:rsidR="00A7690F">
          <w:rPr>
            <w:webHidden/>
          </w:rPr>
          <w:instrText xml:space="preserve"> PAGEREF _Toc508964967 \h </w:instrText>
        </w:r>
        <w:r w:rsidR="00A7690F">
          <w:rPr>
            <w:webHidden/>
          </w:rPr>
        </w:r>
        <w:r w:rsidR="00A7690F">
          <w:rPr>
            <w:webHidden/>
          </w:rPr>
          <w:fldChar w:fldCharType="separate"/>
        </w:r>
        <w:r w:rsidR="009F33FD">
          <w:rPr>
            <w:webHidden/>
          </w:rPr>
          <w:t>20</w:t>
        </w:r>
        <w:r w:rsidR="00A7690F">
          <w:rPr>
            <w:webHidden/>
          </w:rPr>
          <w:fldChar w:fldCharType="end"/>
        </w:r>
      </w:hyperlink>
    </w:p>
    <w:p w:rsidR="00A7690F" w:rsidRDefault="005570DA" w:rsidP="00A7690F">
      <w:pPr>
        <w:pStyle w:val="TOC4"/>
        <w:rPr>
          <w:rFonts w:asciiTheme="minorHAnsi" w:eastAsiaTheme="minorEastAsia" w:hAnsiTheme="minorHAnsi"/>
          <w:color w:val="auto"/>
          <w:sz w:val="22"/>
          <w:lang w:val="en-GB" w:eastAsia="en-GB"/>
        </w:rPr>
      </w:pPr>
      <w:hyperlink w:anchor="_Toc508964968" w:history="1">
        <w:r w:rsidR="00A7690F" w:rsidRPr="00555E2B">
          <w:rPr>
            <w:rStyle w:val="Hyperlink"/>
          </w:rPr>
          <w:t>Figura 8.</w:t>
        </w:r>
        <w:r w:rsidR="00A7690F">
          <w:rPr>
            <w:rFonts w:asciiTheme="minorHAnsi" w:eastAsiaTheme="minorEastAsia" w:hAnsiTheme="minorHAnsi"/>
            <w:color w:val="auto"/>
            <w:sz w:val="22"/>
            <w:lang w:val="en-GB" w:eastAsia="en-GB"/>
          </w:rPr>
          <w:tab/>
        </w:r>
        <w:r w:rsidR="00A7690F" w:rsidRPr="00555E2B">
          <w:rPr>
            <w:rStyle w:val="Hyperlink"/>
          </w:rPr>
          <w:t>Eżempju ta’ loġika tal-intervent marbuta mas-CEQ nru. 1</w:t>
        </w:r>
        <w:r w:rsidR="00A7690F">
          <w:rPr>
            <w:webHidden/>
          </w:rPr>
          <w:tab/>
        </w:r>
        <w:r w:rsidR="00A7690F">
          <w:rPr>
            <w:webHidden/>
          </w:rPr>
          <w:fldChar w:fldCharType="begin"/>
        </w:r>
        <w:r w:rsidR="00A7690F">
          <w:rPr>
            <w:webHidden/>
          </w:rPr>
          <w:instrText xml:space="preserve"> PAGEREF _Toc508964968 \h </w:instrText>
        </w:r>
        <w:r w:rsidR="00A7690F">
          <w:rPr>
            <w:webHidden/>
          </w:rPr>
        </w:r>
        <w:r w:rsidR="00A7690F">
          <w:rPr>
            <w:webHidden/>
          </w:rPr>
          <w:fldChar w:fldCharType="separate"/>
        </w:r>
        <w:r w:rsidR="009F33FD">
          <w:rPr>
            <w:webHidden/>
          </w:rPr>
          <w:t>27</w:t>
        </w:r>
        <w:r w:rsidR="00A7690F">
          <w:rPr>
            <w:webHidden/>
          </w:rPr>
          <w:fldChar w:fldCharType="end"/>
        </w:r>
      </w:hyperlink>
    </w:p>
    <w:p w:rsidR="00A7690F" w:rsidRDefault="005570DA" w:rsidP="00A7690F">
      <w:pPr>
        <w:pStyle w:val="TOC4"/>
        <w:rPr>
          <w:rFonts w:asciiTheme="minorHAnsi" w:eastAsiaTheme="minorEastAsia" w:hAnsiTheme="minorHAnsi"/>
          <w:color w:val="auto"/>
          <w:sz w:val="22"/>
          <w:lang w:val="en-GB" w:eastAsia="en-GB"/>
        </w:rPr>
      </w:pPr>
      <w:hyperlink w:anchor="_Toc508964969" w:history="1">
        <w:r w:rsidR="00A7690F" w:rsidRPr="00555E2B">
          <w:rPr>
            <w:rStyle w:val="Hyperlink"/>
          </w:rPr>
          <w:t>Figura 9.</w:t>
        </w:r>
        <w:r w:rsidR="00A7690F">
          <w:rPr>
            <w:rFonts w:asciiTheme="minorHAnsi" w:eastAsiaTheme="minorEastAsia" w:hAnsiTheme="minorHAnsi"/>
            <w:color w:val="auto"/>
            <w:sz w:val="22"/>
            <w:lang w:val="en-GB" w:eastAsia="en-GB"/>
          </w:rPr>
          <w:tab/>
        </w:r>
        <w:r w:rsidR="00A7690F" w:rsidRPr="00555E2B">
          <w:rPr>
            <w:rStyle w:val="Hyperlink"/>
          </w:rPr>
          <w:t>Eżempju tal-potenzjal tal-innovazzjoni ta’ kull submiżura ta’ M16</w:t>
        </w:r>
        <w:r w:rsidR="00A7690F">
          <w:rPr>
            <w:webHidden/>
          </w:rPr>
          <w:tab/>
        </w:r>
        <w:r w:rsidR="00A7690F">
          <w:rPr>
            <w:webHidden/>
          </w:rPr>
          <w:fldChar w:fldCharType="begin"/>
        </w:r>
        <w:r w:rsidR="00A7690F">
          <w:rPr>
            <w:webHidden/>
          </w:rPr>
          <w:instrText xml:space="preserve"> PAGEREF _Toc508964969 \h </w:instrText>
        </w:r>
        <w:r w:rsidR="00A7690F">
          <w:rPr>
            <w:webHidden/>
          </w:rPr>
        </w:r>
        <w:r w:rsidR="00A7690F">
          <w:rPr>
            <w:webHidden/>
          </w:rPr>
          <w:fldChar w:fldCharType="separate"/>
        </w:r>
        <w:r w:rsidR="009F33FD">
          <w:rPr>
            <w:webHidden/>
          </w:rPr>
          <w:t>35</w:t>
        </w:r>
        <w:r w:rsidR="00A7690F">
          <w:rPr>
            <w:webHidden/>
          </w:rPr>
          <w:fldChar w:fldCharType="end"/>
        </w:r>
      </w:hyperlink>
    </w:p>
    <w:p w:rsidR="00A7690F" w:rsidRDefault="005570DA" w:rsidP="00A7690F">
      <w:pPr>
        <w:pStyle w:val="TOC4"/>
        <w:rPr>
          <w:rFonts w:asciiTheme="minorHAnsi" w:eastAsiaTheme="minorEastAsia" w:hAnsiTheme="minorHAnsi"/>
          <w:color w:val="auto"/>
          <w:sz w:val="22"/>
          <w:lang w:val="en-GB" w:eastAsia="en-GB"/>
        </w:rPr>
      </w:pPr>
      <w:hyperlink w:anchor="_Toc508964970" w:history="1">
        <w:r w:rsidR="00A7690F" w:rsidRPr="00555E2B">
          <w:rPr>
            <w:rStyle w:val="Hyperlink"/>
          </w:rPr>
          <w:t>Figura 10.</w:t>
        </w:r>
        <w:r w:rsidR="00A7690F">
          <w:rPr>
            <w:rFonts w:asciiTheme="minorHAnsi" w:eastAsiaTheme="minorEastAsia" w:hAnsiTheme="minorHAnsi"/>
            <w:color w:val="auto"/>
            <w:sz w:val="22"/>
            <w:lang w:val="en-GB" w:eastAsia="en-GB"/>
          </w:rPr>
          <w:tab/>
        </w:r>
        <w:r w:rsidR="00A7690F" w:rsidRPr="00555E2B">
          <w:rPr>
            <w:rStyle w:val="Hyperlink"/>
          </w:rPr>
          <w:t>Il-loġika tal-intervent tan-NRN fir-rigward tal-innovazzjoni</w:t>
        </w:r>
        <w:r w:rsidR="00A7690F">
          <w:rPr>
            <w:webHidden/>
          </w:rPr>
          <w:tab/>
        </w:r>
        <w:r w:rsidR="00A7690F">
          <w:rPr>
            <w:webHidden/>
          </w:rPr>
          <w:fldChar w:fldCharType="begin"/>
        </w:r>
        <w:r w:rsidR="00A7690F">
          <w:rPr>
            <w:webHidden/>
          </w:rPr>
          <w:instrText xml:space="preserve"> PAGEREF _Toc508964970 \h </w:instrText>
        </w:r>
        <w:r w:rsidR="00A7690F">
          <w:rPr>
            <w:webHidden/>
          </w:rPr>
        </w:r>
        <w:r w:rsidR="00A7690F">
          <w:rPr>
            <w:webHidden/>
          </w:rPr>
          <w:fldChar w:fldCharType="separate"/>
        </w:r>
        <w:r w:rsidR="009F33FD">
          <w:rPr>
            <w:webHidden/>
          </w:rPr>
          <w:t>44</w:t>
        </w:r>
        <w:r w:rsidR="00A7690F">
          <w:rPr>
            <w:webHidden/>
          </w:rPr>
          <w:fldChar w:fldCharType="end"/>
        </w:r>
      </w:hyperlink>
    </w:p>
    <w:p w:rsidR="00A7690F" w:rsidRDefault="005570DA" w:rsidP="00A7690F">
      <w:pPr>
        <w:pStyle w:val="TOC4"/>
        <w:rPr>
          <w:rFonts w:asciiTheme="minorHAnsi" w:eastAsiaTheme="minorEastAsia" w:hAnsiTheme="minorHAnsi"/>
          <w:color w:val="auto"/>
          <w:sz w:val="22"/>
          <w:lang w:val="en-GB" w:eastAsia="en-GB"/>
        </w:rPr>
      </w:pPr>
      <w:hyperlink w:anchor="_Toc508964971" w:history="1">
        <w:r w:rsidR="00A7690F" w:rsidRPr="00555E2B">
          <w:rPr>
            <w:rStyle w:val="Hyperlink"/>
          </w:rPr>
          <w:t>Figura 11.</w:t>
        </w:r>
        <w:r w:rsidR="00A7690F">
          <w:rPr>
            <w:rFonts w:asciiTheme="minorHAnsi" w:eastAsiaTheme="minorEastAsia" w:hAnsiTheme="minorHAnsi"/>
            <w:color w:val="auto"/>
            <w:sz w:val="22"/>
            <w:lang w:val="en-GB" w:eastAsia="en-GB"/>
          </w:rPr>
          <w:tab/>
        </w:r>
        <w:r w:rsidR="00A7690F" w:rsidRPr="00555E2B">
          <w:rPr>
            <w:rStyle w:val="Hyperlink"/>
          </w:rPr>
          <w:t>Eżempju ta’ loġika tal-intervent għas-CEQ nru. 30</w:t>
        </w:r>
        <w:r w:rsidR="00A7690F">
          <w:rPr>
            <w:webHidden/>
          </w:rPr>
          <w:tab/>
        </w:r>
        <w:r w:rsidR="00A7690F">
          <w:rPr>
            <w:webHidden/>
          </w:rPr>
          <w:fldChar w:fldCharType="begin"/>
        </w:r>
        <w:r w:rsidR="00A7690F">
          <w:rPr>
            <w:webHidden/>
          </w:rPr>
          <w:instrText xml:space="preserve"> PAGEREF _Toc508964971 \h </w:instrText>
        </w:r>
        <w:r w:rsidR="00A7690F">
          <w:rPr>
            <w:webHidden/>
          </w:rPr>
        </w:r>
        <w:r w:rsidR="00A7690F">
          <w:rPr>
            <w:webHidden/>
          </w:rPr>
          <w:fldChar w:fldCharType="separate"/>
        </w:r>
        <w:r w:rsidR="009F33FD">
          <w:rPr>
            <w:webHidden/>
          </w:rPr>
          <w:t>60</w:t>
        </w:r>
        <w:r w:rsidR="00A7690F">
          <w:rPr>
            <w:webHidden/>
          </w:rPr>
          <w:fldChar w:fldCharType="end"/>
        </w:r>
      </w:hyperlink>
    </w:p>
    <w:p w:rsidR="00E05D08" w:rsidRPr="00290F11" w:rsidRDefault="002F11D9" w:rsidP="00530DA6">
      <w:pPr>
        <w:tabs>
          <w:tab w:val="left" w:pos="1540"/>
          <w:tab w:val="right" w:leader="dot" w:pos="9016"/>
        </w:tabs>
        <w:ind w:left="1560" w:hanging="1340"/>
        <w:rPr>
          <w:rFonts w:eastAsia="Times New Roman" w:cs="Times New Roman"/>
          <w:szCs w:val="20"/>
        </w:rPr>
      </w:pPr>
      <w:r w:rsidRPr="00290F11">
        <w:rPr>
          <w:rStyle w:val="Hyperlink"/>
          <w14:scene3d>
            <w14:camera w14:prst="orthographicFront"/>
            <w14:lightRig w14:rig="threePt" w14:dir="t">
              <w14:rot w14:lat="0" w14:lon="0" w14:rev="0"/>
            </w14:lightRig>
          </w14:scene3d>
        </w:rPr>
        <w:fldChar w:fldCharType="end"/>
      </w:r>
    </w:p>
    <w:p w:rsidR="00E05D08" w:rsidRPr="00290F11" w:rsidRDefault="00E05D08" w:rsidP="00E05D08">
      <w:pPr>
        <w:spacing w:after="120" w:line="280" w:lineRule="atLeast"/>
        <w:mirrorIndents/>
        <w:rPr>
          <w:rFonts w:eastAsia="Times New Roman" w:cs="Times New Roman"/>
          <w:szCs w:val="20"/>
          <w:lang w:eastAsia="de-DE"/>
        </w:rPr>
        <w:sectPr w:rsidR="00E05D08" w:rsidRPr="00290F11" w:rsidSect="00400064">
          <w:headerReference w:type="even" r:id="rId13"/>
          <w:footerReference w:type="even" r:id="rId14"/>
          <w:footerReference w:type="default" r:id="rId15"/>
          <w:headerReference w:type="first" r:id="rId16"/>
          <w:footerReference w:type="first" r:id="rId17"/>
          <w:endnotePr>
            <w:numFmt w:val="decimal"/>
          </w:endnotePr>
          <w:pgSz w:w="11906" w:h="16838" w:code="9"/>
          <w:pgMar w:top="1440" w:right="1416" w:bottom="1134" w:left="1440" w:header="567" w:footer="1021" w:gutter="0"/>
          <w:pgNumType w:start="3"/>
          <w:cols w:space="708"/>
          <w:titlePg/>
          <w:docGrid w:linePitch="360"/>
        </w:sectPr>
      </w:pPr>
    </w:p>
    <w:p w:rsidR="006D209F" w:rsidRPr="00290F11" w:rsidRDefault="006D209F" w:rsidP="00E05D08">
      <w:pPr>
        <w:keepNext/>
        <w:spacing w:before="360" w:after="360" w:line="280" w:lineRule="atLeast"/>
        <w:outlineLvl w:val="0"/>
        <w:rPr>
          <w:rFonts w:ascii="Helvetica" w:eastAsia="Times New Roman" w:hAnsi="Helvetica" w:cs="Times New Roman"/>
          <w:b/>
          <w:bCs/>
          <w:caps/>
          <w:color w:val="F07E31"/>
          <w:kern w:val="32"/>
          <w:sz w:val="24"/>
          <w:szCs w:val="24"/>
        </w:rPr>
      </w:pPr>
      <w:r w:rsidRPr="00290F11">
        <w:lastRenderedPageBreak/>
        <w:br w:type="page"/>
      </w:r>
    </w:p>
    <w:p w:rsidR="00E05D08" w:rsidRPr="00290F11" w:rsidRDefault="00E05D08" w:rsidP="00E05D08">
      <w:pPr>
        <w:keepNext/>
        <w:spacing w:before="360" w:after="360" w:line="280" w:lineRule="atLeast"/>
        <w:outlineLvl w:val="0"/>
        <w:rPr>
          <w:rFonts w:ascii="Helvetica" w:eastAsia="Times New Roman" w:hAnsi="Helvetica" w:cs="Times New Roman"/>
          <w:b/>
          <w:bCs/>
          <w:caps/>
          <w:color w:val="F07E31"/>
          <w:kern w:val="32"/>
          <w:sz w:val="24"/>
          <w:szCs w:val="24"/>
        </w:rPr>
      </w:pPr>
      <w:r w:rsidRPr="00290F11">
        <w:rPr>
          <w:rFonts w:ascii="Helvetica" w:hAnsi="Helvetica"/>
          <w:b/>
          <w:bCs/>
          <w:caps/>
          <w:color w:val="F07E31"/>
          <w:sz w:val="24"/>
          <w:szCs w:val="24"/>
        </w:rPr>
        <w:lastRenderedPageBreak/>
        <w:t>Rikonoxximenti</w:t>
      </w:r>
    </w:p>
    <w:p w:rsidR="00E05D08" w:rsidRPr="00290F11" w:rsidRDefault="00E05D08" w:rsidP="00E05D08">
      <w:pPr>
        <w:spacing w:after="120" w:line="280" w:lineRule="atLeast"/>
        <w:mirrorIndents/>
        <w:rPr>
          <w:rFonts w:eastAsia="Times New Roman" w:cs="Times New Roman"/>
          <w:i/>
          <w:szCs w:val="20"/>
        </w:rPr>
      </w:pPr>
      <w:r w:rsidRPr="00290F11">
        <w:rPr>
          <w:i/>
          <w:szCs w:val="20"/>
        </w:rPr>
        <w:t xml:space="preserve">Il-linji gwida ġew abbozzati minn tim ta’ esperti mill-Helpdesk Ewropew ta’ Evalwazzjoni għall-Iżvilupp Rurali, inklużi Boru Douthwaite, Marili Parissaki, Andreas Resch, Jela Tvrdonova, Valérie Dumont, Matteo Metta, Myles Stiffler, Hannes Wimmer. </w:t>
      </w:r>
    </w:p>
    <w:p w:rsidR="00E05D08" w:rsidRPr="00290F11" w:rsidRDefault="00E05D08" w:rsidP="00E05D08">
      <w:pPr>
        <w:spacing w:after="120" w:line="280" w:lineRule="atLeast"/>
        <w:mirrorIndents/>
        <w:rPr>
          <w:rFonts w:eastAsia="Times New Roman" w:cs="Times New Roman"/>
          <w:i/>
          <w:szCs w:val="20"/>
        </w:rPr>
      </w:pPr>
      <w:r w:rsidRPr="00290F11">
        <w:rPr>
          <w:i/>
          <w:szCs w:val="20"/>
        </w:rPr>
        <w:t xml:space="preserve">Diversi esperti aġixxew bħala analizzaturi pari (Anna Maria Augustyn, Simona Cristiano, Anikó Juhász, Bill Slee) jew ikkontribwixxew bl-għarfien tagħhom dwar il-prattiki ta’ evalwazzjoni (Bart Van Herck, Dimitris Skuras). </w:t>
      </w:r>
    </w:p>
    <w:p w:rsidR="00E05D08" w:rsidRPr="00290F11" w:rsidRDefault="00E05D08" w:rsidP="00E05D08">
      <w:pPr>
        <w:spacing w:after="120" w:line="280" w:lineRule="atLeast"/>
        <w:mirrorIndents/>
        <w:rPr>
          <w:rFonts w:eastAsia="Times New Roman" w:cs="Times New Roman"/>
          <w:i/>
          <w:szCs w:val="20"/>
        </w:rPr>
      </w:pPr>
      <w:r w:rsidRPr="00290F11">
        <w:rPr>
          <w:i/>
          <w:szCs w:val="20"/>
        </w:rPr>
        <w:t>Ir-rappreżentanti tad-DĠ Agrikoltura u Żvilupp Rurali żguraw il-koerenza tal-linji gwida mal-qafas ta’ politika tal-UE.</w:t>
      </w:r>
    </w:p>
    <w:p w:rsidR="00E05D08" w:rsidRPr="00290F11" w:rsidRDefault="00E05D08" w:rsidP="00E05D08">
      <w:pPr>
        <w:spacing w:after="120" w:line="280" w:lineRule="atLeast"/>
        <w:mirrorIndents/>
        <w:rPr>
          <w:rFonts w:eastAsia="Times New Roman" w:cs="Times New Roman"/>
          <w:i/>
          <w:szCs w:val="20"/>
        </w:rPr>
      </w:pPr>
      <w:r w:rsidRPr="00290F11">
        <w:rPr>
          <w:i/>
          <w:szCs w:val="20"/>
        </w:rPr>
        <w:t xml:space="preserve">Ir-rappreżentanti mill-Istati Membri kkummentaw fuq l-abbozz ta’ verżjonijiet tal-linji gwida matul il-laqgħa tas-Sounding Board fit-22 ta’ Marzu 2017 u matul il-11-il laqgħa tal-Grupp ta’ Esperti dwar il-Monitoraġġ u l-Evalwazzjoni tal-PAK fl-10 ta’ Mejju 2017.  </w:t>
      </w:r>
    </w:p>
    <w:p w:rsidR="00E05D08" w:rsidRPr="00290F11" w:rsidRDefault="00E05D08" w:rsidP="00E05D08">
      <w:pPr>
        <w:spacing w:after="120" w:line="280" w:lineRule="atLeast"/>
        <w:mirrorIndents/>
        <w:rPr>
          <w:rFonts w:eastAsia="Times New Roman" w:cs="Times New Roman"/>
          <w:i/>
          <w:szCs w:val="20"/>
        </w:rPr>
      </w:pPr>
      <w:r w:rsidRPr="00290F11">
        <w:rPr>
          <w:i/>
          <w:szCs w:val="20"/>
        </w:rPr>
        <w:t>Il-Punt ta’ Kuntatt tal-ENRD u l-Punt ta’ Servizz tal-EIP ġew mistiedna wkoll sabiex jikkummentaw dwar il-linji gwida.</w:t>
      </w:r>
    </w:p>
    <w:p w:rsidR="00E05D08" w:rsidRPr="00290F11" w:rsidRDefault="00E05D08" w:rsidP="00E05D08">
      <w:pPr>
        <w:spacing w:after="0" w:line="240" w:lineRule="auto"/>
        <w:rPr>
          <w:rFonts w:eastAsia="Times New Roman" w:cs="Times New Roman"/>
          <w:szCs w:val="20"/>
        </w:rPr>
      </w:pPr>
      <w:r w:rsidRPr="00290F11">
        <w:br w:type="page"/>
      </w:r>
    </w:p>
    <w:p w:rsidR="00E05D08" w:rsidRPr="00290F11" w:rsidRDefault="00E05D08" w:rsidP="00E05D08">
      <w:pPr>
        <w:spacing w:after="120" w:line="280" w:lineRule="atLeast"/>
        <w:mirrorIndents/>
        <w:rPr>
          <w:rFonts w:eastAsia="Times New Roman" w:cs="Arial"/>
          <w:smallCaps/>
          <w:color w:val="F07E31"/>
          <w:sz w:val="36"/>
          <w:szCs w:val="60"/>
          <w:lang w:eastAsia="de-DE"/>
        </w:rPr>
        <w:sectPr w:rsidR="00E05D08" w:rsidRPr="00290F11" w:rsidSect="006D209F">
          <w:headerReference w:type="default" r:id="rId18"/>
          <w:footerReference w:type="default" r:id="rId19"/>
          <w:headerReference w:type="first" r:id="rId20"/>
          <w:footerReference w:type="first" r:id="rId21"/>
          <w:endnotePr>
            <w:numFmt w:val="decimal"/>
          </w:endnotePr>
          <w:pgSz w:w="11906" w:h="16838" w:code="9"/>
          <w:pgMar w:top="1440" w:right="1440" w:bottom="1134" w:left="1440" w:header="567" w:footer="1021" w:gutter="0"/>
          <w:cols w:space="708"/>
          <w:noEndnote/>
          <w:titlePg/>
          <w:docGrid w:linePitch="360"/>
        </w:sectPr>
      </w:pPr>
    </w:p>
    <w:p w:rsidR="00E05D08" w:rsidRPr="00290F11" w:rsidRDefault="00E05D08" w:rsidP="00E05D08">
      <w:pPr>
        <w:spacing w:after="120" w:line="280" w:lineRule="atLeast"/>
        <w:mirrorIndents/>
        <w:rPr>
          <w:rFonts w:eastAsia="Times New Roman" w:cs="Arial"/>
          <w:smallCaps/>
          <w:color w:val="F07E31"/>
          <w:sz w:val="36"/>
          <w:szCs w:val="60"/>
        </w:rPr>
      </w:pPr>
      <w:r w:rsidRPr="00290F11">
        <w:rPr>
          <w:smallCaps/>
          <w:color w:val="F07E31"/>
          <w:sz w:val="36"/>
          <w:szCs w:val="60"/>
        </w:rPr>
        <w:lastRenderedPageBreak/>
        <w:t xml:space="preserve">INTRODUZZJONI </w:t>
      </w:r>
    </w:p>
    <w:p w:rsidR="00E05D08" w:rsidRPr="00290F11" w:rsidRDefault="00E05D08" w:rsidP="00E05D08">
      <w:pPr>
        <w:keepNext/>
        <w:spacing w:before="240" w:after="240" w:line="280" w:lineRule="atLeast"/>
        <w:outlineLvl w:val="3"/>
        <w:rPr>
          <w:rFonts w:eastAsia="Times New Roman" w:cs="Times New Roman"/>
          <w:b/>
          <w:bCs/>
          <w:color w:val="57825E"/>
          <w:kern w:val="32"/>
          <w:szCs w:val="24"/>
        </w:rPr>
      </w:pPr>
      <w:r w:rsidRPr="00290F11">
        <w:rPr>
          <w:b/>
          <w:bCs/>
          <w:color w:val="57825E"/>
          <w:szCs w:val="24"/>
        </w:rPr>
        <w:t xml:space="preserve">Għaliex għandha tiġi evalwata l-innovazzjoni fil-PŻR? </w:t>
      </w:r>
    </w:p>
    <w:p w:rsidR="00A45935" w:rsidRPr="00290F11" w:rsidRDefault="00E05D08" w:rsidP="00E05D08">
      <w:pPr>
        <w:spacing w:after="120" w:line="280" w:lineRule="atLeast"/>
        <w:mirrorIndents/>
        <w:rPr>
          <w:rFonts w:eastAsia="Times New Roman" w:cs="Times New Roman"/>
          <w:bCs/>
          <w:iCs/>
          <w:color w:val="000000"/>
          <w:szCs w:val="20"/>
        </w:rPr>
      </w:pPr>
      <w:r w:rsidRPr="00290F11">
        <w:rPr>
          <w:b/>
          <w:iCs/>
          <w:szCs w:val="20"/>
        </w:rPr>
        <w:t>L-innovazzjoni hija wieħed mit-tliet objettivi trażversali tal-politika rurali</w:t>
      </w:r>
      <w:r w:rsidRPr="00290F11">
        <w:rPr>
          <w:rFonts w:eastAsia="Times New Roman" w:cs="Arial"/>
          <w:b/>
          <w:bCs/>
          <w:iCs/>
          <w:color w:val="000000"/>
          <w:szCs w:val="20"/>
          <w:vertAlign w:val="superscript"/>
          <w:lang w:eastAsia="de-DE"/>
        </w:rPr>
        <w:footnoteReference w:id="1"/>
      </w:r>
      <w:r w:rsidRPr="00290F11">
        <w:rPr>
          <w:b/>
          <w:i/>
          <w:iCs/>
          <w:szCs w:val="20"/>
        </w:rPr>
        <w:t xml:space="preserve"> </w:t>
      </w:r>
      <w:r w:rsidRPr="00290F11">
        <w:rPr>
          <w:b/>
          <w:iCs/>
          <w:szCs w:val="20"/>
        </w:rPr>
        <w:t>u tista’ tiġi indirizzata bl-interventi implimentati taħt il-miżuri u l-oqsma ta’ prijorità (</w:t>
      </w:r>
      <w:r w:rsidR="00ED27A4" w:rsidRPr="00290F11">
        <w:rPr>
          <w:b/>
          <w:iCs/>
          <w:szCs w:val="20"/>
        </w:rPr>
        <w:t>OP</w:t>
      </w:r>
      <w:r w:rsidRPr="00290F11">
        <w:rPr>
          <w:b/>
          <w:iCs/>
          <w:szCs w:val="20"/>
        </w:rPr>
        <w:t>) fil-programmi tal-iżvilupp rurali (PŻR) 2014-2020</w:t>
      </w:r>
      <w:r w:rsidRPr="00290F11">
        <w:rPr>
          <w:rFonts w:eastAsia="Times New Roman" w:cs="Arial"/>
          <w:b/>
          <w:i/>
          <w:iCs/>
          <w:szCs w:val="20"/>
          <w:vertAlign w:val="superscript"/>
          <w:lang w:eastAsia="de-DE"/>
        </w:rPr>
        <w:footnoteReference w:id="2"/>
      </w:r>
      <w:r w:rsidRPr="00290F11">
        <w:rPr>
          <w:b/>
          <w:iCs/>
          <w:szCs w:val="20"/>
        </w:rPr>
        <w:t>.</w:t>
      </w:r>
      <w:r w:rsidRPr="00290F11">
        <w:rPr>
          <w:b/>
          <w:bCs/>
          <w:i/>
          <w:iCs/>
          <w:color w:val="000000"/>
          <w:szCs w:val="20"/>
        </w:rPr>
        <w:t xml:space="preserve"> </w:t>
      </w:r>
    </w:p>
    <w:p w:rsidR="00A45935" w:rsidRPr="00290F11" w:rsidRDefault="00A45935" w:rsidP="00E05D08">
      <w:pPr>
        <w:spacing w:after="120" w:line="280" w:lineRule="atLeast"/>
        <w:mirrorIndents/>
        <w:rPr>
          <w:rFonts w:eastAsia="Times New Roman" w:cs="Times New Roman"/>
          <w:szCs w:val="20"/>
        </w:rPr>
      </w:pPr>
      <w:r w:rsidRPr="00290F11">
        <w:rPr>
          <w:b/>
          <w:szCs w:val="20"/>
        </w:rPr>
        <w:t xml:space="preserve">Il-kisbiet ta’ dan l-objettiv trażversali </w:t>
      </w:r>
      <w:r w:rsidRPr="00290F11">
        <w:rPr>
          <w:b/>
        </w:rPr>
        <w:t>huma s-suġġett tal-evalwazzjoni tal-innovazzjoni</w:t>
      </w:r>
      <w:r w:rsidRPr="00290F11">
        <w:rPr>
          <w:rFonts w:eastAsia="Times New Roman" w:cs="Arial"/>
          <w:bCs/>
          <w:iCs/>
          <w:color w:val="000000"/>
          <w:szCs w:val="20"/>
          <w:vertAlign w:val="superscript"/>
          <w:lang w:eastAsia="de-DE"/>
        </w:rPr>
        <w:footnoteReference w:id="3"/>
      </w:r>
      <w:r w:rsidRPr="00290F11">
        <w:t>. F’dan il-kuntest, il-kontribuzzjonijiet tal-innovazzjonijiet appoġġjati mill-Fond Agrikolu Ewropew għall-Iżvilupp Rurali (FAEŻR) lejn il-PŻR u l-objettivi tal-politika tal-UE huma vvalutati sabiex iwieġbu għall-mistoqsijiet komuni ta’ evalwazzjoni relatati mal-innovazzjoni.</w:t>
      </w:r>
    </w:p>
    <w:p w:rsidR="00A45935" w:rsidRPr="00290F11" w:rsidRDefault="00A45935" w:rsidP="00E05D08">
      <w:pPr>
        <w:spacing w:after="120" w:line="280" w:lineRule="atLeast"/>
        <w:mirrorIndents/>
        <w:rPr>
          <w:rFonts w:eastAsia="Times New Roman" w:cs="Times New Roman"/>
          <w:szCs w:val="20"/>
        </w:rPr>
      </w:pPr>
      <w:r w:rsidRPr="00290F11">
        <w:t>Hemm diversi raġunijiet għaliex għandha tiġi evalwata l-innovazzjoni:</w:t>
      </w:r>
    </w:p>
    <w:p w:rsidR="00A45935" w:rsidRPr="00290F11" w:rsidRDefault="00A45935" w:rsidP="00D77B96">
      <w:pPr>
        <w:pStyle w:val="Hlistbullet"/>
      </w:pPr>
      <w:r w:rsidRPr="00290F11">
        <w:rPr>
          <w:b/>
        </w:rPr>
        <w:t>Sabiex tiġi pprovduta r-responsabbiltà tal-interventi tal-iżvilupp rurali</w:t>
      </w:r>
      <w:r w:rsidRPr="00290F11">
        <w:t xml:space="preserve"> u jintwera kif dawn rawmu l-innovazzjoni fiż-żoni rurali u kkontribwixxew għar-riżultati u l-impatti tal-programm għall-politika rurali u l-objettivi tal-istrateġija UE 2020. </w:t>
      </w:r>
    </w:p>
    <w:p w:rsidR="00A45935" w:rsidRPr="00290F11" w:rsidRDefault="00A45935" w:rsidP="00D77B96">
      <w:pPr>
        <w:pStyle w:val="Hlistbullet"/>
      </w:pPr>
      <w:r w:rsidRPr="00290F11">
        <w:rPr>
          <w:b/>
        </w:rPr>
        <w:t>Sabiex l-appoġġ mill-FAEŻR jiġi mmirat aħjar għall-innovazzjoni</w:t>
      </w:r>
      <w:r w:rsidRPr="00290F11">
        <w:t xml:space="preserve"> billi jintgħażlu l-aktar territorji u benefiċjarji tal-programm rilevanti u l-aktar azzjonijiet xierqa u eliġibbli. </w:t>
      </w:r>
    </w:p>
    <w:p w:rsidR="00A45935" w:rsidRPr="00290F11" w:rsidRDefault="00A45935" w:rsidP="00D77B96">
      <w:pPr>
        <w:pStyle w:val="Hlistbullet"/>
      </w:pPr>
      <w:r w:rsidRPr="00290F11">
        <w:rPr>
          <w:b/>
        </w:rPr>
        <w:t>Sabiex jissaħħaħ it-tagħlim komuni bejn il-partijiet ikkonċernati</w:t>
      </w:r>
      <w:r w:rsidRPr="00290F11">
        <w:t xml:space="preserve"> dwar kif l-aħjar li jiġu appoġġati u implimentati proġetti innovattivi permezz ta’ tagħlim minn esperjenzi tal-passat u fehim tal-kundizzjonijiet għas-suċċess. </w:t>
      </w:r>
    </w:p>
    <w:p w:rsidR="00A45935" w:rsidRPr="00290F11" w:rsidRDefault="00D66182" w:rsidP="00E05D08">
      <w:pPr>
        <w:keepNext/>
        <w:keepLines/>
        <w:tabs>
          <w:tab w:val="left" w:pos="680"/>
        </w:tabs>
        <w:spacing w:before="240" w:after="240" w:line="280" w:lineRule="atLeast"/>
        <w:mirrorIndents/>
        <w:outlineLvl w:val="3"/>
        <w:rPr>
          <w:rFonts w:eastAsia="Times New Roman" w:cs="Arial"/>
          <w:b/>
          <w:color w:val="57825E"/>
          <w:szCs w:val="20"/>
          <w14:textFill>
            <w14:solidFill>
              <w14:srgbClr w14:val="57825E">
                <w14:lumMod w14:val="75000"/>
              </w14:srgbClr>
            </w14:solidFill>
          </w14:textFill>
        </w:rPr>
      </w:pPr>
      <w:r w:rsidRPr="00290F11">
        <w:rPr>
          <w:b/>
          <w:noProof/>
          <w:lang w:val="en-GB" w:eastAsia="en-GB"/>
        </w:rPr>
        <mc:AlternateContent>
          <mc:Choice Requires="wps">
            <w:drawing>
              <wp:anchor distT="0" distB="0" distL="114300" distR="114300" simplePos="0" relativeHeight="251702272" behindDoc="0" locked="0" layoutInCell="1" allowOverlap="1" wp14:anchorId="7CC20F46" wp14:editId="3BD0DA14">
                <wp:simplePos x="0" y="0"/>
                <wp:positionH relativeFrom="column">
                  <wp:posOffset>3116580</wp:posOffset>
                </wp:positionH>
                <wp:positionV relativeFrom="paragraph">
                  <wp:posOffset>190500</wp:posOffset>
                </wp:positionV>
                <wp:extent cx="2649855" cy="3267710"/>
                <wp:effectExtent l="0" t="0" r="17145" b="27940"/>
                <wp:wrapSquare wrapText="bothSides"/>
                <wp:docPr id="90" name="Rectangle: Diagonal Corners Rounded 90"/>
                <wp:cNvGraphicFramePr/>
                <a:graphic xmlns:a="http://schemas.openxmlformats.org/drawingml/2006/main">
                  <a:graphicData uri="http://schemas.microsoft.com/office/word/2010/wordprocessingShape">
                    <wps:wsp>
                      <wps:cNvSpPr/>
                      <wps:spPr>
                        <a:xfrm>
                          <a:off x="0" y="0"/>
                          <a:ext cx="2649855" cy="3267710"/>
                        </a:xfrm>
                        <a:prstGeom prst="round2DiagRect">
                          <a:avLst>
                            <a:gd name="adj1" fmla="val 8733"/>
                            <a:gd name="adj2" fmla="val 0"/>
                          </a:avLst>
                        </a:prstGeom>
                        <a:noFill/>
                        <a:ln w="25400" cap="flat" cmpd="sng" algn="ctr">
                          <a:solidFill>
                            <a:srgbClr val="BE4A35"/>
                          </a:solidFill>
                          <a:prstDash val="solid"/>
                        </a:ln>
                        <a:effectLst/>
                      </wps:spPr>
                      <wps:txbx>
                        <w:txbxContent>
                          <w:p w:rsidR="005570DA" w:rsidRPr="00D74B10" w:rsidRDefault="005570DA" w:rsidP="00E05D08">
                            <w:pPr>
                              <w:pStyle w:val="HBox"/>
                            </w:pPr>
                            <w:r>
                              <w:rPr>
                                <w:noProof/>
                                <w:lang w:val="en-GB" w:eastAsia="en-GB"/>
                              </w:rPr>
                              <w:drawing>
                                <wp:inline distT="0" distB="0" distL="0" distR="0" wp14:anchorId="3BD0D20C" wp14:editId="5516FCDC">
                                  <wp:extent cx="664845" cy="487680"/>
                                  <wp:effectExtent l="0" t="0" r="0" b="7620"/>
                                  <wp:docPr id="87"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L-objettiv ewlieni tad-dokument huwa li jikkomplementa linji gwida oħrajn u joffri pariri lill-partijiet ikkonċernati tal-evalwazzjoni tal-PŻR dwar kif għandhom jitwettqu l-attivitajiet ta’ evalwazzjoni sabiex </w:t>
                            </w:r>
                            <w:r>
                              <w:rPr>
                                <w:b/>
                              </w:rPr>
                              <w:t xml:space="preserve">jiġu mwieġba l-mistoqsijiet komuni tal-evalwazzjoni relatati mal-innovazzjoni. </w:t>
                            </w:r>
                            <w:r>
                              <w:t xml:space="preserve">Billi l-effetti tal-PŻR fuq l-innovazzjoni fiż-żoni rurali x’aktarx jistgħu jkunu mistennija li jinħassu fuq </w:t>
                            </w:r>
                            <w:r>
                              <w:rPr>
                                <w:b/>
                              </w:rPr>
                              <w:t>medda twila ta’ żmien</w:t>
                            </w:r>
                            <w:r>
                              <w:t>, il-linji gwida jiffokaw b’mod partikolari fuq dawk l-attivitajiet relatati mal-evalwazzjoni, li se jiġu rrapportati fir-Rapport Annwali ta’ Implimentazzjoni (AIR) sottomess fl-2019 u fl-evalwazzjoni ‘ex post’.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20F46" id="Rectangle: Diagonal Corners Rounded 90" o:spid="_x0000_s1029" style="position:absolute;left:0;text-align:left;margin-left:245.4pt;margin-top:15pt;width:208.65pt;height:257.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9855,3267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" adj="-11796480,,5400" path="m231412,l2649855,r,l2649855,3036298v,127805,-103607,231412,-231412,231412l,3267710r,l,231412c,103607,103607,,231412,xe" filled="f" strokecolor="#be4a35" strokeweight="2pt">
                <v:stroke joinstyle="miter"/>
                <v:formulas/>
                <v:path arrowok="t" o:connecttype="custom" o:connectlocs="231412,0;2649855,0;2649855,0;2649855,3036298;2418443,3267710;0,3267710;0,3267710;0,231412;231412,0" o:connectangles="0,0,0,0,0,0,0,0,0" textboxrect="0,0,2649855,3267710"/>
                <v:textbox>
                  <w:txbxContent>
                    <w:p w:rsidR="005570DA" w:rsidRPr="00D74B10" w:rsidRDefault="005570DA" w:rsidP="00E05D08">
                      <w:pPr>
                        <w:pStyle w:val="HBox"/>
                      </w:pPr>
                      <w:r>
                        <w:rPr>
                          <w:noProof/>
                          <w:lang w:val="en-GB" w:eastAsia="en-GB"/>
                        </w:rPr>
                        <w:drawing>
                          <wp:inline distT="0" distB="0" distL="0" distR="0" wp14:anchorId="3BD0D20C" wp14:editId="5516FCDC">
                            <wp:extent cx="664845" cy="487680"/>
                            <wp:effectExtent l="0" t="0" r="0" b="7620"/>
                            <wp:docPr id="87"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L-objettiv ewlieni tad-dokument huwa li jikkomplementa linji gwida oħrajn u joffri pariri lill-partijiet ikkonċernati tal-evalwazzjoni tal-PŻR dwar kif għandhom jitwettqu l-attivitajiet ta’ evalwazzjoni sabiex </w:t>
                      </w:r>
                      <w:r>
                        <w:rPr>
                          <w:b/>
                        </w:rPr>
                        <w:t xml:space="preserve">jiġu mwieġba l-mistoqsijiet komuni tal-evalwazzjoni relatati mal-innovazzjoni. </w:t>
                      </w:r>
                      <w:r>
                        <w:t xml:space="preserve">Billi l-effetti tal-PŻR fuq l-innovazzjoni fiż-żoni rurali x’aktarx jistgħu jkunu mistennija li jinħassu fuq </w:t>
                      </w:r>
                      <w:r>
                        <w:rPr>
                          <w:b/>
                        </w:rPr>
                        <w:t>medda twila ta’ żmien</w:t>
                      </w:r>
                      <w:r>
                        <w:t>, il-linji gwida jiffokaw b’mod partikolari fuq dawk l-attivitajiet relatati mal-evalwazzjoni, li se jiġu rrapportati fir-Rapport Annwali ta’ Implimentazzjoni (AIR) sottomess fl-2019 u fl-evalwazzjoni ‘ex post’.</w:t>
                      </w:r>
                    </w:p>
                  </w:txbxContent>
                </v:textbox>
                <w10:wrap type="square"/>
              </v:shape>
            </w:pict>
          </mc:Fallback>
        </mc:AlternateContent>
      </w:r>
      <w:r w:rsidRPr="00290F11">
        <w:rPr>
          <w:b/>
          <w:color w:val="57825E"/>
          <w:szCs w:val="20"/>
        </w:rPr>
        <w:t>Għaliex huma meħtieġa dawn il-linji gwida?</w:t>
      </w:r>
    </w:p>
    <w:p w:rsidR="00A45935" w:rsidRPr="00290F11" w:rsidRDefault="00A45935" w:rsidP="00E05D08">
      <w:pPr>
        <w:spacing w:after="120" w:line="280" w:lineRule="atLeast"/>
        <w:mirrorIndents/>
        <w:rPr>
          <w:rFonts w:eastAsia="Times New Roman" w:cs="Times New Roman"/>
          <w:szCs w:val="20"/>
        </w:rPr>
      </w:pPr>
      <w:r w:rsidRPr="00290F11">
        <w:rPr>
          <w:b/>
        </w:rPr>
        <w:t>L-evalwazzjoni tal-innovazzjoni kisbet importanza</w:t>
      </w:r>
      <w:r w:rsidRPr="00290F11">
        <w:t xml:space="preserve"> fil-perjodu ta’ programmazzjoni 2014-2020, minħabba l-prominenza li kiseb is-suġġett fuq l-aġenda tal-politika ġenerali. Il-programmi tal-iżvilupp rurali jistgħu jappoġġaw il-proċessi ta’ innovazzjoni, jiġġeneraw diversi eżiti tanġibbli u intanġibbli fil-qasam tal-programm u fis-sistema ta’ innovazzjoni kollha kemm hi. </w:t>
      </w:r>
    </w:p>
    <w:p w:rsidR="00A45935" w:rsidRPr="00290F11" w:rsidRDefault="00A45935" w:rsidP="00E05D08">
      <w:pPr>
        <w:spacing w:after="120" w:line="280" w:lineRule="atLeast"/>
        <w:mirrorIndents/>
        <w:rPr>
          <w:rFonts w:eastAsia="Times New Roman" w:cs="Times New Roman"/>
          <w:szCs w:val="20"/>
        </w:rPr>
      </w:pPr>
      <w:r w:rsidRPr="00290F11">
        <w:rPr>
          <w:b/>
        </w:rPr>
        <w:t xml:space="preserve">Il-kopertura ta’ dawn l-effetti ġġib magħha diversi sfidi metodoloġiċi </w:t>
      </w:r>
      <w:r w:rsidRPr="00290F11">
        <w:t>għall-evalwazzjoni:</w:t>
      </w:r>
      <w:r w:rsidRPr="00290F11">
        <w:rPr>
          <w:b/>
          <w:szCs w:val="20"/>
        </w:rPr>
        <w:t xml:space="preserve"> </w:t>
      </w:r>
      <w:r w:rsidRPr="00290F11">
        <w:t>Kif tidentifika s-suġġett tal-evalwazzjoni? Liema effetti li jikkontribwixxu għall-proċessi ta’ innovazzjoni fiż-żoni rurali jistgħu jiġu attribwiti lill-PŻR? Kif jistgħu jiġu vvalutati l-kontribuzzjonijiet tal-innovazzjonijiet iġġenerati mill-appoġġ mill-FAEŻR għar-riżultati u l-impatti usa’ tal-PŻR? Kif jistgħu jitkejlu l-kisbiet tal-objettivi tal-politika reġjonali / nazzjonali / tal-UE?</w:t>
      </w:r>
    </w:p>
    <w:p w:rsidR="00055039" w:rsidRPr="00290F11" w:rsidRDefault="00A45935" w:rsidP="00A6785E">
      <w:r w:rsidRPr="00290F11">
        <w:t>Ir-</w:t>
      </w:r>
      <w:r w:rsidRPr="00290F11">
        <w:rPr>
          <w:b/>
        </w:rPr>
        <w:t>4 Grupp ta’ Ħidma Tematiku</w:t>
      </w:r>
      <w:r w:rsidRPr="00290F11">
        <w:t xml:space="preserve"> tal-Helpdesk ta’ Evalwazzjoni</w:t>
      </w:r>
      <w:r w:rsidRPr="00290F11">
        <w:rPr>
          <w:b/>
        </w:rPr>
        <w:t xml:space="preserve"> “Evalwazzjoni tal-innovazzjoni fil-PŻR 2014-2020”</w:t>
      </w:r>
      <w:r w:rsidRPr="00290F11">
        <w:t xml:space="preserve"> kien immirat sabiex (1) jeżamina u jindirizza l-isfidi ewlenin fl-evalwazzjoni tal-innovazzjoni; (2) jirrieżamina l-esperjenzi tal-evalwazzjoni eżistenti fil-qasam; (3) jidentifika u jfassal soluzzjonijiet prattiċi għall-evalwazzjoni tal-innovazzjoni ġewwa l-PŻR; (4) jiżviluppa </w:t>
      </w:r>
      <w:r w:rsidRPr="00290F11">
        <w:rPr>
          <w:b/>
        </w:rPr>
        <w:t xml:space="preserve">linji gwida mhux vinkolanti </w:t>
      </w:r>
      <w:r w:rsidRPr="00290F11">
        <w:rPr>
          <w:b/>
        </w:rPr>
        <w:lastRenderedPageBreak/>
        <w:t>sabiex jiġu mwieġba l-mistoqsijiet komuni tal-evalwazzjoni relatati mal-innovazzjoni</w:t>
      </w:r>
      <w:r w:rsidRPr="00290F11">
        <w:t xml:space="preserve"> billi jikkomplementa l-gwida eżistenti u s-Sistema Komuni ta’ Monitoraġġ u ta’ Evalwazzjoni (CMES). </w:t>
      </w:r>
    </w:p>
    <w:p w:rsidR="00A45935" w:rsidRPr="00290F11" w:rsidRDefault="00A45935" w:rsidP="00055039">
      <w:pPr>
        <w:spacing w:after="120" w:line="280" w:lineRule="atLeast"/>
        <w:mirrorIndents/>
        <w:rPr>
          <w:rFonts w:eastAsia="Times New Roman" w:cs="Times New Roman"/>
          <w:b/>
          <w:color w:val="57825E"/>
          <w:szCs w:val="20"/>
        </w:rPr>
      </w:pPr>
      <w:r w:rsidRPr="00290F11">
        <w:rPr>
          <w:b/>
          <w:color w:val="57825E"/>
          <w:szCs w:val="20"/>
        </w:rPr>
        <w:t>Min huma l-gruppi fil-mira għal dawn il-linji gwida?</w:t>
      </w:r>
    </w:p>
    <w:p w:rsidR="00A45935" w:rsidRPr="00290F11" w:rsidRDefault="00A45935" w:rsidP="00E05D08">
      <w:pPr>
        <w:spacing w:after="120" w:line="280" w:lineRule="atLeast"/>
        <w:mirrorIndents/>
        <w:rPr>
          <w:rFonts w:eastAsia="Times New Roman" w:cs="Times New Roman"/>
          <w:szCs w:val="20"/>
        </w:rPr>
      </w:pPr>
      <w:r w:rsidRPr="00290F11">
        <w:t xml:space="preserve">Il-linji gwida, </w:t>
      </w:r>
      <w:r w:rsidRPr="00290F11">
        <w:rPr>
          <w:i/>
        </w:rPr>
        <w:t>Evalwazzjoni tal-innovazzjoni fil-PŻR 2014-2020</w:t>
      </w:r>
      <w:r w:rsidRPr="00290F11">
        <w:t>, huma abbozzati għal gruppi differenti ta’ partijiet ikkonċernati tal-iżvilupp rurali:</w:t>
      </w:r>
    </w:p>
    <w:p w:rsidR="00A45935" w:rsidRPr="00290F11" w:rsidRDefault="00A45935" w:rsidP="00D77B96">
      <w:r w:rsidRPr="00290F11">
        <w:rPr>
          <w:b/>
        </w:rPr>
        <w:t>L-Awtoritajiet Maniġerjali</w:t>
      </w:r>
      <w:r w:rsidRPr="00290F11">
        <w:t xml:space="preserve"> se jsibu informazzjoni dwar l-evalwazzjoni tal-innovazzjoni fil-livell tal-PŻR: il-kunċett, il-qafas ta’ politika u l-fokus tal-mistoqsijiet tal-evalwazzjoni relatati mal-innovazzjoni. Hija pprovduta gwida prattika li turi kif għandha titħejja, tiġi ġestita u kkoordinata l-evalwazzjoni u kif għandhom jiġu vvalutati l-kontribuzzjonijiet tal-innovazzjonijiet lejn l-objettivi tal-PŻR. </w:t>
      </w:r>
    </w:p>
    <w:p w:rsidR="00A45935" w:rsidRPr="00290F11" w:rsidRDefault="00A45935" w:rsidP="00C37C7A">
      <w:r w:rsidRPr="00290F11">
        <w:rPr>
          <w:b/>
        </w:rPr>
        <w:t>L-esperti tal-evalwazzjoni</w:t>
      </w:r>
      <w:r w:rsidRPr="00290F11">
        <w:t xml:space="preserve"> se jsibu soluzzjonijiet għal diversi sfidi marbuta mal-evalwazzjoni tal-innovazzjoni (eż. kif jiġi skrinjat il-potenzjal tal-innovazzjoni tal-PŻR meta tiġi definita l-loġika tal-intervent tal-innovazzjoni tal-PŻR, kif jiġu analizzati l-kontribuzzjonijiet tal-innovazzjonijiet għall-kisbiet tal-objettivi tal-PŻR u r-riżultati u l-impatti tal-PŻR). L-evalwaturi se jsibu wkoll appoġġ dwar kif jagħżlu l-aħjar approċċ tal-evalwazzjoni u jiġbru l-evidenza sabiex iwieġbu l-mistoqsijiet tal-evalwazzjoni. </w:t>
      </w:r>
    </w:p>
    <w:p w:rsidR="00A45935" w:rsidRPr="00290F11" w:rsidRDefault="00A45935" w:rsidP="00AA5817">
      <w:pPr>
        <w:pStyle w:val="HStandard"/>
      </w:pPr>
      <w:r w:rsidRPr="00290F11">
        <w:rPr>
          <w:b/>
        </w:rPr>
        <w:t xml:space="preserve">Partijiet ikkonċernati oħrajn </w:t>
      </w:r>
      <w:r w:rsidRPr="00290F11">
        <w:t xml:space="preserve">jistgħu jużaw ukoll il-linji gwida bħala dokument ta’ referenza: </w:t>
      </w:r>
      <w:r w:rsidRPr="00290F11">
        <w:rPr>
          <w:b/>
        </w:rPr>
        <w:t>Uffiċjali tal-Kummissjoni Ewropea (KE)</w:t>
      </w:r>
      <w:r w:rsidRPr="00290F11">
        <w:t xml:space="preserve"> (għal mistoqsijiet li jqumu rigward l-evalwazzjoni tal-innovazzjoni); </w:t>
      </w:r>
      <w:r w:rsidRPr="00290F11">
        <w:rPr>
          <w:b/>
        </w:rPr>
        <w:t>Gruppi operazzjonali (GO) tas-Sħubija Ewropea għall-Innovazzjoni (EIP)</w:t>
      </w:r>
      <w:r w:rsidRPr="00290F11">
        <w:t xml:space="preserve"> (bħala informazzjoni ta’ sfond fit-tfassil tal-proġetti u l-fehim tal-potenzjal tal-innovazzjoni tagħhom); </w:t>
      </w:r>
      <w:r w:rsidRPr="00290F11">
        <w:rPr>
          <w:b/>
        </w:rPr>
        <w:t>membri tal-gruppi ta’ azzjoni lokali (GAL)</w:t>
      </w:r>
      <w:r w:rsidRPr="00290F11">
        <w:t xml:space="preserve"> (fl-evalwazzjoni / awtovalutazzjoni tal-karatteristiċi innovattivi fl-istrateġiji tagħhom ta’ żvilupp lokali mmexxi mill-Komunità (CLLD) u l-effetti tagħhom fuq l-innovazzjoni fiż-żoni rurali); </w:t>
      </w:r>
      <w:r w:rsidRPr="00290F11">
        <w:rPr>
          <w:b/>
        </w:rPr>
        <w:t>netwerks rurali nazzjonali (NRN)</w:t>
      </w:r>
      <w:r w:rsidRPr="00290F11">
        <w:t xml:space="preserve"> meta jitħejjew u jiġu appoġġati l-GAL u l-Gruppi Operazzjonali tal-EIP. </w:t>
      </w:r>
    </w:p>
    <w:p w:rsidR="00A45935" w:rsidRPr="00290F11"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sidRPr="00290F11">
        <w:rPr>
          <w:b/>
          <w:color w:val="57825E"/>
          <w:szCs w:val="20"/>
        </w:rPr>
        <w:t>Kif inhuma strutturati l-linji gwida?</w:t>
      </w:r>
    </w:p>
    <w:p w:rsidR="00A45935" w:rsidRPr="00290F11" w:rsidRDefault="00A45935" w:rsidP="00E05D08">
      <w:pPr>
        <w:spacing w:after="120" w:line="280" w:lineRule="atLeast"/>
        <w:mirrorIndents/>
        <w:rPr>
          <w:rFonts w:eastAsia="Times New Roman" w:cs="Times New Roman"/>
          <w:szCs w:val="20"/>
        </w:rPr>
      </w:pPr>
      <w:r w:rsidRPr="00290F11">
        <w:t xml:space="preserve">Il-linji gwida huma magħmula minn tliet partijiet: </w:t>
      </w:r>
    </w:p>
    <w:p w:rsidR="00A45935" w:rsidRPr="00290F11" w:rsidRDefault="00A45935" w:rsidP="00E05D08">
      <w:pPr>
        <w:spacing w:after="120" w:line="280" w:lineRule="atLeast"/>
        <w:mirrorIndents/>
        <w:rPr>
          <w:rFonts w:eastAsia="Times New Roman" w:cs="Times New Roman"/>
          <w:szCs w:val="20"/>
        </w:rPr>
      </w:pPr>
      <w:r w:rsidRPr="00290F11">
        <w:rPr>
          <w:b/>
          <w:color w:val="F07E31"/>
          <w:szCs w:val="20"/>
        </w:rPr>
        <w:t xml:space="preserve">Il-Kapitolu 1 </w:t>
      </w:r>
      <w:r w:rsidRPr="00290F11">
        <w:t xml:space="preserve">jispjega s-sistema ta’ innovazzjoni fiż-żoni rurali u l-kunċett tal-evalwazzjoni tal-innovazzjoni fl-iżvilupp rurali. Il-kunċett jintroduċi l-qafas ta’ politika tal-UE tal-PŻR u kif dawn jirrelataw ma’ xulxin, kif ukoll il-ħarsa ġenerali lejn l-elementi komuni tal-evalwazzjoni. Il-Kapitolu 1.3 jiddiskuti wkoll l-isfidi marbuta mal-evalwazzjoni tal-innovazzjoni fil-politika ta’ żvilupp rurali. </w:t>
      </w:r>
    </w:p>
    <w:p w:rsidR="00A45935" w:rsidRPr="00290F11" w:rsidRDefault="00A45935" w:rsidP="00E05D08">
      <w:pPr>
        <w:spacing w:after="120" w:line="280" w:lineRule="atLeast"/>
        <w:mirrorIndents/>
        <w:rPr>
          <w:rFonts w:eastAsia="Times New Roman" w:cs="Times New Roman"/>
          <w:szCs w:val="20"/>
        </w:rPr>
      </w:pPr>
      <w:r w:rsidRPr="00A1327D">
        <w:rPr>
          <w:b/>
          <w:color w:val="ED7D31" w:themeColor="accent2"/>
        </w:rPr>
        <w:t>Il-Kapitolu 2</w:t>
      </w:r>
      <w:r w:rsidRPr="00290F11">
        <w:rPr>
          <w:color w:val="F07E31"/>
          <w:szCs w:val="20"/>
        </w:rPr>
        <w:t xml:space="preserve"> </w:t>
      </w:r>
      <w:r w:rsidRPr="00290F11">
        <w:t xml:space="preserve">jinforma lill-Awtoritajiet Maniġerjali dwar l-ispeċifiċitajiet marbuta mal-ġestjoni tal-evalwazzjoni tal-innovazzjoni u l-obbligi ta’ rapportar. Il-Kapitolu 2.2 jispjega l-approċċi li għandhom jintużaw sabiex jiġu mwieġba l-mistoqsijiet tal-evalwazzjoni relatati mal-innovazzjoni u jipprovdi gwida speċifika għal kull waħda mill-mistoqsijiet komuni tal-evalwazzjoni: in-numri 1, 2, 21, 23 u 30 jikkonċernaw dawk l-aspetti li huma relatati mal-innovazzjoni. Dan jinkludi d-deskrizzjoni tal-metodi adegwati għall-evalwazzjoni tal-innovazzjoni. </w:t>
      </w:r>
    </w:p>
    <w:p w:rsidR="00A45935" w:rsidRPr="00290F11" w:rsidRDefault="00A45935" w:rsidP="00E05D08">
      <w:pPr>
        <w:spacing w:after="120" w:line="280" w:lineRule="atLeast"/>
        <w:mirrorIndents/>
        <w:rPr>
          <w:rFonts w:eastAsia="Times New Roman" w:cs="Times New Roman"/>
          <w:szCs w:val="20"/>
        </w:rPr>
      </w:pPr>
      <w:r w:rsidRPr="00290F11">
        <w:rPr>
          <w:b/>
          <w:color w:val="F07E31"/>
          <w:szCs w:val="20"/>
        </w:rPr>
        <w:t xml:space="preserve">Il-Kapitolu 3 </w:t>
      </w:r>
      <w:r w:rsidRPr="00290F11">
        <w:t xml:space="preserve">(l-Annessi) jinkludi l-glossarju u l-passi għall-identifikazzjoni tal-potenzjal ta’ innovazzjoni tal-PŻR. </w:t>
      </w:r>
    </w:p>
    <w:p w:rsidR="00A45935" w:rsidRPr="00290F11" w:rsidRDefault="00A45935" w:rsidP="00E05D08">
      <w:pPr>
        <w:spacing w:after="0" w:line="240" w:lineRule="auto"/>
        <w:rPr>
          <w:rFonts w:eastAsia="Calibri" w:cs="Arial"/>
          <w:szCs w:val="18"/>
          <w14:textFill>
            <w14:solidFill>
              <w14:srgbClr w14:val="373737">
                <w14:lumMod w14:val="75000"/>
              </w14:srgbClr>
            </w14:solidFill>
          </w14:textFill>
        </w:rPr>
      </w:pPr>
      <w:r w:rsidRPr="00290F11">
        <w:br w:type="page"/>
      </w:r>
    </w:p>
    <w:p w:rsidR="00A45935" w:rsidRPr="00290F11" w:rsidRDefault="00A45935" w:rsidP="00E05D08">
      <w:pPr>
        <w:keepNext/>
        <w:keepLines/>
        <w:pageBreakBefore/>
        <w:tabs>
          <w:tab w:val="left" w:pos="567"/>
        </w:tabs>
        <w:spacing w:before="360" w:after="360" w:line="280" w:lineRule="atLeast"/>
        <w:ind w:left="567" w:hanging="567"/>
        <w:mirrorIndents/>
        <w:outlineLvl w:val="0"/>
        <w:rPr>
          <w:rFonts w:eastAsia="Times New Roman" w:cs="Times New Roman"/>
          <w:b/>
          <w:caps/>
          <w:color w:val="F07E31"/>
          <w:szCs w:val="20"/>
        </w:rPr>
        <w:sectPr w:rsidR="00A45935" w:rsidRPr="00290F11" w:rsidSect="00055039">
          <w:footerReference w:type="default" r:id="rId23"/>
          <w:endnotePr>
            <w:numFmt w:val="decimal"/>
          </w:endnotePr>
          <w:type w:val="continuous"/>
          <w:pgSz w:w="11906" w:h="16838" w:code="9"/>
          <w:pgMar w:top="1440" w:right="1440" w:bottom="1134" w:left="1440" w:header="567" w:footer="1021" w:gutter="0"/>
          <w:pgNumType w:start="1"/>
          <w:cols w:space="708"/>
          <w:noEndnote/>
          <w:docGrid w:linePitch="360"/>
        </w:sectPr>
      </w:pPr>
      <w:bookmarkStart w:id="5" w:name="_Toc501382120"/>
    </w:p>
    <w:p w:rsidR="00A45935" w:rsidRPr="00290F11" w:rsidRDefault="00A45935" w:rsidP="00582F60">
      <w:pPr>
        <w:pStyle w:val="HHeading1"/>
        <w:tabs>
          <w:tab w:val="clear" w:pos="567"/>
        </w:tabs>
      </w:pPr>
      <w:bookmarkStart w:id="6" w:name="_Toc508960910"/>
      <w:r w:rsidRPr="00290F11">
        <w:lastRenderedPageBreak/>
        <w:t>QAFAS KUNĊETTWALI</w:t>
      </w:r>
      <w:bookmarkEnd w:id="5"/>
      <w:bookmarkEnd w:id="6"/>
    </w:p>
    <w:p w:rsidR="00A45935" w:rsidRPr="00290F11" w:rsidRDefault="00405B0B" w:rsidP="00C37C7A">
      <w:pPr>
        <w:pStyle w:val="HHeading2"/>
      </w:pPr>
      <w:bookmarkStart w:id="7" w:name="Innovation_RD"/>
      <w:bookmarkStart w:id="8" w:name="_Toc501382121"/>
      <w:bookmarkStart w:id="9" w:name="_Toc508960911"/>
      <w:bookmarkStart w:id="10" w:name="_Toc493151895"/>
      <w:bookmarkEnd w:id="7"/>
      <w:r w:rsidRPr="00290F11">
        <w:rPr>
          <w:noProof/>
          <w:lang w:val="en-GB" w:eastAsia="en-GB"/>
        </w:rPr>
        <mc:AlternateContent>
          <mc:Choice Requires="wps">
            <w:drawing>
              <wp:anchor distT="0" distB="0" distL="114300" distR="114300" simplePos="0" relativeHeight="251703296" behindDoc="0" locked="0" layoutInCell="1" allowOverlap="1" wp14:anchorId="564B0F73" wp14:editId="189C94FB">
                <wp:simplePos x="0" y="0"/>
                <wp:positionH relativeFrom="column">
                  <wp:posOffset>3028950</wp:posOffset>
                </wp:positionH>
                <wp:positionV relativeFrom="paragraph">
                  <wp:posOffset>245110</wp:posOffset>
                </wp:positionV>
                <wp:extent cx="2642235" cy="3068955"/>
                <wp:effectExtent l="0" t="0" r="24765" b="17145"/>
                <wp:wrapSquare wrapText="bothSides"/>
                <wp:docPr id="32" name="Rectangle: Diagonal Corners Rounded 32"/>
                <wp:cNvGraphicFramePr/>
                <a:graphic xmlns:a="http://schemas.openxmlformats.org/drawingml/2006/main">
                  <a:graphicData uri="http://schemas.microsoft.com/office/word/2010/wordprocessingShape">
                    <wps:wsp>
                      <wps:cNvSpPr/>
                      <wps:spPr>
                        <a:xfrm>
                          <a:off x="0" y="0"/>
                          <a:ext cx="2642235" cy="3068955"/>
                        </a:xfrm>
                        <a:prstGeom prst="round2DiagRect">
                          <a:avLst>
                            <a:gd name="adj1" fmla="val 6695"/>
                            <a:gd name="adj2" fmla="val 0"/>
                          </a:avLst>
                        </a:prstGeom>
                        <a:noFill/>
                        <a:ln w="25400" cap="flat" cmpd="sng" algn="ctr">
                          <a:solidFill>
                            <a:srgbClr val="BE4A35"/>
                          </a:solidFill>
                          <a:prstDash val="solid"/>
                        </a:ln>
                        <a:effectLst/>
                      </wps:spPr>
                      <wps:txbx>
                        <w:txbxContent>
                          <w:p w:rsidR="005570DA" w:rsidRDefault="005570DA" w:rsidP="00E05D08">
                            <w:pPr>
                              <w:pStyle w:val="HStandard"/>
                            </w:pPr>
                            <w:r>
                              <w:rPr>
                                <w:noProof/>
                                <w:lang w:val="en-GB" w:eastAsia="en-GB"/>
                              </w:rPr>
                              <w:drawing>
                                <wp:inline distT="0" distB="0" distL="0" distR="0" wp14:anchorId="76B1B6DC" wp14:editId="1AC11AB3">
                                  <wp:extent cx="664845" cy="487680"/>
                                  <wp:effectExtent l="0" t="0" r="0" b="7620"/>
                                  <wp:docPr id="88"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rPr>
                              <w:t xml:space="preserve">“Innovazzjoni ta’ spiss tiġi deskritta bħala </w:t>
                            </w:r>
                            <w:r>
                              <w:rPr>
                                <w:b/>
                                <w:color w:val="BE4A35"/>
                              </w:rPr>
                              <w:t>idea ġdida li tirnexxi fil-prattika.</w:t>
                            </w:r>
                            <w:r>
                              <w:rPr>
                                <w:sz w:val="18"/>
                              </w:rPr>
                              <w:t xml:space="preserve"> L-innovazzjoni tista’ tkun teknoloġika, iżda wkoll mhux teknoloġika, organizzattiva jew soċjali. L-innovazzjoni tista’ tkun ibbażata kemm fuq prattiki ġodda kif ukoll tradizzjonali f’kuntest ġeografiku jew ambjentali ġdid. L-idea ġdida tista’ tkun prodott, prattika, servizz jew proċess tal-produzzjoni ġodda jew inkella mod ġdid ta’ kif jiġu organizzati l-affarijiet, eċċ. Tali idea ġdida tinbidel f’innovazzjoni biss jekk tkun adottata b’mod wiesa’ u turi l-utilità tagħha fil-prattika”.</w:t>
                            </w:r>
                            <w:r>
                              <w:rPr>
                                <w:sz w:val="18"/>
                                <w:vertAlign w:val="superscript"/>
                              </w:rPr>
                              <w:t>4</w:t>
                            </w:r>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B0F73" id="Rectangle: Diagonal Corners Rounded 32" o:spid="_x0000_s1030" style="position:absolute;left:0;text-align:left;margin-left:238.5pt;margin-top:19.3pt;width:208.05pt;height:24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2235,30689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" adj="-11796480,,5400" path="m176898,l2642235,r,l2642235,2892057v,97698,-79200,176898,-176898,176898l,3068955r,l,176898c,79200,79200,,176898,xe" filled="f" strokecolor="#be4a35" strokeweight="2pt">
                <v:stroke joinstyle="miter"/>
                <v:formulas/>
                <v:path arrowok="t" o:connecttype="custom" o:connectlocs="176898,0;2642235,0;2642235,0;2642235,2892057;2465337,3068955;0,3068955;0,3068955;0,176898;176898,0" o:connectangles="0,0,0,0,0,0,0,0,0" textboxrect="0,0,2642235,3068955"/>
                <v:textbox>
                  <w:txbxContent>
                    <w:p w:rsidR="005570DA" w:rsidRDefault="005570DA" w:rsidP="00E05D08">
                      <w:pPr>
                        <w:pStyle w:val="HStandard"/>
                      </w:pPr>
                      <w:r>
                        <w:rPr>
                          <w:noProof/>
                          <w:lang w:val="en-GB" w:eastAsia="en-GB"/>
                        </w:rPr>
                        <w:drawing>
                          <wp:inline distT="0" distB="0" distL="0" distR="0" wp14:anchorId="76B1B6DC" wp14:editId="1AC11AB3">
                            <wp:extent cx="664845" cy="487680"/>
                            <wp:effectExtent l="0" t="0" r="0" b="7620"/>
                            <wp:docPr id="88"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rPr>
                        <w:t xml:space="preserve">“Innovazzjoni ta’ spiss tiġi deskritta bħala </w:t>
                      </w:r>
                      <w:r>
                        <w:rPr>
                          <w:b/>
                          <w:color w:val="BE4A35"/>
                        </w:rPr>
                        <w:t>idea ġdida li tirnexxi fil-prattika.</w:t>
                      </w:r>
                      <w:r>
                        <w:rPr>
                          <w:sz w:val="18"/>
                        </w:rPr>
                        <w:t xml:space="preserve"> L-innovazzjoni tista’ tkun teknoloġika, iżda wkoll mhux teknoloġika, organizzattiva jew soċjali. L-innovazzjoni tista’ tkun ibbażata kemm fuq prattiki ġodda kif ukoll tradizzjonali f’kuntest ġeografiku jew ambjentali ġdid. L-idea ġdida tista’ tkun prodott, prattika, servizz jew proċess tal-produzzjoni ġodda jew inkella mod ġdid ta’ kif jiġu organizzati l-affarijiet, eċċ. Tali idea ġdida tinbidel f’innovazzjoni biss jekk tkun adottata b’mod wiesa’ u turi l-utilità tagħha fil-prattika”.</w:t>
                      </w:r>
                      <w:r>
                        <w:rPr>
                          <w:sz w:val="18"/>
                          <w:vertAlign w:val="superscript"/>
                        </w:rPr>
                        <w:t>4</w:t>
                      </w:r>
                      <w:r>
                        <w:rPr>
                          <w:sz w:val="18"/>
                        </w:rPr>
                        <w:t xml:space="preserve"> </w:t>
                      </w:r>
                    </w:p>
                  </w:txbxContent>
                </v:textbox>
                <w10:wrap type="square"/>
              </v:shape>
            </w:pict>
          </mc:Fallback>
        </mc:AlternateContent>
      </w:r>
      <w:r w:rsidRPr="00290F11">
        <w:t>L-Innovazzjoni u l-Iżvilupp Rurali</w:t>
      </w:r>
      <w:bookmarkEnd w:id="8"/>
      <w:bookmarkEnd w:id="9"/>
      <w:r w:rsidRPr="00290F11">
        <w:t xml:space="preserve"> </w:t>
      </w:r>
      <w:bookmarkEnd w:id="10"/>
    </w:p>
    <w:p w:rsidR="00A45935" w:rsidRPr="00290F11" w:rsidRDefault="00A45935" w:rsidP="00230C31">
      <w:pPr>
        <w:pStyle w:val="HHeading4"/>
      </w:pPr>
      <w:r w:rsidRPr="00290F11">
        <w:t>Kif nistgħu nifhmu l-innovazzjoni?</w:t>
      </w:r>
    </w:p>
    <w:p w:rsidR="00A45935" w:rsidRPr="00290F11" w:rsidRDefault="00A45935" w:rsidP="00E05D08">
      <w:pPr>
        <w:spacing w:after="120" w:line="280" w:lineRule="atLeast"/>
        <w:mirrorIndents/>
        <w:rPr>
          <w:rFonts w:eastAsia="Times New Roman" w:cs="Times New Roman"/>
          <w:szCs w:val="20"/>
        </w:rPr>
      </w:pPr>
      <w:r w:rsidRPr="00290F11">
        <w:rPr>
          <w:b/>
          <w:szCs w:val="20"/>
        </w:rPr>
        <w:t>Fil-kuntest tal-iżvilupp rurali tal-UE</w:t>
      </w:r>
      <w:r w:rsidRPr="00290F11">
        <w:t>, kien hemm fehim pjuttost wiesa’ tal-innovazzjoni</w:t>
      </w:r>
      <w:r w:rsidRPr="00290F11">
        <w:rPr>
          <w:rStyle w:val="FootnoteReference"/>
          <w:rFonts w:eastAsia="Times New Roman" w:cs="Times New Roman"/>
          <w:color w:val="FFFFFF" w:themeColor="background1"/>
          <w:szCs w:val="20"/>
          <w:lang w:eastAsia="de-DE"/>
        </w:rPr>
        <w:footnoteReference w:id="4"/>
      </w:r>
      <w:r w:rsidRPr="00290F11">
        <w:t>:</w:t>
      </w:r>
      <w:bookmarkStart w:id="11" w:name="_Hlk501370282"/>
      <w:r w:rsidRPr="00290F11">
        <w:rPr>
          <w:b/>
          <w:szCs w:val="20"/>
        </w:rPr>
        <w:t xml:space="preserve">Il-fehim wiesa’ tal-innovazzjoni </w:t>
      </w:r>
      <w:r w:rsidRPr="00290F11">
        <w:t xml:space="preserve">deskritt jagħmilha adattabbli għal sitwazzjonijiet soċjoekonomiċi u ambjentali differenti madwar l-UE kollha. Hija tirrigwardja l-arkitettura tal-PŻR u l-kapaċità tagħha li timpenja ruħha fil-kuntest eżistenti u li tiżgura soluzzjonijiet ġodda għall-isfidi u l-ħtiġijiet rurali. Soluzzjonijiet bħal dawn mhux bilfors ikunu radikali u kbar, iżda jistgħu jinvolvu bidliet iżgħar li xi drabi jħejju l-bażi għal affarijiet akbar. </w:t>
      </w:r>
    </w:p>
    <w:p w:rsidR="00A45935" w:rsidRPr="00290F11" w:rsidRDefault="00A45935" w:rsidP="00230C31">
      <w:pPr>
        <w:pStyle w:val="HHeading4"/>
      </w:pPr>
      <w:r w:rsidRPr="00290F11">
        <w:t>L-interventi tal-PŻR kif qegħdin jikkontribwixxu għall-innovazzjoni?</w:t>
      </w:r>
    </w:p>
    <w:p w:rsidR="00A45935" w:rsidRPr="00290F11" w:rsidRDefault="00A45935" w:rsidP="00E05D08">
      <w:pPr>
        <w:spacing w:after="120" w:line="280" w:lineRule="atLeast"/>
        <w:mirrorIndents/>
        <w:rPr>
          <w:rFonts w:eastAsia="Times New Roman" w:cs="Times New Roman"/>
          <w:szCs w:val="20"/>
        </w:rPr>
      </w:pPr>
      <w:r w:rsidRPr="00290F11">
        <w:rPr>
          <w:b/>
          <w:szCs w:val="20"/>
        </w:rPr>
        <w:t>Il-politika ta’ żvilupp rurali hija maħsuba biex trawwem l-innovazzjoni</w:t>
      </w:r>
      <w:r w:rsidRPr="00290F11">
        <w:t xml:space="preserve"> (teknoloġika, istituzzjonali u soċjali) bħala fattur abilitanti sabiex jintlaħqu l-objettivi u l-prijoritajiet tal-iżvilupp rurali u sabiex jiġu indirizzati l-isfidi rurali. Il-miżuri/submiżuri tal-PŻR u l-benefiċjarji (eż. gruppi operazzjonali tal-EIP, GAL, bdiewa, eċċ.) jipproduċu outputs, riżultati u impatti li jikkontribwixxu sabiex jintlaħqu l-objettivi tal-PŻR, li jinfluwenzaw u jiġu influwenzati mis-sistema ta’ innovazzjoni li huma parti minnha. </w:t>
      </w:r>
    </w:p>
    <w:p w:rsidR="00A45935" w:rsidRPr="00290F11" w:rsidRDefault="00674A4B" w:rsidP="00E05D08">
      <w:pPr>
        <w:spacing w:after="120" w:line="280" w:lineRule="atLeast"/>
        <w:mirrorIndents/>
        <w:rPr>
          <w:rFonts w:eastAsia="Times New Roman" w:cs="Times New Roman"/>
          <w:szCs w:val="20"/>
        </w:rPr>
      </w:pPr>
      <w:r w:rsidRPr="00290F11">
        <w:rPr>
          <w:noProof/>
          <w:szCs w:val="20"/>
          <w:lang w:val="en-GB" w:eastAsia="en-GB"/>
        </w:rPr>
        <mc:AlternateContent>
          <mc:Choice Requires="wps">
            <w:drawing>
              <wp:anchor distT="0" distB="0" distL="114300" distR="114300" simplePos="0" relativeHeight="251751424" behindDoc="0" locked="0" layoutInCell="1" allowOverlap="1" wp14:anchorId="4A0C31BB" wp14:editId="50DCB6E3">
                <wp:simplePos x="0" y="0"/>
                <wp:positionH relativeFrom="column">
                  <wp:posOffset>-75565</wp:posOffset>
                </wp:positionH>
                <wp:positionV relativeFrom="paragraph">
                  <wp:posOffset>1184275</wp:posOffset>
                </wp:positionV>
                <wp:extent cx="5811520" cy="2319655"/>
                <wp:effectExtent l="0" t="0" r="17780" b="23495"/>
                <wp:wrapSquare wrapText="bothSides"/>
                <wp:docPr id="53" name="Rectangle: Diagonal Corners Rounded 53"/>
                <wp:cNvGraphicFramePr/>
                <a:graphic xmlns:a="http://schemas.openxmlformats.org/drawingml/2006/main">
                  <a:graphicData uri="http://schemas.microsoft.com/office/word/2010/wordprocessingShape">
                    <wps:wsp>
                      <wps:cNvSpPr/>
                      <wps:spPr>
                        <a:xfrm>
                          <a:off x="0" y="0"/>
                          <a:ext cx="5811520" cy="2319655"/>
                        </a:xfrm>
                        <a:prstGeom prst="round2DiagRect">
                          <a:avLst>
                            <a:gd name="adj1" fmla="val 7093"/>
                            <a:gd name="adj2" fmla="val 0"/>
                          </a:avLst>
                        </a:prstGeom>
                        <a:noFill/>
                        <a:ln w="25400" cap="flat" cmpd="sng" algn="ctr">
                          <a:solidFill>
                            <a:srgbClr val="BE4A35"/>
                          </a:solidFill>
                          <a:prstDash val="solid"/>
                        </a:ln>
                        <a:effectLst/>
                      </wps:spPr>
                      <wps:txbx>
                        <w:txbxContent>
                          <w:p w:rsidR="005570DA" w:rsidRPr="00270814" w:rsidRDefault="005570DA" w:rsidP="00674A4B">
                            <w:pPr>
                              <w:pStyle w:val="HBox"/>
                            </w:pPr>
                            <w:r>
                              <w:rPr>
                                <w:noProof/>
                                <w:lang w:val="en-GB" w:eastAsia="en-GB"/>
                              </w:rPr>
                              <w:drawing>
                                <wp:inline distT="0" distB="0" distL="0" distR="0" wp14:anchorId="10319056" wp14:editId="587AE1EC">
                                  <wp:extent cx="664845" cy="487680"/>
                                  <wp:effectExtent l="0" t="0" r="0" b="7620"/>
                                  <wp:docPr id="89"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Minbarra l-politika ta’ żvilupp rurali, is-</w:t>
                            </w:r>
                            <w:r>
                              <w:rPr>
                                <w:b/>
                                <w:color w:val="BE4A35"/>
                              </w:rPr>
                              <w:t>sistema ta’ innovazzjoni tista’ tiġi affettwata minn ħafna fatturi oħrajn</w:t>
                            </w:r>
                            <w:r>
                              <w:t xml:space="preserve"> preżenti f’żoni rurali, bħalma huma r-riċerka, l-edukazzjoni, il-politiki fiskali u programmi oħrajn iffinanzjati minn Fondi tal-UE (Orizzont 2020, Programmi operazzjonali ffinanzjati minn Fondi SIE) li jappoġġjaw azzjonijiet u proċessi innovattivi. Id-domanda tas-suq għall-innovazzjonijiet jista’ jkollha wkoll irwol determinanti.</w:t>
                            </w:r>
                          </w:p>
                          <w:p w:rsidR="005570DA" w:rsidRPr="00D74B10" w:rsidRDefault="005570DA" w:rsidP="00674A4B">
                            <w:pPr>
                              <w:pStyle w:val="HBox"/>
                            </w:pPr>
                            <w:r>
                              <w:t>Sabiex innovazzjoni ssir mainstream, ma tiddependix biss fuq is-saħħa ta’ idea kreattiva, iżda tiddependi wkoll fuq il-possibbiltajiet tas-suq, ir-rieda tas-settur li jadottaha, il-kosteffikaċja, l-għarfien u l-perċezzjonijiet, fatturi esterni aċċidentali, eċċ. Huwa impossibbli li wieħed ibassar kif dawn il-fatturi jinteraġixxu sabiex idea ġdida tinbidel f’innovazzjoni. Għalhekk, wieħed jista’ jistabbilixxi biss wara jekk idea ġdida wasslitx għal innovazzjoni reali.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C31BB" id="Rectangle: Diagonal Corners Rounded 53" o:spid="_x0000_s1031" style="position:absolute;left:0;text-align:left;margin-left:-5.95pt;margin-top:93.25pt;width:457.6pt;height:182.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520,23196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" adj="-11796480,,5400" path="m164533,l5811520,r,l5811520,2155122v,90869,-73664,164533,-164533,164533l,2319655r,l,164533c,73664,73664,,164533,xe" filled="f" strokecolor="#be4a35" strokeweight="2pt">
                <v:stroke joinstyle="miter"/>
                <v:formulas/>
                <v:path arrowok="t" o:connecttype="custom" o:connectlocs="164533,0;5811520,0;5811520,0;5811520,2155122;5646987,2319655;0,2319655;0,2319655;0,164533;164533,0" o:connectangles="0,0,0,0,0,0,0,0,0" textboxrect="0,0,5811520,2319655"/>
                <v:textbox>
                  <w:txbxContent>
                    <w:p w:rsidR="005570DA" w:rsidRPr="00270814" w:rsidRDefault="005570DA" w:rsidP="00674A4B">
                      <w:pPr>
                        <w:pStyle w:val="HBox"/>
                      </w:pPr>
                      <w:r>
                        <w:rPr>
                          <w:noProof/>
                          <w:lang w:val="en-GB" w:eastAsia="en-GB"/>
                        </w:rPr>
                        <w:drawing>
                          <wp:inline distT="0" distB="0" distL="0" distR="0" wp14:anchorId="10319056" wp14:editId="587AE1EC">
                            <wp:extent cx="664845" cy="487680"/>
                            <wp:effectExtent l="0" t="0" r="0" b="7620"/>
                            <wp:docPr id="89"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Minbarra l-politika ta’ żvilupp rurali, is-</w:t>
                      </w:r>
                      <w:r>
                        <w:rPr>
                          <w:b/>
                          <w:color w:val="BE4A35"/>
                        </w:rPr>
                        <w:t>sistema ta’ innovazzjoni tista’ tiġi affettwata minn ħafna fatturi oħrajn</w:t>
                      </w:r>
                      <w:r>
                        <w:t xml:space="preserve"> preżenti f’żoni rurali, bħalma huma r-riċerka, l-edukazzjoni, il-politiki fiskali u programmi oħrajn iffinanzjati minn Fondi tal-UE (Orizzont 2020, Programmi operazzjonali ffinanzjati minn Fondi SIE) li jappoġġjaw azzjonijiet u proċessi innovattivi. Id-domanda tas-suq għall-innovazzjonijiet jista’ jkollha wkoll irwol determinanti.</w:t>
                      </w:r>
                    </w:p>
                    <w:p w:rsidR="005570DA" w:rsidRPr="00D74B10" w:rsidRDefault="005570DA" w:rsidP="00674A4B">
                      <w:pPr>
                        <w:pStyle w:val="HBox"/>
                      </w:pPr>
                      <w:r>
                        <w:t>Sabiex innovazzjoni ssir mainstream, ma tiddependix biss fuq is-saħħa ta’ idea kreattiva, iżda tiddependi wkoll fuq il-possibbiltajiet tas-suq, ir-rieda tas-settur li jadottaha, il-kosteffikaċja, l-għarfien u l-perċezzjonijiet, fatturi esterni aċċidentali, eċċ. Huwa impossibbli li wieħed ibassar kif dawn il-fatturi jinteraġixxu sabiex idea ġdida tinbidel f’innovazzjoni. Għalhekk, wieħed jista’ jistabbilixxi biss wara jekk idea ġdida wasslitx għal innovazzjoni reali.</w:t>
                      </w:r>
                    </w:p>
                  </w:txbxContent>
                </v:textbox>
                <w10:wrap type="square"/>
              </v:shape>
            </w:pict>
          </mc:Fallback>
        </mc:AlternateContent>
      </w:r>
      <w:r w:rsidRPr="00290F11">
        <w:rPr>
          <w:b/>
        </w:rPr>
        <w:t>Is-sistema ta’ innovazzjoni</w:t>
      </w:r>
      <w:r w:rsidRPr="00290F11">
        <w:t xml:space="preserve"> f’livell lokali, reġjonali, nazzjonali jew supra-nazzjonali tinvolvi grupp pjuttost eteroġenu ta’ atturi ta’ innovazzjoni, inklużi intraprendituri rurali (eż. bdiewa, forestiera), industriji tal-input u tat-turiżmu, proċessuri, kummerċjanti, regolaturi, riċerkaturi, servizzi konsultattivi, organizzazzjonijiet tal-gvern u tas-soċjetà ċivili. It-tagħlim sperimentali interattiv fost dawn l-atturi għandu rwol vitali fis-sistema tal-innovazzjoni billi dawn jużaw ideat ġodda (ġodda għas-sistema). Il-</w:t>
      </w:r>
      <w:r w:rsidRPr="00290F11">
        <w:lastRenderedPageBreak/>
        <w:t xml:space="preserve">fluss tat-teknoloġija u tal-informazzjoni fost l-atturi huwa fundamentali għall-proċess ta’ innovazzjoni ġewwa s-sistema ta’ innovazzjoni. </w:t>
      </w:r>
    </w:p>
    <w:p w:rsidR="00A45935" w:rsidRPr="00290F11" w:rsidRDefault="00A45935" w:rsidP="00E05D08">
      <w:pPr>
        <w:spacing w:after="120" w:line="280" w:lineRule="atLeast"/>
        <w:mirrorIndents/>
        <w:rPr>
          <w:rFonts w:eastAsia="Times New Roman" w:cs="Times New Roman"/>
          <w:szCs w:val="20"/>
        </w:rPr>
      </w:pPr>
      <w:r w:rsidRPr="00290F11">
        <w:rPr>
          <w:b/>
          <w:szCs w:val="20"/>
        </w:rPr>
        <w:t>Il-proċess ta’ innovazzjoni jinvolvi tliet perkorsi:</w:t>
      </w:r>
      <w:r w:rsidRPr="00290F11">
        <w:t xml:space="preserve"> </w:t>
      </w:r>
    </w:p>
    <w:p w:rsidR="00A45935" w:rsidRPr="00290F11" w:rsidRDefault="00A45935" w:rsidP="008C0B17">
      <w:pPr>
        <w:numPr>
          <w:ilvl w:val="0"/>
          <w:numId w:val="66"/>
        </w:numPr>
        <w:mirrorIndents/>
        <w:rPr>
          <w:szCs w:val="20"/>
        </w:rPr>
      </w:pPr>
      <w:r w:rsidRPr="00290F11">
        <w:rPr>
          <w:b/>
          <w:color w:val="F07E31"/>
          <w:szCs w:val="20"/>
        </w:rPr>
        <w:t>Perkors 1:</w:t>
      </w:r>
      <w:r w:rsidRPr="00290F11">
        <w:t xml:space="preserve"> jinvolvi l-kopertura u l-iżvilupp ta’ ideat ġodda (jiġifieri fehmiet, approċċi, prodotti, prattiki, servizzi, proċessi tal-produzzjoni / teknoloġiji ġodda, modi ġodda ta’ organizzazzjoni jew forom ġodda ta’ kooperazzjoni u tagħlim); </w:t>
      </w:r>
    </w:p>
    <w:p w:rsidR="00A45935" w:rsidRPr="00290F11" w:rsidRDefault="00A45935" w:rsidP="008C0B17">
      <w:pPr>
        <w:numPr>
          <w:ilvl w:val="0"/>
          <w:numId w:val="66"/>
        </w:numPr>
        <w:mirrorIndents/>
        <w:rPr>
          <w:szCs w:val="20"/>
        </w:rPr>
      </w:pPr>
      <w:r w:rsidRPr="00290F11">
        <w:rPr>
          <w:b/>
          <w:color w:val="F07E31"/>
          <w:szCs w:val="20"/>
        </w:rPr>
        <w:t>Perkors 2:</w:t>
      </w:r>
      <w:r w:rsidRPr="00290F11">
        <w:rPr>
          <w:b/>
          <w:szCs w:val="20"/>
        </w:rPr>
        <w:t xml:space="preserve"> </w:t>
      </w:r>
      <w:r w:rsidRPr="00290F11">
        <w:t xml:space="preserve">jikkonċerna l-kapaċità tal-individwi u tas-sistema ta’ għarfien u innovazzjoni nnifisha li jesperimentaw, jorganizzaw huma stess u jagħmlu użu minn ideat u approċċi ġodda; </w:t>
      </w:r>
    </w:p>
    <w:p w:rsidR="00A45935" w:rsidRPr="00290F11" w:rsidRDefault="00A45935" w:rsidP="008C0B17">
      <w:pPr>
        <w:numPr>
          <w:ilvl w:val="0"/>
          <w:numId w:val="66"/>
        </w:numPr>
        <w:mirrorIndents/>
        <w:rPr>
          <w:szCs w:val="20"/>
        </w:rPr>
      </w:pPr>
      <w:r w:rsidRPr="00290F11">
        <w:rPr>
          <w:b/>
          <w:color w:val="F07E31"/>
          <w:szCs w:val="20"/>
        </w:rPr>
        <w:t>Perkors 3:</w:t>
      </w:r>
      <w:r w:rsidRPr="00290F11">
        <w:t xml:space="preserve"> jirrikjedi l-abilitazzjoni tal-ambjent istituzzjonali u tal-politika għall-proċessi innovattivi emerġenti. </w:t>
      </w:r>
      <w:bookmarkStart w:id="12" w:name="_Toc476660915"/>
      <w:bookmarkStart w:id="13" w:name="_Toc476661047"/>
    </w:p>
    <w:p w:rsidR="00A45935" w:rsidRPr="00290F11" w:rsidRDefault="00A45935" w:rsidP="0095292E">
      <w:pPr>
        <w:mirrorIndents/>
        <w:rPr>
          <w:szCs w:val="20"/>
        </w:rPr>
      </w:pPr>
      <w:r w:rsidRPr="00290F11">
        <w:t>It-tliet perkorsi ma għandhomx jitqiesu bħala każijiet iżolati, iżda pjuttost bħala punti tad-dħul li jidħlu f’xulxin u interkonnessi b’mod reċiproku għall-innovazzjoni (Figura 1).</w:t>
      </w:r>
    </w:p>
    <w:p w:rsidR="00A45935" w:rsidRPr="00290F11" w:rsidRDefault="00674A4B" w:rsidP="00A7690F">
      <w:pPr>
        <w:pStyle w:val="HHeadingfigures"/>
        <w:tabs>
          <w:tab w:val="clear" w:pos="964"/>
        </w:tabs>
      </w:pPr>
      <w:bookmarkStart w:id="14" w:name="Pathways"/>
      <w:bookmarkStart w:id="15" w:name="_Toc508964961"/>
      <w:bookmarkEnd w:id="14"/>
      <w:r w:rsidRPr="00290F11">
        <w:t>Stampa ssimplifikata ta’ kif il-PŻR irawmu l-innovazzjoni</w:t>
      </w:r>
      <w:bookmarkEnd w:id="15"/>
      <w:r w:rsidRPr="00290F11">
        <w:t xml:space="preserve"> </w:t>
      </w:r>
      <w:bookmarkEnd w:id="12"/>
      <w:bookmarkEnd w:id="13"/>
    </w:p>
    <w:p w:rsidR="00A45935" w:rsidRPr="00290F11" w:rsidRDefault="00FB417B" w:rsidP="00E05D08">
      <w:pPr>
        <w:spacing w:after="0" w:line="280" w:lineRule="atLeast"/>
        <w:jc w:val="center"/>
        <w:rPr>
          <w:rFonts w:eastAsia="Times New Roman" w:cs="Arial"/>
          <w:szCs w:val="18"/>
          <w:lang w:eastAsia="de-DE"/>
        </w:rPr>
      </w:pPr>
      <w:r>
        <w:rPr>
          <w:noProof/>
          <w:lang w:val="en-GB" w:eastAsia="en-GB"/>
        </w:rPr>
        <w:drawing>
          <wp:inline distT="0" distB="0" distL="0" distR="0" wp14:anchorId="3E610825" wp14:editId="2B823993">
            <wp:extent cx="4914900" cy="294549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12417" cy="2944003"/>
                    </a:xfrm>
                    <a:prstGeom prst="rect">
                      <a:avLst/>
                    </a:prstGeom>
                  </pic:spPr>
                </pic:pic>
              </a:graphicData>
            </a:graphic>
          </wp:inline>
        </w:drawing>
      </w:r>
    </w:p>
    <w:p w:rsidR="00A45935" w:rsidRPr="00290F11" w:rsidRDefault="00A45935" w:rsidP="00E05D08">
      <w:pPr>
        <w:suppressAutoHyphens/>
        <w:spacing w:before="60" w:after="140" w:line="240" w:lineRule="auto"/>
        <w:ind w:left="1134" w:right="1134"/>
        <w:mirrorIndents/>
        <w:jc w:val="center"/>
        <w:rPr>
          <w:rFonts w:eastAsia="Times New Roman" w:cs="Times New Roman"/>
          <w:i/>
          <w:sz w:val="16"/>
          <w:szCs w:val="20"/>
        </w:rPr>
      </w:pPr>
      <w:r w:rsidRPr="00290F11">
        <w:rPr>
          <w:i/>
          <w:sz w:val="16"/>
          <w:szCs w:val="20"/>
        </w:rPr>
        <w:t>Sors: Helpdesk Ewropew ta’ Evalwazzjoni għall-Iżvilupp Rurali, 2017</w:t>
      </w:r>
    </w:p>
    <w:p w:rsidR="000E1D4B" w:rsidRPr="00290F11" w:rsidRDefault="00A45935" w:rsidP="00E05D08">
      <w:pPr>
        <w:spacing w:after="120" w:line="280" w:lineRule="atLeast"/>
        <w:mirrorIndents/>
        <w:rPr>
          <w:rFonts w:eastAsia="Times New Roman" w:cs="Times New Roman"/>
          <w:szCs w:val="20"/>
        </w:rPr>
      </w:pPr>
      <w:r w:rsidRPr="00290F11">
        <w:t xml:space="preserve">Il-miżuri/submiżuri tal-PŻR u l-kombinament tagħhom jistgħu jikkontribwixxu għal perkors wieħed, żewġ perkorsi jew it-tliet perkorsi kollha b’mod differenti, skont l-approċċ speċifiku tal-PŻR għall-appoġġ għall-innovazzjoni (ara </w:t>
      </w:r>
      <w:hyperlink w:anchor="Policy_framework" w:history="1">
        <w:r w:rsidRPr="00290F11">
          <w:rPr>
            <w:rStyle w:val="Hyperlink"/>
            <w:sz w:val="20"/>
            <w:szCs w:val="20"/>
          </w:rPr>
          <w:t>t-Taqsima 1.2.1</w:t>
        </w:r>
      </w:hyperlink>
      <w:r w:rsidRPr="00290F11">
        <w:t xml:space="preserve">). </w:t>
      </w:r>
      <w:bookmarkStart w:id="16" w:name="_Hlk501621429"/>
    </w:p>
    <w:p w:rsidR="000E1D4B" w:rsidRPr="00290F11" w:rsidRDefault="000E1D4B">
      <w:pPr>
        <w:rPr>
          <w:rFonts w:eastAsia="Times New Roman" w:cs="Times New Roman"/>
          <w:b/>
          <w:color w:val="F07E31"/>
          <w:szCs w:val="20"/>
        </w:rPr>
      </w:pPr>
      <w:r w:rsidRPr="00290F11">
        <w:br w:type="page"/>
      </w:r>
    </w:p>
    <w:p w:rsidR="00A45935" w:rsidRPr="00290F11" w:rsidRDefault="00BC211C" w:rsidP="00E05D08">
      <w:pPr>
        <w:spacing w:after="120" w:line="280" w:lineRule="atLeast"/>
        <w:mirrorIndents/>
        <w:rPr>
          <w:rFonts w:eastAsia="Times New Roman" w:cs="Times New Roman"/>
          <w:szCs w:val="20"/>
        </w:rPr>
      </w:pPr>
      <w:r w:rsidRPr="00290F11">
        <w:rPr>
          <w:rFonts w:eastAsia="Times New Roman" w:cs="Times New Roman"/>
          <w:noProof/>
          <w:szCs w:val="20"/>
          <w:lang w:val="en-GB" w:eastAsia="en-GB"/>
        </w:rPr>
        <w:lastRenderedPageBreak/>
        <mc:AlternateContent>
          <mc:Choice Requires="wps">
            <w:drawing>
              <wp:anchor distT="0" distB="0" distL="114300" distR="114300" simplePos="0" relativeHeight="251705344" behindDoc="0" locked="0" layoutInCell="1" allowOverlap="1" wp14:anchorId="3DE796D7" wp14:editId="78929928">
                <wp:simplePos x="0" y="0"/>
                <wp:positionH relativeFrom="column">
                  <wp:posOffset>-62865</wp:posOffset>
                </wp:positionH>
                <wp:positionV relativeFrom="paragraph">
                  <wp:posOffset>0</wp:posOffset>
                </wp:positionV>
                <wp:extent cx="2832735" cy="4274820"/>
                <wp:effectExtent l="0" t="0" r="24765" b="11430"/>
                <wp:wrapSquare wrapText="bothSides"/>
                <wp:docPr id="55" name="Rectangle: Diagonal Corners Rounded 55"/>
                <wp:cNvGraphicFramePr/>
                <a:graphic xmlns:a="http://schemas.openxmlformats.org/drawingml/2006/main">
                  <a:graphicData uri="http://schemas.microsoft.com/office/word/2010/wordprocessingShape">
                    <wps:wsp>
                      <wps:cNvSpPr/>
                      <wps:spPr>
                        <a:xfrm>
                          <a:off x="0" y="0"/>
                          <a:ext cx="2832735" cy="4274820"/>
                        </a:xfrm>
                        <a:prstGeom prst="round2DiagRect">
                          <a:avLst>
                            <a:gd name="adj1" fmla="val 6641"/>
                            <a:gd name="adj2" fmla="val 0"/>
                          </a:avLst>
                        </a:prstGeom>
                        <a:noFill/>
                        <a:ln w="25400" cap="flat" cmpd="sng" algn="ctr">
                          <a:solidFill>
                            <a:srgbClr val="F07E31"/>
                          </a:solidFill>
                          <a:prstDash val="solid"/>
                        </a:ln>
                        <a:effectLst/>
                      </wps:spPr>
                      <wps:txbx>
                        <w:txbxContent>
                          <w:p w:rsidR="005570DA" w:rsidRPr="00E05D08" w:rsidRDefault="005570DA" w:rsidP="00E05D08">
                            <w:pPr>
                              <w:pStyle w:val="Normal12PTcouleurgris"/>
                              <w:rPr>
                                <w:b/>
                                <w:color w:val="F07E31"/>
                              </w:rPr>
                            </w:pPr>
                            <w:r>
                              <w:rPr>
                                <w:noProof/>
                                <w:lang w:val="en-GB" w:eastAsia="en-GB"/>
                              </w:rPr>
                              <w:drawing>
                                <wp:inline distT="0" distB="0" distL="0" distR="0" wp14:anchorId="66FD5688" wp14:editId="1FED7ECB">
                                  <wp:extent cx="353060" cy="359410"/>
                                  <wp:effectExtent l="0" t="0" r="8890" b="2540"/>
                                  <wp:docPr id="9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Eżempji ta’ appoġġ possibbli mill-PŻR għall-Perkors 1</w:t>
                            </w:r>
                          </w:p>
                          <w:p w:rsidR="005570DA" w:rsidRPr="00230C31" w:rsidRDefault="005570DA" w:rsidP="00230C31">
                            <w:pPr>
                              <w:pStyle w:val="Hlistbullet"/>
                              <w:rPr>
                                <w:sz w:val="18"/>
                                <w:szCs w:val="18"/>
                              </w:rPr>
                            </w:pPr>
                            <w:r>
                              <w:rPr>
                                <w:sz w:val="18"/>
                                <w:szCs w:val="18"/>
                              </w:rPr>
                              <w:t xml:space="preserve">L-iżvilupp, l-ittestjar u l-promozzjoni ta’ magna li tikkontrolla b’mod mekkaniku l-infestazzjonijiet ta’ ħaxix ħażin fuq art agrikola (eż. operazzjonijiet imwettqa skont l-Art. 17 u 35 tar-Regolament (UE) Nru. 1305/2013); </w:t>
                            </w:r>
                          </w:p>
                          <w:p w:rsidR="005570DA" w:rsidRPr="00230C31" w:rsidRDefault="005570DA" w:rsidP="00230C31">
                            <w:pPr>
                              <w:pStyle w:val="Hlistbullet"/>
                              <w:rPr>
                                <w:sz w:val="18"/>
                                <w:szCs w:val="18"/>
                              </w:rPr>
                            </w:pPr>
                            <w:r>
                              <w:rPr>
                                <w:sz w:val="18"/>
                                <w:szCs w:val="18"/>
                              </w:rPr>
                              <w:t xml:space="preserve">L-ittestjar u l-forniment ta’ tipi ġodda ta’ servizzi f’żoni rurali (eż. operazzjonijiet imwettqa skont l-Art. 20 u 35 tar-Regolament (UE) Nru. 1305/2013); </w:t>
                            </w:r>
                          </w:p>
                          <w:p w:rsidR="005570DA" w:rsidRPr="00230C31" w:rsidRDefault="005570DA" w:rsidP="00230C31">
                            <w:pPr>
                              <w:pStyle w:val="Hlistbullet"/>
                              <w:rPr>
                                <w:sz w:val="18"/>
                                <w:szCs w:val="18"/>
                              </w:rPr>
                            </w:pPr>
                            <w:r>
                              <w:rPr>
                                <w:sz w:val="18"/>
                                <w:szCs w:val="18"/>
                              </w:rPr>
                              <w:t>L-introduzzjoni ta’ mod ġdid ta' kif jiġu organizzati l-laqgħat, il-konferenzi u t-taħriġ (eż. l-użu ta’ tekniki ta’ faċilitazzjoni ġodda, konferenzi madwar mejda) (eż. operazzjonijiet imwettqa skont l-Art. 14 tar-Regolament (UE) Nru.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E796D7" id="Rectangle: Diagonal Corners Rounded 55" o:spid="_x0000_s1032" style="position:absolute;left:0;text-align:left;margin-left:-4.95pt;margin-top:0;width:223.05pt;height:336.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4274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" adj="-11796480,,5400" path="m188122,l2832735,r,l2832735,4086698v,103897,-84225,188122,-188122,188122l,4274820r,l,188122c,84225,84225,,188122,xe" filled="f" strokecolor="#f07e31" strokeweight="2pt">
                <v:stroke joinstyle="miter"/>
                <v:formulas/>
                <v:path arrowok="t" o:connecttype="custom" o:connectlocs="188122,0;2832735,0;2832735,0;2832735,4086698;2644613,4274820;0,4274820;0,4274820;0,188122;188122,0" o:connectangles="0,0,0,0,0,0,0,0,0" textboxrect="0,0,2832735,4274820"/>
                <v:textbox>
                  <w:txbxContent>
                    <w:p w:rsidR="005570DA" w:rsidRPr="00E05D08" w:rsidRDefault="005570DA" w:rsidP="00E05D08">
                      <w:pPr>
                        <w:pStyle w:val="Normal12PTcouleurgris"/>
                        <w:rPr>
                          <w:b/>
                          <w:color w:val="F07E31"/>
                        </w:rPr>
                      </w:pPr>
                      <w:r>
                        <w:rPr>
                          <w:noProof/>
                          <w:lang w:val="en-GB" w:eastAsia="en-GB"/>
                        </w:rPr>
                        <w:drawing>
                          <wp:inline distT="0" distB="0" distL="0" distR="0" wp14:anchorId="66FD5688" wp14:editId="1FED7ECB">
                            <wp:extent cx="353060" cy="359410"/>
                            <wp:effectExtent l="0" t="0" r="8890" b="2540"/>
                            <wp:docPr id="9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Eżempji ta’ appoġġ possibbli mill-PŻR għall-Perkors 1</w:t>
                      </w:r>
                    </w:p>
                    <w:p w:rsidR="005570DA" w:rsidRPr="00230C31" w:rsidRDefault="005570DA" w:rsidP="00230C31">
                      <w:pPr>
                        <w:pStyle w:val="Hlistbullet"/>
                        <w:rPr>
                          <w:sz w:val="18"/>
                          <w:szCs w:val="18"/>
                        </w:rPr>
                      </w:pPr>
                      <w:r>
                        <w:rPr>
                          <w:sz w:val="18"/>
                          <w:szCs w:val="18"/>
                        </w:rPr>
                        <w:t xml:space="preserve">L-iżvilupp, l-ittestjar u l-promozzjoni ta’ magna li tikkontrolla b’mod mekkaniku l-infestazzjonijiet ta’ ħaxix ħażin fuq art agrikola (eż. operazzjonijiet imwettqa skont l-Art. 17 u 35 tar-Regolament (UE) Nru. 1305/2013); </w:t>
                      </w:r>
                    </w:p>
                    <w:p w:rsidR="005570DA" w:rsidRPr="00230C31" w:rsidRDefault="005570DA" w:rsidP="00230C31">
                      <w:pPr>
                        <w:pStyle w:val="Hlistbullet"/>
                        <w:rPr>
                          <w:sz w:val="18"/>
                          <w:szCs w:val="18"/>
                        </w:rPr>
                      </w:pPr>
                      <w:r>
                        <w:rPr>
                          <w:sz w:val="18"/>
                          <w:szCs w:val="18"/>
                        </w:rPr>
                        <w:t xml:space="preserve">L-ittestjar u l-forniment ta’ tipi ġodda ta’ servizzi f’żoni rurali (eż. operazzjonijiet imwettqa skont l-Art. 20 u 35 tar-Regolament (UE) Nru. 1305/2013); </w:t>
                      </w:r>
                    </w:p>
                    <w:p w:rsidR="005570DA" w:rsidRPr="00230C31" w:rsidRDefault="005570DA" w:rsidP="00230C31">
                      <w:pPr>
                        <w:pStyle w:val="Hlistbullet"/>
                        <w:rPr>
                          <w:sz w:val="18"/>
                          <w:szCs w:val="18"/>
                        </w:rPr>
                      </w:pPr>
                      <w:r>
                        <w:rPr>
                          <w:sz w:val="18"/>
                          <w:szCs w:val="18"/>
                        </w:rPr>
                        <w:t>L-introduzzjoni ta’ mod ġdid ta' kif jiġu organizzati l-laqgħat, il-konferenzi u t-taħriġ (eż. l-użu ta’ tekniki ta’ faċilitazzjoni ġodda, konferenzi madwar mejda) (eż. operazzjonijiet imwettqa skont l-Art. 14 tar-Regolament (UE) Nru. 1305/2013).</w:t>
                      </w:r>
                    </w:p>
                  </w:txbxContent>
                </v:textbox>
                <w10:wrap type="square"/>
              </v:shape>
            </w:pict>
          </mc:Fallback>
        </mc:AlternateContent>
      </w:r>
      <w:r w:rsidRPr="00290F11">
        <w:rPr>
          <w:color w:val="F07E31"/>
        </w:rPr>
        <w:t>L-</w:t>
      </w:r>
      <w:r w:rsidRPr="00290F11">
        <w:rPr>
          <w:b/>
          <w:color w:val="F07E31"/>
          <w:szCs w:val="20"/>
        </w:rPr>
        <w:t>ewwel perkors</w:t>
      </w:r>
      <w:r w:rsidRPr="00290F11">
        <w:t xml:space="preserve"> jista’ jiġi deskritt bħala l-kapaċità li jiġu identifikati u jitrawmu ideat promettenti li jistgħu jwasslu għal innovazzjoni ta’ kwalunkwe tip (teknoloġika, mhux teknoloġika, soċjali, organizzazzjonali, eċċ.). Tali idea ġdida tieħu l-amplitudni biex issir innovazzjoni reali, li idealment tirrispondi għal ħtieġa speċifika jew tipprovdi opportunità li tista’ tiġi applikata minn ħafna. Iż-żewġ modi ewlenin għat-trawwim tal-ideat sabiex jinbnew proċessi ta’ innovazzjoni huma: (1) approċċ individwali (il-kopertura u t-trawwim ta’ raġel/mara b’idea); (2) permezz ta’ partijiet ikkonċernati differenti li jaħdmu fi gruppi sabiex jiskopru ideat ġodda li jridu jitrawmu (permezz tat-tlaqqigħ flimkien tal-aħjar imsieħba sabiex jifformaw grupp, li jikkombina l-kompetenzi komplementarji meħtieġa sabiex jinbena proġett ta’ innovazzjoni). </w:t>
      </w:r>
    </w:p>
    <w:bookmarkEnd w:id="16"/>
    <w:p w:rsidR="000E1D4B" w:rsidRPr="00290F11" w:rsidRDefault="00A45935" w:rsidP="00E05D08">
      <w:pPr>
        <w:spacing w:after="120" w:line="280" w:lineRule="atLeast"/>
        <w:mirrorIndents/>
        <w:rPr>
          <w:rFonts w:eastAsia="Times New Roman" w:cs="Times New Roman"/>
          <w:szCs w:val="20"/>
        </w:rPr>
      </w:pPr>
      <w:r w:rsidRPr="00290F11">
        <w:t xml:space="preserve">Sabiex ikunu innovattivi, l-ideat, jew għall-inqas xi aspetti tagħhom, għandhom ikunu ġodda għall-ambjent jew għall-post inkwistjoni, u joffru xi wegħda plawsibbli li se jkunu utli (jiġifieri jgħinu lil waħda jew aktar mill-partijiet ikkonċernati jagħmlu xi ħaġa differenti, aħjar jew orħos, jirrispondu għal ħtieġa jew jiżviluppaw opportunità). </w:t>
      </w:r>
    </w:p>
    <w:p w:rsidR="000E1D4B" w:rsidRPr="00290F11" w:rsidRDefault="000E1D4B">
      <w:pPr>
        <w:rPr>
          <w:rFonts w:eastAsia="Times New Roman" w:cs="Times New Roman"/>
          <w:szCs w:val="20"/>
        </w:rPr>
      </w:pPr>
      <w:r w:rsidRPr="00290F11">
        <w:br w:type="page"/>
      </w:r>
    </w:p>
    <w:p w:rsidR="00A45935" w:rsidRPr="00290F11" w:rsidRDefault="00290F11" w:rsidP="00E05D08">
      <w:pPr>
        <w:spacing w:after="120" w:line="280" w:lineRule="atLeast"/>
        <w:mirrorIndents/>
        <w:rPr>
          <w:rFonts w:eastAsia="Times New Roman" w:cs="Times New Roman"/>
          <w:szCs w:val="20"/>
        </w:rPr>
      </w:pPr>
      <w:r w:rsidRPr="00290F11">
        <w:rPr>
          <w:rFonts w:eastAsia="Times New Roman" w:cs="Times New Roman"/>
          <w:noProof/>
          <w:szCs w:val="20"/>
          <w:lang w:val="en-GB" w:eastAsia="en-GB"/>
        </w:rPr>
        <w:lastRenderedPageBreak/>
        <mc:AlternateContent>
          <mc:Choice Requires="wps">
            <w:drawing>
              <wp:anchor distT="0" distB="0" distL="114300" distR="114300" simplePos="0" relativeHeight="251730944" behindDoc="0" locked="0" layoutInCell="1" allowOverlap="1" wp14:anchorId="2B0A98AE" wp14:editId="50901C82">
                <wp:simplePos x="0" y="0"/>
                <wp:positionH relativeFrom="column">
                  <wp:posOffset>-218364</wp:posOffset>
                </wp:positionH>
                <wp:positionV relativeFrom="paragraph">
                  <wp:posOffset>2361063</wp:posOffset>
                </wp:positionV>
                <wp:extent cx="6089650" cy="3364173"/>
                <wp:effectExtent l="0" t="0" r="25400" b="27305"/>
                <wp:wrapNone/>
                <wp:docPr id="57" name="Rectangle: Diagonal Corners Rounded 57"/>
                <wp:cNvGraphicFramePr/>
                <a:graphic xmlns:a="http://schemas.openxmlformats.org/drawingml/2006/main">
                  <a:graphicData uri="http://schemas.microsoft.com/office/word/2010/wordprocessingShape">
                    <wps:wsp>
                      <wps:cNvSpPr/>
                      <wps:spPr>
                        <a:xfrm>
                          <a:off x="0" y="0"/>
                          <a:ext cx="6089650" cy="3364173"/>
                        </a:xfrm>
                        <a:prstGeom prst="round2DiagRect">
                          <a:avLst>
                            <a:gd name="adj1" fmla="val 6633"/>
                            <a:gd name="adj2" fmla="val 0"/>
                          </a:avLst>
                        </a:prstGeom>
                        <a:noFill/>
                        <a:ln w="25400" cap="flat" cmpd="sng" algn="ctr">
                          <a:solidFill>
                            <a:srgbClr val="F07E31"/>
                          </a:solidFill>
                          <a:prstDash val="solid"/>
                        </a:ln>
                        <a:effectLst/>
                      </wps:spPr>
                      <wps:txbx>
                        <w:txbxContent>
                          <w:p w:rsidR="005570DA" w:rsidRPr="002F0ABF" w:rsidRDefault="005570DA" w:rsidP="00E05D08">
                            <w:pPr>
                              <w:pStyle w:val="Normal12PTcouleurgris"/>
                              <w:rPr>
                                <w:b/>
                                <w:color w:val="F07E31"/>
                                <w:sz w:val="16"/>
                                <w:szCs w:val="16"/>
                              </w:rPr>
                            </w:pPr>
                            <w:r>
                              <w:rPr>
                                <w:noProof/>
                                <w:lang w:val="en-GB" w:eastAsia="en-GB"/>
                              </w:rPr>
                              <w:drawing>
                                <wp:inline distT="0" distB="0" distL="0" distR="0" wp14:anchorId="7BD8DCFD" wp14:editId="49A2CBC6">
                                  <wp:extent cx="353060" cy="359410"/>
                                  <wp:effectExtent l="0" t="0" r="8890" b="2540"/>
                                  <wp:docPr id="9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6"/>
                                <w:szCs w:val="16"/>
                              </w:rPr>
                              <w:t>Eżempji ta’ appoġġ possibbli mill-PŻR għall-Perkors 2</w:t>
                            </w:r>
                          </w:p>
                          <w:p w:rsidR="005570DA" w:rsidRPr="00A1327D" w:rsidRDefault="005570DA" w:rsidP="00E05D08">
                            <w:pPr>
                              <w:pStyle w:val="Normal12PTcouleurgris"/>
                              <w:rPr>
                                <w:sz w:val="14"/>
                                <w:szCs w:val="14"/>
                              </w:rPr>
                            </w:pPr>
                            <w:r w:rsidRPr="00A1327D">
                              <w:rPr>
                                <w:sz w:val="14"/>
                                <w:szCs w:val="14"/>
                              </w:rPr>
                              <w:t>Il-ħiliet u l-kwalitajiet ewlenin li ġejjin tal-atturi tal-innovazzjoni</w:t>
                            </w:r>
                            <w:r w:rsidRPr="00A1327D">
                              <w:rPr>
                                <w:sz w:val="14"/>
                                <w:szCs w:val="14"/>
                                <w:vertAlign w:val="superscript"/>
                              </w:rPr>
                              <w:t>9</w:t>
                            </w:r>
                            <w:r w:rsidRPr="00A1327D">
                              <w:rPr>
                                <w:sz w:val="14"/>
                                <w:szCs w:val="14"/>
                              </w:rPr>
                              <w:t xml:space="preserve"> jistgħu jiġu appoġġati mill-PŻR u jinfluwenzaw l-operazzjonijiet tal-“kapaċità għall-innovazzjoni”: </w:t>
                            </w:r>
                          </w:p>
                          <w:p w:rsidR="005570DA" w:rsidRPr="00A1327D" w:rsidRDefault="005570DA" w:rsidP="00E05D08">
                            <w:pPr>
                              <w:pStyle w:val="Hlistbullet"/>
                              <w:rPr>
                                <w:sz w:val="14"/>
                                <w:szCs w:val="14"/>
                              </w:rPr>
                            </w:pPr>
                            <w:r w:rsidRPr="00A1327D">
                              <w:rPr>
                                <w:sz w:val="14"/>
                                <w:szCs w:val="14"/>
                              </w:rPr>
                              <w:t>Għarfien u ħiliet tekniċi u speċifiċi għall-qasam meħtieġa sabiex l-ideat ġodda jaħdmu fil-prattika, inkluża l-kapaċità li jiġu identifikati l-għażliet u ssir għażla bejniethom (eż. operazzjonijiet imwettqa skont l-Art. 14, 15 u 35 tar-Regolament (UE) Nru. 1305/2013);</w:t>
                            </w:r>
                          </w:p>
                          <w:p w:rsidR="005570DA" w:rsidRPr="00A1327D" w:rsidRDefault="005570DA" w:rsidP="00E05D08">
                            <w:pPr>
                              <w:pStyle w:val="Hlistbullet"/>
                              <w:rPr>
                                <w:sz w:val="14"/>
                                <w:szCs w:val="14"/>
                              </w:rPr>
                            </w:pPr>
                            <w:r w:rsidRPr="00A1327D">
                              <w:rPr>
                                <w:sz w:val="14"/>
                                <w:szCs w:val="14"/>
                              </w:rPr>
                              <w:t>Ħiliet organizzattivi u mhux vinkolanti meħtieġa għall-iffaċilitar u s-senserija</w:t>
                            </w:r>
                            <w:r w:rsidRPr="00A1327D">
                              <w:rPr>
                                <w:sz w:val="14"/>
                                <w:szCs w:val="14"/>
                                <w:vertAlign w:val="superscript"/>
                              </w:rPr>
                              <w:t>10</w:t>
                            </w:r>
                            <w:r w:rsidRPr="00A1327D">
                              <w:rPr>
                                <w:sz w:val="14"/>
                                <w:szCs w:val="14"/>
                              </w:rPr>
                              <w:t xml:space="preserve"> tal-proċessi ta’ innovazzjoni, inkluża l-kapaċità li jinbnew rabtiet u netwerks bejn il-partijiet ikkonċernati, il-kapaċità li jgħaddu minn ċikli iterattivi ta’ viżwalizzazzjoni, ippjanar u tagħlim riflettiv, u l-kapaċità li jiġu identifikati d-dinamiċi u l-isfidi ewlenin tas-sistema (eż operazzjonijiet imwettqa skont l-Art. 35 tar-Regolament (UE) Nru. 1305/2013);</w:t>
                            </w:r>
                          </w:p>
                          <w:p w:rsidR="005570DA" w:rsidRPr="00A1327D" w:rsidRDefault="005570DA" w:rsidP="00E05D08">
                            <w:pPr>
                              <w:pStyle w:val="Hlistbullet"/>
                              <w:rPr>
                                <w:sz w:val="14"/>
                                <w:szCs w:val="14"/>
                              </w:rPr>
                            </w:pPr>
                            <w:r w:rsidRPr="00A1327D">
                              <w:rPr>
                                <w:sz w:val="14"/>
                                <w:szCs w:val="14"/>
                              </w:rPr>
                              <w:t>Kapaċità mtejba għal azzjoni kollettiva effettiva</w:t>
                            </w:r>
                            <w:r w:rsidRPr="00A1327D">
                              <w:rPr>
                                <w:sz w:val="14"/>
                                <w:szCs w:val="14"/>
                                <w:vertAlign w:val="superscript"/>
                              </w:rPr>
                              <w:t>11</w:t>
                            </w:r>
                            <w:r w:rsidRPr="00A1327D">
                              <w:rPr>
                                <w:sz w:val="14"/>
                                <w:szCs w:val="14"/>
                              </w:rPr>
                              <w:t xml:space="preserve"> (eż. sabiex l-attivitajiet ta’ dimostrazzjoni u informazzjoni jiġu organizzati b’mod kollaborattiv bil-għan li jiġu ttrasferiti esperjenzi u għarfien bejn l-atturi, jew għal kooperazzjoni fost l-atturi tal-katina tal-provvista għall-forniment ta’ bijomassa għall-produzzjoni tal-ikel u l-enerġija, eċċ.) operazzjonijiet imwettqa skont l-Art. 14, 15 u 35 tar-Regolament (UE) Nru. 1305/2013;</w:t>
                            </w:r>
                          </w:p>
                          <w:p w:rsidR="005570DA" w:rsidRPr="00A1327D" w:rsidRDefault="005570DA" w:rsidP="00E05D08">
                            <w:pPr>
                              <w:pStyle w:val="Hlistbullet"/>
                              <w:rPr>
                                <w:sz w:val="14"/>
                                <w:szCs w:val="14"/>
                              </w:rPr>
                            </w:pPr>
                            <w:r w:rsidRPr="00A1327D">
                              <w:rPr>
                                <w:sz w:val="14"/>
                                <w:szCs w:val="14"/>
                              </w:rPr>
                              <w:t>L-interventi tal-PŻR jistgħu jibnu l-kapaċità għall-innovazzjoni billi jipprovdu opportunitajiet ta’ trasferiment tal-għarfien (eż. servizzi, taħriġ u mentoring) operazzjonijiet imwettqa skont l-Art. 15 tar-Regolament (UE) Nru. 1305/2013.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A98AE" id="Rectangle: Diagonal Corners Rounded 57" o:spid="_x0000_s1033" style="position:absolute;left:0;text-align:left;margin-left:-17.2pt;margin-top:185.9pt;width:479.5pt;height:264.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89650,33641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" adj="-11796480,,5400" path="m223146,l6089650,r,l6089650,3141027v,123240,-99906,223146,-223146,223146l,3364173r,l,223146c,99906,99906,,223146,xe" filled="f" strokecolor="#f07e31" strokeweight="2pt">
                <v:stroke joinstyle="miter"/>
                <v:formulas/>
                <v:path arrowok="t" o:connecttype="custom" o:connectlocs="223146,0;6089650,0;6089650,0;6089650,3141027;5866504,3364173;0,3364173;0,3364173;0,223146;223146,0" o:connectangles="0,0,0,0,0,0,0,0,0" textboxrect="0,0,6089650,3364173"/>
                <v:textbox inset=",0,,0">
                  <w:txbxContent>
                    <w:p w:rsidR="005570DA" w:rsidRPr="002F0ABF" w:rsidRDefault="005570DA" w:rsidP="00E05D08">
                      <w:pPr>
                        <w:pStyle w:val="Normal12PTcouleurgris"/>
                        <w:rPr>
                          <w:b/>
                          <w:color w:val="F07E31"/>
                          <w:sz w:val="16"/>
                          <w:szCs w:val="16"/>
                        </w:rPr>
                      </w:pPr>
                      <w:r>
                        <w:rPr>
                          <w:noProof/>
                          <w:lang w:val="en-GB" w:eastAsia="en-GB"/>
                        </w:rPr>
                        <w:drawing>
                          <wp:inline distT="0" distB="0" distL="0" distR="0" wp14:anchorId="7BD8DCFD" wp14:editId="49A2CBC6">
                            <wp:extent cx="353060" cy="359410"/>
                            <wp:effectExtent l="0" t="0" r="8890" b="2540"/>
                            <wp:docPr id="9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6"/>
                          <w:szCs w:val="16"/>
                        </w:rPr>
                        <w:t>Eżempji ta’ appoġġ possibbli mill-PŻR għall-Perkors 2</w:t>
                      </w:r>
                    </w:p>
                    <w:p w:rsidR="005570DA" w:rsidRPr="00A1327D" w:rsidRDefault="005570DA" w:rsidP="00E05D08">
                      <w:pPr>
                        <w:pStyle w:val="Normal12PTcouleurgris"/>
                        <w:rPr>
                          <w:sz w:val="14"/>
                          <w:szCs w:val="14"/>
                        </w:rPr>
                      </w:pPr>
                      <w:r w:rsidRPr="00A1327D">
                        <w:rPr>
                          <w:sz w:val="14"/>
                          <w:szCs w:val="14"/>
                        </w:rPr>
                        <w:t>Il-ħiliet u l-kwalitajiet ewlenin li ġejjin tal-atturi tal-innovazzjoni</w:t>
                      </w:r>
                      <w:r w:rsidRPr="00A1327D">
                        <w:rPr>
                          <w:sz w:val="14"/>
                          <w:szCs w:val="14"/>
                          <w:vertAlign w:val="superscript"/>
                        </w:rPr>
                        <w:t>9</w:t>
                      </w:r>
                      <w:r w:rsidRPr="00A1327D">
                        <w:rPr>
                          <w:sz w:val="14"/>
                          <w:szCs w:val="14"/>
                        </w:rPr>
                        <w:t xml:space="preserve"> jistgħu jiġu appoġġati mill-PŻR u jinfluwenzaw l-operazzjonijiet tal-“kapaċità għall-innovazzjoni”: </w:t>
                      </w:r>
                    </w:p>
                    <w:p w:rsidR="005570DA" w:rsidRPr="00A1327D" w:rsidRDefault="005570DA" w:rsidP="00E05D08">
                      <w:pPr>
                        <w:pStyle w:val="Hlistbullet"/>
                        <w:rPr>
                          <w:sz w:val="14"/>
                          <w:szCs w:val="14"/>
                        </w:rPr>
                      </w:pPr>
                      <w:r w:rsidRPr="00A1327D">
                        <w:rPr>
                          <w:sz w:val="14"/>
                          <w:szCs w:val="14"/>
                        </w:rPr>
                        <w:t>Għarfien u ħiliet tekniċi u speċifiċi għall-qasam meħtieġa sabiex l-ideat ġodda jaħdmu fil-prattika, inkluża l-kapaċità li jiġu identifikati l-għażliet u ssir għażla bejniethom (eż. operazzjonijiet imwettqa skont l-Art. 14, 15 u 35 tar-Regolament (UE) Nru. 1305/2013);</w:t>
                      </w:r>
                    </w:p>
                    <w:p w:rsidR="005570DA" w:rsidRPr="00A1327D" w:rsidRDefault="005570DA" w:rsidP="00E05D08">
                      <w:pPr>
                        <w:pStyle w:val="Hlistbullet"/>
                        <w:rPr>
                          <w:sz w:val="14"/>
                          <w:szCs w:val="14"/>
                        </w:rPr>
                      </w:pPr>
                      <w:r w:rsidRPr="00A1327D">
                        <w:rPr>
                          <w:sz w:val="14"/>
                          <w:szCs w:val="14"/>
                        </w:rPr>
                        <w:t>Ħiliet organizzattivi u mhux vinkolanti meħtieġa għall-iffaċilitar u s-senserija</w:t>
                      </w:r>
                      <w:r w:rsidRPr="00A1327D">
                        <w:rPr>
                          <w:sz w:val="14"/>
                          <w:szCs w:val="14"/>
                          <w:vertAlign w:val="superscript"/>
                        </w:rPr>
                        <w:t>10</w:t>
                      </w:r>
                      <w:r w:rsidRPr="00A1327D">
                        <w:rPr>
                          <w:sz w:val="14"/>
                          <w:szCs w:val="14"/>
                        </w:rPr>
                        <w:t xml:space="preserve"> tal-proċessi ta’ innovazzjoni, inkluża l-kapaċità li jinbnew rabtiet u netwerks bejn il-partijiet ikkonċernati, il-kapaċità li jgħaddu minn ċikli iterattivi ta’ viżwalizzazzjoni, ippjanar u tagħlim riflettiv, u l-kapaċità li jiġu identifikati d-dinamiċi u l-isfidi ewlenin tas-sistema (eż operazzjonijiet imwettqa skont l-Art. 35 tar-Regolament (UE) Nru. 1305/2013);</w:t>
                      </w:r>
                    </w:p>
                    <w:p w:rsidR="005570DA" w:rsidRPr="00A1327D" w:rsidRDefault="005570DA" w:rsidP="00E05D08">
                      <w:pPr>
                        <w:pStyle w:val="Hlistbullet"/>
                        <w:rPr>
                          <w:sz w:val="14"/>
                          <w:szCs w:val="14"/>
                        </w:rPr>
                      </w:pPr>
                      <w:r w:rsidRPr="00A1327D">
                        <w:rPr>
                          <w:sz w:val="14"/>
                          <w:szCs w:val="14"/>
                        </w:rPr>
                        <w:t>Kapaċità mtejba għal azzjoni kollettiva effettiva</w:t>
                      </w:r>
                      <w:r w:rsidRPr="00A1327D">
                        <w:rPr>
                          <w:sz w:val="14"/>
                          <w:szCs w:val="14"/>
                          <w:vertAlign w:val="superscript"/>
                        </w:rPr>
                        <w:t>11</w:t>
                      </w:r>
                      <w:r w:rsidRPr="00A1327D">
                        <w:rPr>
                          <w:sz w:val="14"/>
                          <w:szCs w:val="14"/>
                        </w:rPr>
                        <w:t xml:space="preserve"> (eż. sabiex l-attivitajiet ta’ dimostrazzjoni u informazzjoni jiġu organizzati b’mod kollaborattiv bil-għan li jiġu ttrasferiti esperjenzi u għarfien bejn l-atturi, jew għal kooperazzjoni fost l-atturi tal-katina tal-provvista għall-forniment ta’ bijomassa għall-produzzjoni tal-ikel u l-enerġija, eċċ.) operazzjonijiet imwettqa skont l-Art. 14, 15 u 35 tar-Regolament (UE) Nru. 1305/2013;</w:t>
                      </w:r>
                    </w:p>
                    <w:p w:rsidR="005570DA" w:rsidRPr="00A1327D" w:rsidRDefault="005570DA" w:rsidP="00E05D08">
                      <w:pPr>
                        <w:pStyle w:val="Hlistbullet"/>
                        <w:rPr>
                          <w:sz w:val="14"/>
                          <w:szCs w:val="14"/>
                        </w:rPr>
                      </w:pPr>
                      <w:r w:rsidRPr="00A1327D">
                        <w:rPr>
                          <w:sz w:val="14"/>
                          <w:szCs w:val="14"/>
                        </w:rPr>
                        <w:t>L-interventi tal-PŻR jistgħu jibnu l-kapaċità għall-innovazzjoni billi jipprovdu opportunitajiet ta’ trasferiment tal-għarfien (eż. servizzi, taħriġ u mentoring) operazzjonijiet imwettqa skont l-Art. 15 tar-Regolament (UE) Nru. 1305/2013.</w:t>
                      </w:r>
                    </w:p>
                  </w:txbxContent>
                </v:textbox>
              </v:shape>
            </w:pict>
          </mc:Fallback>
        </mc:AlternateContent>
      </w:r>
      <w:r w:rsidR="00A45935" w:rsidRPr="00290F11">
        <w:rPr>
          <w:b/>
          <w:color w:val="F07E31"/>
          <w:szCs w:val="20"/>
        </w:rPr>
        <w:t>It-tieni perkors</w:t>
      </w:r>
      <w:r w:rsidR="00A45935" w:rsidRPr="00290F11">
        <w:t xml:space="preserve"> huwa dwar il-bini tal-kapaċità għall-innovazzjoni. F’xi ċirkostanzi, il-perkors ikun riżultat tat-twettiq tal-ewwel perkors. Il-PŻR jista’ jiffaċilita l-proċess ta’ identifikazzjoni tal-isfidi u l-opportunitajiet ta’ żvilupp sabiex jitlaqqgħu flimkien l-atturi tal-innovazzjoni interessati u rilevanti (eż. permezz ta’ gruppi operazzjonali tal-EIP</w:t>
      </w:r>
      <w:r w:rsidR="00A45935" w:rsidRPr="00290F11">
        <w:rPr>
          <w:rFonts w:eastAsia="Times New Roman" w:cs="Times New Roman"/>
          <w:szCs w:val="20"/>
          <w:vertAlign w:val="superscript"/>
          <w:lang w:eastAsia="de-DE"/>
        </w:rPr>
        <w:footnoteReference w:id="5"/>
      </w:r>
      <w:r w:rsidR="00A45935" w:rsidRPr="00290F11">
        <w:t xml:space="preserve"> li jittestjaw prattiki innovattivi permezz ta’ kooperazzjoni bejn l-atturi rilevanti b’għarfien komplementari ((eż. bdiewa, negozji, servizzi ta’ konsulenza, riċerkaturi u oħrajn)) sabiex jintlaħqu l-objettivi ta’ proġett innovattiv). Dan jgħin sabiex jitnaqqas id-distakk bejn ix-xjenza u l-prattika billi jinbnew il-ħiliet u l-għarfien meħtieġa. Is-sinerġiji maħluqa permezz ta’ proġetti b’diversi atturi ffinanzjati taħt il-politika ta’ riċerka u innovazzjoni tal-UE fi ħdan Orizzont 2020 jistgħu jipprovdu wkoll benefiċċji</w:t>
      </w:r>
      <w:r w:rsidR="00A45935" w:rsidRPr="00290F11">
        <w:rPr>
          <w:rFonts w:eastAsia="Times New Roman" w:cs="Times New Roman"/>
          <w:szCs w:val="20"/>
          <w:vertAlign w:val="superscript"/>
          <w:lang w:eastAsia="de-DE"/>
        </w:rPr>
        <w:footnoteReference w:id="6"/>
      </w:r>
      <w:r w:rsidR="00A45935" w:rsidRPr="00290F11">
        <w:t xml:space="preserve"> </w:t>
      </w:r>
      <w:r w:rsidR="00A45935" w:rsidRPr="00290F11">
        <w:rPr>
          <w:rFonts w:eastAsia="Times New Roman" w:cs="Times New Roman"/>
          <w:szCs w:val="20"/>
          <w:vertAlign w:val="superscript"/>
          <w:lang w:eastAsia="de-DE"/>
        </w:rPr>
        <w:footnoteReference w:id="7"/>
      </w:r>
      <w:r w:rsidR="00A45935" w:rsidRPr="00290F11">
        <w:t>. Il-gruppi operazzjonali jistgħu jagħtu bidu għal niċeċ soċjotekniċi. Niċċa soċjoteknika hija spazju protett li jippermetti lin-nies jitgħallmu dwar u jesperimentaw b’teknoloġija ġdida u/jew istituzzjonijiet u/jew modi ġodda ta’ kif jagħmlu l-affarijiet. Meta jinbnew u jingħaqdu kif suppost, in-niċeċ jistgħu jaġixxu bħala elementi kostitwenti għall-bidliet soċjetali usa’ lejn l-iżvilupp sostenibbli</w:t>
      </w:r>
      <w:r w:rsidR="00A45935" w:rsidRPr="00290F11">
        <w:rPr>
          <w:rFonts w:eastAsia="Times New Roman" w:cs="Arial"/>
          <w:szCs w:val="20"/>
          <w:vertAlign w:val="superscript"/>
          <w:lang w:eastAsia="de-DE"/>
        </w:rPr>
        <w:footnoteReference w:id="8"/>
      </w:r>
      <w:r w:rsidR="00A45935" w:rsidRPr="00290F11">
        <w:rPr>
          <w:rStyle w:val="FootnoteReference"/>
          <w:rFonts w:eastAsia="Times New Roman" w:cs="Times New Roman"/>
          <w:color w:val="FFFFFF" w:themeColor="background1"/>
          <w:szCs w:val="20"/>
          <w:lang w:eastAsia="de-DE"/>
        </w:rPr>
        <w:footnoteReference w:id="9"/>
      </w:r>
      <w:r w:rsidR="00A45935" w:rsidRPr="00290F11">
        <w:rPr>
          <w:rStyle w:val="FootnoteReference"/>
          <w:rFonts w:eastAsia="Times New Roman" w:cs="Times New Roman"/>
          <w:color w:val="FFFFFF" w:themeColor="background1"/>
          <w:szCs w:val="20"/>
          <w:lang w:eastAsia="de-DE"/>
        </w:rPr>
        <w:footnoteReference w:id="10"/>
      </w:r>
      <w:r w:rsidR="00A45935" w:rsidRPr="00290F11">
        <w:rPr>
          <w:rStyle w:val="FootnoteReference"/>
          <w:rFonts w:eastAsia="Times New Roman" w:cs="Times New Roman"/>
          <w:color w:val="FFFFFF" w:themeColor="background1"/>
          <w:szCs w:val="20"/>
          <w:lang w:eastAsia="de-DE"/>
        </w:rPr>
        <w:footnoteReference w:id="11"/>
      </w:r>
      <w:r w:rsidR="00A45935" w:rsidRPr="00290F11">
        <w:t xml:space="preserve">. </w:t>
      </w:r>
    </w:p>
    <w:p w:rsidR="00A45935" w:rsidRPr="00290F11" w:rsidRDefault="00F74459" w:rsidP="002F0ABF">
      <w:pPr>
        <w:spacing w:after="120" w:line="280" w:lineRule="atLeast"/>
        <w:mirrorIndents/>
        <w:rPr>
          <w:rFonts w:eastAsia="Times New Roman" w:cs="Times New Roman"/>
          <w:szCs w:val="20"/>
        </w:rPr>
      </w:pPr>
      <w:r w:rsidRPr="00290F11">
        <w:br w:type="column"/>
      </w:r>
      <w:r w:rsidRPr="00290F11">
        <w:rPr>
          <w:rFonts w:eastAsia="Times New Roman" w:cs="Times New Roman"/>
          <w:noProof/>
          <w:szCs w:val="20"/>
          <w:lang w:val="en-GB" w:eastAsia="en-GB"/>
        </w:rPr>
        <w:lastRenderedPageBreak/>
        <mc:AlternateContent>
          <mc:Choice Requires="wps">
            <w:drawing>
              <wp:anchor distT="0" distB="0" distL="114300" distR="114300" simplePos="0" relativeHeight="251737088" behindDoc="0" locked="0" layoutInCell="1" allowOverlap="1" wp14:anchorId="43A28423" wp14:editId="4CB4158B">
                <wp:simplePos x="0" y="0"/>
                <wp:positionH relativeFrom="column">
                  <wp:posOffset>2920365</wp:posOffset>
                </wp:positionH>
                <wp:positionV relativeFrom="paragraph">
                  <wp:posOffset>67945</wp:posOffset>
                </wp:positionV>
                <wp:extent cx="2832735" cy="7164705"/>
                <wp:effectExtent l="0" t="0" r="24765" b="17145"/>
                <wp:wrapSquare wrapText="bothSides"/>
                <wp:docPr id="59" name="Rectangle: Diagonal Corners Rounded 59"/>
                <wp:cNvGraphicFramePr/>
                <a:graphic xmlns:a="http://schemas.openxmlformats.org/drawingml/2006/main">
                  <a:graphicData uri="http://schemas.microsoft.com/office/word/2010/wordprocessingShape">
                    <wps:wsp>
                      <wps:cNvSpPr/>
                      <wps:spPr>
                        <a:xfrm>
                          <a:off x="0" y="0"/>
                          <a:ext cx="2832735" cy="7164705"/>
                        </a:xfrm>
                        <a:prstGeom prst="round2DiagRect">
                          <a:avLst>
                            <a:gd name="adj1" fmla="val 5907"/>
                            <a:gd name="adj2" fmla="val 0"/>
                          </a:avLst>
                        </a:prstGeom>
                        <a:noFill/>
                        <a:ln w="25400" cap="flat" cmpd="sng" algn="ctr">
                          <a:solidFill>
                            <a:srgbClr val="F07E31"/>
                          </a:solidFill>
                          <a:prstDash val="solid"/>
                        </a:ln>
                        <a:effectLst/>
                      </wps:spPr>
                      <wps:txbx>
                        <w:txbxContent>
                          <w:p w:rsidR="005570DA" w:rsidRPr="00E05D08" w:rsidRDefault="005570DA" w:rsidP="004508D0">
                            <w:pPr>
                              <w:pStyle w:val="Normal12PTcouleurgris"/>
                              <w:rPr>
                                <w:b/>
                                <w:color w:val="F07E31"/>
                              </w:rPr>
                            </w:pPr>
                            <w:r>
                              <w:rPr>
                                <w:noProof/>
                                <w:lang w:val="en-GB" w:eastAsia="en-GB"/>
                              </w:rPr>
                              <w:drawing>
                                <wp:inline distT="0" distB="0" distL="0" distR="0" wp14:anchorId="5C80398D" wp14:editId="3E2CC87D">
                                  <wp:extent cx="353060" cy="359410"/>
                                  <wp:effectExtent l="0" t="0" r="8890" b="2540"/>
                                  <wp:docPr id="9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Eżempji ta’ appoġġ possibbli mill-PŻR għall-Perkors 3</w:t>
                            </w:r>
                          </w:p>
                          <w:p w:rsidR="005570DA" w:rsidRPr="002B58E1" w:rsidRDefault="005570DA" w:rsidP="004508D0">
                            <w:pPr>
                              <w:pStyle w:val="Hlistbullet"/>
                              <w:rPr>
                                <w:sz w:val="18"/>
                                <w:szCs w:val="18"/>
                              </w:rPr>
                            </w:pPr>
                            <w:r>
                              <w:rPr>
                                <w:sz w:val="18"/>
                                <w:szCs w:val="18"/>
                              </w:rPr>
                              <w:t xml:space="preserve">PŻR li jipprijoritizza l-azzjonijiet ta’ informazzjoni u taħriġ (l-Art. 14 tar-Regolament (UE) Nru. 1305/2013) u s-servizzi ta’ konsulenza (l-Art. 15 tar-Regolament (UE) Nru. 1305/2013) abbażi ta’ dawk il-prattiki innovattivi, li huma żviluppati fil-GO (l-Art. 35 tar-Regolament (UE) Nru. 1305/2013) jew ta’ dawk il-prattiki innovattivi żviluppati minn GO f’reġjuni jew pajjiżi oħrajn (attivitajiet tan-NRN, assistenza teknika). </w:t>
                            </w:r>
                          </w:p>
                          <w:p w:rsidR="005570DA" w:rsidRPr="002B58E1" w:rsidRDefault="005570DA" w:rsidP="004508D0">
                            <w:pPr>
                              <w:pStyle w:val="Hlistbullet"/>
                              <w:rPr>
                                <w:sz w:val="18"/>
                                <w:szCs w:val="18"/>
                              </w:rPr>
                            </w:pPr>
                            <w:r>
                              <w:rPr>
                                <w:sz w:val="18"/>
                                <w:szCs w:val="18"/>
                              </w:rPr>
                              <w:t>PŻR li jtejjeb l-aċċess għall-internet f’żoni rurali jgħin lin-negozji u l-bdiewa lokali jkollhom aċċess għall-informazzjoni u s-swieq, biex b’hekk iżidu l-kapaċità u l-motivazzjoni tagħhom għall-innovazzjoni (eż. operazzjonijiet imwettqa skont l-Art. 20 tar-Regolament (UE) Nru. 1305/2013);</w:t>
                            </w:r>
                          </w:p>
                          <w:p w:rsidR="005570DA" w:rsidRPr="002B58E1" w:rsidRDefault="005570DA" w:rsidP="004508D0">
                            <w:pPr>
                              <w:pStyle w:val="Hlistbullet"/>
                              <w:rPr>
                                <w:b/>
                                <w:sz w:val="18"/>
                                <w:szCs w:val="18"/>
                              </w:rPr>
                            </w:pPr>
                            <w:r>
                              <w:rPr>
                                <w:sz w:val="18"/>
                                <w:szCs w:val="18"/>
                              </w:rPr>
                              <w:t>PŻR li jiżviluppa tagħmir innovattiv għall-ħdim tar-raba’ sabiex jiġu inkorporati r-residwi tal-għelejjel minn GO jista’ jinkoraġġixxi investimenti innovattivi u infurzar aktar strett tal-liġijiet sabiex jipprojbixxi l-ħruq tar-residwi tal-għelejjel (eż. operazzjonijiet imwettqa skont l-Art. 17 tar-Regolament (UE) Nru. 1305/2013);</w:t>
                            </w:r>
                          </w:p>
                          <w:p w:rsidR="005570DA" w:rsidRPr="002B58E1" w:rsidRDefault="005570DA" w:rsidP="004508D0">
                            <w:pPr>
                              <w:pStyle w:val="Hlistbullet"/>
                              <w:rPr>
                                <w:sz w:val="18"/>
                                <w:szCs w:val="18"/>
                              </w:rPr>
                            </w:pPr>
                            <w:r>
                              <w:rPr>
                                <w:sz w:val="18"/>
                                <w:szCs w:val="18"/>
                              </w:rPr>
                              <w:t>Miżura ta’ PŻR li tappoġġa l-istabbiliment ta’ ktajjen tal-provvista tal-ikel qosra jew kooperattivi tal-produtturi tista’ żżid ir-rabtiet u l-kooperazzjoni fost il-konsumaturi u l-produtturi sabiex joħolqu sistema alimentari aktar innovattiva</w:t>
                            </w:r>
                            <w:r>
                              <w:rPr>
                                <w:sz w:val="18"/>
                                <w:szCs w:val="18"/>
                                <w:vertAlign w:val="superscript"/>
                              </w:rPr>
                              <w:t>13</w:t>
                            </w:r>
                            <w:r>
                              <w:rPr>
                                <w:sz w:val="18"/>
                                <w:szCs w:val="18"/>
                              </w:rPr>
                              <w:t xml:space="preserve"> (eż. operazzjonijiet imwettqa skont l-Art. 16, 17 u 35 tar-Regolament (UE) Nru.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A28423" id="Rectangle: Diagonal Corners Rounded 59" o:spid="_x0000_s1034" style="position:absolute;left:0;text-align:left;margin-left:229.95pt;margin-top:5.35pt;width:223.05pt;height:564.1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7164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" adj="-11796480,,5400" path="m167330,l2832735,r,l2832735,6997375v,92414,-74916,167330,-167330,167330l,7164705r,l,167330c,74916,74916,,167330,xe" filled="f" strokecolor="#f07e31" strokeweight="2pt">
                <v:stroke joinstyle="miter"/>
                <v:formulas/>
                <v:path arrowok="t" o:connecttype="custom" o:connectlocs="167330,0;2832735,0;2832735,0;2832735,6997375;2665405,7164705;0,7164705;0,7164705;0,167330;167330,0" o:connectangles="0,0,0,0,0,0,0,0,0" textboxrect="0,0,2832735,7164705"/>
                <v:textbox>
                  <w:txbxContent>
                    <w:p w:rsidR="005570DA" w:rsidRPr="00E05D08" w:rsidRDefault="005570DA" w:rsidP="004508D0">
                      <w:pPr>
                        <w:pStyle w:val="Normal12PTcouleurgris"/>
                        <w:rPr>
                          <w:b/>
                          <w:color w:val="F07E31"/>
                        </w:rPr>
                      </w:pPr>
                      <w:r>
                        <w:rPr>
                          <w:noProof/>
                          <w:lang w:val="en-GB" w:eastAsia="en-GB"/>
                        </w:rPr>
                        <w:drawing>
                          <wp:inline distT="0" distB="0" distL="0" distR="0" wp14:anchorId="5C80398D" wp14:editId="3E2CC87D">
                            <wp:extent cx="353060" cy="359410"/>
                            <wp:effectExtent l="0" t="0" r="8890" b="2540"/>
                            <wp:docPr id="9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Eżempji ta’ appoġġ possibbli mill-PŻR għall-Perkors 3</w:t>
                      </w:r>
                    </w:p>
                    <w:p w:rsidR="005570DA" w:rsidRPr="002B58E1" w:rsidRDefault="005570DA" w:rsidP="004508D0">
                      <w:pPr>
                        <w:pStyle w:val="Hlistbullet"/>
                        <w:rPr>
                          <w:sz w:val="18"/>
                          <w:szCs w:val="18"/>
                        </w:rPr>
                      </w:pPr>
                      <w:r>
                        <w:rPr>
                          <w:sz w:val="18"/>
                          <w:szCs w:val="18"/>
                        </w:rPr>
                        <w:t xml:space="preserve">PŻR li jipprijoritizza l-azzjonijiet ta’ informazzjoni u taħriġ (l-Art. 14 tar-Regolament (UE) Nru. 1305/2013) u s-servizzi ta’ konsulenza (l-Art. 15 tar-Regolament (UE) Nru. 1305/2013) abbażi ta’ dawk il-prattiki innovattivi, li huma żviluppati fil-GO (l-Art. 35 tar-Regolament (UE) Nru. 1305/2013) jew ta’ dawk il-prattiki innovattivi żviluppati minn GO f’reġjuni jew pajjiżi oħrajn (attivitajiet tan-NRN, assistenza teknika). </w:t>
                      </w:r>
                    </w:p>
                    <w:p w:rsidR="005570DA" w:rsidRPr="002B58E1" w:rsidRDefault="005570DA" w:rsidP="004508D0">
                      <w:pPr>
                        <w:pStyle w:val="Hlistbullet"/>
                        <w:rPr>
                          <w:sz w:val="18"/>
                          <w:szCs w:val="18"/>
                        </w:rPr>
                      </w:pPr>
                      <w:r>
                        <w:rPr>
                          <w:sz w:val="18"/>
                          <w:szCs w:val="18"/>
                        </w:rPr>
                        <w:t>PŻR li jtejjeb l-aċċess għall-internet f’żoni rurali jgħin lin-negozji u l-bdiewa lokali jkollhom aċċess għall-informazzjoni u s-swieq, biex b’hekk iżidu l-kapaċità u l-motivazzjoni tagħhom għall-innovazzjoni (eż. operazzjonijiet imwettqa skont l-Art. 20 tar-Regolament (UE) Nru. 1305/2013);</w:t>
                      </w:r>
                    </w:p>
                    <w:p w:rsidR="005570DA" w:rsidRPr="002B58E1" w:rsidRDefault="005570DA" w:rsidP="004508D0">
                      <w:pPr>
                        <w:pStyle w:val="Hlistbullet"/>
                        <w:rPr>
                          <w:b/>
                          <w:sz w:val="18"/>
                          <w:szCs w:val="18"/>
                        </w:rPr>
                      </w:pPr>
                      <w:r>
                        <w:rPr>
                          <w:sz w:val="18"/>
                          <w:szCs w:val="18"/>
                        </w:rPr>
                        <w:t>PŻR li jiżviluppa tagħmir innovattiv għall-ħdim tar-raba’ sabiex jiġu inkorporati r-residwi tal-għelejjel minn GO jista’ jinkoraġġixxi investimenti innovattivi u infurzar aktar strett tal-liġijiet sabiex jipprojbixxi l-ħruq tar-residwi tal-għelejjel (eż. operazzjonijiet imwettqa skont l-Art. 17 tar-Regolament (UE) Nru. 1305/2013);</w:t>
                      </w:r>
                    </w:p>
                    <w:p w:rsidR="005570DA" w:rsidRPr="002B58E1" w:rsidRDefault="005570DA" w:rsidP="004508D0">
                      <w:pPr>
                        <w:pStyle w:val="Hlistbullet"/>
                        <w:rPr>
                          <w:sz w:val="18"/>
                          <w:szCs w:val="18"/>
                        </w:rPr>
                      </w:pPr>
                      <w:r>
                        <w:rPr>
                          <w:sz w:val="18"/>
                          <w:szCs w:val="18"/>
                        </w:rPr>
                        <w:t>Miżura ta’ PŻR li tappoġġa l-istabbiliment ta’ ktajjen tal-provvista tal-ikel qosra jew kooperattivi tal-produtturi tista’ żżid ir-rabtiet u l-kooperazzjoni fost il-konsumaturi u l-produtturi sabiex joħolqu sistema alimentari aktar innovattiva</w:t>
                      </w:r>
                      <w:r>
                        <w:rPr>
                          <w:sz w:val="18"/>
                          <w:szCs w:val="18"/>
                          <w:vertAlign w:val="superscript"/>
                        </w:rPr>
                        <w:t>13</w:t>
                      </w:r>
                      <w:r>
                        <w:rPr>
                          <w:sz w:val="18"/>
                          <w:szCs w:val="18"/>
                        </w:rPr>
                        <w:t xml:space="preserve"> (eż. operazzjonijiet imwettqa skont l-Art. 16, 17 u 35 tar-Regolament (UE) Nru. 1305/2013).</w:t>
                      </w:r>
                    </w:p>
                  </w:txbxContent>
                </v:textbox>
                <w10:wrap type="square"/>
              </v:shape>
            </w:pict>
          </mc:Fallback>
        </mc:AlternateContent>
      </w:r>
      <w:r w:rsidRPr="00290F11">
        <w:rPr>
          <w:b/>
          <w:color w:val="F07E31"/>
          <w:szCs w:val="20"/>
        </w:rPr>
        <w:t>It-tielet perkors</w:t>
      </w:r>
      <w:r w:rsidRPr="00290F11">
        <w:t xml:space="preserve"> jikkonċerna t-tibdil tal-kundizzjonijiet tat-tfassil u l-ambjent li jinfluwenza s-sistemi ta’ innovazzjoni. Dan jinkludi t-titjib ta’ diversi kundizzjonijiet favorevoli</w:t>
      </w:r>
      <w:r w:rsidRPr="00290F11">
        <w:rPr>
          <w:rFonts w:eastAsia="Times New Roman" w:cs="Times New Roman"/>
          <w:szCs w:val="20"/>
          <w:vertAlign w:val="superscript"/>
          <w:lang w:eastAsia="de-DE"/>
        </w:rPr>
        <w:footnoteReference w:id="12"/>
      </w:r>
      <w:r w:rsidRPr="00290F11">
        <w:t>, bħal:</w:t>
      </w:r>
    </w:p>
    <w:p w:rsidR="00A45935" w:rsidRPr="00290F11" w:rsidRDefault="00A45935" w:rsidP="00230C31">
      <w:pPr>
        <w:pStyle w:val="Hlistbullet"/>
      </w:pPr>
      <w:r w:rsidRPr="00290F11">
        <w:t xml:space="preserve">istituzzjonali (eż. forniment ta’ mandati, normi, l-ambjent politiku/leġiżlattiv li jappoġġa l-innovazzjonijiet), </w:t>
      </w:r>
    </w:p>
    <w:p w:rsidR="00A45935" w:rsidRPr="00290F11" w:rsidRDefault="00A45935" w:rsidP="00230C31">
      <w:pPr>
        <w:pStyle w:val="Hlistbullet"/>
      </w:pPr>
      <w:r w:rsidRPr="00290F11">
        <w:t xml:space="preserve">proċedurali (eż. sorsi ta’ fondi flessibbli sabiex jindirizzaw il-ħtiġijiet tal-partijiet ikkonċernati għall-innovazzjonijiet), </w:t>
      </w:r>
    </w:p>
    <w:p w:rsidR="00A45935" w:rsidRPr="00290F11" w:rsidRDefault="00A45935" w:rsidP="00230C31">
      <w:pPr>
        <w:pStyle w:val="Hlistbullet"/>
      </w:pPr>
      <w:r w:rsidRPr="00290F11">
        <w:t xml:space="preserve">professjonali (eż. l-aċċess għat-taħriġ sabiex jiġu pprovduti l-ħiliet u l-għarfien meħtieġa u l-mezzi li jippromwovu l-innovazzjonijiet), </w:t>
      </w:r>
    </w:p>
    <w:p w:rsidR="00A45935" w:rsidRPr="00290F11" w:rsidRDefault="00A45935" w:rsidP="00230C31">
      <w:pPr>
        <w:pStyle w:val="Hlistbullet"/>
      </w:pPr>
      <w:r w:rsidRPr="00290F11">
        <w:t xml:space="preserve">organizzattivi (eż. il-possibbiltà li jinteraġixxu ma’ msieħba oħrajn li huma lesti jfittxu soluzzjonijiet innovattivi), </w:t>
      </w:r>
    </w:p>
    <w:p w:rsidR="00A45935" w:rsidRPr="00290F11" w:rsidRDefault="00A45935" w:rsidP="00230C31">
      <w:pPr>
        <w:pStyle w:val="Hlistbullet"/>
      </w:pPr>
      <w:r w:rsidRPr="00290F11">
        <w:t xml:space="preserve">operattivi (eż. innovazzjoni transnazzjonali jew trans-settorjali favorevoli), </w:t>
      </w:r>
    </w:p>
    <w:p w:rsidR="00A45935" w:rsidRPr="00290F11" w:rsidRDefault="00A45935" w:rsidP="00230C31">
      <w:pPr>
        <w:pStyle w:val="Hlistbullet"/>
      </w:pPr>
      <w:r w:rsidRPr="00290F11">
        <w:t xml:space="preserve">tekniċi (eż. l-appoġġ għal tekniki u teknoloġiji ġodda applikabbli f’setturi ekonomiċi rurali u f’infrastruttura rurali). </w:t>
      </w:r>
    </w:p>
    <w:p w:rsidR="00A45935" w:rsidRPr="00290F11" w:rsidRDefault="00A45935" w:rsidP="00E05D08">
      <w:pPr>
        <w:spacing w:after="120" w:line="280" w:lineRule="atLeast"/>
        <w:mirrorIndents/>
        <w:rPr>
          <w:rFonts w:eastAsia="Times New Roman" w:cs="Times New Roman"/>
          <w:szCs w:val="20"/>
        </w:rPr>
      </w:pPr>
      <w:r w:rsidRPr="00290F11">
        <w:t>Il-PŻR jista’ jappoġġa t-tielet perkors billi jikkombina miżuri/submiżuri differenti (eż. il-miżuri ta’ investiment jipprovdu l-ambjent favorevoli għal kwalunkwe tip ta’ innovazzjoni teknika u teknoloġika, il-miżuri ta’ kwalità u kummerċjalizzazzjoni jappoġġaw il-kundizzjonijiet istituzzjonali u proċedurali, kif ukoll it-trasferiment tal-għarfien u l-miżuri ta’ konsulenza joffru ambjent favorevoli professjonali)</w:t>
      </w:r>
      <w:r w:rsidRPr="00290F11">
        <w:rPr>
          <w:rStyle w:val="FootnoteReference"/>
          <w:rFonts w:eastAsia="Times New Roman" w:cs="Times New Roman"/>
          <w:color w:val="FFFFFF" w:themeColor="background1"/>
          <w:szCs w:val="20"/>
          <w:lang w:eastAsia="de-DE"/>
        </w:rPr>
        <w:footnoteReference w:id="13"/>
      </w:r>
      <w:r w:rsidRPr="00290F11">
        <w:t xml:space="preserve">. </w:t>
      </w:r>
    </w:p>
    <w:p w:rsidR="00A45935" w:rsidRPr="00290F11" w:rsidRDefault="00A45935" w:rsidP="00E05D08">
      <w:pPr>
        <w:spacing w:after="120" w:line="280" w:lineRule="atLeast"/>
        <w:mirrorIndents/>
        <w:rPr>
          <w:rFonts w:eastAsia="Times New Roman" w:cs="Times New Roman"/>
          <w:szCs w:val="20"/>
        </w:rPr>
      </w:pPr>
      <w:r w:rsidRPr="00290F11">
        <w:rPr>
          <w:b/>
          <w:szCs w:val="20"/>
        </w:rPr>
        <w:t>Il-potenzjal għal diversi ċirkwiti ta’ rispons li jsaħħu lilhom infushom</w:t>
      </w:r>
      <w:r w:rsidRPr="00290F11">
        <w:t xml:space="preserve"> jistgħu jidhru aktar </w:t>
      </w:r>
      <w:hyperlink w:anchor="Pathways" w:history="1">
        <w:r w:rsidRPr="00290F11">
          <w:rPr>
            <w:rStyle w:val="Hyperlink"/>
            <w:sz w:val="20"/>
            <w:szCs w:val="20"/>
          </w:rPr>
          <w:t>fil-Figura 1</w:t>
        </w:r>
      </w:hyperlink>
      <w:r w:rsidRPr="00290F11">
        <w:t>. Pereżempju:</w:t>
      </w:r>
    </w:p>
    <w:p w:rsidR="00A45935" w:rsidRPr="00290F11" w:rsidRDefault="00A45935" w:rsidP="00230C31">
      <w:pPr>
        <w:pStyle w:val="Hlistbullet"/>
      </w:pPr>
      <w:r w:rsidRPr="00290F11">
        <w:t xml:space="preserve">Il-proċess ta’ innovazzjoni teknoloġika u/jew istituzzjonali jibni l-kapaċità tas-sistema għall-innovazzjoni li tirreaġixxi direttament sabiex jitħaffu r-rata u l-kwalità tal-innovazzjoni; </w:t>
      </w:r>
    </w:p>
    <w:p w:rsidR="00A45935" w:rsidRPr="00290F11" w:rsidRDefault="00A45935" w:rsidP="00230C31">
      <w:pPr>
        <w:pStyle w:val="Hlistbullet"/>
      </w:pPr>
      <w:r w:rsidRPr="00290F11">
        <w:t xml:space="preserve">L-interventi tal-PŻR fl-appoġġ għal politika favur l-innovazzjoni (perkors 3) iwasslu għal rati aktar mgħaġġla ta’ innovazzjoni, li min-naħa tagħhom iwasslu għal kapaċità akbar għall-innovazzjoni. </w:t>
      </w:r>
    </w:p>
    <w:p w:rsidR="00A45935" w:rsidRPr="00290F11" w:rsidRDefault="00A45935" w:rsidP="00E05D08">
      <w:pPr>
        <w:spacing w:after="120" w:line="280" w:lineRule="atLeast"/>
        <w:mirrorIndents/>
        <w:rPr>
          <w:rFonts w:eastAsia="Times New Roman" w:cs="Times New Roman"/>
          <w:szCs w:val="20"/>
        </w:rPr>
      </w:pPr>
      <w:r w:rsidRPr="00290F11">
        <w:lastRenderedPageBreak/>
        <w:t>Iż-żieda tal-kapaċità għall-innovazzjoni tgħin lill-atturi tal-innovazzjoni jagħmlu u jużaw ir-rabtiet sabiex jinfluwenzaw l-ambjent politiku jew istituzzjonali favorevoli favur l-innovazzjonijiet li qed jippromwovi l-PŻR. Iċ-ċirkwiti li jsaħħu lilhom infushom huma importanti minħabba li jipprovdu l-prospett għal ingranaġġ</w:t>
      </w:r>
      <w:r w:rsidRPr="00290F11">
        <w:rPr>
          <w:rFonts w:eastAsia="Times New Roman" w:cs="Times New Roman"/>
          <w:szCs w:val="20"/>
          <w:vertAlign w:val="superscript"/>
          <w:lang w:eastAsia="de-DE"/>
        </w:rPr>
        <w:footnoteReference w:id="14"/>
      </w:r>
      <w:r w:rsidRPr="00290F11">
        <w:t xml:space="preserve">, jiġifieri, għal interventi relattivament żgħar tal-PŻR li jikkatalizzaw u jappoġġaw l-impatti fuq skala akbar (eż. prattika innovattiva tal-azjendi agrikoli effiċjenti fl-użu tal-enerġija żviluppata minn proġett ta’ innovazzjoni tal-PŻR tinfirex bħala rispons pożittiv mill-persuni ġodda li jadottaw, li mbagħad tinfirex u tinfluwenza lil persuni oħrajn sabiex jadottaw l-istess prattiki, li jwasslu għal impatti sinifikanti fuq l-iffrankar tal-enerġija fir-reġjun). Barra minn hekk, il-proġetti ta’ innovazzjoni jistgħu jwasslu għal miżuri mtejba tal-PŻR. Pereżempju, proġett ta’ innovazzjoni jista’ jittestja l-fattibbiltà u l-kosteffiċjenza ta’ miżura agroambjentali klimatika (AECM) futura. </w:t>
      </w:r>
    </w:p>
    <w:p w:rsidR="00A45935" w:rsidRPr="00290F11" w:rsidRDefault="00A45935" w:rsidP="00230C31">
      <w:pPr>
        <w:pStyle w:val="HHeading4"/>
      </w:pPr>
      <w:r w:rsidRPr="00290F11">
        <w:t xml:space="preserve">Il-PŻR kif jinteraġixxi mas-sistema ta’ innovazzjoni usa’? </w:t>
      </w:r>
    </w:p>
    <w:p w:rsidR="00A45935" w:rsidRPr="00290F11" w:rsidRDefault="00A45935" w:rsidP="00E05D08">
      <w:pPr>
        <w:spacing w:after="120" w:line="280" w:lineRule="atLeast"/>
        <w:mirrorIndents/>
        <w:rPr>
          <w:rFonts w:eastAsia="Times New Roman" w:cs="Times New Roman"/>
          <w:szCs w:val="20"/>
        </w:rPr>
      </w:pPr>
      <w:r w:rsidRPr="00290F11">
        <w:t xml:space="preserve">Il-PŻR jipproduċi żewġ tipi ta’ eżiti li huma marbuta mal-innovazzjoni: </w:t>
      </w:r>
    </w:p>
    <w:p w:rsidR="00A45935" w:rsidRPr="00290F11" w:rsidRDefault="00A45935" w:rsidP="001744D0">
      <w:pPr>
        <w:pStyle w:val="Hlistbullet"/>
      </w:pPr>
      <w:r w:rsidRPr="00290F11">
        <w:rPr>
          <w:b/>
        </w:rPr>
        <w:t>Eżiti favorevoli</w:t>
      </w:r>
      <w:r w:rsidRPr="00290F11">
        <w:t xml:space="preserve"> relatati mat-tliet perkorsi (eż. bidliet fir-rata u l-kwalità ta’ ideat innovattivi emerġenti; il-kapaċità għall-innovazzjoni; u l-ambjent favorevoli). </w:t>
      </w:r>
    </w:p>
    <w:p w:rsidR="00A45935" w:rsidRPr="00290F11" w:rsidRDefault="00A45935" w:rsidP="001744D0">
      <w:pPr>
        <w:pStyle w:val="Hlistbullet"/>
      </w:pPr>
      <w:r w:rsidRPr="00290F11">
        <w:rPr>
          <w:b/>
        </w:rPr>
        <w:t>Eżiti tal-innovazzjoni</w:t>
      </w:r>
      <w:r w:rsidRPr="00290F11">
        <w:t xml:space="preserve"> li jirriżultaw mill-eżiti favorevoli (eż. prattiki ġodda, żieda fl-introjtu, l-adozzjoni ta’ prattiki tal-biedja aktar sostenibbli).</w:t>
      </w:r>
    </w:p>
    <w:p w:rsidR="00A45935" w:rsidRPr="00290F11" w:rsidRDefault="00A45935" w:rsidP="00E05D08">
      <w:pPr>
        <w:spacing w:after="120" w:line="280" w:lineRule="atLeast"/>
        <w:mirrorIndents/>
        <w:rPr>
          <w:rFonts w:eastAsia="Times New Roman" w:cs="Times New Roman"/>
          <w:szCs w:val="20"/>
        </w:rPr>
      </w:pPr>
      <w:r w:rsidRPr="00290F11">
        <w:t>Iż-żewġ tipi ta’ eżiti jikkontribwixxu għall-objettivi tal-PŻR u jistgħu jiġu vvalutati permezz tal-indikaturi xierqa. Jekk u kif dawn jaffettwaw is-sistema tal-innovazzjoni eżistenti jiddependi fuq kif il-benefiċjarji tal-PŻR jinterpretaw u jagħmlu sens minn dak li joffri l-programm</w:t>
      </w:r>
      <w:r w:rsidRPr="00290F11">
        <w:rPr>
          <w:rFonts w:eastAsia="Times New Roman" w:cs="Times New Roman"/>
          <w:szCs w:val="20"/>
          <w:vertAlign w:val="superscript"/>
          <w:lang w:eastAsia="de-DE"/>
        </w:rPr>
        <w:footnoteReference w:id="15"/>
      </w:r>
      <w:r w:rsidRPr="00290F11">
        <w:t xml:space="preserve">. Ir-reazzjoni tagħhom tiġi influwenzata wkoll mill-istorja u mill-proċessi li għaddejjin, għajr għall-PŻR, li jistimolaw l-innovazzjonijiet: </w:t>
      </w:r>
    </w:p>
    <w:p w:rsidR="00A45935" w:rsidRPr="00290F11" w:rsidRDefault="00A45935" w:rsidP="001744D0">
      <w:pPr>
        <w:pStyle w:val="Hlistbullet"/>
      </w:pPr>
      <w:r w:rsidRPr="00290F11">
        <w:t xml:space="preserve">attivitajiet ta’ riċerka dwar teknoloġiji u proċessi ġodda, </w:t>
      </w:r>
    </w:p>
    <w:p w:rsidR="00A45935" w:rsidRPr="00290F11" w:rsidRDefault="00A45935" w:rsidP="001744D0">
      <w:pPr>
        <w:pStyle w:val="Hlistbullet"/>
      </w:pPr>
      <w:r w:rsidRPr="00290F11">
        <w:t xml:space="preserve">skemi ta’ estensjoni u edukazzjoni dwar il-promozzjoni tal-innovazzjoni, </w:t>
      </w:r>
    </w:p>
    <w:p w:rsidR="00A45935" w:rsidRPr="00290F11" w:rsidRDefault="00A45935" w:rsidP="001744D0">
      <w:pPr>
        <w:pStyle w:val="Hlistbullet"/>
      </w:pPr>
      <w:r w:rsidRPr="00290F11">
        <w:t xml:space="preserve">miżuri fiskali, garanziji ta’ kreditu, akkwist innovattiv, </w:t>
      </w:r>
    </w:p>
    <w:p w:rsidR="00A45935" w:rsidRPr="00290F11" w:rsidRDefault="00A45935" w:rsidP="001744D0">
      <w:pPr>
        <w:pStyle w:val="Hlistbullet"/>
      </w:pPr>
      <w:r w:rsidRPr="00290F11">
        <w:t>Orizzont 2020 u programmi nazzjonali/reġjonali oħrajn tal-Fondi SIE, li jintervjenu fl-istess approċċ ta’ innovazzjoni bħall-PŻR,</w:t>
      </w:r>
    </w:p>
    <w:p w:rsidR="00A45935" w:rsidRPr="00290F11" w:rsidRDefault="00A45935" w:rsidP="001744D0">
      <w:pPr>
        <w:pStyle w:val="Hlistbullet"/>
      </w:pPr>
      <w:r w:rsidRPr="00290F11">
        <w:t>id-domanda tas-suq.</w:t>
      </w:r>
    </w:p>
    <w:p w:rsidR="00A45935" w:rsidRPr="00290F11" w:rsidRDefault="00A45935" w:rsidP="00E05D08">
      <w:pPr>
        <w:spacing w:after="120" w:line="280" w:lineRule="atLeast"/>
        <w:mirrorIndents/>
        <w:rPr>
          <w:rFonts w:eastAsia="Times New Roman" w:cs="Times New Roman"/>
          <w:szCs w:val="20"/>
        </w:rPr>
      </w:pPr>
      <w:r w:rsidRPr="00290F11">
        <w:t xml:space="preserve">Bl-istess mod, l-operazzjonijiet tal-PŻR se jinfluwenzaw kif se jiġu interpretati u jintużaw proċessi u interventi oħrajn li għaddejjin u se jkunu wkoll influwenzati minnhom. </w:t>
      </w:r>
    </w:p>
    <w:p w:rsidR="00A45935" w:rsidRPr="00290F11" w:rsidRDefault="00A45935" w:rsidP="00E05D08">
      <w:pPr>
        <w:spacing w:after="120" w:line="280" w:lineRule="atLeast"/>
        <w:mirrorIndents/>
        <w:rPr>
          <w:rFonts w:eastAsia="Times New Roman" w:cs="Times New Roman"/>
          <w:szCs w:val="20"/>
        </w:rPr>
      </w:pPr>
      <w:r w:rsidRPr="00290F11">
        <w:t xml:space="preserve">Il-PŻR mhumiex implimentati f’vakwu, iżda jaġixxu f’sistema ta’ innovazzjoni kumplessa fil-kuntest soċjo-ekonomiku partikolari. Il-pożizzjoni bażika tal-PŻR tiddependi fuq il-kuntest eżistenti tal-innovazzjoni (jiġifieri l-atturi tal-innovazzjoni u l-interazzjonijiet bejniethom, l-ambjent favorevoli eżistenti, id-domanda tas-suq, interventi oħrajn). </w:t>
      </w:r>
    </w:p>
    <w:p w:rsidR="000E0FE4" w:rsidRPr="00290F11" w:rsidRDefault="00A45935" w:rsidP="00E05D08">
      <w:pPr>
        <w:spacing w:after="120" w:line="280" w:lineRule="atLeast"/>
        <w:mirrorIndents/>
        <w:rPr>
          <w:rFonts w:eastAsia="Times New Roman" w:cs="Times New Roman"/>
          <w:szCs w:val="20"/>
        </w:rPr>
      </w:pPr>
      <w:r w:rsidRPr="00290F11">
        <w:t xml:space="preserve">L-għan ta’ kwalunkwe evalwazzjoni se jkun li tkopri l-pożizzjoni bażika u tattribwixxi kwalunkwe bidla osservata fl-implimentazzjoni tal-miżuri u s-submiżuri tal-PŻR. </w:t>
      </w:r>
      <w:r w:rsidRPr="00290F11">
        <w:br w:type="page"/>
      </w:r>
    </w:p>
    <w:p w:rsidR="00A45935" w:rsidRPr="00290F11" w:rsidRDefault="00A45935" w:rsidP="00E05D08">
      <w:pPr>
        <w:spacing w:after="120" w:line="280" w:lineRule="atLeast"/>
        <w:mirrorIndents/>
        <w:rPr>
          <w:rFonts w:eastAsia="Times New Roman" w:cs="Times New Roman"/>
          <w:szCs w:val="20"/>
          <w:lang w:eastAsia="de-DE"/>
        </w:rPr>
        <w:sectPr w:rsidR="00A45935" w:rsidRPr="00290F11"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290F11" w:rsidRDefault="00A45935" w:rsidP="00230C31">
      <w:pPr>
        <w:pStyle w:val="HHeading2"/>
      </w:pPr>
      <w:bookmarkStart w:id="17" w:name="_Toc493151896"/>
      <w:bookmarkStart w:id="18" w:name="_Toc501382122"/>
      <w:bookmarkStart w:id="19" w:name="_Toc508960912"/>
      <w:r w:rsidRPr="00290F11">
        <w:lastRenderedPageBreak/>
        <w:t>Il-qafas ta’ politika tal-UE</w:t>
      </w:r>
      <w:bookmarkEnd w:id="17"/>
      <w:bookmarkEnd w:id="18"/>
      <w:bookmarkEnd w:id="19"/>
      <w:r w:rsidRPr="00290F11">
        <w:t xml:space="preserve"> </w:t>
      </w:r>
    </w:p>
    <w:p w:rsidR="00A45935" w:rsidRPr="00290F11" w:rsidRDefault="00A45935" w:rsidP="009B603C">
      <w:pPr>
        <w:pStyle w:val="HHeading3"/>
        <w:spacing w:line="280" w:lineRule="exact"/>
      </w:pPr>
      <w:bookmarkStart w:id="20" w:name="Policy_framework"/>
      <w:bookmarkStart w:id="21" w:name="_Toc501382123"/>
      <w:bookmarkStart w:id="22" w:name="_Toc508960913"/>
      <w:bookmarkEnd w:id="20"/>
      <w:r w:rsidRPr="00290F11">
        <w:t>Il-qafas ta’ politika għall-innovazzjoni fl-UE u l-Politika ta’ Żvilupp Rurali</w:t>
      </w:r>
      <w:bookmarkEnd w:id="21"/>
      <w:bookmarkEnd w:id="22"/>
    </w:p>
    <w:p w:rsidR="00A45935" w:rsidRPr="00290F11" w:rsidRDefault="00A45935" w:rsidP="00E05D08">
      <w:pPr>
        <w:spacing w:after="120" w:line="280" w:lineRule="atLeast"/>
        <w:mirrorIndents/>
        <w:rPr>
          <w:rFonts w:eastAsia="Times New Roman" w:cs="Times New Roman"/>
          <w:szCs w:val="20"/>
          <w:shd w:val="clear" w:color="auto" w:fill="FFFFFF"/>
        </w:rPr>
      </w:pPr>
      <w:r w:rsidRPr="00290F11">
        <w:rPr>
          <w:b/>
          <w:szCs w:val="20"/>
          <w:shd w:val="clear" w:color="auto" w:fill="FFFFFF"/>
        </w:rPr>
        <w:t>Hemm żewġ strumenti ta’ finanzjament mill-UE li jappoġġjaw speċifikament l-innovazzjoni fl-agrikoltura u l-forestrija</w:t>
      </w:r>
      <w:r w:rsidRPr="00290F11">
        <w:rPr>
          <w:szCs w:val="20"/>
          <w:shd w:val="clear" w:color="auto" w:fill="FFFFFF"/>
        </w:rPr>
        <w:t>. Wieħed minnhom huwa l-politika ta’ żvilupp rurali, li hija waħda miż-żewġ Pilastri tal-politika agrikola komuni (PAK). L-ieħor huwa Orizzont 2020</w:t>
      </w:r>
      <w:r w:rsidRPr="00290F11">
        <w:rPr>
          <w:rFonts w:eastAsia="Times New Roman" w:cs="Times New Roman"/>
          <w:szCs w:val="20"/>
          <w:shd w:val="clear" w:color="auto" w:fill="FFFFFF"/>
          <w:vertAlign w:val="superscript"/>
          <w:lang w:eastAsia="de-DE"/>
        </w:rPr>
        <w:footnoteReference w:id="16"/>
      </w:r>
      <w:r w:rsidRPr="00290F11">
        <w:rPr>
          <w:szCs w:val="20"/>
          <w:shd w:val="clear" w:color="auto" w:fill="FFFFFF"/>
        </w:rPr>
        <w:t>, il-programm qafas tal-UE għar-riċerka u l-innovazzjoni, li jimplimenta l-inizjattiva emblematika “Unjoni ta’ Innovazzjoni”</w:t>
      </w:r>
      <w:r w:rsidRPr="00290F11">
        <w:rPr>
          <w:rFonts w:eastAsia="Calibri" w:cs="Arial"/>
          <w:szCs w:val="20"/>
          <w:shd w:val="clear" w:color="auto" w:fill="FFFFFF"/>
          <w:vertAlign w:val="superscript"/>
          <w:lang w:eastAsia="de-DE"/>
        </w:rPr>
        <w:footnoteReference w:id="17"/>
      </w:r>
      <w:r w:rsidRPr="00290F11">
        <w:rPr>
          <w:szCs w:val="20"/>
          <w:shd w:val="clear" w:color="auto" w:fill="FFFFFF"/>
        </w:rPr>
        <w:t xml:space="preserve">. </w:t>
      </w:r>
    </w:p>
    <w:p w:rsidR="00A45935" w:rsidRPr="00290F11" w:rsidRDefault="00A45935" w:rsidP="001744D0">
      <w:pPr>
        <w:spacing w:after="120" w:line="280" w:lineRule="atLeast"/>
        <w:mirrorIndents/>
        <w:rPr>
          <w:rFonts w:eastAsia="Times New Roman" w:cs="Times New Roman"/>
          <w:b/>
          <w:sz w:val="18"/>
          <w:szCs w:val="18"/>
        </w:rPr>
      </w:pPr>
      <w:r w:rsidRPr="00290F11">
        <w:rPr>
          <w:b/>
          <w:szCs w:val="20"/>
          <w:shd w:val="clear" w:color="auto" w:fill="FFFFFF"/>
        </w:rPr>
        <w:t>Il-politika ta’ żvilupp rurali hija maħsuba biex taħdem f’sinerġija ma’ Orizzont 2020</w:t>
      </w:r>
      <w:r w:rsidRPr="00290F11">
        <w:rPr>
          <w:szCs w:val="20"/>
          <w:shd w:val="clear" w:color="auto" w:fill="FFFFFF"/>
        </w:rPr>
        <w:t xml:space="preserve"> sabiex jintlaħqu l-objettivi ta’ innovazzjoni tal-UE, notevolment l-objettivi ta’ tkabbir intelliġenti. Fost il-miri ewlenin tal-UE għal tkabbir intelliġenti hemm iż-żieda fl-investiment pubbliku u privat ikkombinat fir-Riċerka u l-Iżvilupp għal 3 % tal-PDG tal-UE, kif ukoll kundizzjonijiet aħjar għar-Riċerka u l-Iżvilupp u l-Innovazzjoni</w:t>
      </w:r>
      <w:r w:rsidRPr="00290F11">
        <w:rPr>
          <w:rFonts w:eastAsia="Times New Roman" w:cs="Times New Roman"/>
          <w:szCs w:val="20"/>
          <w:shd w:val="clear" w:color="auto" w:fill="FFFFFF"/>
          <w:vertAlign w:val="superscript"/>
          <w:lang w:eastAsia="de-DE"/>
        </w:rPr>
        <w:footnoteReference w:id="18"/>
      </w:r>
      <w:r w:rsidRPr="00290F11">
        <w:rPr>
          <w:szCs w:val="20"/>
          <w:shd w:val="clear" w:color="auto" w:fill="FFFFFF"/>
        </w:rPr>
        <w:t xml:space="preserve">. </w:t>
      </w:r>
    </w:p>
    <w:p w:rsidR="00A45935" w:rsidRPr="00290F11" w:rsidRDefault="00A45935" w:rsidP="002F0ABF">
      <w:pPr>
        <w:pStyle w:val="HHeadingfigures"/>
      </w:pPr>
      <w:bookmarkStart w:id="23" w:name="_Toc508964962"/>
      <w:r w:rsidRPr="00290F11">
        <w:t>Il-qafas ta’ politika għall-innovazzjoni fl-UE u l-Politika ta’ Żvilupp Rurali</w:t>
      </w:r>
      <w:bookmarkEnd w:id="23"/>
      <w:r w:rsidRPr="00290F11">
        <w:t xml:space="preserve"> </w:t>
      </w:r>
    </w:p>
    <w:p w:rsidR="00A45935" w:rsidRPr="00290F11" w:rsidRDefault="002466B2" w:rsidP="00E05D08">
      <w:pPr>
        <w:spacing w:before="60" w:after="200" w:line="276" w:lineRule="auto"/>
        <w:jc w:val="center"/>
        <w:rPr>
          <w:rFonts w:eastAsia="Calibri" w:cs="Arial"/>
          <w:szCs w:val="20"/>
        </w:rPr>
      </w:pPr>
      <w:r>
        <w:rPr>
          <w:noProof/>
          <w:lang w:val="en-GB" w:eastAsia="en-GB"/>
        </w:rPr>
        <w:drawing>
          <wp:inline distT="0" distB="0" distL="0" distR="0" wp14:anchorId="33AB65BD" wp14:editId="516AE13F">
            <wp:extent cx="5731510" cy="329595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295953"/>
                    </a:xfrm>
                    <a:prstGeom prst="rect">
                      <a:avLst/>
                    </a:prstGeom>
                  </pic:spPr>
                </pic:pic>
              </a:graphicData>
            </a:graphic>
          </wp:inline>
        </w:drawing>
      </w:r>
    </w:p>
    <w:p w:rsidR="00A45935" w:rsidRPr="00290F11" w:rsidRDefault="00A45935" w:rsidP="00E05D08">
      <w:pPr>
        <w:suppressAutoHyphens/>
        <w:spacing w:before="60" w:after="140" w:line="240" w:lineRule="auto"/>
        <w:ind w:left="1134" w:right="1134"/>
        <w:mirrorIndents/>
        <w:jc w:val="center"/>
        <w:rPr>
          <w:rFonts w:eastAsia="Times New Roman" w:cs="Times New Roman"/>
          <w:i/>
          <w:sz w:val="16"/>
          <w:szCs w:val="16"/>
        </w:rPr>
      </w:pPr>
      <w:r w:rsidRPr="00290F11">
        <w:rPr>
          <w:i/>
          <w:sz w:val="16"/>
          <w:szCs w:val="16"/>
        </w:rPr>
        <w:t>Sors: Helpdesk Ewropew ta’ Evalwazzjoni għall-Iżvilupp Rurali, 2017</w:t>
      </w:r>
    </w:p>
    <w:p w:rsidR="00A45935" w:rsidRPr="00290F11" w:rsidRDefault="00A45935" w:rsidP="00E05D08">
      <w:pPr>
        <w:spacing w:after="120" w:line="280" w:lineRule="atLeast"/>
        <w:mirrorIndents/>
        <w:rPr>
          <w:rFonts w:eastAsia="Times New Roman" w:cs="Times New Roman"/>
          <w:szCs w:val="20"/>
        </w:rPr>
      </w:pPr>
      <w:r w:rsidRPr="00290F11">
        <w:rPr>
          <w:b/>
          <w:szCs w:val="20"/>
        </w:rPr>
        <w:t>Il-politika agrikola komuni għandha rwol importanti sabiex tikkontribwixxi għal tkabbir intelliġenti permezz tal-innovazzjoni</w:t>
      </w:r>
      <w:r w:rsidRPr="00290F11">
        <w:t xml:space="preserve">. It-twassil tat-tliet objettivi tal-PAK jirrikjedi li jinħolqu, jiġu kondiviżi u implimentati għarfien ġdid, teknoloġiji ġodda, prodotti ġodda u modi ġodda għall-organizzazzjoni, it-tagħlim jew il-kooperazzjoni. </w:t>
      </w:r>
    </w:p>
    <w:p w:rsidR="00A45935" w:rsidRPr="00290F11" w:rsidRDefault="00A45935" w:rsidP="00E05D08">
      <w:pPr>
        <w:spacing w:after="120" w:line="280" w:lineRule="atLeast"/>
        <w:mirrorIndents/>
        <w:rPr>
          <w:rFonts w:eastAsia="Calibri" w:cs="Times New Roman"/>
          <w:szCs w:val="20"/>
        </w:rPr>
      </w:pPr>
      <w:r w:rsidRPr="00290F11">
        <w:rPr>
          <w:b/>
          <w:szCs w:val="20"/>
        </w:rPr>
        <w:t xml:space="preserve">L-arkitettura tal-politika ta’ żvilupp rurali fil-perjodu 2014-2020 tenfasizza l-importanza tal-innovazzjoni </w:t>
      </w:r>
      <w:r w:rsidRPr="00290F11">
        <w:t>fil-fażijiet tat-tfassil u l-implimentazzjoni tal-programm.</w:t>
      </w:r>
      <w:r w:rsidRPr="00290F11">
        <w:rPr>
          <w:rFonts w:eastAsia="Times New Roman" w:cs="Times New Roman"/>
          <w:szCs w:val="20"/>
          <w:vertAlign w:val="superscript"/>
          <w:lang w:eastAsia="de-DE"/>
        </w:rPr>
        <w:footnoteReference w:id="19"/>
      </w:r>
      <w:r w:rsidRPr="00290F11">
        <w:t xml:space="preserve"> L-innovazzjoni fl-iżvilupp rurali tista’ tirrigwardja firxa varja ta’ oqsma, inklużi: l-iżvilupp fl-azjenda agrikola, l-organizzazzjoni tal-katina </w:t>
      </w:r>
      <w:r w:rsidRPr="00290F11">
        <w:lastRenderedPageBreak/>
        <w:t>alimentari u l-ġestjoni tar-riskju, il-preservazzjoni u t-tisħiħ tal-ekosistemi, il-promozzjoni tal-inklużjoni soċjali, it-tnaqqis tal-faqar, l-iżvilupp ekonomiku f’żoni rurali, eċċ.</w:t>
      </w:r>
    </w:p>
    <w:p w:rsidR="00A45935" w:rsidRPr="00290F11" w:rsidRDefault="00A45935" w:rsidP="00230C31">
      <w:pPr>
        <w:pStyle w:val="HHeading4"/>
        <w:rPr>
          <w:rFonts w:eastAsia="Calibri"/>
        </w:rPr>
      </w:pPr>
      <w:r w:rsidRPr="00290F11">
        <w:t>L-innovazzjoni kif inhi msejsa fil-programmi tal-iżvilupp rurali?</w:t>
      </w:r>
    </w:p>
    <w:p w:rsidR="00A45935" w:rsidRPr="00290F11" w:rsidRDefault="00347A2C" w:rsidP="00E05D08">
      <w:pPr>
        <w:spacing w:after="120" w:line="280" w:lineRule="atLeast"/>
        <w:mirrorIndents/>
        <w:rPr>
          <w:rFonts w:eastAsia="Times New Roman" w:cs="Times New Roman"/>
          <w:szCs w:val="20"/>
        </w:rPr>
      </w:pPr>
      <w:r w:rsidRPr="00290F11">
        <w:rPr>
          <w:b/>
          <w:szCs w:val="20"/>
        </w:rPr>
        <w:t>Deskrizzjoni tal-“approċċ tal-PŻR lejn l-innovazzjoni bil-għan li jinkisbu l-prijoritajiet tal-Unjoni għall-iżvilupp rurali”</w:t>
      </w:r>
      <w:r w:rsidRPr="00290F11">
        <w:t xml:space="preserve"> hija inkluża fl-istrateġija tal-PŻR</w:t>
      </w:r>
      <w:r w:rsidRPr="00290F11">
        <w:rPr>
          <w:rFonts w:eastAsia="Times New Roman" w:cs="Times New Roman"/>
          <w:szCs w:val="20"/>
          <w:vertAlign w:val="superscript"/>
          <w:lang w:eastAsia="de-DE"/>
        </w:rPr>
        <w:footnoteReference w:id="20"/>
      </w:r>
      <w:r w:rsidRPr="00290F11">
        <w:t>. Din id-deskrizzjoni tinkludi wkoll l-EIP għall-produttività u s-sostenibbiltà fil-qasam agrikolu. Kull strateġija tindirizza, fil-livell ta’ kull prijorità tal-Unjoni, il-ħtiġijiet speċifiċi li jikkonċernaw l-innovazzjoni, kif identifikati fl-analiżi SWOT u fil-valutazzjoni tal-ħtiġijiet</w:t>
      </w:r>
      <w:r w:rsidRPr="00290F11">
        <w:rPr>
          <w:rFonts w:eastAsia="Times New Roman" w:cs="Times New Roman"/>
          <w:szCs w:val="20"/>
          <w:vertAlign w:val="superscript"/>
          <w:lang w:eastAsia="de-DE"/>
        </w:rPr>
        <w:footnoteReference w:id="21"/>
      </w:r>
      <w:r w:rsidRPr="00290F11">
        <w:t>. Barra minn hekk, il-prijoritajiet kollha tal-Unjoni għandhom jikkontribwixxu għall-objettiv trażversali rigward l-innovazzjoni</w:t>
      </w:r>
      <w:r w:rsidRPr="00290F11">
        <w:rPr>
          <w:rFonts w:eastAsia="Times New Roman" w:cs="Times New Roman"/>
          <w:szCs w:val="20"/>
          <w:vertAlign w:val="superscript"/>
          <w:lang w:eastAsia="de-DE"/>
        </w:rPr>
        <w:footnoteReference w:id="22"/>
      </w:r>
      <w:r w:rsidRPr="00290F11">
        <w:t xml:space="preserve">. </w:t>
      </w:r>
    </w:p>
    <w:p w:rsidR="00A45935" w:rsidRPr="00290F11" w:rsidRDefault="00A45935" w:rsidP="00E05D08">
      <w:pPr>
        <w:spacing w:after="120" w:line="280" w:lineRule="atLeast"/>
        <w:mirrorIndents/>
        <w:rPr>
          <w:rFonts w:eastAsia="Times New Roman" w:cs="Times New Roman"/>
          <w:szCs w:val="20"/>
        </w:rPr>
      </w:pPr>
      <w:r w:rsidRPr="00290F11">
        <w:t xml:space="preserve">Minbarra li hija objettiv trażversali, l-innovazzjoni hija meqjusa wkoll fil-PŻR bħala parti minn żewġ </w:t>
      </w:r>
      <w:r w:rsidR="00ED27A4" w:rsidRPr="00290F11">
        <w:t>oqsma ta' prijorità</w:t>
      </w:r>
      <w:r w:rsidRPr="00290F11">
        <w:t xml:space="preserve"> trażversali tal-Unjoni Nru 1 “Trawwim tat-trasferiment tal-għarfien u l-innovazzjoni fl-agrikoltura, fil-forestrija u fiż-żoni rurali”: </w:t>
      </w:r>
    </w:p>
    <w:p w:rsidR="00A45935" w:rsidRPr="002B5B92" w:rsidRDefault="00794C2E" w:rsidP="008C0B17">
      <w:pPr>
        <w:numPr>
          <w:ilvl w:val="0"/>
          <w:numId w:val="70"/>
        </w:numPr>
        <w:mirrorIndents/>
        <w:rPr>
          <w:szCs w:val="20"/>
        </w:rPr>
      </w:pPr>
      <w:r w:rsidRPr="002B5B92">
        <w:t>OP</w:t>
      </w:r>
      <w:r w:rsidR="00A45935" w:rsidRPr="002B5B92">
        <w:t xml:space="preserve"> 1A: it-trawwim tal-innovazzjoni, il-kooperazzjoni u l-iżvilupp tal-bażi tal-għarfien fiż-żoni rurali,</w:t>
      </w:r>
    </w:p>
    <w:p w:rsidR="00A45935" w:rsidRPr="002B5B92" w:rsidRDefault="00794C2E" w:rsidP="008C0B17">
      <w:pPr>
        <w:numPr>
          <w:ilvl w:val="0"/>
          <w:numId w:val="70"/>
        </w:numPr>
        <w:mirrorIndents/>
        <w:rPr>
          <w:szCs w:val="20"/>
        </w:rPr>
      </w:pPr>
      <w:r w:rsidRPr="002B5B92">
        <w:t>OP</w:t>
      </w:r>
      <w:r w:rsidR="00A45935" w:rsidRPr="002B5B92">
        <w:t xml:space="preserve"> 1B: it-tisħiħ tar-rabtiet bejn l-agrikoltura, il-produzzjoni tal-ikel u l-forestrija u r-riċerka u l-innovazzjoni, inkluż għall-iskop ta’ ġestjoni u prestazzjoni ambjentali mtejba.</w:t>
      </w:r>
    </w:p>
    <w:p w:rsidR="00A45935" w:rsidRPr="002B5B92" w:rsidRDefault="00A45935" w:rsidP="00E05D08">
      <w:pPr>
        <w:spacing w:after="120" w:line="280" w:lineRule="atLeast"/>
        <w:mirrorIndents/>
        <w:rPr>
          <w:rFonts w:eastAsia="Times New Roman" w:cs="Times New Roman"/>
          <w:szCs w:val="20"/>
          <w:shd w:val="clear" w:color="auto" w:fill="FFFFFF"/>
        </w:rPr>
      </w:pPr>
      <w:r w:rsidRPr="002B5B92">
        <w:rPr>
          <w:b/>
          <w:szCs w:val="20"/>
        </w:rPr>
        <w:t>Il-PŻR għandhom flessibilità konsiderevoli fl-użu u l-kombinament ta’ miżuri</w:t>
      </w:r>
      <w:r w:rsidRPr="002B5B92">
        <w:t xml:space="preserve"> maħsuba biex jindirizzaw il-ħtiġijiet tal-innovazzjoni u territorjali speċifiċi u l-kapaċità tagħhom li jiksbu sinerġiji. Il-miżuri jistgħu jiġu pprogrammati taħt diversi prijoritajiet u </w:t>
      </w:r>
      <w:r w:rsidR="00ED27A4" w:rsidRPr="002B5B92">
        <w:t>oqsma ta' prijorità</w:t>
      </w:r>
      <w:r w:rsidRPr="002B5B92">
        <w:t xml:space="preserve"> bil-għan li jimmassimizzaw il-kontribuzzjonijiet tagħhom għall-objettivi rilevanti. </w:t>
      </w:r>
      <w:r w:rsidRPr="002B5B92">
        <w:rPr>
          <w:szCs w:val="20"/>
          <w:shd w:val="clear" w:color="auto" w:fill="FFFFFF"/>
        </w:rPr>
        <w:t xml:space="preserve">Xi miżuri ta’ PŻR jista’ saħansitra jkollhom effetti aktar diretti fuq l-innovazzjoni, jiġifieri taħt </w:t>
      </w:r>
      <w:r w:rsidR="00794C2E" w:rsidRPr="002B5B92">
        <w:rPr>
          <w:szCs w:val="20"/>
          <w:shd w:val="clear" w:color="auto" w:fill="FFFFFF"/>
        </w:rPr>
        <w:t>OP</w:t>
      </w:r>
      <w:r w:rsidRPr="002B5B92">
        <w:rPr>
          <w:szCs w:val="20"/>
          <w:shd w:val="clear" w:color="auto" w:fill="FFFFFF"/>
        </w:rPr>
        <w:t> 1A u 1B:</w:t>
      </w:r>
    </w:p>
    <w:p w:rsidR="00A45935" w:rsidRPr="002B5B92" w:rsidRDefault="00A45935" w:rsidP="008C0B17">
      <w:pPr>
        <w:numPr>
          <w:ilvl w:val="0"/>
          <w:numId w:val="51"/>
        </w:numPr>
        <w:spacing w:before="60" w:after="120" w:line="280" w:lineRule="atLeast"/>
        <w:ind w:left="567" w:hanging="567"/>
        <w:mirrorIndents/>
        <w:rPr>
          <w:rFonts w:eastAsia="Times New Roman" w:cs="Times New Roman"/>
          <w:szCs w:val="20"/>
        </w:rPr>
      </w:pPr>
      <w:r w:rsidRPr="002B5B92">
        <w:t>M1 Trasferiment tal-għarfien u azzjonijiet ta’ informazzjoni</w:t>
      </w:r>
    </w:p>
    <w:p w:rsidR="00A45935" w:rsidRPr="002B5B92" w:rsidRDefault="00A45935" w:rsidP="008C0B17">
      <w:pPr>
        <w:numPr>
          <w:ilvl w:val="0"/>
          <w:numId w:val="51"/>
        </w:numPr>
        <w:spacing w:before="60" w:after="120" w:line="280" w:lineRule="atLeast"/>
        <w:ind w:left="567" w:hanging="567"/>
        <w:mirrorIndents/>
        <w:rPr>
          <w:rFonts w:eastAsia="Times New Roman" w:cs="Times New Roman"/>
          <w:szCs w:val="20"/>
        </w:rPr>
      </w:pPr>
      <w:r w:rsidRPr="002B5B92">
        <w:t>M2 Servizzi ta’ konsulenza</w:t>
      </w:r>
    </w:p>
    <w:p w:rsidR="00A45935" w:rsidRPr="002B5B92" w:rsidRDefault="00A45935" w:rsidP="008C0B17">
      <w:pPr>
        <w:numPr>
          <w:ilvl w:val="0"/>
          <w:numId w:val="51"/>
        </w:numPr>
        <w:spacing w:before="60" w:after="120" w:line="280" w:lineRule="atLeast"/>
        <w:ind w:left="567" w:hanging="567"/>
        <w:mirrorIndents/>
        <w:rPr>
          <w:rFonts w:eastAsia="Times New Roman" w:cs="Times New Roman"/>
          <w:szCs w:val="20"/>
        </w:rPr>
      </w:pPr>
      <w:r w:rsidRPr="002B5B92">
        <w:t>M16 Kooperazzjoni (tappoġġja l-istabbiliment u t-tħaddim ta’ gruppi operazzjonali tal-EIP-AGRI).</w:t>
      </w:r>
    </w:p>
    <w:p w:rsidR="00A45935" w:rsidRPr="002B5B92" w:rsidRDefault="00A45935" w:rsidP="008C0B17">
      <w:pPr>
        <w:numPr>
          <w:ilvl w:val="0"/>
          <w:numId w:val="51"/>
        </w:numPr>
        <w:spacing w:before="60" w:after="120" w:line="280" w:lineRule="atLeast"/>
        <w:ind w:left="567" w:hanging="567"/>
        <w:mirrorIndents/>
        <w:rPr>
          <w:rFonts w:eastAsia="Times New Roman" w:cs="Times New Roman"/>
          <w:szCs w:val="20"/>
        </w:rPr>
      </w:pPr>
      <w:r w:rsidRPr="002B5B92">
        <w:t>M19 LEADER/CLLD li tippromwovi l-innovazzjoni bħala wieħed mill-prinċipji ta’ LEADER u tinkoraġġixxi azzjonijiet innovattivi fuq skala żgħira fl-aspetti kollha tal-ħajja rurali (ekonomiċi, soċjali u ambjentali)</w:t>
      </w:r>
    </w:p>
    <w:p w:rsidR="00A45935" w:rsidRPr="002B5B92" w:rsidRDefault="00A45935" w:rsidP="00E05D08">
      <w:pPr>
        <w:spacing w:after="120" w:line="280" w:lineRule="atLeast"/>
        <w:mirrorIndents/>
        <w:rPr>
          <w:rFonts w:eastAsia="Times New Roman" w:cs="Times New Roman"/>
          <w:szCs w:val="20"/>
          <w:shd w:val="clear" w:color="auto" w:fill="FFFFFF"/>
        </w:rPr>
      </w:pPr>
      <w:r w:rsidRPr="002B5B92">
        <w:rPr>
          <w:b/>
          <w:szCs w:val="20"/>
        </w:rPr>
        <w:t xml:space="preserve">Il-miżuri li jippromwovu l-innovazzjoni jistgħu jiġu pprogrammati wkoll taħt </w:t>
      </w:r>
      <w:r w:rsidR="00ED27A4" w:rsidRPr="002B5B92">
        <w:rPr>
          <w:b/>
          <w:szCs w:val="20"/>
        </w:rPr>
        <w:t>oqsma ta' prijorità</w:t>
      </w:r>
      <w:r w:rsidRPr="002B5B92">
        <w:rPr>
          <w:b/>
          <w:szCs w:val="20"/>
        </w:rPr>
        <w:t xml:space="preserve"> oħrajn.</w:t>
      </w:r>
      <w:r w:rsidRPr="002B5B92">
        <w:t xml:space="preserve"> M16, pereżempju, tista’ tiġi marbuta mal-biċċa l-kbira tal-</w:t>
      </w:r>
      <w:r w:rsidR="00ED27A4" w:rsidRPr="002B5B92">
        <w:rPr>
          <w:b/>
          <w:szCs w:val="20"/>
        </w:rPr>
        <w:t>oqsma ta' prijorità</w:t>
      </w:r>
      <w:r w:rsidRPr="002B5B92">
        <w:t xml:space="preserve"> u mal-prijoritajiet ta’ żvilupp rurali. Hija l-miżura ta’ żvilupp rurali ewlenija li tappoġġja </w:t>
      </w:r>
      <w:r w:rsidRPr="002B5B92">
        <w:rPr>
          <w:b/>
          <w:szCs w:val="20"/>
          <w:shd w:val="clear" w:color="auto" w:fill="FFFFFF"/>
        </w:rPr>
        <w:t>s-Sħubija Ewropea għall-Innovazzjoni: Produttività u Sostenibbiltà fil-Qasam Agrikolu</w:t>
      </w:r>
      <w:r w:rsidRPr="002B5B92">
        <w:rPr>
          <w:szCs w:val="20"/>
          <w:shd w:val="clear" w:color="auto" w:fill="FFFFFF"/>
        </w:rPr>
        <w:t xml:space="preserve"> (EIP-AGRI). </w:t>
      </w:r>
    </w:p>
    <w:p w:rsidR="00A45935" w:rsidRPr="002B5B92" w:rsidRDefault="00A45935" w:rsidP="00E05D08">
      <w:pPr>
        <w:spacing w:after="120" w:line="280" w:lineRule="atLeast"/>
        <w:mirrorIndents/>
        <w:rPr>
          <w:rFonts w:eastAsia="Times New Roman" w:cs="Times New Roman"/>
          <w:szCs w:val="20"/>
          <w:shd w:val="clear" w:color="auto" w:fill="FFFFFF"/>
        </w:rPr>
      </w:pPr>
      <w:r w:rsidRPr="002B5B92">
        <w:br w:type="page"/>
      </w:r>
    </w:p>
    <w:p w:rsidR="00A45935" w:rsidRPr="002B5B92" w:rsidRDefault="00A45935" w:rsidP="00E05D08">
      <w:pPr>
        <w:spacing w:after="120" w:line="280" w:lineRule="atLeast"/>
        <w:mirrorIndents/>
        <w:rPr>
          <w:rFonts w:eastAsia="Times New Roman" w:cs="Times New Roman"/>
          <w:szCs w:val="20"/>
          <w:shd w:val="clear" w:color="auto" w:fill="FFFFFF"/>
          <w:lang w:eastAsia="de-DE"/>
        </w:rPr>
        <w:sectPr w:rsidR="00A45935" w:rsidRPr="002B5B92" w:rsidSect="001F6F07">
          <w:endnotePr>
            <w:numFmt w:val="decimal"/>
          </w:endnotePr>
          <w:type w:val="continuous"/>
          <w:pgSz w:w="11906" w:h="16838" w:code="9"/>
          <w:pgMar w:top="1440" w:right="1440" w:bottom="1134" w:left="1440" w:header="567" w:footer="1021" w:gutter="0"/>
          <w:cols w:space="708"/>
          <w:noEndnote/>
          <w:docGrid w:linePitch="360"/>
        </w:sectPr>
      </w:pPr>
    </w:p>
    <w:p w:rsidR="00D461AB" w:rsidRPr="002B5B92" w:rsidRDefault="00290F11" w:rsidP="00EA0974">
      <w:pPr>
        <w:spacing w:before="240" w:after="120" w:line="280" w:lineRule="atLeast"/>
        <w:mirrorIndents/>
        <w:rPr>
          <w:rFonts w:eastAsia="Times New Roman" w:cs="Times New Roman"/>
          <w:color w:val="FFFFFF" w:themeColor="background1"/>
          <w:szCs w:val="20"/>
          <w:shd w:val="clear" w:color="auto" w:fill="FFFFFF"/>
        </w:rPr>
      </w:pPr>
      <w:r w:rsidRPr="002B5B92">
        <w:rPr>
          <w:rFonts w:eastAsia="Times New Roman" w:cs="Times New Roman"/>
          <w:noProof/>
          <w:szCs w:val="20"/>
          <w:lang w:val="en-GB" w:eastAsia="en-GB"/>
        </w:rPr>
        <w:lastRenderedPageBreak/>
        <mc:AlternateContent>
          <mc:Choice Requires="wps">
            <w:drawing>
              <wp:anchor distT="0" distB="0" distL="114300" distR="114300" simplePos="0" relativeHeight="251706368" behindDoc="0" locked="0" layoutInCell="1" allowOverlap="1" wp14:anchorId="0C5002B6" wp14:editId="7484A4E7">
                <wp:simplePos x="0" y="0"/>
                <wp:positionH relativeFrom="page">
                  <wp:posOffset>920750</wp:posOffset>
                </wp:positionH>
                <wp:positionV relativeFrom="paragraph">
                  <wp:posOffset>408940</wp:posOffset>
                </wp:positionV>
                <wp:extent cx="5671820" cy="4305300"/>
                <wp:effectExtent l="0" t="0" r="24130" b="19050"/>
                <wp:wrapSquare wrapText="bothSides"/>
                <wp:docPr id="58" name="Rectangle: Diagonal Corners Rounded 58"/>
                <wp:cNvGraphicFramePr/>
                <a:graphic xmlns:a="http://schemas.openxmlformats.org/drawingml/2006/main">
                  <a:graphicData uri="http://schemas.microsoft.com/office/word/2010/wordprocessingShape">
                    <wps:wsp>
                      <wps:cNvSpPr/>
                      <wps:spPr>
                        <a:xfrm>
                          <a:off x="0" y="0"/>
                          <a:ext cx="5671820" cy="4305300"/>
                        </a:xfrm>
                        <a:prstGeom prst="round2DiagRect">
                          <a:avLst>
                            <a:gd name="adj1" fmla="val 6224"/>
                            <a:gd name="adj2" fmla="val 0"/>
                          </a:avLst>
                        </a:prstGeom>
                        <a:noFill/>
                        <a:ln w="25400" cap="flat" cmpd="sng" algn="ctr">
                          <a:solidFill>
                            <a:srgbClr val="BE4A35"/>
                          </a:solidFill>
                          <a:prstDash val="solid"/>
                        </a:ln>
                        <a:effectLst/>
                      </wps:spPr>
                      <wps:txbx>
                        <w:txbxContent>
                          <w:p w:rsidR="005570DA" w:rsidRPr="002F0ABF" w:rsidRDefault="005570DA" w:rsidP="00E05D08">
                            <w:pPr>
                              <w:pStyle w:val="HStandard"/>
                              <w:rPr>
                                <w:sz w:val="18"/>
                                <w:szCs w:val="18"/>
                              </w:rPr>
                            </w:pPr>
                            <w:r>
                              <w:rPr>
                                <w:noProof/>
                                <w:lang w:val="en-GB" w:eastAsia="en-GB"/>
                              </w:rPr>
                              <w:drawing>
                                <wp:inline distT="0" distB="0" distL="0" distR="0" wp14:anchorId="06F74E05" wp14:editId="5878BE0D">
                                  <wp:extent cx="664845" cy="487680"/>
                                  <wp:effectExtent l="0" t="0" r="0" b="7620"/>
                                  <wp:docPr id="94"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L-EIP-AGRI hija parti mill-Istrateġija ta’ Ewropa 2020 sabiex titħaffef l-innovazzjoni tal-UE, li trawwem settur agrikolu u forestali kompetittiv u sostenibbli li “jikseb aktar minn inqas”. L-EIP-AGRI tikkontribwixxi għall-iżgurar ta’ provvista stabbli ta’ ikel, għalf u bijomaterjali, filwaqt li taħdem f’armonija mar-riżorsi naturali essenzjali li fuqhom tiddependi l-biedja. L-EIP-AGRI tlaqqa’ flimkien atturi tal-innovazzjoni (bdiewa, konsulenti, riċerkaturi, negozji, NGOs, eċċ.) fil-livell tal-UE u fi ħdan il-programmi tal-iżvilupp rurali fil-forma ta’ GO. Tali innovazzjonijiet jistgħu jkunu teknoloġiċi, iżda wkoll mhux teknoloġiċi, organizzattivi jew soċjali. L-innovazzjoni tista’ tkun ibbażata kemm fuq prattiki ġodda kif ukoll tradizzjonali f’kuntest ġeografiku jew ambjentali ġdid. Il-GO tal-EIP huma bbażati fuq il-proġetti u jindirizzaw ċerti problemi jew opportunitajiet (prattiċi), li jistgħu jwasslu għal innovazzjoni u jikkontribwixxu sabiex jintlaħqu l-objettivi tal-programm. Kull GO huwa magħmul minn dawk l-atturi ewlenin (eż. bdiewa, konsulenti, riċerkaturi, negozji, NGOs) li huma fl-aħjar pożizzjoni sabiex jilħqu l-miri tal-proġett, jikkondividu l-esperjenzi tal-implimentazzjoni u jxerrdu l-eżiti b’mod wiesa’. L-approċċ tal-GO jagħmel l-aħjar użu minn tipi differenti ta’ għarfien (prattiku, xjentifiku, tekniku, organizzattiv, eċċ.) b’mod interattiv. Approċċ prattiku sabiex jappoġġja dan huwa “senserija tal-innovazzjoni”. Ir-regolament joffri 4 possibbiltajiet għall-finanzjament tas-senserija tal-innovazzjoni </w:t>
                            </w:r>
                            <w:r>
                              <w:rPr>
                                <w:sz w:val="18"/>
                                <w:szCs w:val="18"/>
                                <w:vertAlign w:val="superscript"/>
                              </w:rPr>
                              <w:t>23</w:t>
                            </w:r>
                            <w:r>
                              <w:rPr>
                                <w:sz w:val="18"/>
                                <w:szCs w:val="18"/>
                              </w:rPr>
                              <w:t xml:space="preserve">. Is-senserija tal-innovazzjoni jista’ jkollha rwol importanti fl-iskoperta ta’ ideat innovattivi, billi tiffaċilita l-bidu ta’ GO, b’mod partikolari billi taġixxi bħala intermedjarja u tgħaqqad l-atturi tal-innovazzjoni (bdiewa, riċerkaturi, konsulenti, NGOs, eċċ.) fi proġetti ta’ innovazzjoni interattivi. “Sensar tal-innovazzjoni” jimmira li jiskopri inizjattivi minn isfel għal fuq, jgħin sabiex jiġu rfinuti ideat innovattivi u jipprovdi appoġġ sabiex jinstabu l-imsieħba u l-finanzjament. Il-kompitu ewlieni tas-sensar huwa li jgħin fit-tħejjija ta’ proposta tajba għal proġett innovattiv. </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002B6" id="Rectangle: Diagonal Corners Rounded 58" o:spid="_x0000_s1035" style="position:absolute;left:0;text-align:left;margin-left:72.5pt;margin-top:32.2pt;width:446.6pt;height:339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71820,430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" adj="-11796480,,5400" path="m267962,l5671820,r,l5671820,4037338v,147991,-119971,267962,-267962,267962l,4305300r,l,267962c,119971,119971,,267962,xe" filled="f" strokecolor="#be4a35" strokeweight="2pt">
                <v:stroke joinstyle="miter"/>
                <v:formulas/>
                <v:path arrowok="t" o:connecttype="custom" o:connectlocs="267962,0;5671820,0;5671820,0;5671820,4037338;5403858,4305300;0,4305300;0,4305300;0,267962;267962,0" o:connectangles="0,0,0,0,0,0,0,0,0" textboxrect="0,0,5671820,4305300"/>
                <v:textbox inset=",,,0">
                  <w:txbxContent>
                    <w:p w:rsidR="005570DA" w:rsidRPr="002F0ABF" w:rsidRDefault="005570DA" w:rsidP="00E05D08">
                      <w:pPr>
                        <w:pStyle w:val="HStandard"/>
                        <w:rPr>
                          <w:sz w:val="18"/>
                          <w:szCs w:val="18"/>
                        </w:rPr>
                      </w:pPr>
                      <w:r>
                        <w:rPr>
                          <w:noProof/>
                          <w:lang w:val="en-GB" w:eastAsia="en-GB"/>
                        </w:rPr>
                        <w:drawing>
                          <wp:inline distT="0" distB="0" distL="0" distR="0" wp14:anchorId="06F74E05" wp14:editId="5878BE0D">
                            <wp:extent cx="664845" cy="487680"/>
                            <wp:effectExtent l="0" t="0" r="0" b="7620"/>
                            <wp:docPr id="94"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L-EIP-AGRI hija parti mill-Istrateġija ta’ Ewropa 2020 sabiex titħaffef l-innovazzjoni tal-UE, li trawwem settur agrikolu u forestali kompetittiv u sostenibbli li “jikseb aktar minn inqas”. L-EIP-AGRI tikkontribwixxi għall-iżgurar ta’ provvista stabbli ta’ ikel, għalf u bijomaterjali, filwaqt li taħdem f’armonija mar-riżorsi naturali essenzjali li fuqhom tiddependi l-biedja. L-EIP-AGRI tlaqqa’ flimkien atturi tal-innovazzjoni (bdiewa, konsulenti, riċerkaturi, negozji, NGOs, eċċ.) fil-livell tal-UE u fi ħdan il-programmi tal-iżvilupp rurali fil-forma ta’ GO. Tali innovazzjonijiet jistgħu jkunu teknoloġiċi, iżda wkoll mhux teknoloġiċi, organizzattivi jew soċjali. L-innovazzjoni tista’ tkun ibbażata kemm fuq prattiki ġodda kif ukoll tradizzjonali f’kuntest ġeografiku jew ambjentali ġdid. Il-GO tal-EIP huma bbażati fuq il-proġetti u jindirizzaw ċerti problemi jew opportunitajiet (prattiċi), li jistgħu jwasslu għal innovazzjoni u jikkontribwixxu sabiex jintlaħqu l-objettivi tal-programm. Kull GO huwa magħmul minn dawk l-atturi ewlenin (eż. bdiewa, konsulenti, riċerkaturi, negozji, NGOs) li huma fl-aħjar pożizzjoni sabiex jilħqu l-miri tal-proġett, jikkondividu l-esperjenzi tal-implimentazzjoni u jxerrdu l-eżiti b’mod wiesa’. L-approċċ tal-GO jagħmel l-aħjar użu minn tipi differenti ta’ għarfien (prattiku, xjentifiku, tekniku, organizzattiv, eċċ.) b’mod interattiv. Approċċ prattiku sabiex jappoġġja dan huwa “senserija tal-innovazzjoni”. Ir-regolament joffri 4 possibbiltajiet għall-finanzjament tas-senserija tal-innovazzjoni </w:t>
                      </w:r>
                      <w:r>
                        <w:rPr>
                          <w:sz w:val="18"/>
                          <w:szCs w:val="18"/>
                          <w:vertAlign w:val="superscript"/>
                        </w:rPr>
                        <w:t>23</w:t>
                      </w:r>
                      <w:r>
                        <w:rPr>
                          <w:sz w:val="18"/>
                          <w:szCs w:val="18"/>
                        </w:rPr>
                        <w:t xml:space="preserve">. Is-senserija tal-innovazzjoni jista’ jkollha rwol importanti fl-iskoperta ta’ ideat innovattivi, billi tiffaċilita l-bidu ta’ GO, b’mod partikolari billi taġixxi bħala intermedjarja u tgħaqqad l-atturi tal-innovazzjoni (bdiewa, riċerkaturi, konsulenti, NGOs, eċċ.) fi proġetti ta’ innovazzjoni interattivi. “Sensar tal-innovazzjoni” jimmira li jiskopri inizjattivi minn isfel għal fuq, jgħin sabiex jiġu rfinuti ideat innovattivi u jipprovdi appoġġ sabiex jinstabu l-imsieħba u l-finanzjament. Il-kompitu ewlieni tas-sensar huwa li jgħin fit-tħejjija ta’ proposta tajba għal proġett innovattiv. </w:t>
                      </w:r>
                    </w:p>
                  </w:txbxContent>
                </v:textbox>
                <w10:wrap type="square" anchorx="page"/>
              </v:shape>
            </w:pict>
          </mc:Fallback>
        </mc:AlternateContent>
      </w:r>
      <w:r w:rsidR="00D461AB" w:rsidRPr="002B5B92">
        <w:rPr>
          <w:rStyle w:val="FootnoteReference"/>
          <w:rFonts w:eastAsia="Times New Roman" w:cs="Times New Roman"/>
          <w:color w:val="FFFFFF" w:themeColor="background1"/>
          <w:szCs w:val="20"/>
          <w:shd w:val="clear" w:color="auto" w:fill="FFFFFF"/>
          <w:lang w:eastAsia="de-DE"/>
        </w:rPr>
        <w:footnoteReference w:id="23"/>
      </w:r>
    </w:p>
    <w:p w:rsidR="00A45935" w:rsidRPr="002B5B92" w:rsidRDefault="00A45935" w:rsidP="00EA0974">
      <w:pPr>
        <w:spacing w:before="240" w:after="120" w:line="280" w:lineRule="atLeast"/>
        <w:mirrorIndents/>
        <w:rPr>
          <w:rFonts w:eastAsia="Times New Roman" w:cs="Times New Roman"/>
          <w:szCs w:val="20"/>
          <w:shd w:val="clear" w:color="auto" w:fill="FFFFFF"/>
        </w:rPr>
      </w:pPr>
      <w:r w:rsidRPr="002B5B92">
        <w:rPr>
          <w:szCs w:val="20"/>
          <w:shd w:val="clear" w:color="auto" w:fill="FFFFFF"/>
        </w:rPr>
        <w:t>Miżuri oħrajn</w:t>
      </w:r>
      <w:r w:rsidRPr="002B5B92">
        <w:rPr>
          <w:rFonts w:eastAsia="Times New Roman" w:cs="Times New Roman"/>
          <w:szCs w:val="20"/>
          <w:shd w:val="clear" w:color="auto" w:fill="FFFFFF"/>
          <w:vertAlign w:val="superscript"/>
          <w:lang w:eastAsia="de-DE"/>
        </w:rPr>
        <w:footnoteReference w:id="24"/>
      </w:r>
      <w:r w:rsidRPr="002B5B92">
        <w:rPr>
          <w:szCs w:val="20"/>
          <w:shd w:val="clear" w:color="auto" w:fill="FFFFFF"/>
        </w:rPr>
        <w:t xml:space="preserve"> li jsemmu speċifikament l-innovazzjoni huma, pereżempju:</w:t>
      </w:r>
    </w:p>
    <w:p w:rsidR="00A45935" w:rsidRPr="002B5B92"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sidRPr="002B5B92">
        <w:rPr>
          <w:szCs w:val="20"/>
          <w:shd w:val="clear" w:color="auto" w:fill="FFFFFF"/>
        </w:rPr>
        <w:t xml:space="preserve">It-twaqqif ta’ gruppi u organizzazzjonijiet ta’ produtturi, fejn l-attivitajiet jinkludu </w:t>
      </w:r>
      <w:r w:rsidRPr="002B5B92">
        <w:rPr>
          <w:i/>
          <w:szCs w:val="20"/>
          <w:shd w:val="clear" w:color="auto" w:fill="FFFFFF"/>
        </w:rPr>
        <w:t>inter alia</w:t>
      </w:r>
      <w:r w:rsidRPr="002B5B92">
        <w:rPr>
          <w:szCs w:val="20"/>
          <w:shd w:val="clear" w:color="auto" w:fill="FFFFFF"/>
        </w:rPr>
        <w:t xml:space="preserve"> l-“organizzazzjoni u l-faċilitazzjoni tal-proċessi tal-innovazzjoni”</w:t>
      </w:r>
      <w:r w:rsidRPr="002B5B92">
        <w:rPr>
          <w:rFonts w:eastAsia="Times New Roman" w:cs="Times New Roman"/>
          <w:szCs w:val="20"/>
          <w:shd w:val="clear" w:color="auto" w:fill="FFFFFF"/>
          <w:vertAlign w:val="superscript"/>
          <w:lang w:eastAsia="de-DE"/>
        </w:rPr>
        <w:footnoteReference w:id="25"/>
      </w:r>
      <w:r w:rsidRPr="002B5B92">
        <w:rPr>
          <w:szCs w:val="20"/>
          <w:shd w:val="clear" w:color="auto" w:fill="FFFFFF"/>
        </w:rPr>
        <w:t xml:space="preserve"> (M 9);</w:t>
      </w:r>
    </w:p>
    <w:p w:rsidR="00A45935" w:rsidRPr="002B5B92"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sidRPr="002B5B92">
        <w:rPr>
          <w:szCs w:val="20"/>
          <w:shd w:val="clear" w:color="auto" w:fill="FFFFFF"/>
        </w:rPr>
        <w:t>L-innovazzjoni hija wieħed mis-seba’ prinċipji ta’ LEADER/CLLD</w:t>
      </w:r>
      <w:r w:rsidRPr="002B5B92">
        <w:rPr>
          <w:rFonts w:eastAsia="Times New Roman" w:cs="Times New Roman"/>
          <w:szCs w:val="20"/>
          <w:shd w:val="clear" w:color="auto" w:fill="FFFFFF"/>
          <w:vertAlign w:val="superscript"/>
          <w:lang w:eastAsia="de-DE"/>
        </w:rPr>
        <w:footnoteReference w:id="26"/>
      </w:r>
      <w:r w:rsidRPr="002B5B92">
        <w:rPr>
          <w:szCs w:val="20"/>
          <w:shd w:val="clear" w:color="auto" w:fill="FFFFFF"/>
        </w:rPr>
        <w:t xml:space="preserve"> (M 19).</w:t>
      </w:r>
    </w:p>
    <w:p w:rsidR="00A45935" w:rsidRPr="002B5B92" w:rsidRDefault="00A45935" w:rsidP="00E05D08">
      <w:pPr>
        <w:spacing w:after="120" w:line="280" w:lineRule="atLeast"/>
        <w:mirrorIndents/>
        <w:rPr>
          <w:rFonts w:eastAsia="Times New Roman" w:cs="Times New Roman"/>
          <w:szCs w:val="20"/>
          <w:shd w:val="clear" w:color="auto" w:fill="FFFFFF"/>
        </w:rPr>
      </w:pPr>
      <w:r w:rsidRPr="002B5B92">
        <w:rPr>
          <w:b/>
          <w:szCs w:val="20"/>
          <w:shd w:val="clear" w:color="auto" w:fill="FFFFFF"/>
        </w:rPr>
        <w:t xml:space="preserve">Fil-prinċipju, kull miżura/submiżura tal-PŻR għandha l-potenzjal li trawwem l-innovazzjoni. </w:t>
      </w:r>
      <w:r w:rsidRPr="002B5B92">
        <w:rPr>
          <w:szCs w:val="20"/>
          <w:shd w:val="clear" w:color="auto" w:fill="FFFFFF"/>
        </w:rPr>
        <w:t xml:space="preserve">L-approċċ speċifiku lejn l-innovazzjoni magħżul mill-PŻR huwa espress fil-kriterji tal-eliġibbiltà u tal-għażla għal proġetti ta’ innovazzjoni u fil-kombinazzjoni ta’ miżuri taħt </w:t>
      </w:r>
      <w:r w:rsidR="00ED27A4" w:rsidRPr="002B5B92">
        <w:rPr>
          <w:szCs w:val="20"/>
          <w:shd w:val="clear" w:color="auto" w:fill="FFFFFF"/>
        </w:rPr>
        <w:t>oqsma ta' prijorità</w:t>
      </w:r>
      <w:r w:rsidRPr="002B5B92">
        <w:rPr>
          <w:szCs w:val="20"/>
          <w:shd w:val="clear" w:color="auto" w:fill="FFFFFF"/>
        </w:rPr>
        <w:t xml:space="preserve"> maħsuba biex jappoġġaw l-innovazzjoni (azzjonijiet ta’ għarfien, servizzi ta’ konsulenza, kooperazzjoni, investiment, netwerking, eċċ.). </w:t>
      </w:r>
      <w:r w:rsidRPr="002B5B92">
        <w:t xml:space="preserve">L-Awtoritajiet Maniġerjali jistgħu jużaw diversi approċċi sabiex jorganizzaw u jikkombinaw dawn il-miżuri mhux vinkolanti (eż. il-miżuri 1, 2 u 16) u vinkolanti </w:t>
      </w:r>
      <w:r w:rsidRPr="002B5B92">
        <w:rPr>
          <w:szCs w:val="20"/>
          <w:shd w:val="clear" w:color="auto" w:fill="FFFFFF"/>
        </w:rPr>
        <w:t>(l-appoġġ għall-investimenti, l-iżvilupp territorjali, il-kummerċjalizzazzjoni, l-ambjent, in-natura, eċċ.)</w:t>
      </w:r>
      <w:r w:rsidRPr="002B5B92">
        <w:rPr>
          <w:b/>
        </w:rPr>
        <w:t xml:space="preserve"> </w:t>
      </w:r>
      <w:r w:rsidRPr="002B5B92">
        <w:t>għall-promozzjoni tal-innovazzjoni</w:t>
      </w:r>
      <w:r w:rsidRPr="002B5B92">
        <w:rPr>
          <w:szCs w:val="20"/>
          <w:shd w:val="clear" w:color="auto" w:fill="FFFFFF"/>
        </w:rPr>
        <w:t>.</w:t>
      </w:r>
    </w:p>
    <w:p w:rsidR="00A45935" w:rsidRPr="002B5B92" w:rsidRDefault="00A45935" w:rsidP="000E0FE4">
      <w:pPr>
        <w:spacing w:after="120" w:line="280" w:lineRule="atLeast"/>
        <w:mirrorIndents/>
        <w:rPr>
          <w:rFonts w:eastAsia="Times New Roman" w:cs="Times New Roman"/>
          <w:szCs w:val="20"/>
          <w:shd w:val="clear" w:color="auto" w:fill="FFFFFF"/>
        </w:rPr>
      </w:pPr>
      <w:r w:rsidRPr="002B5B92">
        <w:rPr>
          <w:b/>
          <w:szCs w:val="20"/>
          <w:shd w:val="clear" w:color="auto" w:fill="FFFFFF"/>
        </w:rPr>
        <w:t xml:space="preserve">Jistgħu jsiru kontribuzzjonijiet sekondarji ta’ innovazzjonijiet għal </w:t>
      </w:r>
      <w:r w:rsidR="00ED27A4" w:rsidRPr="002B5B92">
        <w:rPr>
          <w:b/>
          <w:szCs w:val="20"/>
          <w:shd w:val="clear" w:color="auto" w:fill="FFFFFF"/>
        </w:rPr>
        <w:t>oqsma ta' prijorità</w:t>
      </w:r>
      <w:r w:rsidRPr="002B5B92">
        <w:rPr>
          <w:b/>
          <w:szCs w:val="20"/>
          <w:shd w:val="clear" w:color="auto" w:fill="FFFFFF"/>
        </w:rPr>
        <w:t xml:space="preserve"> oħrajn.</w:t>
      </w:r>
      <w:r w:rsidRPr="002B5B92">
        <w:rPr>
          <w:szCs w:val="20"/>
          <w:shd w:val="clear" w:color="auto" w:fill="FFFFFF"/>
        </w:rPr>
        <w:t xml:space="preserve"> Pereżempju, l-operazzjonijiet ta’ kooperazzjoni pprogrammati taħt </w:t>
      </w:r>
      <w:r w:rsidR="00794C2E" w:rsidRPr="002B5B92">
        <w:rPr>
          <w:szCs w:val="20"/>
          <w:shd w:val="clear" w:color="auto" w:fill="FFFFFF"/>
        </w:rPr>
        <w:t>OP</w:t>
      </w:r>
      <w:r w:rsidRPr="002B5B92">
        <w:rPr>
          <w:szCs w:val="20"/>
          <w:shd w:val="clear" w:color="auto" w:fill="FFFFFF"/>
        </w:rPr>
        <w:t> 2A jistgħu jipproduċu approċċ innovattiv għat-titjib tal-bijodiversità u, għalhekk, juru kontribuzzjonijiet sekondarji għall-</w:t>
      </w:r>
      <w:r w:rsidR="00794C2E" w:rsidRPr="002B5B92">
        <w:rPr>
          <w:szCs w:val="20"/>
          <w:shd w:val="clear" w:color="auto" w:fill="FFFFFF"/>
        </w:rPr>
        <w:t>OP</w:t>
      </w:r>
      <w:r w:rsidRPr="002B5B92">
        <w:rPr>
          <w:szCs w:val="20"/>
          <w:shd w:val="clear" w:color="auto" w:fill="FFFFFF"/>
        </w:rPr>
        <w:t xml:space="preserve"> 4A. Inkella, </w:t>
      </w:r>
      <w:r w:rsidRPr="002B5B92">
        <w:rPr>
          <w:szCs w:val="20"/>
          <w:shd w:val="clear" w:color="auto" w:fill="FFFFFF"/>
        </w:rPr>
        <w:lastRenderedPageBreak/>
        <w:t xml:space="preserve">l-azzjonijiet innovattivi ta’ GO jistgħu jiżviluppaw teknika ġdida, li tgħin sabiex tnaqqas id-danni għall-erożjoni tal-ħamrija kkawżati mill-produzzjoni agrikola primarja (ipprogrammata taħt </w:t>
      </w:r>
      <w:r w:rsidR="00794C2E" w:rsidRPr="002B5B92">
        <w:rPr>
          <w:szCs w:val="20"/>
          <w:shd w:val="clear" w:color="auto" w:fill="FFFFFF"/>
        </w:rPr>
        <w:t>OP</w:t>
      </w:r>
      <w:r w:rsidRPr="002B5B92">
        <w:rPr>
          <w:szCs w:val="20"/>
          <w:shd w:val="clear" w:color="auto" w:fill="FFFFFF"/>
        </w:rPr>
        <w:t xml:space="preserve"> 4Ċ). Madankollu, dan iżid ukoll il-kompetittività u l-aċċess għas-swieq (kontribuzzjoni sekondarja għal </w:t>
      </w:r>
      <w:r w:rsidR="00794C2E" w:rsidRPr="002B5B92">
        <w:rPr>
          <w:szCs w:val="20"/>
          <w:shd w:val="clear" w:color="auto" w:fill="FFFFFF"/>
        </w:rPr>
        <w:t>OP</w:t>
      </w:r>
      <w:r w:rsidRPr="002B5B92">
        <w:rPr>
          <w:szCs w:val="20"/>
          <w:shd w:val="clear" w:color="auto" w:fill="FFFFFF"/>
        </w:rPr>
        <w:t> 2A).</w:t>
      </w:r>
    </w:p>
    <w:p w:rsidR="00A45935" w:rsidRPr="002B5B92" w:rsidRDefault="00A45935" w:rsidP="00E05D08">
      <w:pPr>
        <w:spacing w:after="120" w:line="280" w:lineRule="atLeast"/>
        <w:mirrorIndents/>
        <w:rPr>
          <w:rFonts w:eastAsia="Times New Roman" w:cs="Times New Roman"/>
          <w:b/>
          <w:szCs w:val="20"/>
          <w:shd w:val="clear" w:color="auto" w:fill="FFFFFF"/>
        </w:rPr>
      </w:pPr>
      <w:r w:rsidRPr="002B5B92">
        <w:rPr>
          <w:b/>
          <w:szCs w:val="20"/>
          <w:shd w:val="clear" w:color="auto" w:fill="FFFFFF"/>
        </w:rPr>
        <w:t>In-netwerking fil-kuntest tal-politika ta’ żvilupp rurali għandu rwol importanti fit-trawwim tal-innovazzjoni:</w:t>
      </w:r>
    </w:p>
    <w:p w:rsidR="00A45935" w:rsidRPr="002B5B92" w:rsidRDefault="00A45935" w:rsidP="001744D0">
      <w:pPr>
        <w:pStyle w:val="Hlistbullet"/>
      </w:pPr>
      <w:r w:rsidRPr="002B5B92">
        <w:rPr>
          <w:b/>
          <w:shd w:val="clear" w:color="auto" w:fill="FFFFFF"/>
        </w:rPr>
        <w:t>In-netwerk tal-EIP</w:t>
      </w:r>
      <w:r w:rsidRPr="002B5B92">
        <w:rPr>
          <w:shd w:val="clear" w:color="auto" w:fill="FFFFFF"/>
        </w:rPr>
        <w:t xml:space="preserve"> huwa faċilità ta’ netwerk ġdida fil-perjodu 2014-2020, li ġiet implimentata speċifikament sabiex tappoġġja l-EIP-AGRI</w:t>
      </w:r>
      <w:r w:rsidRPr="002B5B92">
        <w:rPr>
          <w:rFonts w:cs="Arial"/>
          <w:vertAlign w:val="superscript"/>
        </w:rPr>
        <w:footnoteReference w:id="27"/>
      </w:r>
      <w:r w:rsidRPr="002B5B92">
        <w:t xml:space="preserve"> </w:t>
      </w:r>
      <w:r w:rsidRPr="002B5B92">
        <w:rPr>
          <w:shd w:val="clear" w:color="auto" w:fill="FFFFFF"/>
        </w:rPr>
        <w:t>- is-Sħubija Ewropea għall-Innovazzjoni għall-Produttività u s-Sostenibbiltà fil-Qasam Agrikolu. L-objettivi ewlenin tan-netwerk tal-EIP huma li jgħaqqad il-GO tal-EIP, li jiffaċilita l-iskambju ta’ għarfien, kompetenzi u prattiki tajbin u li jistabbilixxi djalogu bejn il-komunitajiet tal-biedja u tar-riċerka. In-netwerk tal-EIP-AGRI huwa mmexxi mill-Kummissjoni Ewropea (DĠ Agrikoltura u Żvilupp Rurali) bl-għajnuna tal-Punt tas-Servizz (PS). It-tim tal-PS jiffaċilita l-attivitajiet ta’ netwerking u jtejjeb il-komunikazzjoni u l-kondiviżjoni u l-iskambju tal-għarfien permezz ta’ konferenzi, gruppi fokus, workshops, seminars u pubblikazzjonijiet. L-iskop primarju huwa li jistimula l-interazzjoni bejn l-atturi kollha involuti fl-EIP-AGRI: bdiewa, riċerkaturi, konsulenti, NGOs, negozji, awtoritajiet pubbliċi, eċċ. Pjattaforma web interattiva tal-EIP tappoġġa l-funzjonijiet tan-netwerking. Din tippermetti n-networking tal-partijiet ikkonċernati kollha relatati mal-innovazzjoni, b’mod partikolari GO, servizzi ta’ konsulenza, riċerkaturi, bdiewa u partijiet ikkonċernati oħrajn fil-proċess tal-iskambju tal-għarfien.</w:t>
      </w:r>
    </w:p>
    <w:p w:rsidR="00EA0974" w:rsidRPr="002B5B92" w:rsidRDefault="00A45935" w:rsidP="001744D0">
      <w:pPr>
        <w:pStyle w:val="Hlistbullet"/>
        <w:rPr>
          <w:shd w:val="clear" w:color="auto" w:fill="FFFFFF"/>
        </w:rPr>
      </w:pPr>
      <w:r w:rsidRPr="002B5B92">
        <w:rPr>
          <w:b/>
          <w:shd w:val="clear" w:color="auto" w:fill="FFFFFF"/>
        </w:rPr>
        <w:t>In-Netwerks Rurali Nazzjonali</w:t>
      </w:r>
      <w:r w:rsidRPr="002B5B92">
        <w:rPr>
          <w:shd w:val="clear" w:color="auto" w:fill="FFFFFF"/>
        </w:rPr>
        <w:t xml:space="preserve"> (NRN) irawmu l-innovazzjoni fl-agrikoltura, fil-produzzjoni tal-ikel, fil-forestrija u fiż-żoni rurali</w:t>
      </w:r>
      <w:r w:rsidRPr="002B5B92">
        <w:rPr>
          <w:rFonts w:cs="Arial"/>
          <w:vertAlign w:val="superscript"/>
        </w:rPr>
        <w:footnoteReference w:id="28"/>
      </w:r>
      <w:r w:rsidRPr="002B5B92">
        <w:rPr>
          <w:shd w:val="clear" w:color="auto" w:fill="FFFFFF"/>
        </w:rPr>
        <w:t>. Huma jiġu appoġġati fil-livell tal-UE min-Netwerk Ewropew għall-Iżvilupp Rurali (ENRD). In-NRN jistgħu jaġixxu bħala “sensara tal-innovazzjoni”</w:t>
      </w:r>
      <w:r w:rsidRPr="002B5B92">
        <w:rPr>
          <w:rFonts w:cs="Arial"/>
          <w:shd w:val="clear" w:color="auto" w:fill="FFFFFF"/>
          <w:vertAlign w:val="superscript"/>
        </w:rPr>
        <w:footnoteReference w:id="29"/>
      </w:r>
      <w:r w:rsidRPr="002B5B92">
        <w:rPr>
          <w:shd w:val="clear" w:color="auto" w:fill="FFFFFF"/>
        </w:rPr>
        <w:t>, li jirrikjedu konnessjoni profonda</w:t>
      </w:r>
      <w:r w:rsidRPr="002B5B92">
        <w:t xml:space="preserve"> ma’ u fehim sħiħ tad-dinja agrikola, kif ukoll ħiliet ta’ komunikazzjoni żviluppati ħafna. </w:t>
      </w:r>
      <w:r w:rsidRPr="002B5B92">
        <w:rPr>
          <w:shd w:val="clear" w:color="auto" w:fill="FFFFFF"/>
        </w:rPr>
        <w:t>In-NRN jinteraġixxu man-netwerk tal-EIP sabiex jiksbu l-ispirazzjoni u jiskambjaw informazzjoni u approċċi sabiex jinċentivaw l-innovazzjoni. Minbarra li jiġbru prattiki u eżempji tajbin u jiffaċilitaw l-iskambji tematiċi bejn il-partijiet ikkonċernati tal-iżvilupp rurali, huma għandhom ukoll kompitu ddedikat li jgħaqqdu s-servizzi ta’ appoġġ għall-innovazzjoni u s-servizzi ta’ konsulenza</w:t>
      </w:r>
      <w:r w:rsidRPr="002B5B92">
        <w:rPr>
          <w:rFonts w:eastAsia="Calibri" w:cs="Arial"/>
          <w:shd w:val="clear" w:color="auto" w:fill="FFFFFF"/>
          <w:vertAlign w:val="superscript"/>
        </w:rPr>
        <w:footnoteReference w:id="30"/>
      </w:r>
      <w:r w:rsidRPr="002B5B92">
        <w:rPr>
          <w:shd w:val="clear" w:color="auto" w:fill="FFFFFF"/>
        </w:rPr>
        <w:t>. Dan jgħin sabiex jinqabdu ideat innovattivi mill-prattikanti.</w:t>
      </w:r>
    </w:p>
    <w:p w:rsidR="00A45935" w:rsidRPr="002B5B92" w:rsidRDefault="00A45935" w:rsidP="009B603C">
      <w:pPr>
        <w:pStyle w:val="HHeading3"/>
        <w:spacing w:line="280" w:lineRule="exact"/>
        <w:rPr>
          <w:shd w:val="clear" w:color="auto" w:fill="FFFFFF"/>
        </w:rPr>
      </w:pPr>
      <w:bookmarkStart w:id="24" w:name="_Toc508960914"/>
      <w:r w:rsidRPr="002B5B92">
        <w:t>L-elementi komuni tal-evalwazzjoni għall-innovazzjoni</w:t>
      </w:r>
      <w:bookmarkEnd w:id="24"/>
      <w:r w:rsidRPr="002B5B92">
        <w:t xml:space="preserve"> </w:t>
      </w:r>
    </w:p>
    <w:p w:rsidR="00A45935" w:rsidRPr="002B5B92" w:rsidRDefault="00A45935" w:rsidP="00E05D08">
      <w:pPr>
        <w:spacing w:after="120" w:line="280" w:lineRule="atLeast"/>
        <w:mirrorIndents/>
        <w:rPr>
          <w:rFonts w:eastAsia="Times New Roman" w:cs="Times New Roman"/>
          <w:b/>
          <w:szCs w:val="20"/>
          <w:shd w:val="clear" w:color="auto" w:fill="FFFFFF"/>
        </w:rPr>
      </w:pPr>
      <w:r w:rsidRPr="002B5B92">
        <w:rPr>
          <w:b/>
          <w:szCs w:val="20"/>
          <w:shd w:val="clear" w:color="auto" w:fill="FFFFFF"/>
        </w:rPr>
        <w:t>Il-pjan</w:t>
      </w:r>
      <w:r w:rsidRPr="002B5B92">
        <w:rPr>
          <w:szCs w:val="20"/>
          <w:shd w:val="clear" w:color="auto" w:fill="FFFFFF"/>
        </w:rPr>
        <w:t xml:space="preserve"> </w:t>
      </w:r>
      <w:r w:rsidRPr="002B5B92">
        <w:rPr>
          <w:b/>
          <w:szCs w:val="20"/>
          <w:shd w:val="clear" w:color="auto" w:fill="FFFFFF"/>
        </w:rPr>
        <w:t>ta’ evalwazzjoni</w:t>
      </w:r>
      <w:r w:rsidRPr="002B5B92">
        <w:rPr>
          <w:rFonts w:eastAsia="Times New Roman" w:cs="Times New Roman"/>
          <w:szCs w:val="20"/>
          <w:shd w:val="clear" w:color="auto" w:fill="FFFFFF"/>
          <w:vertAlign w:val="superscript"/>
          <w:lang w:eastAsia="de-DE"/>
        </w:rPr>
        <w:footnoteReference w:id="31"/>
      </w:r>
      <w:r w:rsidRPr="002B5B92">
        <w:rPr>
          <w:b/>
          <w:szCs w:val="20"/>
          <w:shd w:val="clear" w:color="auto" w:fill="FFFFFF"/>
        </w:rPr>
        <w:t xml:space="preserve"> (EP) inkluż fil-PŻR huwa l-punt tat-tluq għall-evalwazzjonijiet. </w:t>
      </w:r>
      <w:r w:rsidRPr="002B5B92">
        <w:rPr>
          <w:szCs w:val="20"/>
          <w:shd w:val="clear" w:color="auto" w:fill="FFFFFF"/>
        </w:rPr>
        <w:t>L-EP jispeċifika l-valutazzjoni tal-innovazzjoni fost dawk is-suġġetti u l-attivitajiet ta’ evalwazzjoni</w:t>
      </w:r>
      <w:r w:rsidRPr="002B5B92">
        <w:rPr>
          <w:b/>
          <w:szCs w:val="20"/>
          <w:shd w:val="clear" w:color="auto" w:fill="FFFFFF"/>
        </w:rPr>
        <w:t xml:space="preserve"> </w:t>
      </w:r>
      <w:r w:rsidRPr="002B5B92">
        <w:rPr>
          <w:szCs w:val="20"/>
          <w:shd w:val="clear" w:color="auto" w:fill="FFFFFF"/>
        </w:rPr>
        <w:t>marbuta ma’ kwistjonijiet trażversali. Ir-rapportar ta’ dawn l-attivitajiet relatati u s-sejbiet huma inklużi fir-rapporti ta’ implimentazzjoni annwali</w:t>
      </w:r>
      <w:r w:rsidRPr="002B5B92">
        <w:rPr>
          <w:rFonts w:eastAsia="Times New Roman" w:cs="Times New Roman"/>
          <w:szCs w:val="20"/>
          <w:shd w:val="clear" w:color="auto" w:fill="FFFFFF"/>
          <w:vertAlign w:val="superscript"/>
          <w:lang w:eastAsia="de-DE"/>
        </w:rPr>
        <w:footnoteReference w:id="32"/>
      </w:r>
      <w:r w:rsidRPr="002B5B92">
        <w:rPr>
          <w:szCs w:val="20"/>
          <w:shd w:val="clear" w:color="auto" w:fill="FFFFFF"/>
        </w:rPr>
        <w:t xml:space="preserve">. </w:t>
      </w:r>
    </w:p>
    <w:p w:rsidR="00A45935" w:rsidRPr="002B5B92" w:rsidRDefault="00A45935" w:rsidP="00E05D08">
      <w:pPr>
        <w:spacing w:after="120" w:line="280" w:lineRule="atLeast"/>
        <w:mirrorIndents/>
        <w:rPr>
          <w:rFonts w:eastAsia="Times New Roman" w:cs="Times New Roman"/>
          <w:szCs w:val="20"/>
          <w:shd w:val="clear" w:color="auto" w:fill="FFFFFF"/>
        </w:rPr>
      </w:pPr>
      <w:r w:rsidRPr="002B5B92">
        <w:rPr>
          <w:b/>
          <w:szCs w:val="20"/>
          <w:shd w:val="clear" w:color="auto" w:fill="FFFFFF"/>
        </w:rPr>
        <w:t>Is-Sistema Komuni ta’ Monitoraġġ u ta’ Evalwazzjoni (CMES)</w:t>
      </w:r>
      <w:r w:rsidRPr="002B5B92">
        <w:rPr>
          <w:szCs w:val="20"/>
          <w:shd w:val="clear" w:color="auto" w:fill="FFFFFF"/>
        </w:rPr>
        <w:t xml:space="preserve"> tinkludi l-elementi ta’ evalwazzjoni għall-valutazzjoni tal-innovazzjoni, jiġifieri l-mistoqsijiet komuni tal-evalwazzjoni (CEQs), il-kriterji komuni tal-ġudizzju u indikaturi komuni:</w:t>
      </w:r>
    </w:p>
    <w:p w:rsidR="00A45935" w:rsidRPr="002B5B92" w:rsidRDefault="00A45935" w:rsidP="00624393">
      <w:pPr>
        <w:pStyle w:val="HStandard"/>
      </w:pPr>
      <w:r w:rsidRPr="002B5B92">
        <w:t>Fil-</w:t>
      </w:r>
      <w:r w:rsidRPr="002B5B92">
        <w:rPr>
          <w:b/>
        </w:rPr>
        <w:t>livell ta’ qasam ta’ prijorità</w:t>
      </w:r>
      <w:r w:rsidRPr="002B5B92">
        <w:t xml:space="preserve">, hemm żewġ CEQs relatati mal-innovazzjoni li huma marbuta mal-objettivi ta’ </w:t>
      </w:r>
      <w:r w:rsidR="00794C2E" w:rsidRPr="002B5B92">
        <w:t>OP</w:t>
      </w:r>
      <w:r w:rsidRPr="002B5B92">
        <w:t xml:space="preserve"> 1A u </w:t>
      </w:r>
      <w:r w:rsidR="00794C2E" w:rsidRPr="002B5B92">
        <w:t>OP</w:t>
      </w:r>
      <w:r w:rsidRPr="002B5B92">
        <w:t> 1B. Dawn il-mistoqsijiet ikopru l-kontribuzzjonijiet tal-interventi f’termini tal-outputs u r-riżultati mistennija:</w:t>
      </w:r>
    </w:p>
    <w:p w:rsidR="00A45935" w:rsidRPr="002B5B92" w:rsidRDefault="00A45935" w:rsidP="00624393">
      <w:pPr>
        <w:pStyle w:val="Hlistbullet"/>
      </w:pPr>
      <w:r w:rsidRPr="002B5B92">
        <w:lastRenderedPageBreak/>
        <w:t xml:space="preserve">CEQ nru. 1: “Sa liema punt l-interventi tal-PŻR appoġġaw l-innovazzjoni, il-kooperazzjoni u l-iżvilupp tal-bażi tal-għarfien fiż-żoni rurali?” </w:t>
      </w:r>
    </w:p>
    <w:p w:rsidR="00A45935" w:rsidRPr="002B5B92" w:rsidRDefault="00A45935" w:rsidP="00624393">
      <w:pPr>
        <w:pStyle w:val="Hlistbullet"/>
      </w:pPr>
      <w:r w:rsidRPr="002B5B92">
        <w:t xml:space="preserve">CEQ nru. 2: “Sa liema punt l-interventi tal-PŻR appoġġaw it-tisħiħ tar-rabtiet bejn l-agrikoltura, il-produzzjoni tal-ikel, il-forestrija u r-riċerka u l-innovazzjoni, inkluż għall-fini ta’ ġestjoni u prestazzjoni ambjentali mtejba?” </w:t>
      </w:r>
    </w:p>
    <w:p w:rsidR="00A45935" w:rsidRPr="002B5B92" w:rsidRDefault="00A45935" w:rsidP="00624393">
      <w:pPr>
        <w:pStyle w:val="HStandard"/>
      </w:pPr>
      <w:r w:rsidRPr="002B5B92">
        <w:t xml:space="preserve">CEQ nru. 21: “Sa liema punt in-netwerk rurali nazzjonali kkontribwixxa sabiex jintlaħqu l-objettivi stipulati fl-Art. 54(2) tar-Regolament (UE) Nru 1305/2013?”. tirrigwardja </w:t>
      </w:r>
      <w:r w:rsidRPr="002B5B92">
        <w:rPr>
          <w:b/>
        </w:rPr>
        <w:t>aspetti oħrajn tal-PŻR</w:t>
      </w:r>
      <w:r w:rsidRPr="002B5B92">
        <w:t>, b’mod partikolari sabiex jiġu koperti l-outputs u r-riżultati li mistennija jinkisbu min-NRN. Din is-CEQ hija rilevanti għall-innovazzjoni minħabba li tikkonċerna l-objettiv (d) tal-Art. 54(2) li “titrawwem l-innovazzjoni fl-agrikoltura, fil-produzzjoni tal-ikel, fil-forestrija u fiż-żoni rurali”.</w:t>
      </w:r>
    </w:p>
    <w:p w:rsidR="00A45935" w:rsidRPr="002B5B92" w:rsidRDefault="00A45935" w:rsidP="00624393">
      <w:pPr>
        <w:pStyle w:val="HStandard"/>
      </w:pPr>
      <w:r w:rsidRPr="002B5B92">
        <w:t>Fil-</w:t>
      </w:r>
      <w:r w:rsidRPr="002B5B92">
        <w:rPr>
          <w:b/>
        </w:rPr>
        <w:t>livell tal-objettivi tal-UE</w:t>
      </w:r>
      <w:r w:rsidRPr="002B5B92">
        <w:t xml:space="preserve">, hemm żewġ CEQs relatati mal-innovazzjoni li jkopru l-kontribut tal-programmi f’termini tal-impatti mistennija. </w:t>
      </w:r>
    </w:p>
    <w:p w:rsidR="00A45935" w:rsidRPr="002B5B92" w:rsidRDefault="00A45935" w:rsidP="00624393">
      <w:pPr>
        <w:pStyle w:val="Hlistbullet"/>
      </w:pPr>
      <w:r w:rsidRPr="002B5B92">
        <w:t xml:space="preserve">CEQ nru. 23 hija relatata mal-kisba tal-mira ewlenija tal-UE: “Sa liema punt il-PŻR ikkontribwixxa għall-kisba tal-mira ewlenija tal-UE 2020 li jiġi investit 3 % tal-PDG tal-UE fir-riċerka u l-iżvilupp u fl-innovazzjoni? </w:t>
      </w:r>
    </w:p>
    <w:p w:rsidR="00A45935" w:rsidRPr="002B5B92" w:rsidRDefault="00A45935" w:rsidP="00624393">
      <w:pPr>
        <w:pStyle w:val="Hlistbullet"/>
      </w:pPr>
      <w:r w:rsidRPr="002B5B92">
        <w:t xml:space="preserve">CEQ nru. 30 tivvaluta l-innovazzjoni bħala objettiv trażversali: “Sa liema punt il-PŻR ikkontribwixxa għat-trawwim tal-innovazzjoni?” </w:t>
      </w:r>
    </w:p>
    <w:p w:rsidR="00A45935" w:rsidRPr="002B5B92" w:rsidRDefault="00A45935" w:rsidP="00E05D08">
      <w:pPr>
        <w:spacing w:after="120" w:line="280" w:lineRule="atLeast"/>
        <w:mirrorIndents/>
        <w:rPr>
          <w:rFonts w:eastAsia="Times New Roman" w:cs="Times New Roman"/>
          <w:szCs w:val="20"/>
          <w:shd w:val="clear" w:color="auto" w:fill="FFFFFF"/>
        </w:rPr>
      </w:pPr>
      <w:r w:rsidRPr="002B5B92">
        <w:rPr>
          <w:szCs w:val="20"/>
          <w:shd w:val="clear" w:color="auto" w:fill="FFFFFF"/>
        </w:rPr>
        <w:t xml:space="preserve">Il-figura li ġejja turi kif l-elementi komuni tal-evalwazzjoni (CEQ, il-kriterji tal-ġudizzju u l-indikaturi) huma relatati mal-qafas ta’ politika fil-livelli differenti. Hemm seba’ </w:t>
      </w:r>
      <w:r w:rsidRPr="002B5B92">
        <w:rPr>
          <w:b/>
          <w:szCs w:val="20"/>
          <w:shd w:val="clear" w:color="auto" w:fill="FFFFFF"/>
        </w:rPr>
        <w:t>indikaturi komuni</w:t>
      </w:r>
      <w:r w:rsidRPr="002B5B92">
        <w:rPr>
          <w:szCs w:val="20"/>
          <w:shd w:val="clear" w:color="auto" w:fill="FFFFFF"/>
        </w:rPr>
        <w:t xml:space="preserve"> assoċjati mal-mistoqsijiet komuni tal-evalwazzjoni għall-innovazzjoni: 5 indikaturi tal-output u 2 indikaturi fil-mira</w:t>
      </w:r>
      <w:r w:rsidRPr="002B5B92">
        <w:rPr>
          <w:rFonts w:eastAsia="Times New Roman" w:cs="Times New Roman"/>
          <w:szCs w:val="20"/>
          <w:shd w:val="clear" w:color="auto" w:fill="FFFFFF"/>
          <w:vertAlign w:val="superscript"/>
          <w:lang w:eastAsia="de-DE"/>
        </w:rPr>
        <w:footnoteReference w:id="33"/>
      </w:r>
      <w:r w:rsidRPr="002B5B92">
        <w:rPr>
          <w:szCs w:val="20"/>
          <w:shd w:val="clear" w:color="auto" w:fill="FFFFFF"/>
        </w:rPr>
        <w:t>.</w:t>
      </w:r>
    </w:p>
    <w:p w:rsidR="00A45935" w:rsidRPr="002B5B92" w:rsidRDefault="00EA0974" w:rsidP="00230C31">
      <w:pPr>
        <w:pStyle w:val="HHeadingfigures"/>
      </w:pPr>
      <w:bookmarkStart w:id="25" w:name="_Toc508964963"/>
      <w:r w:rsidRPr="002B5B92">
        <w:t>L-elementi komuni tal-evalwazzjoni għall-evalwazzjoni tal-innovazzjoni</w:t>
      </w:r>
      <w:bookmarkEnd w:id="25"/>
      <w:r w:rsidRPr="002B5B92">
        <w:t xml:space="preserve"> </w:t>
      </w:r>
    </w:p>
    <w:p w:rsidR="00A45935" w:rsidRPr="002B5B92" w:rsidRDefault="002466B2" w:rsidP="00E05D08">
      <w:pPr>
        <w:spacing w:before="60" w:after="140" w:line="220" w:lineRule="atLeast"/>
        <w:jc w:val="center"/>
        <w:rPr>
          <w:rFonts w:eastAsia="Times New Roman" w:cs="Arial"/>
          <w:szCs w:val="20"/>
          <w:shd w:val="clear" w:color="auto" w:fill="FFFFFF"/>
          <w:lang w:eastAsia="de-DE"/>
        </w:rPr>
      </w:pPr>
      <w:r>
        <w:rPr>
          <w:noProof/>
          <w:lang w:val="en-GB" w:eastAsia="en-GB"/>
        </w:rPr>
        <w:drawing>
          <wp:inline distT="0" distB="0" distL="0" distR="0" wp14:anchorId="1FB7393E" wp14:editId="531BB4A6">
            <wp:extent cx="5731510" cy="324720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3247206"/>
                    </a:xfrm>
                    <a:prstGeom prst="rect">
                      <a:avLst/>
                    </a:prstGeom>
                  </pic:spPr>
                </pic:pic>
              </a:graphicData>
            </a:graphic>
          </wp:inline>
        </w:drawing>
      </w:r>
    </w:p>
    <w:p w:rsidR="00A45935" w:rsidRPr="002B5B92" w:rsidRDefault="00A45935" w:rsidP="00E05D08">
      <w:pPr>
        <w:suppressAutoHyphens/>
        <w:spacing w:before="60" w:after="140" w:line="240" w:lineRule="auto"/>
        <w:ind w:left="1134" w:right="1134"/>
        <w:mirrorIndents/>
        <w:jc w:val="center"/>
        <w:rPr>
          <w:rFonts w:eastAsia="Times New Roman" w:cs="Times New Roman"/>
          <w:i/>
          <w:sz w:val="16"/>
          <w:szCs w:val="16"/>
        </w:rPr>
      </w:pPr>
      <w:r w:rsidRPr="002B5B92">
        <w:rPr>
          <w:i/>
          <w:sz w:val="16"/>
          <w:szCs w:val="16"/>
        </w:rPr>
        <w:t>Sors: Helpdesk Ewropew ta’ Evalwazzjoni għall-Iżvilupp Rurali, 2017</w:t>
      </w:r>
    </w:p>
    <w:p w:rsidR="00690E70" w:rsidRPr="002B5B92" w:rsidRDefault="00690E70">
      <w:pPr>
        <w:jc w:val="left"/>
        <w:rPr>
          <w:rFonts w:eastAsia="Times New Roman" w:cs="Times New Roman"/>
          <w:b/>
          <w:szCs w:val="20"/>
        </w:rPr>
      </w:pPr>
      <w:bookmarkStart w:id="26" w:name="_Toc493151897"/>
      <w:bookmarkStart w:id="27" w:name="_Toc501382124"/>
      <w:r w:rsidRPr="002B5B92">
        <w:br w:type="page"/>
      </w:r>
    </w:p>
    <w:p w:rsidR="00A45935" w:rsidRPr="002B5B92" w:rsidRDefault="00A45935" w:rsidP="00230C31">
      <w:pPr>
        <w:pStyle w:val="HHeading2"/>
      </w:pPr>
      <w:bookmarkStart w:id="28" w:name="_Toc508960915"/>
      <w:r w:rsidRPr="002B5B92">
        <w:lastRenderedPageBreak/>
        <w:t>L-isfidi fl-evalwazzjoni tal-innovazzjoni</w:t>
      </w:r>
      <w:bookmarkEnd w:id="26"/>
      <w:bookmarkEnd w:id="27"/>
      <w:bookmarkEnd w:id="28"/>
    </w:p>
    <w:p w:rsidR="00A45935" w:rsidRPr="002B5B92" w:rsidRDefault="00A45935" w:rsidP="00E05D08">
      <w:pPr>
        <w:spacing w:after="120" w:line="280" w:lineRule="atLeast"/>
        <w:mirrorIndents/>
        <w:rPr>
          <w:rFonts w:eastAsia="Times New Roman" w:cs="Times New Roman"/>
          <w:szCs w:val="20"/>
        </w:rPr>
      </w:pPr>
      <w:bookmarkStart w:id="29" w:name="_Toc476064466"/>
      <w:bookmarkStart w:id="30" w:name="_Toc476064526"/>
      <w:bookmarkStart w:id="31" w:name="_Toc476064467"/>
      <w:bookmarkStart w:id="32" w:name="_Toc476064527"/>
      <w:bookmarkStart w:id="33" w:name="_Toc476064468"/>
      <w:bookmarkStart w:id="34" w:name="_Toc476064528"/>
      <w:bookmarkStart w:id="35" w:name="_Toc476064469"/>
      <w:bookmarkStart w:id="36" w:name="_Toc476064529"/>
      <w:bookmarkStart w:id="37" w:name="_Toc476064470"/>
      <w:bookmarkStart w:id="38" w:name="_Toc476064530"/>
      <w:bookmarkStart w:id="39" w:name="_Toc476064471"/>
      <w:bookmarkStart w:id="40" w:name="_Toc476064531"/>
      <w:bookmarkStart w:id="41" w:name="_Toc476064472"/>
      <w:bookmarkStart w:id="42" w:name="_Toc476064532"/>
      <w:bookmarkStart w:id="43" w:name="_Toc476064473"/>
      <w:bookmarkStart w:id="44" w:name="_Toc476064533"/>
      <w:bookmarkStart w:id="45" w:name="_Toc476064474"/>
      <w:bookmarkStart w:id="46" w:name="_Toc476064534"/>
      <w:bookmarkStart w:id="47" w:name="_Toc476064475"/>
      <w:bookmarkStart w:id="48" w:name="_Toc476064535"/>
      <w:bookmarkStart w:id="49" w:name="_Toc476064476"/>
      <w:bookmarkStart w:id="50" w:name="_Toc476064536"/>
      <w:bookmarkStart w:id="51" w:name="_Toc476064477"/>
      <w:bookmarkStart w:id="52" w:name="_Toc476064537"/>
      <w:bookmarkStart w:id="53" w:name="_Toc476064478"/>
      <w:bookmarkStart w:id="54" w:name="_Toc476064538"/>
      <w:bookmarkStart w:id="55" w:name="_Toc476064479"/>
      <w:bookmarkStart w:id="56" w:name="_Toc476064539"/>
      <w:bookmarkStart w:id="57" w:name="_Toc476064481"/>
      <w:bookmarkStart w:id="58" w:name="_Toc476064541"/>
      <w:bookmarkStart w:id="59" w:name="_Toc476064482"/>
      <w:bookmarkStart w:id="60" w:name="_Toc476064542"/>
      <w:bookmarkStart w:id="61" w:name="_Toc476064483"/>
      <w:bookmarkStart w:id="62" w:name="_Toc476064543"/>
      <w:bookmarkStart w:id="63" w:name="_Toc476064484"/>
      <w:bookmarkStart w:id="64" w:name="_Toc476064544"/>
      <w:bookmarkStart w:id="65" w:name="_Toc476064485"/>
      <w:bookmarkStart w:id="66" w:name="_Toc476064545"/>
      <w:bookmarkStart w:id="67" w:name="_Toc476064486"/>
      <w:bookmarkStart w:id="68" w:name="_Toc476064546"/>
      <w:bookmarkStart w:id="69" w:name="_Toc476064487"/>
      <w:bookmarkStart w:id="70" w:name="_Toc476064547"/>
      <w:bookmarkStart w:id="71" w:name="_Toc476064488"/>
      <w:bookmarkStart w:id="72" w:name="_Toc476064548"/>
      <w:bookmarkStart w:id="73" w:name="_Toc476064489"/>
      <w:bookmarkStart w:id="74" w:name="_Toc476064549"/>
      <w:bookmarkStart w:id="75" w:name="_Toc476064490"/>
      <w:bookmarkStart w:id="76" w:name="_Toc476064550"/>
      <w:bookmarkStart w:id="77" w:name="_Toc476064491"/>
      <w:bookmarkStart w:id="78" w:name="_Toc47606455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2B5B92">
        <w:t>Hemm diversi sfidi li għandhom jiġu kkunsidrati meta tiġi evalwata l-innovazzjoni fil-PŻR.</w:t>
      </w:r>
    </w:p>
    <w:p w:rsidR="00A45935" w:rsidRPr="002B5B92" w:rsidRDefault="00A45935" w:rsidP="00230C31">
      <w:pPr>
        <w:pStyle w:val="HHeading4"/>
        <w:rPr>
          <w:rFonts w:eastAsia="Calibri"/>
        </w:rPr>
      </w:pPr>
      <w:r w:rsidRPr="002B5B92">
        <w:t xml:space="preserve">Sfidi kunċettwali </w:t>
      </w:r>
    </w:p>
    <w:p w:rsidR="00A45935" w:rsidRPr="002B5B92" w:rsidRDefault="00A45935" w:rsidP="00576A73">
      <w:pPr>
        <w:pStyle w:val="Hlistbullet"/>
      </w:pPr>
      <w:r w:rsidRPr="002B5B92">
        <w:rPr>
          <w:b/>
        </w:rPr>
        <w:t>L-identifikazzjoni b’mod ċar tas-suġġett tal-evalwazzjoni:</w:t>
      </w:r>
      <w:r w:rsidRPr="002B5B92">
        <w:t xml:space="preserve"> fuqiex qed tiffoka l-evalwazzjoni tal-innovazzjoni? </w:t>
      </w:r>
    </w:p>
    <w:p w:rsidR="00A45935" w:rsidRPr="002B5B92" w:rsidRDefault="00A45935" w:rsidP="00576A73">
      <w:pPr>
        <w:pStyle w:val="Hlistbullet"/>
      </w:pPr>
      <w:r w:rsidRPr="002B5B92">
        <w:rPr>
          <w:b/>
        </w:rPr>
        <w:t>L-immappjar tas-sistema ta’ għarfien u innovazzjoni</w:t>
      </w:r>
      <w:r w:rsidRPr="002B5B92">
        <w:t>: x’inhuma l-komponenti, ir-relazzjonijiet tagħhom u l-konfini ta’ sistema ta’ għarfien u innovazzjoni partikolari fiż-żona rurali li qed tiġi vvalutata? X’inhu r-rwol tal-PŻR fiha?</w:t>
      </w:r>
      <w:r w:rsidRPr="002B5B92">
        <w:rPr>
          <w:rFonts w:cs="Arial"/>
          <w:vertAlign w:val="superscript"/>
        </w:rPr>
        <w:footnoteReference w:id="34"/>
      </w:r>
    </w:p>
    <w:p w:rsidR="00A45935" w:rsidRPr="002B5B92" w:rsidRDefault="00A45935" w:rsidP="00576A73">
      <w:pPr>
        <w:pStyle w:val="Hlistbullet"/>
      </w:pPr>
      <w:r w:rsidRPr="002B5B92">
        <w:rPr>
          <w:b/>
        </w:rPr>
        <w:t>Ir-rieżami tal-approċċ tal-PŻR lejn l-innovazzjoni</w:t>
      </w:r>
      <w:r w:rsidRPr="002B5B92">
        <w:t>: X’inhu l-potenzjal ta’ innovazzjoni speċifiku ta’ PŻR partikolari? X’inhuma l-objettivi? Il-kriterji tal-għażla huma mfasslin speċifikament sabiex jindirizzaw l-innovazzjoni?</w:t>
      </w:r>
    </w:p>
    <w:p w:rsidR="00A45935" w:rsidRPr="002B5B92" w:rsidRDefault="00A45935" w:rsidP="00230C31">
      <w:pPr>
        <w:pStyle w:val="HHeading4"/>
        <w:rPr>
          <w:rFonts w:eastAsia="Calibri"/>
          <w:shd w:val="clear" w:color="auto" w:fill="FFFFFF"/>
        </w:rPr>
      </w:pPr>
      <w:r w:rsidRPr="002B5B92">
        <w:rPr>
          <w:shd w:val="clear" w:color="auto" w:fill="FFFFFF"/>
        </w:rPr>
        <w:t xml:space="preserve">L-isfidi marbuta mas-Sistema Komuni ta’ Monitoraġġ u ta’ Evalwazzjoni </w:t>
      </w:r>
    </w:p>
    <w:p w:rsidR="00A45935" w:rsidRPr="002B5B92" w:rsidRDefault="00A45935" w:rsidP="00576A73">
      <w:pPr>
        <w:pStyle w:val="Hlistbullet"/>
      </w:pPr>
      <w:r w:rsidRPr="002B5B92">
        <w:rPr>
          <w:b/>
        </w:rPr>
        <w:t xml:space="preserve">L-iżvilupp ta’ elementi tal-evalwazzjoni speċifiċi għall-programmi u addizzjonali: </w:t>
      </w:r>
      <w:r w:rsidRPr="002B5B92">
        <w:t xml:space="preserve">kif għandhom jitfasslu l-elementi tal-evalwazzjoni speċifiċi għall-programmi u addizzjonali relatati mal-evalwazzjoni tal-innovazzjoni? </w:t>
      </w:r>
    </w:p>
    <w:p w:rsidR="00A45935" w:rsidRPr="002B5B92" w:rsidRDefault="00A45935" w:rsidP="00576A73">
      <w:pPr>
        <w:pStyle w:val="Hlistbullet"/>
        <w:rPr>
          <w:b/>
        </w:rPr>
      </w:pPr>
      <w:r w:rsidRPr="002B5B92">
        <w:rPr>
          <w:b/>
        </w:rPr>
        <w:t xml:space="preserve">Rapportar tar-riżultati: </w:t>
      </w:r>
      <w:r w:rsidRPr="002B5B92">
        <w:t>kif għandhom jiġu allinjati l-proċeduri tal-evalwazzjoni mal-iskeda ta’ żmien tar-Rapport ta’ Implimentazzjoni Annwali fl-2019, kif ukoll mal-evalwazzjoni ‘ex post’ fl-2024?</w:t>
      </w:r>
    </w:p>
    <w:p w:rsidR="00A45935" w:rsidRPr="002B5B92" w:rsidRDefault="00A45935" w:rsidP="00230C31">
      <w:pPr>
        <w:pStyle w:val="HHeading4"/>
        <w:rPr>
          <w:rFonts w:eastAsia="Calibri"/>
          <w:shd w:val="clear" w:color="auto" w:fill="FFFFFF"/>
        </w:rPr>
      </w:pPr>
      <w:r w:rsidRPr="002B5B92">
        <w:rPr>
          <w:shd w:val="clear" w:color="auto" w:fill="FFFFFF"/>
        </w:rPr>
        <w:t xml:space="preserve">Sfidi metodoloġiċi </w:t>
      </w:r>
    </w:p>
    <w:p w:rsidR="00A45935" w:rsidRPr="002B5B92" w:rsidRDefault="00A45935" w:rsidP="00576A73">
      <w:pPr>
        <w:pStyle w:val="Hlistbullet"/>
        <w:rPr>
          <w:shd w:val="clear" w:color="auto" w:fill="FFFFFF"/>
        </w:rPr>
      </w:pPr>
      <w:r w:rsidRPr="002B5B92">
        <w:rPr>
          <w:shd w:val="clear" w:color="auto" w:fill="FFFFFF"/>
        </w:rPr>
        <w:t xml:space="preserve">L-attribuzzjoni tal-proċessi tal-innovazzjoni għall-interventi tal-PŻR: kif jitkejjel il-punt safejn il-proċessi tal-innovazzjoni ġġenerati fiż-żoni rurali jistgħu jiġu attribwiti direttament jew indirettament għall-interventi tal-PŻR? </w:t>
      </w:r>
    </w:p>
    <w:p w:rsidR="00A45935" w:rsidRPr="002B5B92" w:rsidRDefault="00A45935" w:rsidP="00576A73">
      <w:pPr>
        <w:pStyle w:val="Hlistbullet"/>
        <w:rPr>
          <w:shd w:val="clear" w:color="auto" w:fill="FFFFFF"/>
        </w:rPr>
      </w:pPr>
      <w:r w:rsidRPr="002B5B92">
        <w:rPr>
          <w:b/>
        </w:rPr>
        <w:t>L-attribuzzjoni tal-effetti tal-innovazzjoni għar-riżultati u l-impatti tal-PŻR</w:t>
      </w:r>
      <w:r w:rsidRPr="002B5B92">
        <w:rPr>
          <w:b/>
          <w:shd w:val="clear" w:color="auto" w:fill="FFFFFF"/>
        </w:rPr>
        <w:t>.</w:t>
      </w:r>
      <w:r w:rsidRPr="002B5B92">
        <w:rPr>
          <w:shd w:val="clear" w:color="auto" w:fill="FFFFFF"/>
        </w:rPr>
        <w:t xml:space="preserve"> </w:t>
      </w:r>
    </w:p>
    <w:p w:rsidR="00A45935" w:rsidRPr="002B5B92" w:rsidRDefault="00A45935" w:rsidP="00576A73">
      <w:pPr>
        <w:pStyle w:val="Hlistbullet"/>
        <w:rPr>
          <w:shd w:val="clear" w:color="auto" w:fill="FFFFFF"/>
        </w:rPr>
      </w:pPr>
      <w:r w:rsidRPr="002B5B92">
        <w:rPr>
          <w:b/>
          <w:shd w:val="clear" w:color="auto" w:fill="FFFFFF"/>
          <w14:textFill>
            <w14:solidFill>
              <w14:srgbClr w14:val="373737">
                <w14:lumMod w14:val="75000"/>
                <w14:lumMod w14:val="75000"/>
                <w14:lumMod w14:val="75000"/>
              </w14:srgbClr>
            </w14:solidFill>
          </w14:textFill>
        </w:rPr>
        <w:t>It-tfassil ta’ approċċi ta’ evalwazzjoni</w:t>
      </w:r>
      <w:r w:rsidRPr="002B5B92">
        <w:rPr>
          <w:shd w:val="clear" w:color="auto" w:fill="FFFFFF"/>
          <w14:textFill>
            <w14:solidFill>
              <w14:srgbClr w14:val="373737">
                <w14:lumMod w14:val="75000"/>
                <w14:lumMod w14:val="75000"/>
                <w14:lumMod w14:val="75000"/>
              </w14:srgbClr>
            </w14:solidFill>
          </w14:textFill>
        </w:rPr>
        <w:t xml:space="preserve"> </w:t>
      </w:r>
      <w:r w:rsidRPr="002B5B92">
        <w:rPr>
          <w:b/>
          <w:shd w:val="clear" w:color="auto" w:fill="FFFFFF"/>
          <w14:textFill>
            <w14:solidFill>
              <w14:srgbClr w14:val="373737">
                <w14:lumMod w14:val="75000"/>
                <w14:lumMod w14:val="75000"/>
                <w14:lumMod w14:val="75000"/>
              </w14:srgbClr>
            </w14:solidFill>
          </w14:textFill>
        </w:rPr>
        <w:t>adegwati:</w:t>
      </w:r>
      <w:r w:rsidRPr="002B5B92">
        <w:rPr>
          <w:shd w:val="clear" w:color="auto" w:fill="FFFFFF"/>
          <w14:textFill>
            <w14:solidFill>
              <w14:srgbClr w14:val="373737">
                <w14:lumMod w14:val="75000"/>
                <w14:lumMod w14:val="75000"/>
                <w14:lumMod w14:val="75000"/>
              </w14:srgbClr>
            </w14:solidFill>
          </w14:textFill>
        </w:rPr>
        <w:t xml:space="preserve"> Kif jiġu triangolati u mħalltin il-metodi kwantitattivi u kwalitattivi sabiex jiġu interpretati s-sejbiet tal-evalwazzjoni u informati l-konklużjonijiet u r-rakkomandazzjonijiet? </w:t>
      </w:r>
    </w:p>
    <w:p w:rsidR="00A45935" w:rsidRPr="002B5B92" w:rsidRDefault="00A45935" w:rsidP="00230C31">
      <w:pPr>
        <w:pStyle w:val="HHeading4"/>
        <w:rPr>
          <w:rFonts w:eastAsia="Calibri"/>
          <w:shd w:val="clear" w:color="auto" w:fill="FFFFFF"/>
        </w:rPr>
      </w:pPr>
      <w:r w:rsidRPr="002B5B92">
        <w:rPr>
          <w:shd w:val="clear" w:color="auto" w:fill="FFFFFF"/>
        </w:rPr>
        <w:t>Sfidi organizzattivi</w:t>
      </w:r>
    </w:p>
    <w:p w:rsidR="00A45935" w:rsidRPr="002B5B92" w:rsidRDefault="00A45935" w:rsidP="00576A73">
      <w:pPr>
        <w:pStyle w:val="Hlistbullet"/>
        <w:rPr>
          <w:rFonts w:eastAsia="Calibri"/>
        </w:rPr>
      </w:pPr>
      <w:r w:rsidRPr="002B5B92">
        <w:rPr>
          <w:b/>
        </w:rPr>
        <w:t>L-iżgurar ta’ ġestjoni effettiva u effikaċi tad-data</w:t>
      </w:r>
      <w:r w:rsidRPr="002B5B92">
        <w:t xml:space="preserve">: kif tiġi ġestita, miġbura u analizzata d-data relatata ma’ indikaturi komuni u addizzjonali, speċjalment meta l-ġestjoni tal-miżuri ta’ sostenn għall-innovazzjoni tiġi mifruxa fuq korpi responsabbli differenti? </w:t>
      </w:r>
    </w:p>
    <w:p w:rsidR="00A45935" w:rsidRPr="002B5B92" w:rsidRDefault="00A45935" w:rsidP="00576A73">
      <w:pPr>
        <w:pStyle w:val="Hlistbullet"/>
        <w:rPr>
          <w:rFonts w:eastAsia="Calibri"/>
        </w:rPr>
      </w:pPr>
      <w:r w:rsidRPr="002B5B92">
        <w:rPr>
          <w:b/>
        </w:rPr>
        <w:t>Il-koordinazzjoni tal-partijiet ikkonċernati involuti</w:t>
      </w:r>
      <w:r w:rsidRPr="002B5B92">
        <w:t>: kif tista’ titwaqqaf proċedura komuni u jinkiseb fehim komuni bejn l-Awtoritajiet Maniġerjali u fost diversi partijiet ikkonċernati involuti fl-evalwazzjoni tal-innovazzjoni (eż. GAL, GO tal-EIP, konsulenti tal-biedja/forestrija, riċerkaturi)?</w:t>
      </w:r>
    </w:p>
    <w:p w:rsidR="00A45935" w:rsidRPr="002B5B92" w:rsidRDefault="00A45935" w:rsidP="00576A73">
      <w:pPr>
        <w:pStyle w:val="Hlistbullet"/>
        <w:rPr>
          <w:rFonts w:eastAsia="Calibri"/>
        </w:rPr>
      </w:pPr>
      <w:r w:rsidRPr="002B5B92">
        <w:rPr>
          <w:b/>
        </w:rPr>
        <w:t>L-użu tas-sejbiet tal-evalwazzjoni għat-titjib tat-tfassil u l-implimentazzjoni tal-politika</w:t>
      </w:r>
      <w:r w:rsidRPr="002B5B92">
        <w:t xml:space="preserve">: kif isiru konklużjonijiet ta’ segwitu u rakkomandazzjonijiet mis-sejbiet tal-evalwazzjoni sabiex jittejbu </w:t>
      </w:r>
      <w:r w:rsidRPr="002B5B92">
        <w:lastRenderedPageBreak/>
        <w:t>l-programm tal-PŻR, it-trasparenza tiegħu, ir-responsabbiltà u t-tagħlim komuni fost il-partijiet ikkonċernati tal-PŻR?</w:t>
      </w:r>
    </w:p>
    <w:p w:rsidR="00230C31" w:rsidRPr="002B5B92" w:rsidRDefault="00230C31" w:rsidP="00626C0C">
      <w:pPr>
        <w:pStyle w:val="HHeading1"/>
        <w:tabs>
          <w:tab w:val="clear" w:pos="567"/>
        </w:tabs>
      </w:pPr>
      <w:bookmarkStart w:id="79" w:name="_Toc508960916"/>
      <w:r w:rsidRPr="002B5B92">
        <w:lastRenderedPageBreak/>
        <w:t>Kif tevalwa l-innovazzjoni fil-PŻR</w:t>
      </w:r>
      <w:bookmarkEnd w:id="79"/>
    </w:p>
    <w:p w:rsidR="00A45935" w:rsidRPr="002B5B92" w:rsidRDefault="00A45935" w:rsidP="00B421B9">
      <w:pPr>
        <w:pStyle w:val="HHeading2"/>
        <w:numPr>
          <w:ilvl w:val="1"/>
          <w:numId w:val="119"/>
        </w:numPr>
        <w:ind w:left="567" w:hanging="567"/>
      </w:pPr>
      <w:bookmarkStart w:id="80" w:name="_Toc476063931"/>
      <w:bookmarkStart w:id="81" w:name="_Toc476064198"/>
      <w:bookmarkStart w:id="82" w:name="_Toc476064493"/>
      <w:bookmarkStart w:id="83" w:name="_Toc476064553"/>
      <w:bookmarkStart w:id="84" w:name="_Toc508960917"/>
      <w:bookmarkStart w:id="85" w:name="_Toc493151899"/>
      <w:bookmarkStart w:id="86" w:name="_Toc501382126"/>
      <w:bookmarkEnd w:id="80"/>
      <w:bookmarkEnd w:id="81"/>
      <w:bookmarkEnd w:id="82"/>
      <w:bookmarkEnd w:id="83"/>
      <w:r w:rsidRPr="002B5B92">
        <w:t>Approċċ suġġerit għall-evalwazzjoni tal-innovazzjoni fil-PŻR 2014-2020 (ħarsa ġenerali)</w:t>
      </w:r>
      <w:bookmarkEnd w:id="84"/>
    </w:p>
    <w:bookmarkEnd w:id="85"/>
    <w:bookmarkEnd w:id="86"/>
    <w:p w:rsidR="00A45935" w:rsidRPr="002B5B92" w:rsidRDefault="00A45935" w:rsidP="00946806">
      <w:pPr>
        <w:pStyle w:val="HHeading4"/>
      </w:pPr>
      <w:r w:rsidRPr="002B5B92">
        <w:t>Il-ġestjoni tal-evalwazzjoni tal-innovazzjoni</w:t>
      </w:r>
    </w:p>
    <w:p w:rsidR="00A45935" w:rsidRPr="002B5B92" w:rsidRDefault="00A45935" w:rsidP="00E05D08">
      <w:pPr>
        <w:spacing w:after="120" w:line="280" w:lineRule="atLeast"/>
        <w:mirrorIndents/>
        <w:rPr>
          <w:rFonts w:eastAsia="Times New Roman" w:cs="Times New Roman"/>
          <w:szCs w:val="20"/>
        </w:rPr>
      </w:pPr>
      <w:r w:rsidRPr="002B5B92">
        <w:rPr>
          <w:b/>
          <w:szCs w:val="20"/>
        </w:rPr>
        <w:t>L-evalwazzjoni tal-innovazzjoni u r-rispons għall-mistoqsijiet tal-evalwazzjoni relatati mal-innovazzjoni huma parti mill-evalwazzjoni tal-PŻR.</w:t>
      </w:r>
      <w:r w:rsidRPr="002B5B92">
        <w:t xml:space="preserve"> </w:t>
      </w:r>
      <w:r w:rsidRPr="002B5B92">
        <w:rPr>
          <w:szCs w:val="20"/>
          <w:shd w:val="clear" w:color="auto" w:fill="FFFFFF"/>
        </w:rPr>
        <w:t>Għalhekk, huma tipikament jiġu ġestiti flimkien mal-attivitajiet l-oħrajn ta’ evalwazzjoni tal-PŻR</w:t>
      </w:r>
      <w:r w:rsidRPr="002B5B92">
        <w:rPr>
          <w:rFonts w:eastAsia="Calibri" w:cs="Times New Roman"/>
          <w:szCs w:val="20"/>
          <w:shd w:val="clear" w:color="auto" w:fill="FFFFFF"/>
          <w:vertAlign w:val="superscript"/>
          <w:lang w:eastAsia="de-DE"/>
        </w:rPr>
        <w:footnoteReference w:id="35"/>
      </w:r>
      <w:r w:rsidRPr="002B5B92">
        <w:rPr>
          <w:szCs w:val="20"/>
          <w:shd w:val="clear" w:color="auto" w:fill="FFFFFF"/>
        </w:rPr>
        <w:t>. Il-figura ta’ hawn taħt tipprovdi ħarsa ġenerali lejn dan il-proċess.</w:t>
      </w:r>
      <w:r w:rsidRPr="002B5B92">
        <w:t xml:space="preserve"> </w:t>
      </w:r>
    </w:p>
    <w:p w:rsidR="00A45935" w:rsidRPr="002B5B92" w:rsidRDefault="00A45935" w:rsidP="00E05D08">
      <w:pPr>
        <w:spacing w:after="120" w:line="280" w:lineRule="atLeast"/>
        <w:mirrorIndents/>
        <w:rPr>
          <w:rFonts w:eastAsia="Times New Roman" w:cs="Times New Roman"/>
          <w:szCs w:val="20"/>
        </w:rPr>
      </w:pPr>
      <w:r w:rsidRPr="002B5B92">
        <w:t xml:space="preserve">It-tħejjija, l-istrutturar u t-twettiq tal-evalwazzjoni tal-innovazzjoni huma deskritti fid-dettall fil-Kapitoli 2.2 sa 2.4. </w:t>
      </w:r>
    </w:p>
    <w:p w:rsidR="00A45935" w:rsidRPr="002B5B92" w:rsidRDefault="00A45935" w:rsidP="00B421B9">
      <w:pPr>
        <w:pStyle w:val="HHeadingfigures"/>
      </w:pPr>
      <w:bookmarkStart w:id="87" w:name="_Toc508964964"/>
      <w:r w:rsidRPr="002B5B92">
        <w:t>Il-ġestjoni tal-evalwazzjoni tal-innovazzjoni fil-PŻR 2014-2020</w:t>
      </w:r>
      <w:bookmarkEnd w:id="87"/>
    </w:p>
    <w:p w:rsidR="00A45935" w:rsidRPr="002B5B92" w:rsidRDefault="002466B2" w:rsidP="00E05D08">
      <w:pPr>
        <w:spacing w:after="120" w:line="280" w:lineRule="atLeast"/>
        <w:mirrorIndents/>
        <w:jc w:val="center"/>
        <w:rPr>
          <w:rFonts w:eastAsia="Times New Roman" w:cs="Times New Roman"/>
          <w:szCs w:val="20"/>
        </w:rPr>
      </w:pPr>
      <w:r>
        <w:rPr>
          <w:noProof/>
          <w:lang w:val="en-GB" w:eastAsia="en-GB"/>
        </w:rPr>
        <w:drawing>
          <wp:inline distT="0" distB="0" distL="0" distR="0" wp14:anchorId="68EE15D3" wp14:editId="10C83179">
            <wp:extent cx="5731510" cy="409724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4097244"/>
                    </a:xfrm>
                    <a:prstGeom prst="rect">
                      <a:avLst/>
                    </a:prstGeom>
                  </pic:spPr>
                </pic:pic>
              </a:graphicData>
            </a:graphic>
          </wp:inline>
        </w:drawing>
      </w:r>
    </w:p>
    <w:p w:rsidR="00A45935" w:rsidRPr="002B5B92" w:rsidRDefault="00A45935" w:rsidP="00E05D08">
      <w:pPr>
        <w:spacing w:after="120" w:line="280" w:lineRule="atLeast"/>
        <w:jc w:val="center"/>
        <w:rPr>
          <w:rFonts w:eastAsia="Calibri" w:cs="Arial"/>
          <w:bCs/>
          <w:i/>
          <w:sz w:val="16"/>
          <w:szCs w:val="16"/>
        </w:rPr>
      </w:pPr>
      <w:r w:rsidRPr="002B5B92">
        <w:rPr>
          <w:bCs/>
          <w:i/>
          <w:sz w:val="16"/>
          <w:szCs w:val="16"/>
        </w:rPr>
        <w:t>Sors: Helpdesk Ewropew ta’ Evalwazzjoni għall-Iżvilupp Rurali, 2017</w:t>
      </w:r>
    </w:p>
    <w:p w:rsidR="00A45935" w:rsidRPr="002B5B92" w:rsidRDefault="00A45935" w:rsidP="00E05D08">
      <w:pPr>
        <w:spacing w:after="120" w:line="280" w:lineRule="atLeast"/>
        <w:mirrorIndents/>
        <w:rPr>
          <w:rFonts w:eastAsia="Times New Roman" w:cs="Times New Roman"/>
          <w:szCs w:val="20"/>
        </w:rPr>
      </w:pPr>
      <w:r w:rsidRPr="002B5B92">
        <w:br w:type="page"/>
      </w:r>
    </w:p>
    <w:p w:rsidR="00A45935" w:rsidRPr="002B5B92" w:rsidRDefault="00A45935" w:rsidP="00946806">
      <w:pPr>
        <w:pStyle w:val="HHeading4"/>
      </w:pPr>
      <w:r w:rsidRPr="002B5B92">
        <w:lastRenderedPageBreak/>
        <w:t>Rapportar dwar l-evalwazzjoni tal-innovazzjoni</w:t>
      </w:r>
    </w:p>
    <w:p w:rsidR="00A45935" w:rsidRPr="002B5B92" w:rsidRDefault="00A45935" w:rsidP="00E05D08">
      <w:pPr>
        <w:spacing w:after="120" w:line="280" w:lineRule="atLeast"/>
        <w:mirrorIndents/>
        <w:rPr>
          <w:rFonts w:eastAsia="Times New Roman" w:cs="Times New Roman"/>
          <w:szCs w:val="20"/>
        </w:rPr>
      </w:pPr>
      <w:r w:rsidRPr="002B5B92">
        <w:rPr>
          <w:b/>
        </w:rPr>
        <w:t>Ir-rapportar tas-sejbiet tal-evalwazzjoni lill-Kummissjoni Ewropea huwa r-responsabbiltà</w:t>
      </w:r>
      <w:r w:rsidRPr="002B5B92">
        <w:rPr>
          <w:b/>
          <w:shd w:val="clear" w:color="auto" w:fill="FFFFFF"/>
        </w:rPr>
        <w:t xml:space="preserve"> </w:t>
      </w:r>
      <w:r w:rsidRPr="002B5B92">
        <w:rPr>
          <w:b/>
        </w:rPr>
        <w:t>tal-Awtoritajiet Maniġerjali</w:t>
      </w:r>
      <w:r w:rsidRPr="002B5B92">
        <w:rPr>
          <w:rFonts w:eastAsia="Times New Roman" w:cs="Times New Roman"/>
          <w:szCs w:val="20"/>
          <w:vertAlign w:val="superscript"/>
          <w:lang w:eastAsia="de-DE"/>
        </w:rPr>
        <w:footnoteReference w:id="36"/>
      </w:r>
      <w:r w:rsidRPr="002B5B92">
        <w:t xml:space="preserve">. Il-Figura 5 turi taħt liema CEQs is-sejbiet tal-evalwazzjoni dwar l-innovazzjoni jistgħu jiġu inklużi fl-AIRs fl-2017, fl-2019 u fl-evalwazzjoni ‘ex post’. </w:t>
      </w:r>
    </w:p>
    <w:p w:rsidR="00A45935" w:rsidRPr="002B5B92" w:rsidRDefault="00A45935" w:rsidP="00E05D08">
      <w:pPr>
        <w:spacing w:after="120" w:line="280" w:lineRule="atLeast"/>
        <w:mirrorIndents/>
        <w:rPr>
          <w:rFonts w:eastAsia="Times New Roman" w:cs="Times New Roman"/>
          <w:szCs w:val="20"/>
        </w:rPr>
      </w:pPr>
      <w:r w:rsidRPr="002B5B92">
        <w:rPr>
          <w:b/>
          <w:szCs w:val="20"/>
        </w:rPr>
        <w:t>Jistgħu jkunu mistennija sejbiet tal-evalwazzjoni sinifikanti dwar l-innovazzjoni fl-AIR fl-2019 u fl-evalwazzjoni ‘ex post’</w:t>
      </w:r>
      <w:r w:rsidRPr="002B5B92">
        <w:t>. Billi t-trawwim tal-innovazzjoni huwa meqjus bħala proċess, huwa diffiċli li jiġu osservati r-riżultati tiegħu fl-istadji bikrija tal-implimentazzjoni tal-programm.</w:t>
      </w:r>
    </w:p>
    <w:p w:rsidR="00A45935" w:rsidRPr="002B5B92" w:rsidRDefault="00533971" w:rsidP="008D178A">
      <w:pPr>
        <w:pStyle w:val="HHeadingfigures"/>
      </w:pPr>
      <w:bookmarkStart w:id="88" w:name="_Toc508964965"/>
      <w:r w:rsidRPr="002B5B92">
        <w:t>L-obbligi ta’ rapportar fir-rigward tal-innovazzjoni</w:t>
      </w:r>
      <w:bookmarkEnd w:id="88"/>
    </w:p>
    <w:p w:rsidR="00A45935" w:rsidRPr="002B5B92" w:rsidRDefault="002466B2" w:rsidP="00E05D08">
      <w:pPr>
        <w:spacing w:after="120" w:line="280" w:lineRule="atLeast"/>
        <w:mirrorIndents/>
        <w:jc w:val="center"/>
        <w:rPr>
          <w:rFonts w:eastAsia="Times New Roman" w:cs="Times New Roman"/>
          <w:szCs w:val="20"/>
          <w:lang w:eastAsia="de-DE"/>
        </w:rPr>
      </w:pPr>
      <w:r>
        <w:rPr>
          <w:noProof/>
          <w:lang w:val="en-GB" w:eastAsia="en-GB"/>
        </w:rPr>
        <w:drawing>
          <wp:inline distT="0" distB="0" distL="0" distR="0" wp14:anchorId="6B1E9F0F" wp14:editId="10C8F3D2">
            <wp:extent cx="5731510" cy="4241049"/>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4241049"/>
                    </a:xfrm>
                    <a:prstGeom prst="rect">
                      <a:avLst/>
                    </a:prstGeom>
                  </pic:spPr>
                </pic:pic>
              </a:graphicData>
            </a:graphic>
          </wp:inline>
        </w:drawing>
      </w:r>
    </w:p>
    <w:p w:rsidR="001744D0" w:rsidRPr="002B5B92" w:rsidRDefault="00A45935" w:rsidP="001744D0">
      <w:pPr>
        <w:suppressAutoHyphens/>
        <w:spacing w:before="60" w:after="140" w:line="240" w:lineRule="auto"/>
        <w:ind w:right="1134"/>
        <w:mirrorIndents/>
        <w:jc w:val="center"/>
        <w:rPr>
          <w:rFonts w:eastAsia="Times New Roman" w:cs="Times New Roman"/>
          <w:i/>
          <w:sz w:val="16"/>
          <w:szCs w:val="20"/>
        </w:rPr>
      </w:pPr>
      <w:r w:rsidRPr="002B5B92">
        <w:rPr>
          <w:i/>
          <w:sz w:val="16"/>
          <w:szCs w:val="20"/>
        </w:rPr>
        <w:t>Sors: Helpdesk Ewropew ta’ Evalwazzjoni għall-Iżvilupp Rurali, 2017</w:t>
      </w:r>
    </w:p>
    <w:p w:rsidR="00A45935" w:rsidRPr="002B5B92" w:rsidRDefault="00A45935" w:rsidP="001744D0">
      <w:r w:rsidRPr="002B5B92">
        <w:t>Għalhekk, dawn il-linji gwida jiffokaw fuq kif għandha tiġi indirizzata l-evalwazzjoni tal-innovazzjoni mill-2019 ’il quddiem.</w:t>
      </w:r>
    </w:p>
    <w:p w:rsidR="00A45935" w:rsidRPr="002B5B92" w:rsidRDefault="00A45935" w:rsidP="00804433">
      <w:pPr>
        <w:spacing w:after="120" w:line="280" w:lineRule="atLeast"/>
        <w:mirrorIndents/>
        <w:rPr>
          <w:rFonts w:eastAsia="Times New Roman" w:cs="Times New Roman"/>
          <w:szCs w:val="20"/>
        </w:rPr>
      </w:pPr>
      <w:r w:rsidRPr="002B5B92">
        <w:rPr>
          <w:b/>
          <w:szCs w:val="20"/>
        </w:rPr>
        <w:t>Formati ta’ rapportar oħrajn</w:t>
      </w:r>
      <w:r w:rsidRPr="002B5B92">
        <w:t>, minbarra dawk imfassla għal-livell tal-UE, jistgħu jintużaw mill-Awtorità Maniġerjali sabiex tinforma lill-atturi tal-innovazzjoni, lill-partijiet ikkonċernati tal-iżvilupp rurali u lill-pubbliku ġenerali dwar is-sejbiet tal-evalwazzjoni tal-PŻR (ara wkoll gwida oħra</w:t>
      </w:r>
      <w:r w:rsidRPr="002B5B92">
        <w:rPr>
          <w:rFonts w:eastAsia="Times New Roman" w:cs="Times New Roman"/>
          <w:szCs w:val="20"/>
          <w:vertAlign w:val="superscript"/>
          <w:lang w:eastAsia="de-DE"/>
        </w:rPr>
        <w:footnoteReference w:id="37"/>
      </w:r>
      <w:r w:rsidRPr="002B5B92">
        <w:t xml:space="preserve">). B’mod fakultattiv, xi Stati Membri jistgħu jiddeċiedu wkoll li jwettqu evalwazzjoni awtonoma tal-innovazzjoni u jħejju rapporti ta’ evalwazzjoni speċifiċi.  </w:t>
      </w:r>
    </w:p>
    <w:p w:rsidR="00583AC8" w:rsidRPr="002B5B92" w:rsidRDefault="00290F11" w:rsidP="00804433">
      <w:pPr>
        <w:spacing w:after="120" w:line="280" w:lineRule="atLeast"/>
        <w:mirrorIndents/>
        <w:rPr>
          <w:rFonts w:eastAsia="Times New Roman" w:cs="Times New Roman"/>
          <w:b/>
          <w:szCs w:val="20"/>
        </w:rPr>
      </w:pPr>
      <w:r w:rsidRPr="002B5B92">
        <w:rPr>
          <w:noProof/>
          <w:lang w:val="en-GB" w:eastAsia="en-GB"/>
        </w:rPr>
        <w:lastRenderedPageBreak/>
        <mc:AlternateContent>
          <mc:Choice Requires="wps">
            <w:drawing>
              <wp:anchor distT="180340" distB="0" distL="114300" distR="114300" simplePos="0" relativeHeight="251707392" behindDoc="0" locked="0" layoutInCell="1" allowOverlap="1" wp14:anchorId="083E6C06" wp14:editId="5DC2E683">
                <wp:simplePos x="0" y="0"/>
                <wp:positionH relativeFrom="page">
                  <wp:posOffset>859790</wp:posOffset>
                </wp:positionH>
                <wp:positionV relativeFrom="page">
                  <wp:posOffset>702310</wp:posOffset>
                </wp:positionV>
                <wp:extent cx="5826760" cy="2743200"/>
                <wp:effectExtent l="0" t="0" r="21590" b="19050"/>
                <wp:wrapTopAndBottom/>
                <wp:docPr id="61" name="Rectangle: Diagonal Corners Rounded 61"/>
                <wp:cNvGraphicFramePr/>
                <a:graphic xmlns:a="http://schemas.openxmlformats.org/drawingml/2006/main">
                  <a:graphicData uri="http://schemas.microsoft.com/office/word/2010/wordprocessingShape">
                    <wps:wsp>
                      <wps:cNvSpPr/>
                      <wps:spPr>
                        <a:xfrm>
                          <a:off x="0" y="0"/>
                          <a:ext cx="5826760" cy="2743200"/>
                        </a:xfrm>
                        <a:prstGeom prst="round2DiagRect">
                          <a:avLst>
                            <a:gd name="adj1" fmla="val 8810"/>
                            <a:gd name="adj2" fmla="val 0"/>
                          </a:avLst>
                        </a:prstGeom>
                        <a:noFill/>
                        <a:ln w="25400" cap="flat" cmpd="sng" algn="ctr">
                          <a:solidFill>
                            <a:srgbClr val="F07E31"/>
                          </a:solidFill>
                          <a:prstDash val="solid"/>
                        </a:ln>
                        <a:effectLst/>
                      </wps:spPr>
                      <wps:txbx>
                        <w:txbxContent>
                          <w:p w:rsidR="005570DA" w:rsidRPr="002B5B92" w:rsidRDefault="005570DA" w:rsidP="00E05D08">
                            <w:pPr>
                              <w:pStyle w:val="HStandard"/>
                              <w:rPr>
                                <w:b/>
                                <w:color w:val="F07E31"/>
                                <w:sz w:val="18"/>
                                <w:szCs w:val="18"/>
                              </w:rPr>
                            </w:pPr>
                            <w:r>
                              <w:rPr>
                                <w:noProof/>
                                <w:lang w:val="en-GB" w:eastAsia="en-GB"/>
                              </w:rPr>
                              <w:drawing>
                                <wp:inline distT="0" distB="0" distL="0" distR="0" wp14:anchorId="688FA094" wp14:editId="69104679">
                                  <wp:extent cx="353060" cy="359410"/>
                                  <wp:effectExtent l="0" t="0" r="8890" b="2540"/>
                                  <wp:docPr id="9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 xml:space="preserve">Eżempju: L-evalwazzjoni kontinwa </w:t>
                            </w:r>
                            <w:r w:rsidRPr="002B5B92">
                              <w:rPr>
                                <w:b/>
                                <w:color w:val="F07E31"/>
                                <w:sz w:val="18"/>
                                <w:szCs w:val="18"/>
                              </w:rPr>
                              <w:t>tal-EIP-AGRI fl-Iżvezja</w:t>
                            </w:r>
                          </w:p>
                          <w:p w:rsidR="005570DA" w:rsidRPr="00275EE5" w:rsidRDefault="005570DA" w:rsidP="00E05D08">
                            <w:pPr>
                              <w:pStyle w:val="HBox"/>
                            </w:pPr>
                            <w:r w:rsidRPr="002B5B92">
                              <w:rPr>
                                <w:bCs/>
                                <w14:textFill>
                                  <w14:solidFill>
                                    <w14:srgbClr w14:val="373737">
                                      <w14:lumMod w14:val="75000"/>
                                    </w14:srgbClr>
                                  </w14:solidFill>
                                </w14:textFill>
                              </w:rPr>
                              <w:t>Fl-Iżvezja, l-evalwazzjoni tal-innovazzjoni titwettaq bħala parti mill-evalwazzjoni tal-PŻR u tikkonsisti f’komponent ta’ evalwazzjoni kwantitattiva u kwalitattiva. Iż-żewġ komponenti jiġu ġestiti mis-Segretarjat tal-Evalwazzjoni</w:t>
                            </w:r>
                            <w:r w:rsidRPr="002B5B92">
                              <w:rPr>
                                <w:bCs/>
                                <w:vertAlign w:val="superscript"/>
                                <w14:textFill>
                                  <w14:solidFill>
                                    <w14:srgbClr w14:val="373737">
                                      <w14:lumMod w14:val="75000"/>
                                    </w14:srgbClr>
                                  </w14:solidFill>
                                </w14:textFill>
                              </w:rPr>
                              <w:t>38</w:t>
                            </w:r>
                            <w:r w:rsidRPr="002B5B92">
                              <w:rPr>
                                <w:bCs/>
                                <w14:textFill>
                                  <w14:solidFill>
                                    <w14:srgbClr w14:val="373737">
                                      <w14:lumMod w14:val="75000"/>
                                    </w14:srgbClr>
                                  </w14:solidFill>
                                </w14:textFill>
                              </w:rPr>
                              <w:t xml:space="preserve">. </w:t>
                            </w:r>
                            <w:r w:rsidRPr="002B5B92">
                              <w:t>L-evalwazzjoni kwantitattiva mistennija tipprovdi sejbiet biss għall-AIR li għandu jiġi sottomess fl-2019 u għall-evalwazzjoni ‘ex post’.</w:t>
                            </w:r>
                            <w:r w:rsidRPr="002B5B92">
                              <w:rPr>
                                <w:bCs/>
                                <w14:textFill>
                                  <w14:solidFill>
                                    <w14:srgbClr w14:val="373737">
                                      <w14:lumMod w14:val="75000"/>
                                    </w14:srgbClr>
                                  </w14:solidFill>
                                </w14:textFill>
                              </w:rPr>
                              <w:t xml:space="preserve"> L-adozzjoni tal-miżuri relatati mal-innovazzjoni kienet għadha pjuttost baxxa sabiex titwettaq valutazzjoni kwantitattiva</w:t>
                            </w:r>
                            <w:r>
                              <w:rPr>
                                <w:bCs/>
                                <w14:textFill>
                                  <w14:solidFill>
                                    <w14:srgbClr w14:val="373737">
                                      <w14:lumMod w14:val="75000"/>
                                    </w14:srgbClr>
                                  </w14:solidFill>
                                </w14:textFill>
                              </w:rPr>
                              <w:t xml:space="preserve"> fl-2017. L-evalwazzjoni kwalitattiva hija maħsuba bħala evalwazzjoni formattiva kontinwa u tiffoka fuq l-implimentazzjoni tal-EIP-AGRI. Hija titwettaq minn tim ta’ azzjoni ta’ riċerka mill-Università ta’ Umeå. Din l-evalwazzjoni kontinwa għandha l-għan li tipprovdi rispons kontinwu u rakkomandazzjonijiet għall-ġestjoni u l-implimentazzjoni tal-EIP-AGRI (PŻR M16). </w:t>
                            </w:r>
                            <w:r>
                              <w:t>Is-sejbiet huma mistennija matul il-perjodu ta’ programmazzjoni kollu, kif ukoll għall-AIRs sottomessi fl-2017 u fl-2019 u għall-evalwazzjoni ‘ex post’.</w:t>
                            </w:r>
                            <w:r>
                              <w:rPr>
                                <w:bCs/>
                                <w14:textFill>
                                  <w14:solidFill>
                                    <w14:srgbClr w14:val="373737">
                                      <w14:lumMod w14:val="75000"/>
                                    </w14:srgbClr>
                                  </w14:solidFill>
                                </w14:textFill>
                              </w:rPr>
                              <w:t xml:space="preserve"> Iż-żewġ komponenti ta’ evalwazzjoni jitwettqu minn evalwaturi indipendenti, li jintgħażlu permezz ta’ proċedura ta’ sejħa għall-offerti f’konformità mal-liġi dwar l-akkwist pubbliku.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E6C06" id="Rectangle: Diagonal Corners Rounded 61" o:spid="_x0000_s1036" style="position:absolute;left:0;text-align:left;margin-left:67.7pt;margin-top:55.3pt;width:458.8pt;height:3in;z-index:251707392;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middle" coordsize="5826760,27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" adj="-11796480,,5400" path="m241676,l5826760,r,l5826760,2501524v,133474,-108202,241676,-241676,241676l,2743200r,l,241676c,108202,108202,,241676,xe" filled="f" strokecolor="#f07e31" strokeweight="2pt">
                <v:stroke joinstyle="miter"/>
                <v:formulas/>
                <v:path arrowok="t" o:connecttype="custom" o:connectlocs="241676,0;5826760,0;5826760,0;5826760,2501524;5585084,2743200;0,2743200;0,2743200;0,241676;241676,0" o:connectangles="0,0,0,0,0,0,0,0,0" textboxrect="0,0,5826760,2743200"/>
                <v:textbox>
                  <w:txbxContent>
                    <w:p w:rsidR="005570DA" w:rsidRPr="002B5B92" w:rsidRDefault="005570DA" w:rsidP="00E05D08">
                      <w:pPr>
                        <w:pStyle w:val="HStandard"/>
                        <w:rPr>
                          <w:b/>
                          <w:color w:val="F07E31"/>
                          <w:sz w:val="18"/>
                          <w:szCs w:val="18"/>
                        </w:rPr>
                      </w:pPr>
                      <w:r>
                        <w:rPr>
                          <w:noProof/>
                          <w:lang w:val="en-GB" w:eastAsia="en-GB"/>
                        </w:rPr>
                        <w:drawing>
                          <wp:inline distT="0" distB="0" distL="0" distR="0" wp14:anchorId="688FA094" wp14:editId="69104679">
                            <wp:extent cx="353060" cy="359410"/>
                            <wp:effectExtent l="0" t="0" r="8890" b="2540"/>
                            <wp:docPr id="9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 xml:space="preserve">Eżempju: L-evalwazzjoni kontinwa </w:t>
                      </w:r>
                      <w:r w:rsidRPr="002B5B92">
                        <w:rPr>
                          <w:b/>
                          <w:color w:val="F07E31"/>
                          <w:sz w:val="18"/>
                          <w:szCs w:val="18"/>
                        </w:rPr>
                        <w:t>tal-EIP-AGRI fl-Iżvezja</w:t>
                      </w:r>
                    </w:p>
                    <w:p w:rsidR="005570DA" w:rsidRPr="00275EE5" w:rsidRDefault="005570DA" w:rsidP="00E05D08">
                      <w:pPr>
                        <w:pStyle w:val="HBox"/>
                      </w:pPr>
                      <w:r w:rsidRPr="002B5B92">
                        <w:rPr>
                          <w:bCs/>
                          <w14:textFill>
                            <w14:solidFill>
                              <w14:srgbClr w14:val="373737">
                                <w14:lumMod w14:val="75000"/>
                              </w14:srgbClr>
                            </w14:solidFill>
                          </w14:textFill>
                        </w:rPr>
                        <w:t>Fl-Iżvezja, l-evalwazzjoni tal-innovazzjoni titwettaq bħala parti mill-evalwazzjoni tal-PŻR u tikkonsisti f’komponent ta’ evalwazzjoni kwantitattiva u kwalitattiva. Iż-żewġ komponenti jiġu ġestiti mis-Segretarjat tal-Evalwazzjoni</w:t>
                      </w:r>
                      <w:r w:rsidRPr="002B5B92">
                        <w:rPr>
                          <w:bCs/>
                          <w:vertAlign w:val="superscript"/>
                          <w14:textFill>
                            <w14:solidFill>
                              <w14:srgbClr w14:val="373737">
                                <w14:lumMod w14:val="75000"/>
                              </w14:srgbClr>
                            </w14:solidFill>
                          </w14:textFill>
                        </w:rPr>
                        <w:t>38</w:t>
                      </w:r>
                      <w:r w:rsidRPr="002B5B92">
                        <w:rPr>
                          <w:bCs/>
                          <w14:textFill>
                            <w14:solidFill>
                              <w14:srgbClr w14:val="373737">
                                <w14:lumMod w14:val="75000"/>
                              </w14:srgbClr>
                            </w14:solidFill>
                          </w14:textFill>
                        </w:rPr>
                        <w:t xml:space="preserve">. </w:t>
                      </w:r>
                      <w:r w:rsidRPr="002B5B92">
                        <w:t>L-evalwazzjoni kwantitattiva mistennija tipprovdi sejbiet biss għall-AIR li għandu jiġi sottomess fl-2019 u għall-evalwazzjoni ‘ex post’.</w:t>
                      </w:r>
                      <w:r w:rsidRPr="002B5B92">
                        <w:rPr>
                          <w:bCs/>
                          <w14:textFill>
                            <w14:solidFill>
                              <w14:srgbClr w14:val="373737">
                                <w14:lumMod w14:val="75000"/>
                              </w14:srgbClr>
                            </w14:solidFill>
                          </w14:textFill>
                        </w:rPr>
                        <w:t xml:space="preserve"> L-adozzjoni tal-miżuri relatati mal-innovazzjoni kienet għadha pjuttost baxxa sabiex titwettaq valutazzjoni kwantitattiva</w:t>
                      </w:r>
                      <w:r>
                        <w:rPr>
                          <w:bCs/>
                          <w14:textFill>
                            <w14:solidFill>
                              <w14:srgbClr w14:val="373737">
                                <w14:lumMod w14:val="75000"/>
                              </w14:srgbClr>
                            </w14:solidFill>
                          </w14:textFill>
                        </w:rPr>
                        <w:t xml:space="preserve"> fl-2017. L-evalwazzjoni kwalitattiva hija maħsuba bħala evalwazzjoni formattiva kontinwa u tiffoka fuq l-implimentazzjoni tal-EIP-AGRI. Hija titwettaq minn tim ta’ azzjoni ta’ riċerka mill-Università ta’ Umeå. Din l-evalwazzjoni kontinwa għandha l-għan li tipprovdi rispons kontinwu u rakkomandazzjonijiet għall-ġestjoni u l-implimentazzjoni tal-EIP-AGRI (PŻR M16). </w:t>
                      </w:r>
                      <w:r>
                        <w:t>Is-sejbiet huma mistennija matul il-perjodu ta’ programmazzjoni kollu, kif ukoll għall-AIRs sottomessi fl-2017 u fl-2019 u għall-evalwazzjoni ‘ex post’.</w:t>
                      </w:r>
                      <w:r>
                        <w:rPr>
                          <w:bCs/>
                          <w14:textFill>
                            <w14:solidFill>
                              <w14:srgbClr w14:val="373737">
                                <w14:lumMod w14:val="75000"/>
                              </w14:srgbClr>
                            </w14:solidFill>
                          </w14:textFill>
                        </w:rPr>
                        <w:t xml:space="preserve"> Iż-żewġ komponenti ta’ evalwazzjoni jitwettqu minn evalwaturi indipendenti, li jintgħażlu permezz ta’ proċedura ta’ sejħa għall-offerti f’konformità mal-liġi dwar l-akkwist pubbliku.</w:t>
                      </w:r>
                    </w:p>
                  </w:txbxContent>
                </v:textbox>
                <w10:wrap type="topAndBottom" anchorx="page" anchory="page"/>
              </v:shape>
            </w:pict>
          </mc:Fallback>
        </mc:AlternateContent>
      </w:r>
      <w:r w:rsidR="00583AC8" w:rsidRPr="002B5B92">
        <w:rPr>
          <w:rStyle w:val="FootnoteReference"/>
          <w:rFonts w:eastAsia="Times New Roman" w:cs="Times New Roman"/>
          <w:color w:val="FFFFFF" w:themeColor="background1"/>
          <w:szCs w:val="20"/>
          <w:lang w:eastAsia="de-DE"/>
        </w:rPr>
        <w:footnoteReference w:id="38"/>
      </w:r>
    </w:p>
    <w:p w:rsidR="00A45935" w:rsidRPr="002B5B92" w:rsidRDefault="00626C0C" w:rsidP="00804433">
      <w:pPr>
        <w:spacing w:after="120" w:line="280" w:lineRule="atLeast"/>
        <w:mirrorIndents/>
        <w:rPr>
          <w:rFonts w:eastAsia="Times New Roman" w:cs="Times New Roman"/>
          <w:szCs w:val="20"/>
        </w:rPr>
      </w:pPr>
      <w:r w:rsidRPr="002B5B92">
        <w:rPr>
          <w:b/>
          <w:szCs w:val="20"/>
        </w:rPr>
        <w:t xml:space="preserve">Il-qafas legali </w:t>
      </w:r>
      <w:r w:rsidRPr="002B5B92">
        <w:rPr>
          <w:b/>
        </w:rPr>
        <w:t>jirrikjedi li jiġu mwieġba l-mistoqsijiet rilevanti kollha tal-evalwazzjoni relatata mal-innovazzjoni</w:t>
      </w:r>
      <w:r w:rsidRPr="002B5B92">
        <w:rPr>
          <w:rFonts w:eastAsia="Times New Roman" w:cs="Times New Roman"/>
          <w:szCs w:val="20"/>
          <w:vertAlign w:val="superscript"/>
          <w:lang w:eastAsia="de-DE"/>
        </w:rPr>
        <w:footnoteReference w:id="39"/>
      </w:r>
      <w:r w:rsidRPr="002B5B92">
        <w:t xml:space="preserve"> billi jiġu vvalutati l-indikaturi komuni rilevanti</w:t>
      </w:r>
      <w:r w:rsidRPr="002B5B92">
        <w:rPr>
          <w:rFonts w:eastAsia="Times New Roman" w:cs="Times New Roman"/>
          <w:szCs w:val="20"/>
          <w:vertAlign w:val="superscript"/>
          <w:lang w:eastAsia="de-DE"/>
        </w:rPr>
        <w:footnoteReference w:id="40"/>
      </w:r>
      <w:r w:rsidRPr="002B5B92">
        <w:t xml:space="preserve"> u billi jiġu koperti l-kisbiet tal-politika rurali tal-UE fit-trawwim tal-innovazzjoni. </w:t>
      </w:r>
    </w:p>
    <w:p w:rsidR="00576A73" w:rsidRPr="002B5B92" w:rsidRDefault="00A45935" w:rsidP="00576A73">
      <w:pPr>
        <w:spacing w:after="120" w:line="280" w:lineRule="atLeast"/>
        <w:mirrorIndents/>
        <w:rPr>
          <w:rFonts w:eastAsia="Times New Roman" w:cs="Times New Roman"/>
          <w:szCs w:val="20"/>
        </w:rPr>
      </w:pPr>
      <w:r w:rsidRPr="002B5B92">
        <w:t>Huma proposti l-passi ta’ ħidma mhux vinkolanti li ġejjin:</w:t>
      </w:r>
    </w:p>
    <w:p w:rsidR="00A45935" w:rsidRPr="002B5B92" w:rsidRDefault="00A45935" w:rsidP="00B421B9">
      <w:pPr>
        <w:pStyle w:val="HHeading4"/>
        <w:rPr>
          <w:rFonts w:eastAsia="Calibri"/>
          <w:shd w:val="clear" w:color="auto" w:fill="FFFFFF"/>
        </w:rPr>
      </w:pPr>
      <w:r w:rsidRPr="002B5B92">
        <w:rPr>
          <w:shd w:val="clear" w:color="auto" w:fill="FFFFFF"/>
        </w:rPr>
        <w:t>Skrinjar tal-potenzjal ta’ innovazzjoni tal-miżuri/submiżuri tal-PŻR (irrakkomandat)</w:t>
      </w:r>
    </w:p>
    <w:p w:rsidR="00A45935" w:rsidRPr="002B5B92" w:rsidRDefault="00A45935" w:rsidP="00E05D08">
      <w:pPr>
        <w:spacing w:after="120" w:line="280" w:lineRule="atLeast"/>
        <w:mirrorIndents/>
        <w:rPr>
          <w:rFonts w:eastAsia="Times New Roman" w:cs="Times New Roman"/>
          <w:szCs w:val="20"/>
        </w:rPr>
      </w:pPr>
      <w:r w:rsidRPr="002B5B92">
        <w:t xml:space="preserve">Qabel jibdew l-attivitajiet ta’ evalwazzjoni sabiex jiġu mwieġba l-mistoqsijiet dwar l-evalwazzjoni relatati mal-innovazzjoni, l-Awtoritajiet Maniġerjali u/jew l-esperti tal-evalwazzjoni jistgħu jkunu jridu jiskrinjaw il-potenzjal tal-innovazzjoni tal-miżuri/submiżuri tal-PŻR (il-parti blu fil-Figura 6). Dan il-pass se jgħin lill-evalwatur u lill-MA jifhmu kif kull miżura/submiżura tista’ tikkontribwixxi sabiex jintlaħqu l-objettivi tal-PŻR relatati mal-innovazzjoni (ara </w:t>
      </w:r>
      <w:hyperlink w:anchor="Screening_Potential" w:history="1">
        <w:r w:rsidRPr="002B5B92">
          <w:rPr>
            <w:rStyle w:val="Hyperlink"/>
            <w:sz w:val="20"/>
            <w:szCs w:val="20"/>
          </w:rPr>
          <w:t>l-Kapitolu 2.2</w:t>
        </w:r>
      </w:hyperlink>
      <w:r w:rsidRPr="002B5B92">
        <w:t>).</w:t>
      </w:r>
    </w:p>
    <w:p w:rsidR="00A45935" w:rsidRPr="002B5B92"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2B5B92">
        <w:rPr>
          <w:b/>
          <w:color w:val="57825E"/>
          <w:szCs w:val="20"/>
          <w:shd w:val="clear" w:color="auto" w:fill="FFFFFF"/>
        </w:rPr>
        <w:t>L-ikkomplementar tal-elementi komuni tal-evalwazzjoni għall-innovazzjoni (irrakkomandat)</w:t>
      </w:r>
    </w:p>
    <w:p w:rsidR="00A45935" w:rsidRPr="002B5B92" w:rsidRDefault="00A45935" w:rsidP="00E05D08">
      <w:pPr>
        <w:spacing w:after="120" w:line="280" w:lineRule="atLeast"/>
        <w:mirrorIndents/>
        <w:rPr>
          <w:rFonts w:eastAsia="Times New Roman" w:cs="Times New Roman"/>
          <w:szCs w:val="20"/>
        </w:rPr>
      </w:pPr>
      <w:r w:rsidRPr="002B5B92">
        <w:t>Is-CMES tipprovdi elementi bażiċi tal-evalwazzjoni sabiex jiġu mwieġba l-mistoqsijiet komuni tal-evalwazzjoni relatati mal-innovazzjoni. Jekk l-elementi komuni tal-evalwazzjoni (il-kriterji tal-ġudizzju</w:t>
      </w:r>
      <w:r w:rsidRPr="002B5B92">
        <w:rPr>
          <w:rFonts w:eastAsia="Times New Roman" w:cs="Times New Roman"/>
          <w:szCs w:val="20"/>
          <w:vertAlign w:val="superscript"/>
          <w:lang w:eastAsia="de-DE"/>
        </w:rPr>
        <w:footnoteReference w:id="41"/>
      </w:r>
      <w:r w:rsidRPr="002B5B92">
        <w:t xml:space="preserve"> u indikaturi komuni</w:t>
      </w:r>
      <w:r w:rsidRPr="002B5B92">
        <w:rPr>
          <w:rFonts w:eastAsia="Times New Roman" w:cs="Times New Roman"/>
          <w:szCs w:val="20"/>
          <w:vertAlign w:val="superscript"/>
          <w:lang w:eastAsia="de-DE"/>
        </w:rPr>
        <w:footnoteReference w:id="42"/>
      </w:r>
      <w:r w:rsidRPr="002B5B92">
        <w:t>) ma jkunux biżżejjed sabiex jiġu koperti l-effetti mistennija kollha, l-elementi neqsin (eż. is-submistoqsijiet dwar l-evalwazzjoni, il-kriterji addizzjonali tal-ġudizzju</w:t>
      </w:r>
      <w:r w:rsidRPr="002B5B92">
        <w:rPr>
          <w:rFonts w:eastAsia="Times New Roman" w:cs="Times New Roman"/>
          <w:szCs w:val="20"/>
          <w:vertAlign w:val="superscript"/>
          <w:lang w:eastAsia="de-DE"/>
        </w:rPr>
        <w:footnoteReference w:id="43"/>
      </w:r>
      <w:r w:rsidRPr="002B5B92">
        <w:t>, u l-indikaturi kwantitattivi u kwalitattivi addizzjonali</w:t>
      </w:r>
      <w:r w:rsidRPr="002B5B92">
        <w:rPr>
          <w:rFonts w:eastAsia="Times New Roman" w:cs="Times New Roman"/>
          <w:szCs w:val="20"/>
          <w:vertAlign w:val="superscript"/>
          <w:lang w:eastAsia="de-DE"/>
        </w:rPr>
        <w:footnoteReference w:id="44"/>
      </w:r>
      <w:r w:rsidRPr="002B5B92">
        <w:t xml:space="preserve">) jistgħu jiġu żviluppati mill-Awtoritajiet Maniġerjali, idealment f’kollaborazzjoni mal-esperti tal-evalwazzjoni (il-partijiet ħodor fil-Figura 6), (ara </w:t>
      </w:r>
      <w:hyperlink w:anchor="Complementing" w:history="1">
        <w:r w:rsidRPr="002B5B92">
          <w:rPr>
            <w:rStyle w:val="Hyperlink"/>
            <w:sz w:val="20"/>
            <w:szCs w:val="20"/>
          </w:rPr>
          <w:t>l-Kapitolu 2.3</w:t>
        </w:r>
      </w:hyperlink>
      <w:r w:rsidRPr="002B5B92">
        <w:t>).</w:t>
      </w:r>
    </w:p>
    <w:p w:rsidR="00A45935" w:rsidRPr="002B5B92"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2B5B92">
        <w:rPr>
          <w:b/>
          <w:color w:val="57825E"/>
          <w:szCs w:val="20"/>
          <w:shd w:val="clear" w:color="auto" w:fill="FFFFFF"/>
        </w:rPr>
        <w:lastRenderedPageBreak/>
        <w:t>Tweġiba għall-mistoqsijiet komuni tal-evalwazzjoni rilevanti (obbligatorja)</w:t>
      </w:r>
    </w:p>
    <w:p w:rsidR="00A45935" w:rsidRPr="002B5B92" w:rsidRDefault="00A45935" w:rsidP="00E05D08">
      <w:pPr>
        <w:spacing w:after="120" w:line="280" w:lineRule="atLeast"/>
        <w:mirrorIndents/>
        <w:rPr>
          <w:rFonts w:eastAsia="Times New Roman" w:cs="Times New Roman"/>
          <w:szCs w:val="20"/>
        </w:rPr>
      </w:pPr>
      <w:r w:rsidRPr="002B5B92">
        <w:t xml:space="preserve">L-evalwaturi tal-PŻR se jivvalutaw il-kisbiet tal-PŻR fit-trawwim tal-innovazzjoni u l-kontribuzzjonijiet tiegħu għall-objettivi tal-politika ta’ żvilupp rurali nazzjonali/reġjonali u tal-UE. Huma se jużaw is-sejbiet tal-evalwazzjoni fil-formulazzjoni tat-tweġibiet għall-mistoqsijiet dwar l-evalwazzjoni komuni, addizzjonali u speċifiċi għal kull programm (il-partijiet oranġjo fil-Figura 6). Il-mistoqsijiet dwar l-evalwazzjoni relatati mal-innovazzjoni jirrikjedu approċċ speċifiku sabiex jiġu mwieġba (ara </w:t>
      </w:r>
      <w:hyperlink w:anchor="Answering" w:history="1">
        <w:r w:rsidRPr="002B5B92">
          <w:rPr>
            <w:rStyle w:val="Hyperlink"/>
            <w:sz w:val="20"/>
            <w:szCs w:val="20"/>
          </w:rPr>
          <w:t>l-Kapitolu 2.4</w:t>
        </w:r>
      </w:hyperlink>
      <w:r w:rsidRPr="002B5B92">
        <w:t>).</w:t>
      </w:r>
    </w:p>
    <w:p w:rsidR="00A45935" w:rsidRPr="002B5B92" w:rsidRDefault="00626C0C" w:rsidP="00B421B9">
      <w:pPr>
        <w:pStyle w:val="HHeadingfigures"/>
      </w:pPr>
      <w:bookmarkStart w:id="89" w:name="_Toc508964966"/>
      <w:r w:rsidRPr="002B5B92">
        <w:t>Approċċ għall-evalwazzjoni tal-innovazzjoni fil-PŻR</w:t>
      </w:r>
      <w:bookmarkEnd w:id="89"/>
    </w:p>
    <w:p w:rsidR="00A45935" w:rsidRPr="002B5B92" w:rsidRDefault="0035138C" w:rsidP="00E05D08">
      <w:pPr>
        <w:spacing w:after="120" w:line="280" w:lineRule="atLeast"/>
        <w:mirrorIndents/>
        <w:jc w:val="center"/>
        <w:rPr>
          <w:rFonts w:eastAsia="Times New Roman" w:cs="Times New Roman"/>
          <w:szCs w:val="20"/>
          <w:lang w:eastAsia="de-DE"/>
        </w:rPr>
      </w:pPr>
      <w:r>
        <w:rPr>
          <w:noProof/>
          <w:lang w:val="en-GB" w:eastAsia="en-GB"/>
        </w:rPr>
        <w:drawing>
          <wp:inline distT="0" distB="0" distL="0" distR="0" wp14:anchorId="1912229C" wp14:editId="67C6672D">
            <wp:extent cx="5731510" cy="3241112"/>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241112"/>
                    </a:xfrm>
                    <a:prstGeom prst="rect">
                      <a:avLst/>
                    </a:prstGeom>
                  </pic:spPr>
                </pic:pic>
              </a:graphicData>
            </a:graphic>
          </wp:inline>
        </w:drawing>
      </w:r>
    </w:p>
    <w:p w:rsidR="00A45935" w:rsidRPr="002B5B92" w:rsidRDefault="00A45935" w:rsidP="00B421B9">
      <w:pPr>
        <w:suppressAutoHyphens/>
        <w:spacing w:before="60" w:after="140" w:line="240" w:lineRule="auto"/>
        <w:ind w:left="1134" w:right="1134"/>
        <w:mirrorIndents/>
        <w:jc w:val="center"/>
        <w:rPr>
          <w:rFonts w:eastAsia="Times New Roman" w:cs="Times New Roman"/>
          <w:i/>
          <w:sz w:val="16"/>
          <w:szCs w:val="20"/>
        </w:rPr>
        <w:sectPr w:rsidR="00A45935" w:rsidRPr="002B5B92" w:rsidSect="00055039">
          <w:endnotePr>
            <w:numFmt w:val="decimal"/>
          </w:endnotePr>
          <w:type w:val="continuous"/>
          <w:pgSz w:w="11906" w:h="16838" w:code="9"/>
          <w:pgMar w:top="1440" w:right="1440" w:bottom="1134" w:left="1440" w:header="567" w:footer="1021" w:gutter="0"/>
          <w:cols w:space="708"/>
          <w:noEndnote/>
          <w:docGrid w:linePitch="360"/>
        </w:sectPr>
      </w:pPr>
      <w:r w:rsidRPr="002B5B92">
        <w:rPr>
          <w:i/>
          <w:sz w:val="16"/>
          <w:szCs w:val="20"/>
        </w:rPr>
        <w:t>Sors: Helpdesk Ewropew ta’ Evalwazzjoni għall-Iżvilupp Rurali, 2017</w:t>
      </w:r>
      <w:bookmarkStart w:id="90" w:name="_Toc493151902"/>
      <w:bookmarkStart w:id="91" w:name="_Toc501382128"/>
    </w:p>
    <w:p w:rsidR="00A45935" w:rsidRPr="002B5B92" w:rsidRDefault="00A45935" w:rsidP="00B421B9">
      <w:pPr>
        <w:pStyle w:val="HHeading2"/>
        <w:numPr>
          <w:ilvl w:val="1"/>
          <w:numId w:val="119"/>
        </w:numPr>
        <w:ind w:left="567" w:hanging="567"/>
      </w:pPr>
      <w:bookmarkStart w:id="92" w:name="Screening_Potential"/>
      <w:bookmarkStart w:id="93" w:name="_Toc508960918"/>
      <w:bookmarkEnd w:id="92"/>
      <w:r w:rsidRPr="002B5B92">
        <w:t>Skrinjar tal-potenzjal ta’ innovazzjoni tal-miżuri/submiżuri tal-PŻR (irrakkomandat)</w:t>
      </w:r>
      <w:bookmarkEnd w:id="90"/>
      <w:bookmarkEnd w:id="91"/>
      <w:bookmarkEnd w:id="93"/>
    </w:p>
    <w:p w:rsidR="00A45935" w:rsidRPr="002B5B92"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2B5B92">
        <w:rPr>
          <w:b/>
          <w:color w:val="57825E"/>
          <w:szCs w:val="20"/>
          <w:shd w:val="clear" w:color="auto" w:fill="FFFFFF"/>
        </w:rPr>
        <w:t xml:space="preserve">Għaliex għandna niskrinjaw il-miżuri tal-PŻR għall-potenzjal tal-innovazzjoni tagħhom? </w:t>
      </w:r>
    </w:p>
    <w:p w:rsidR="00C64B64" w:rsidRPr="002B5B92" w:rsidRDefault="00A45935" w:rsidP="00E05D08">
      <w:pPr>
        <w:spacing w:after="120" w:line="280" w:lineRule="atLeast"/>
        <w:mirrorIndents/>
        <w:rPr>
          <w:rFonts w:eastAsia="Times New Roman" w:cs="Times New Roman"/>
          <w:szCs w:val="20"/>
        </w:rPr>
      </w:pPr>
      <w:r w:rsidRPr="002B5B92">
        <w:t>L-Awtoritajiet Maniġerjali għandhom flessibilità konsiderevoli sabiex jikkombinaw u jfasslu diversi miżuri ta’ żvilupp rurali taħt l-</w:t>
      </w:r>
      <w:r w:rsidR="00E80699" w:rsidRPr="002B5B92">
        <w:t>oqsma ta' prijorità</w:t>
      </w:r>
      <w:r w:rsidRPr="002B5B92">
        <w:t xml:space="preserve"> li jirriżultaw f’approċċi ta’ PŻR differenti ħafna lejn l-innovazzjoni. L-iskrinjar tal-għażla u l-kombinament tal-miżuri/submiżuri fi ħdan il-PŻR jgħin sabiex jinftiehem aħjar l-approċċ speċifiku lejn l-innovazzjoni, kif ukoll il-potenzjal tal-innovazzjoni tal-PŻR. Din hija bażi utli sabiex jiġu mwieġba l-mistoqsijiet komuni dwar l-evalwazzjoni relatati mal-innovazzjoni, b’mod partikolari fl-istadji sussegwenti tal-evalwazzjoni (eż. AIR fl-2019 jew evalwazzjoni ‘ex post’) fejn ikun possibbli li jiġu koperti l-effetti tal-impatti tal-PŻR fuq il-proċessi tal-innovazzjoni. </w:t>
      </w:r>
    </w:p>
    <w:p w:rsidR="00A45935" w:rsidRPr="002B5B92" w:rsidRDefault="00A45935" w:rsidP="00B421B9">
      <w:pPr>
        <w:pStyle w:val="HHeading4"/>
        <w:rPr>
          <w:rFonts w:eastAsia="Calibri"/>
          <w:shd w:val="clear" w:color="auto" w:fill="FFFFFF"/>
        </w:rPr>
      </w:pPr>
      <w:r w:rsidRPr="002B5B92">
        <w:rPr>
          <w:shd w:val="clear" w:color="auto" w:fill="FFFFFF"/>
        </w:rPr>
        <w:t xml:space="preserve">X’inhu l-potenzjal tal-innovazzjoni tal-miżuri/submiżuri tal-PŻR? </w:t>
      </w:r>
    </w:p>
    <w:p w:rsidR="00A45935" w:rsidRPr="002B5B92" w:rsidRDefault="00A45935" w:rsidP="00E05D08">
      <w:pPr>
        <w:spacing w:after="120" w:line="280" w:lineRule="atLeast"/>
        <w:mirrorIndents/>
        <w:rPr>
          <w:rFonts w:eastAsia="Times New Roman" w:cs="Times New Roman"/>
          <w:szCs w:val="20"/>
        </w:rPr>
      </w:pPr>
      <w:r w:rsidRPr="002B5B92">
        <w:rPr>
          <w:b/>
        </w:rPr>
        <w:t>Il-potenzjal tal-innovazzjoni tal-miżuri/submiżuri tal-PŻR</w:t>
      </w:r>
      <w:r w:rsidRPr="002B5B92">
        <w:t>, meħudin weħidhom jew flimkien fi ħdan miżuri/submiżuri oħrajn taħt l-</w:t>
      </w:r>
      <w:r w:rsidR="00E80699" w:rsidRPr="002B5B92">
        <w:t>oqsma ta' prijorità</w:t>
      </w:r>
      <w:r w:rsidRPr="002B5B92">
        <w:t>, huwa mifhum bħala l-kapaċità tagħhom li jrawmu l-innovazzjoni fi ħdan sistema ta’ innovazzjoni fiż-żoni rurali permezz ta’ a) it-trawwim ta’ ideat innovattivi, b) il-bini tal-kapaċitajiet għall-innovazzjoni b’mod kollaborattiv u ċ) il-ħolqien ta’ ambjent favorevoli għall-innovazzjoni.</w:t>
      </w:r>
    </w:p>
    <w:p w:rsidR="00A45935" w:rsidRPr="002B5B92"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2B5B92">
        <w:rPr>
          <w:b/>
          <w:color w:val="57825E"/>
          <w:szCs w:val="20"/>
          <w:shd w:val="clear" w:color="auto" w:fill="FFFFFF"/>
        </w:rPr>
        <w:lastRenderedPageBreak/>
        <w:t xml:space="preserve">X’inhuma l-passi ta’ ħidma għall-identifikazzjoni tal-potenzjal tal-innovazzjoni tal-PŻR? </w:t>
      </w:r>
    </w:p>
    <w:p w:rsidR="00A45935" w:rsidRPr="002B5B92" w:rsidRDefault="00A45935" w:rsidP="00E05D08">
      <w:pPr>
        <w:spacing w:after="120" w:line="280" w:lineRule="atLeast"/>
        <w:mirrorIndents/>
        <w:rPr>
          <w:rFonts w:eastAsia="Times New Roman" w:cs="Times New Roman"/>
          <w:szCs w:val="20"/>
        </w:rPr>
      </w:pPr>
      <w:r w:rsidRPr="002B5B92">
        <w:rPr>
          <w:b/>
          <w:szCs w:val="20"/>
        </w:rPr>
        <w:t>L-iskrinjar tal-miżuri u s-submiżuri tal-PŻR</w:t>
      </w:r>
      <w:r w:rsidRPr="002B5B92">
        <w:t xml:space="preserve"> iħares lejn kif il-miżuri huma mfasslin sabiex jgħinu fit-trawwim ta’ ideat ġodda, fil-bini tal-kapaċità għall-innovazzjoni jew fil-ħolqien ta’ ambjent favorevoli għall-innovazzjoni. Il-metodu ta’ ħidma jista’ jkun valutazzjoni bbażata fuq l-esperti jew metodu parteċipattiv li jinvolvi aktar partijiet ikkonċernati ewlenin tal-PŻR. Eżerċizzju ta’ skrinjar bħal dan jista’ jitwettaq billi jiġu mwieġba l-mistoqsijiet ewlenin proposti (ara </w:t>
      </w:r>
      <w:hyperlink w:anchor="Steps_of_the_screenig" w:history="1">
        <w:r w:rsidRPr="002B5B92">
          <w:rPr>
            <w:rStyle w:val="Hyperlink"/>
            <w:sz w:val="20"/>
            <w:szCs w:val="20"/>
          </w:rPr>
          <w:t>l-Figura 7</w:t>
        </w:r>
      </w:hyperlink>
      <w:r w:rsidRPr="002B5B92">
        <w:t>).</w:t>
      </w:r>
    </w:p>
    <w:p w:rsidR="00A45935" w:rsidRPr="002B5B92" w:rsidRDefault="00626C0C" w:rsidP="00B421B9">
      <w:pPr>
        <w:pStyle w:val="HHeadingfigures"/>
      </w:pPr>
      <w:bookmarkStart w:id="94" w:name="Steps_of_the_screenig"/>
      <w:bookmarkStart w:id="95" w:name="_Toc508964967"/>
      <w:bookmarkEnd w:id="94"/>
      <w:r w:rsidRPr="002B5B92">
        <w:t>Il-passi tal-iskrinjar tal-miżuri/submiżuri tal-PŻR għall-potenzjal tal-innovazzjoni tagħhom</w:t>
      </w:r>
      <w:bookmarkEnd w:id="95"/>
    </w:p>
    <w:p w:rsidR="00A45935" w:rsidRPr="002B5B92" w:rsidRDefault="0035138C" w:rsidP="0035138C">
      <w:pPr>
        <w:suppressAutoHyphens/>
        <w:spacing w:before="60" w:after="0" w:line="240" w:lineRule="auto"/>
        <w:ind w:left="480" w:right="1134"/>
        <w:mirrorIndents/>
        <w:rPr>
          <w:rFonts w:eastAsia="Times New Roman" w:cs="Times New Roman"/>
          <w:i/>
          <w:sz w:val="16"/>
          <w:szCs w:val="20"/>
          <w:lang w:eastAsia="de-DE"/>
        </w:rPr>
      </w:pPr>
      <w:r>
        <w:rPr>
          <w:noProof/>
          <w:lang w:val="en-GB" w:eastAsia="en-GB"/>
        </w:rPr>
        <w:drawing>
          <wp:inline distT="0" distB="0" distL="0" distR="0" wp14:anchorId="41712581" wp14:editId="2CB89EE1">
            <wp:extent cx="5031640" cy="21183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26372" cy="2116142"/>
                    </a:xfrm>
                    <a:prstGeom prst="rect">
                      <a:avLst/>
                    </a:prstGeom>
                  </pic:spPr>
                </pic:pic>
              </a:graphicData>
            </a:graphic>
          </wp:inline>
        </w:drawing>
      </w:r>
    </w:p>
    <w:p w:rsidR="00A45935" w:rsidRPr="002B5B92" w:rsidRDefault="00A45935" w:rsidP="00E05D08">
      <w:pPr>
        <w:suppressAutoHyphens/>
        <w:spacing w:before="60" w:after="0" w:line="240" w:lineRule="auto"/>
        <w:ind w:left="1134" w:right="1134"/>
        <w:mirrorIndents/>
        <w:jc w:val="center"/>
        <w:rPr>
          <w:rFonts w:eastAsia="Times New Roman" w:cs="Times New Roman"/>
          <w:i/>
          <w:sz w:val="16"/>
          <w:szCs w:val="20"/>
        </w:rPr>
      </w:pPr>
      <w:r w:rsidRPr="002B5B92">
        <w:rPr>
          <w:i/>
          <w:sz w:val="16"/>
          <w:szCs w:val="20"/>
        </w:rPr>
        <w:t>Sors: Helpdesk Ewropew ta’ Evalwazzjoni għall-Iżvilupp Rurali, 2017</w:t>
      </w:r>
    </w:p>
    <w:p w:rsidR="00A45935" w:rsidRPr="002B5B92"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sidRPr="002B5B92">
        <w:rPr>
          <w:b/>
          <w:color w:val="57825E"/>
          <w:szCs w:val="20"/>
        </w:rPr>
        <w:t>X’għandu jiġi skrinjat fil-PŻR?</w:t>
      </w:r>
    </w:p>
    <w:p w:rsidR="00A45935" w:rsidRPr="002B5B92" w:rsidRDefault="007A450E" w:rsidP="00E05D08">
      <w:pPr>
        <w:spacing w:after="120" w:line="280" w:lineRule="atLeast"/>
        <w:mirrorIndents/>
        <w:rPr>
          <w:rFonts w:eastAsia="Times New Roman" w:cs="Times New Roman"/>
          <w:szCs w:val="20"/>
        </w:rPr>
      </w:pPr>
      <w:r w:rsidRPr="002B5B92">
        <w:rPr>
          <w:rFonts w:eastAsia="Times New Roman" w:cs="Times New Roman"/>
          <w:noProof/>
          <w:szCs w:val="20"/>
          <w:lang w:val="en-GB" w:eastAsia="en-GB"/>
        </w:rPr>
        <mc:AlternateContent>
          <mc:Choice Requires="wps">
            <w:drawing>
              <wp:anchor distT="0" distB="0" distL="114300" distR="114300" simplePos="0" relativeHeight="251740160" behindDoc="0" locked="0" layoutInCell="1" allowOverlap="1" wp14:anchorId="41B3EF7C" wp14:editId="2EF74868">
                <wp:simplePos x="0" y="0"/>
                <wp:positionH relativeFrom="column">
                  <wp:posOffset>3118485</wp:posOffset>
                </wp:positionH>
                <wp:positionV relativeFrom="paragraph">
                  <wp:posOffset>618490</wp:posOffset>
                </wp:positionV>
                <wp:extent cx="2640965" cy="2954655"/>
                <wp:effectExtent l="0" t="0" r="26035" b="17145"/>
                <wp:wrapSquare wrapText="bothSides"/>
                <wp:docPr id="64" name="Rectangle: Diagonal Corners Rounded 64"/>
                <wp:cNvGraphicFramePr/>
                <a:graphic xmlns:a="http://schemas.openxmlformats.org/drawingml/2006/main">
                  <a:graphicData uri="http://schemas.microsoft.com/office/word/2010/wordprocessingShape">
                    <wps:wsp>
                      <wps:cNvSpPr/>
                      <wps:spPr>
                        <a:xfrm>
                          <a:off x="0" y="0"/>
                          <a:ext cx="2640965" cy="2954655"/>
                        </a:xfrm>
                        <a:prstGeom prst="round2DiagRect">
                          <a:avLst>
                            <a:gd name="adj1" fmla="val 6437"/>
                            <a:gd name="adj2" fmla="val 0"/>
                          </a:avLst>
                        </a:prstGeom>
                        <a:noFill/>
                        <a:ln w="25400" cap="flat" cmpd="sng" algn="ctr">
                          <a:solidFill>
                            <a:srgbClr val="BE4A35"/>
                          </a:solidFill>
                          <a:prstDash val="solid"/>
                        </a:ln>
                        <a:effectLst/>
                      </wps:spPr>
                      <wps:txbx>
                        <w:txbxContent>
                          <w:p w:rsidR="005570DA" w:rsidRPr="00275EE5" w:rsidRDefault="005570DA" w:rsidP="00626C0C">
                            <w:pPr>
                              <w:pStyle w:val="Normal12PTcouleurgris"/>
                            </w:pPr>
                            <w:r>
                              <w:rPr>
                                <w:noProof/>
                                <w:lang w:val="en-GB" w:eastAsia="en-GB"/>
                              </w:rPr>
                              <w:drawing>
                                <wp:inline distT="0" distB="0" distL="0" distR="0" wp14:anchorId="3A012D2B" wp14:editId="5A2E9D44">
                                  <wp:extent cx="664845" cy="487680"/>
                                  <wp:effectExtent l="0" t="0" r="0" b="7620"/>
                                  <wp:docPr id="736"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Il-kontenut tal-Art. 15 tar-Regolament (UE) 1305/2013 jistipula seba’ elementi li għandhom jiġu koperti mis-</w:t>
                            </w:r>
                            <w:r>
                              <w:rPr>
                                <w:b/>
                                <w:color w:val="BE4A35"/>
                                <w:sz w:val="18"/>
                              </w:rPr>
                              <w:t>servizzi ta’ pariri u konsulenza</w:t>
                            </w:r>
                            <w:r>
                              <w:rPr>
                                <w:sz w:val="18"/>
                                <w:vertAlign w:val="superscript"/>
                              </w:rPr>
                              <w:t>45</w:t>
                            </w:r>
                            <w:r>
                              <w:rPr>
                                <w:sz w:val="18"/>
                              </w:rPr>
                              <w:t>. Minn dawn, wieħed biss (il-punt 4ċ) isemmi l-innovazzjoni espliċitament. Ma hemm ebda ħtieġa jew ċertezza li tipi oħrajn ta’ pariri (eż. il-punt 4g - pariri speċifiċi lill-bdiewa li jiġu stabbiliti għall-ewwel darba) se jrawmu l-innovazzjoni. B’hekk, l-analiżi tad-disinn tal-miżura ġewwa PŻR speċifiku tista’ turi jekk il-miżura (jew submiżura, jekk applikata) tistax tkun rilevanti sabiex titrawwem l-innovazzjoni.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B3EF7C" id="Rectangle: Diagonal Corners Rounded 64" o:spid="_x0000_s1037" style="position:absolute;left:0;text-align:left;margin-left:245.55pt;margin-top:48.7pt;width:207.95pt;height:232.6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0965,29546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" adj="-11796480,,5400" path="m169999,l2640965,r,l2640965,2784656v,93888,-76111,169999,-169999,169999l,2954655r,l,169999c,76111,76111,,169999,xe" filled="f" strokecolor="#be4a35" strokeweight="2pt">
                <v:stroke joinstyle="miter"/>
                <v:formulas/>
                <v:path arrowok="t" o:connecttype="custom" o:connectlocs="169999,0;2640965,0;2640965,0;2640965,2784656;2470966,2954655;0,2954655;0,2954655;0,169999;169999,0" o:connectangles="0,0,0,0,0,0,0,0,0" textboxrect="0,0,2640965,2954655"/>
                <v:textbox>
                  <w:txbxContent>
                    <w:p w:rsidR="005570DA" w:rsidRPr="00275EE5" w:rsidRDefault="005570DA" w:rsidP="00626C0C">
                      <w:pPr>
                        <w:pStyle w:val="Normal12PTcouleurgris"/>
                      </w:pPr>
                      <w:r>
                        <w:rPr>
                          <w:noProof/>
                          <w:lang w:val="en-GB" w:eastAsia="en-GB"/>
                        </w:rPr>
                        <w:drawing>
                          <wp:inline distT="0" distB="0" distL="0" distR="0" wp14:anchorId="3A012D2B" wp14:editId="5A2E9D44">
                            <wp:extent cx="664845" cy="487680"/>
                            <wp:effectExtent l="0" t="0" r="0" b="7620"/>
                            <wp:docPr id="736"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Il-kontenut tal-Art. 15 tar-Regolament (UE) 1305/2013 jistipula seba’ elementi li għandhom jiġu koperti mis-</w:t>
                      </w:r>
                      <w:r>
                        <w:rPr>
                          <w:b/>
                          <w:color w:val="BE4A35"/>
                          <w:sz w:val="18"/>
                        </w:rPr>
                        <w:t>servizzi ta’ pariri u konsulenza</w:t>
                      </w:r>
                      <w:r>
                        <w:rPr>
                          <w:sz w:val="18"/>
                          <w:vertAlign w:val="superscript"/>
                        </w:rPr>
                        <w:t>45</w:t>
                      </w:r>
                      <w:r>
                        <w:rPr>
                          <w:sz w:val="18"/>
                        </w:rPr>
                        <w:t>. Minn dawn, wieħed biss (il-punt 4ċ) isemmi l-innovazzjoni espliċitament. Ma hemm ebda ħtieġa jew ċertezza li tipi oħrajn ta’ pariri (eż. il-punt 4g - pariri speċifiċi lill-bdiewa li jiġu stabbiliti għall-ewwel darba) se jrawmu l-innovazzjoni. B’hekk, l-analiżi tad-disinn tal-miżura ġewwa PŻR speċifiku tista’ turi jekk il-miżura (jew submiżura, jekk applikata) tistax tkun rilevanti sabiex titrawwem l-innovazzjoni.</w:t>
                      </w:r>
                    </w:p>
                  </w:txbxContent>
                </v:textbox>
                <w10:wrap type="square"/>
              </v:shape>
            </w:pict>
          </mc:Fallback>
        </mc:AlternateContent>
      </w:r>
      <w:r w:rsidRPr="002B5B92">
        <w:rPr>
          <w:b/>
          <w:szCs w:val="20"/>
        </w:rPr>
        <w:t>L-iskrinjar għandu jiffoka fuq il-kapaċità kemm ta’ miżuri individwali kif ukoll ta’ gruppi ta’ miżuri taħt l-</w:t>
      </w:r>
      <w:r w:rsidR="00794C2E" w:rsidRPr="002B5B92">
        <w:rPr>
          <w:b/>
          <w:szCs w:val="20"/>
        </w:rPr>
        <w:t>oqsma ta' prijorità</w:t>
      </w:r>
      <w:r w:rsidRPr="002B5B92">
        <w:t xml:space="preserve"> sabiex irawmu l-innovazzjoni (eż. il-kapaċità tagħhom li jikkontribwixxu għat-tliet perkorsi tal-innovazzjoni kif spjegat </w:t>
      </w:r>
      <w:hyperlink w:anchor="Innovation_RD" w:history="1">
        <w:r w:rsidRPr="002B5B92">
          <w:rPr>
            <w:rStyle w:val="Hyperlink"/>
            <w:sz w:val="20"/>
            <w:szCs w:val="20"/>
          </w:rPr>
          <w:t>fil-Kapitolu 1.1</w:t>
        </w:r>
      </w:hyperlink>
      <w:r w:rsidRPr="002B5B92">
        <w:t>)</w:t>
      </w:r>
      <w:r w:rsidRPr="002B5B92">
        <w:rPr>
          <w:rStyle w:val="FootnoteReference"/>
          <w:rFonts w:eastAsia="Times New Roman" w:cs="Times New Roman"/>
          <w:color w:val="FFFFFF" w:themeColor="background1"/>
          <w:szCs w:val="20"/>
          <w:lang w:eastAsia="de-DE"/>
        </w:rPr>
        <w:footnoteReference w:id="45"/>
      </w:r>
      <w:r w:rsidRPr="002B5B92">
        <w:t>. Bl-istess mod, il-</w:t>
      </w:r>
      <w:r w:rsidRPr="002B5B92">
        <w:rPr>
          <w:b/>
          <w:szCs w:val="20"/>
        </w:rPr>
        <w:t>potenzjal tan-NRN li jrawwem l-innovazzjoni</w:t>
      </w:r>
      <w:r w:rsidRPr="002B5B92">
        <w:t xml:space="preserve"> jista’ jiġi identifikat ukoll permezz tal-iskrinjar tal-azzjonijiet tan-NRN (ara </w:t>
      </w:r>
      <w:hyperlink w:anchor="CEQ_NRN" w:history="1">
        <w:r w:rsidRPr="002B5B92">
          <w:rPr>
            <w:rStyle w:val="Hyperlink"/>
            <w:sz w:val="20"/>
            <w:szCs w:val="20"/>
          </w:rPr>
          <w:t>t-Taqsima 2.4.3</w:t>
        </w:r>
      </w:hyperlink>
      <w:r w:rsidRPr="002B5B92">
        <w:t xml:space="preserve">). </w:t>
      </w:r>
    </w:p>
    <w:p w:rsidR="00A45935" w:rsidRPr="002B5B92" w:rsidRDefault="00A45935" w:rsidP="00E05D08">
      <w:pPr>
        <w:spacing w:after="120" w:line="280" w:lineRule="atLeast"/>
        <w:mirrorIndents/>
        <w:rPr>
          <w:rFonts w:eastAsia="Times New Roman" w:cs="Times New Roman"/>
          <w:szCs w:val="20"/>
        </w:rPr>
      </w:pPr>
      <w:r w:rsidRPr="002B5B92">
        <w:t xml:space="preserve">B’mod ġenerali, l-iskrinjar tal-potenzjal tal-innovazzjoni għandu jikkonċerna mill-inqas il-miżuri marbuta mas-CEQs li ġejjin: </w:t>
      </w:r>
    </w:p>
    <w:p w:rsidR="00A45935" w:rsidRPr="002B5B92"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rsidRPr="002B5B92">
        <w:t>CEQ nru. 1 hija marbuta ma’ M1, M2 u M16 (l-Art. 14, 15 u 35 tar-Regolament (UE) 1305/2013, rispettivament). L-iskrinjar se jkun iffokat fuq il-potenzjal tal-innovazzjoni ta’ dawn il-miżuri u jgħin sabiex tiġi mwieġba l-parti tal-innovazzjoni tas-CEQ.</w:t>
      </w:r>
    </w:p>
    <w:p w:rsidR="00A45935" w:rsidRPr="002B5B92"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rsidRPr="002B5B92">
        <w:t>CEQ nru. 2 hija marbuta ma’ M16 (il-kooperazzjoni). Is-submiżuri ta’ M16 se jiġu skrinjati prinċipalment għall-potenzjal tagħhom li jikkontribwixxu għat-tliet perkorsi. L-eżiti se jgħinu sabiex tiġi mwieġba l-parti tal-innovazzjoni tas-CEQ.</w:t>
      </w:r>
    </w:p>
    <w:p w:rsidR="00A45935" w:rsidRPr="002B5B92" w:rsidRDefault="00A45935" w:rsidP="007A450E">
      <w:pPr>
        <w:numPr>
          <w:ilvl w:val="0"/>
          <w:numId w:val="3"/>
        </w:numPr>
        <w:tabs>
          <w:tab w:val="clear" w:pos="644"/>
        </w:tabs>
        <w:spacing w:before="60" w:after="120" w:line="280" w:lineRule="atLeast"/>
        <w:ind w:hanging="567"/>
        <w:mirrorIndents/>
        <w:rPr>
          <w:rFonts w:eastAsia="Times New Roman" w:cs="Times New Roman"/>
          <w:szCs w:val="20"/>
        </w:rPr>
      </w:pPr>
      <w:r w:rsidRPr="002B5B92">
        <w:t xml:space="preserve">CEQ nru. 21 tkopri l-erba’ objettivi tan-NRN. L-iskrinjar tal-potenzjal tal-innovazzjoni tan-NRN se jkun iffokat fuq l-azzjonijiet tan-NRN, li jikkontribwixxu għall-objettiv komuni tan-NRN “It-trawwim </w:t>
      </w:r>
      <w:r w:rsidRPr="002B5B92">
        <w:lastRenderedPageBreak/>
        <w:t>tal-innovazzjoni fl-agrikoltura, fil-produzzjoni tal-ikel, fil-forestrija u fiż-żoni rurali”. Dan l-iskrinjar se jgħin sabiex tiġi mwieġba l-parti relatata mal-innovazzjoni tas-CEQ.</w:t>
      </w:r>
    </w:p>
    <w:p w:rsidR="00A45935" w:rsidRPr="002B5B92" w:rsidRDefault="00A45935" w:rsidP="00E05D08">
      <w:pPr>
        <w:numPr>
          <w:ilvl w:val="0"/>
          <w:numId w:val="3"/>
        </w:numPr>
        <w:spacing w:before="60" w:after="120" w:line="280" w:lineRule="atLeast"/>
        <w:ind w:hanging="567"/>
        <w:mirrorIndents/>
        <w:rPr>
          <w:rFonts w:eastAsia="Times New Roman" w:cs="Times New Roman"/>
          <w:szCs w:val="20"/>
        </w:rPr>
      </w:pPr>
      <w:r w:rsidRPr="002B5B92">
        <w:t>CEQ nru. 23 se tiġi mwieġba bil-valutazzjoni tal-kontribuzzjonijiet tal-PŻR għall-kisba tal-mira ewlenija tar-riċerka u l-iżvilupp/l-innovazzjoni li jintlaħaq 3 % tal-PDG tal-UE (pubbliku u privat flimkien)</w:t>
      </w:r>
      <w:r w:rsidRPr="002B5B92">
        <w:rPr>
          <w:rFonts w:eastAsia="Times New Roman" w:cs="Times New Roman"/>
          <w:szCs w:val="20"/>
          <w:vertAlign w:val="superscript"/>
          <w:lang w:eastAsia="de-DE"/>
        </w:rPr>
        <w:footnoteReference w:id="46"/>
      </w:r>
      <w:r w:rsidRPr="002B5B92">
        <w:t xml:space="preserve"> filwaqt li jintużaw indikaturi relatati ma’ dik il-mira. L-iskrinjar tal-miżuri kollha tal-PŻR għall-potenzjal tal-innovazzjoni huwa importanti sabiex: a) jiġu identifikati miżuri li jikkontribwixxu għat-trawwim tal-innovazzjoni u b) jitqies l-infiq marbut ma’ dawn il-miżuri meta jiġu kkalkolati l-indikaturi użati sabiex tiġi mwieġba s-CEQ nru. 23.</w:t>
      </w:r>
    </w:p>
    <w:p w:rsidR="00A45935" w:rsidRPr="002B5B92" w:rsidRDefault="00A45935" w:rsidP="00E05D08">
      <w:pPr>
        <w:numPr>
          <w:ilvl w:val="0"/>
          <w:numId w:val="3"/>
        </w:numPr>
        <w:spacing w:before="60" w:after="120" w:line="280" w:lineRule="atLeast"/>
        <w:ind w:hanging="567"/>
        <w:mirrorIndents/>
        <w:rPr>
          <w:rFonts w:eastAsia="Times New Roman" w:cs="Times New Roman"/>
          <w:szCs w:val="20"/>
        </w:rPr>
      </w:pPr>
      <w:r w:rsidRPr="002B5B92">
        <w:t xml:space="preserve">CEQ nru. 30 hija marbuta mal-objettiv trażversali dwar l-innovazzjoni. Hawnhekk, il-miżuri/submiżuri kollha u l-kombinazzjoni tagħhom taħt kull </w:t>
      </w:r>
      <w:r w:rsidR="00794C2E" w:rsidRPr="002B5B92">
        <w:t>OP</w:t>
      </w:r>
      <w:r w:rsidRPr="002B5B92">
        <w:t xml:space="preserve"> se jiġu skrinjati bil-għan li jiġu identifikati dawk bil-potenzjal li jrawmu l-innovazzjoni permezz tat-tliet perkorsi. Din l-analiżi se tgħin sabiex tagħmilha faċli għall-evalwatur biex jibni evalwazzjoni ta’ studju ta’ każ abbażi tat-teorija tal-bidla proposta biex tintuża fit-tweġiba għas-CEQ nru. 30. </w:t>
      </w:r>
    </w:p>
    <w:p w:rsidR="00A45935" w:rsidRPr="002B5B92"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2B5B92">
        <w:rPr>
          <w:b/>
          <w:color w:val="57825E"/>
          <w:szCs w:val="20"/>
          <w:shd w:val="clear" w:color="auto" w:fill="FFFFFF"/>
        </w:rPr>
        <w:t xml:space="preserve">X’inhu l-eżitu? </w:t>
      </w:r>
    </w:p>
    <w:p w:rsidR="00A45935" w:rsidRPr="002B5B92" w:rsidRDefault="00A45935" w:rsidP="00E05D08">
      <w:pPr>
        <w:spacing w:after="120" w:line="280" w:lineRule="atLeast"/>
        <w:mirrorIndents/>
        <w:rPr>
          <w:rFonts w:eastAsia="Times New Roman" w:cs="Times New Roman"/>
          <w:szCs w:val="20"/>
        </w:rPr>
      </w:pPr>
      <w:r w:rsidRPr="002B5B92">
        <w:rPr>
          <w:b/>
          <w:szCs w:val="20"/>
        </w:rPr>
        <w:t>L-iskrinjar jgħin sabiex il-loġika tal-interventi relatati mal-innovazzjoni tal-PŻR issir aktar espliċita.</w:t>
      </w:r>
      <w:r w:rsidRPr="002B5B92">
        <w:t xml:space="preserve"> Huwa jidentifika l-miżuri tal-PŻR li għandhom l-ogħla potenzjal li jrawmu l-innovazzjoni u jikkjarifika wkoll ma’ liema oqsma (perkorsi) huma relatati. Matul l-evalwazzjoni sussegwenti tal-effetti, l-eżiti ta’ dan l-iskrinjar jiġu kkunsidrati sabiex il-potenzjal jitqabbel mal-kisbiet attwali tal-PŻR fit-trawwim tal-innovazzjoni. Dan jgħin sabiex il-ħidma tal-evalwatur tiġi ffokata fuq dawk il-miżuri u s-submiżuri li huma meqjusa bħala partikolarment rilevanti għat-trawwim tal-innovazzjoni. </w:t>
      </w:r>
    </w:p>
    <w:p w:rsidR="00A45935" w:rsidRPr="002B5B92" w:rsidRDefault="00A1327D" w:rsidP="009F5AB5">
      <w:pPr>
        <w:pStyle w:val="HStandard"/>
      </w:pPr>
      <w:r w:rsidRPr="002B5B92">
        <w:rPr>
          <w:b/>
          <w:noProof/>
          <w:lang w:val="en-GB" w:eastAsia="en-GB"/>
        </w:rPr>
        <mc:AlternateContent>
          <mc:Choice Requires="wps">
            <w:drawing>
              <wp:anchor distT="0" distB="0" distL="114300" distR="114300" simplePos="0" relativeHeight="251742208" behindDoc="0" locked="0" layoutInCell="1" allowOverlap="1" wp14:anchorId="5FA187E2" wp14:editId="52E6DB97">
                <wp:simplePos x="0" y="0"/>
                <wp:positionH relativeFrom="page">
                  <wp:posOffset>1671491</wp:posOffset>
                </wp:positionH>
                <wp:positionV relativeFrom="page">
                  <wp:posOffset>5228562</wp:posOffset>
                </wp:positionV>
                <wp:extent cx="4153546" cy="2286000"/>
                <wp:effectExtent l="0" t="0" r="18415" b="19050"/>
                <wp:wrapSquare wrapText="bothSides"/>
                <wp:docPr id="67" name="Rectangle: Diagonal Corners Rounded 67"/>
                <wp:cNvGraphicFramePr/>
                <a:graphic xmlns:a="http://schemas.openxmlformats.org/drawingml/2006/main">
                  <a:graphicData uri="http://schemas.microsoft.com/office/word/2010/wordprocessingShape">
                    <wps:wsp>
                      <wps:cNvSpPr/>
                      <wps:spPr>
                        <a:xfrm>
                          <a:off x="0" y="0"/>
                          <a:ext cx="4153546" cy="2286000"/>
                        </a:xfrm>
                        <a:prstGeom prst="round2DiagRect">
                          <a:avLst>
                            <a:gd name="adj1" fmla="val 9754"/>
                            <a:gd name="adj2" fmla="val 0"/>
                          </a:avLst>
                        </a:prstGeom>
                        <a:noFill/>
                        <a:ln w="25400" cap="flat" cmpd="sng" algn="ctr">
                          <a:solidFill>
                            <a:srgbClr val="8BAB80"/>
                          </a:solidFill>
                          <a:prstDash val="solid"/>
                        </a:ln>
                        <a:effectLst/>
                      </wps:spPr>
                      <wps:txbx>
                        <w:txbxContent>
                          <w:p w:rsidR="005570DA" w:rsidRPr="00275EE5" w:rsidRDefault="005570DA" w:rsidP="007A450E">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004"/>
                              <w:gridCol w:w="3003"/>
                            </w:tblGrid>
                            <w:tr w:rsidR="005570DA" w:rsidRPr="0079762F" w:rsidTr="00E05D08">
                              <w:tc>
                                <w:tcPr>
                                  <w:tcW w:w="3402" w:type="dxa"/>
                                  <w:shd w:val="clear" w:color="auto" w:fill="FFFFFF"/>
                                </w:tcPr>
                                <w:p w:rsidR="005570DA" w:rsidRPr="00B63DE8" w:rsidRDefault="005570DA" w:rsidP="007A450E">
                                  <w:pPr>
                                    <w:suppressOverlap/>
                                    <w:jc w:val="left"/>
                                    <w:rPr>
                                      <w:rFonts w:cs="Arial"/>
                                      <w:b/>
                                      <w:color w:val="404040"/>
                                      <w:szCs w:val="18"/>
                                    </w:rPr>
                                  </w:pPr>
                                  <w:r>
                                    <w:rPr>
                                      <w:b/>
                                      <w:color w:val="404040"/>
                                      <w:szCs w:val="18"/>
                                    </w:rPr>
                                    <w:t>X’għandek tagħmel</w:t>
                                  </w:r>
                                </w:p>
                                <w:p w:rsidR="005570DA" w:rsidRPr="00B63DE8" w:rsidRDefault="005570DA" w:rsidP="007A450E">
                                  <w:pPr>
                                    <w:pStyle w:val="Hlistbullet"/>
                                    <w:spacing w:line="160" w:lineRule="atLeast"/>
                                    <w:jc w:val="left"/>
                                    <w:rPr>
                                      <w:sz w:val="18"/>
                                      <w:szCs w:val="18"/>
                                    </w:rPr>
                                  </w:pPr>
                                  <w:r>
                                    <w:rPr>
                                      <w:sz w:val="18"/>
                                      <w:szCs w:val="18"/>
                                    </w:rPr>
                                    <w:t xml:space="preserve">Tivvaluta d-disinn tal-miżura (rabta mal-ħtiġijiet, l-objettivi, il-kriterji tal-għażla, il-benefiċjarji) għall-potenzjal li trawwem l-innovazzjoni u l-intensità tagħha. </w:t>
                                  </w:r>
                                </w:p>
                                <w:p w:rsidR="005570DA" w:rsidRPr="00B63DE8" w:rsidRDefault="005570DA" w:rsidP="007A450E">
                                  <w:pPr>
                                    <w:pStyle w:val="Hlistbullet"/>
                                    <w:spacing w:line="160" w:lineRule="atLeast"/>
                                    <w:jc w:val="left"/>
                                  </w:pPr>
                                  <w:r>
                                    <w:rPr>
                                      <w:sz w:val="18"/>
                                      <w:szCs w:val="18"/>
                                    </w:rPr>
                                    <w:t>Tirrikonoxxi l-loġika tal-interventi relatati mal-innovazzjoni sottostanti tal-PŻR.</w:t>
                                  </w:r>
                                  <w:r>
                                    <w:t xml:space="preserve"> </w:t>
                                  </w:r>
                                </w:p>
                              </w:tc>
                              <w:tc>
                                <w:tcPr>
                                  <w:tcW w:w="3402" w:type="dxa"/>
                                  <w:shd w:val="clear" w:color="auto" w:fill="auto"/>
                                </w:tcPr>
                                <w:p w:rsidR="005570DA" w:rsidRPr="00B63DE8" w:rsidRDefault="005570DA" w:rsidP="007A450E">
                                  <w:pPr>
                                    <w:suppressOverlap/>
                                    <w:jc w:val="left"/>
                                    <w:rPr>
                                      <w:rFonts w:cs="Arial"/>
                                      <w:b/>
                                      <w:color w:val="404040"/>
                                      <w:szCs w:val="18"/>
                                    </w:rPr>
                                  </w:pPr>
                                  <w:r>
                                    <w:rPr>
                                      <w:b/>
                                      <w:color w:val="404040"/>
                                      <w:szCs w:val="18"/>
                                    </w:rPr>
                                    <w:t>X’ma għandekx tagħmel</w:t>
                                  </w:r>
                                </w:p>
                                <w:p w:rsidR="005570DA" w:rsidRPr="00B63DE8" w:rsidRDefault="005570DA" w:rsidP="007A450E">
                                  <w:pPr>
                                    <w:pStyle w:val="Hlistbullet"/>
                                    <w:spacing w:line="160" w:lineRule="atLeast"/>
                                    <w:jc w:val="left"/>
                                    <w:rPr>
                                      <w:sz w:val="18"/>
                                      <w:szCs w:val="18"/>
                                    </w:rPr>
                                  </w:pPr>
                                  <w:r>
                                    <w:rPr>
                                      <w:sz w:val="18"/>
                                      <w:szCs w:val="18"/>
                                    </w:rPr>
                                    <w:t xml:space="preserve">Tillimita l-iskrinjar tal-potenzjal tal-innovazzjoni tal-PŻR biss għar-referenza għall-kelma “innovattivi” fil-kriterji tal-għażla u l-miżuri. </w:t>
                                  </w:r>
                                </w:p>
                                <w:p w:rsidR="005570DA" w:rsidRPr="00B63DE8" w:rsidRDefault="005570DA" w:rsidP="007A450E">
                                  <w:pPr>
                                    <w:suppressOverlap/>
                                    <w:jc w:val="left"/>
                                    <w:rPr>
                                      <w:rFonts w:cs="Arial"/>
                                      <w:color w:val="1A1A1A"/>
                                      <w:szCs w:val="18"/>
                                    </w:rPr>
                                  </w:pPr>
                                </w:p>
                              </w:tc>
                            </w:tr>
                          </w:tbl>
                          <w:p w:rsidR="005570DA" w:rsidRPr="00275EE5" w:rsidRDefault="005570DA"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187E2" id="Rectangle: Diagonal Corners Rounded 67" o:spid="_x0000_s1038" style="position:absolute;left:0;text-align:left;margin-left:131.6pt;margin-top:411.7pt;width:327.05pt;height:180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153546,228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" adj="-11796480,,5400" path="m222976,l4153546,r,l4153546,2063024v,123146,-99830,222976,-222976,222976l,2286000r,l,222976c,99830,99830,,222976,xe" filled="f" strokecolor="#8bab80" strokeweight="2pt">
                <v:stroke joinstyle="miter"/>
                <v:formulas/>
                <v:path arrowok="t" o:connecttype="custom" o:connectlocs="222976,0;4153546,0;4153546,0;4153546,2063024;3930570,2286000;0,2286000;0,2286000;0,222976;222976,0" o:connectangles="0,0,0,0,0,0,0,0,0" textboxrect="0,0,4153546,2286000"/>
                <v:textbox>
                  <w:txbxContent>
                    <w:p w:rsidR="005570DA" w:rsidRPr="00275EE5" w:rsidRDefault="005570DA" w:rsidP="007A450E">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004"/>
                        <w:gridCol w:w="3003"/>
                      </w:tblGrid>
                      <w:tr w:rsidR="005570DA" w:rsidRPr="0079762F" w:rsidTr="00E05D08">
                        <w:tc>
                          <w:tcPr>
                            <w:tcW w:w="3402" w:type="dxa"/>
                            <w:shd w:val="clear" w:color="auto" w:fill="FFFFFF"/>
                          </w:tcPr>
                          <w:p w:rsidR="005570DA" w:rsidRPr="00B63DE8" w:rsidRDefault="005570DA" w:rsidP="007A450E">
                            <w:pPr>
                              <w:suppressOverlap/>
                              <w:jc w:val="left"/>
                              <w:rPr>
                                <w:rFonts w:cs="Arial"/>
                                <w:b/>
                                <w:color w:val="404040"/>
                                <w:szCs w:val="18"/>
                              </w:rPr>
                            </w:pPr>
                            <w:r>
                              <w:rPr>
                                <w:b/>
                                <w:color w:val="404040"/>
                                <w:szCs w:val="18"/>
                              </w:rPr>
                              <w:t>X’għandek tagħmel</w:t>
                            </w:r>
                          </w:p>
                          <w:p w:rsidR="005570DA" w:rsidRPr="00B63DE8" w:rsidRDefault="005570DA" w:rsidP="007A450E">
                            <w:pPr>
                              <w:pStyle w:val="Hlistbullet"/>
                              <w:spacing w:line="160" w:lineRule="atLeast"/>
                              <w:jc w:val="left"/>
                              <w:rPr>
                                <w:sz w:val="18"/>
                                <w:szCs w:val="18"/>
                              </w:rPr>
                            </w:pPr>
                            <w:r>
                              <w:rPr>
                                <w:sz w:val="18"/>
                                <w:szCs w:val="18"/>
                              </w:rPr>
                              <w:t xml:space="preserve">Tivvaluta d-disinn tal-miżura (rabta mal-ħtiġijiet, l-objettivi, il-kriterji tal-għażla, il-benefiċjarji) għall-potenzjal li trawwem l-innovazzjoni u l-intensità tagħha. </w:t>
                            </w:r>
                          </w:p>
                          <w:p w:rsidR="005570DA" w:rsidRPr="00B63DE8" w:rsidRDefault="005570DA" w:rsidP="007A450E">
                            <w:pPr>
                              <w:pStyle w:val="Hlistbullet"/>
                              <w:spacing w:line="160" w:lineRule="atLeast"/>
                              <w:jc w:val="left"/>
                            </w:pPr>
                            <w:r>
                              <w:rPr>
                                <w:sz w:val="18"/>
                                <w:szCs w:val="18"/>
                              </w:rPr>
                              <w:t>Tirrikonoxxi l-loġika tal-interventi relatati mal-innovazzjoni sottostanti tal-PŻR.</w:t>
                            </w:r>
                            <w:r>
                              <w:t xml:space="preserve"> </w:t>
                            </w:r>
                          </w:p>
                        </w:tc>
                        <w:tc>
                          <w:tcPr>
                            <w:tcW w:w="3402" w:type="dxa"/>
                            <w:shd w:val="clear" w:color="auto" w:fill="auto"/>
                          </w:tcPr>
                          <w:p w:rsidR="005570DA" w:rsidRPr="00B63DE8" w:rsidRDefault="005570DA" w:rsidP="007A450E">
                            <w:pPr>
                              <w:suppressOverlap/>
                              <w:jc w:val="left"/>
                              <w:rPr>
                                <w:rFonts w:cs="Arial"/>
                                <w:b/>
                                <w:color w:val="404040"/>
                                <w:szCs w:val="18"/>
                              </w:rPr>
                            </w:pPr>
                            <w:r>
                              <w:rPr>
                                <w:b/>
                                <w:color w:val="404040"/>
                                <w:szCs w:val="18"/>
                              </w:rPr>
                              <w:t>X’ma għandekx tagħmel</w:t>
                            </w:r>
                          </w:p>
                          <w:p w:rsidR="005570DA" w:rsidRPr="00B63DE8" w:rsidRDefault="005570DA" w:rsidP="007A450E">
                            <w:pPr>
                              <w:pStyle w:val="Hlistbullet"/>
                              <w:spacing w:line="160" w:lineRule="atLeast"/>
                              <w:jc w:val="left"/>
                              <w:rPr>
                                <w:sz w:val="18"/>
                                <w:szCs w:val="18"/>
                              </w:rPr>
                            </w:pPr>
                            <w:r>
                              <w:rPr>
                                <w:sz w:val="18"/>
                                <w:szCs w:val="18"/>
                              </w:rPr>
                              <w:t xml:space="preserve">Tillimita l-iskrinjar tal-potenzjal tal-innovazzjoni tal-PŻR biss għar-referenza għall-kelma “innovattivi” fil-kriterji tal-għażla u l-miżuri. </w:t>
                            </w:r>
                          </w:p>
                          <w:p w:rsidR="005570DA" w:rsidRPr="00B63DE8" w:rsidRDefault="005570DA" w:rsidP="007A450E">
                            <w:pPr>
                              <w:suppressOverlap/>
                              <w:jc w:val="left"/>
                              <w:rPr>
                                <w:rFonts w:cs="Arial"/>
                                <w:color w:val="1A1A1A"/>
                                <w:szCs w:val="18"/>
                              </w:rPr>
                            </w:pPr>
                          </w:p>
                        </w:tc>
                      </w:tr>
                    </w:tbl>
                    <w:p w:rsidR="005570DA" w:rsidRPr="00275EE5" w:rsidRDefault="005570DA" w:rsidP="007A450E">
                      <w:pPr>
                        <w:pStyle w:val="Normal12PTcouleurgris"/>
                      </w:pPr>
                    </w:p>
                  </w:txbxContent>
                </v:textbox>
                <w10:wrap type="square" anchorx="page" anchory="page"/>
              </v:shape>
            </w:pict>
          </mc:Fallback>
        </mc:AlternateContent>
      </w:r>
    </w:p>
    <w:p w:rsidR="000A43B7" w:rsidRPr="002B5B92" w:rsidRDefault="000A43B7" w:rsidP="009F5AB5">
      <w:pPr>
        <w:pStyle w:val="HStandard"/>
      </w:pPr>
    </w:p>
    <w:p w:rsidR="000A43B7" w:rsidRPr="002B5B92" w:rsidRDefault="000A43B7" w:rsidP="009F5AB5">
      <w:pPr>
        <w:pStyle w:val="HStandard"/>
      </w:pPr>
    </w:p>
    <w:p w:rsidR="007A450E" w:rsidRPr="002B5B92" w:rsidRDefault="007A450E">
      <w:pPr>
        <w:jc w:val="left"/>
        <w:rPr>
          <w:rFonts w:eastAsia="Times New Roman" w:cs="Times New Roman"/>
          <w:b/>
          <w:szCs w:val="20"/>
        </w:rPr>
      </w:pPr>
      <w:bookmarkStart w:id="96" w:name="_Toc493151903"/>
      <w:bookmarkStart w:id="97" w:name="_Toc501382129"/>
      <w:r w:rsidRPr="002B5B92">
        <w:br w:type="page"/>
      </w:r>
    </w:p>
    <w:p w:rsidR="00A45935" w:rsidRPr="002B5B92" w:rsidRDefault="00A45935" w:rsidP="00B421B9">
      <w:pPr>
        <w:pStyle w:val="HHeading2"/>
        <w:numPr>
          <w:ilvl w:val="1"/>
          <w:numId w:val="119"/>
        </w:numPr>
        <w:ind w:left="567" w:hanging="567"/>
      </w:pPr>
      <w:bookmarkStart w:id="98" w:name="Complementing"/>
      <w:bookmarkStart w:id="99" w:name="_Toc508960919"/>
      <w:bookmarkEnd w:id="98"/>
      <w:r w:rsidRPr="002B5B92">
        <w:lastRenderedPageBreak/>
        <w:t>L-ikkomplementar tal-elementi komuni tal-evalwazzjoni għall-innovazzjoni (irrakkomandat)</w:t>
      </w:r>
      <w:bookmarkEnd w:id="96"/>
      <w:bookmarkEnd w:id="97"/>
      <w:bookmarkEnd w:id="99"/>
    </w:p>
    <w:p w:rsidR="00A45935" w:rsidRPr="002B5B92"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2B5B92">
        <w:rPr>
          <w:b/>
          <w:color w:val="57825E"/>
          <w:szCs w:val="20"/>
          <w:shd w:val="clear" w:color="auto" w:fill="FFFFFF"/>
        </w:rPr>
        <w:t xml:space="preserve">Għaliex u meta għandha tiġi kkomplementata s-CMES? </w:t>
      </w:r>
    </w:p>
    <w:p w:rsidR="00A45935" w:rsidRPr="002B5B92" w:rsidRDefault="00A45935" w:rsidP="00E05D08">
      <w:pPr>
        <w:spacing w:after="120" w:line="280" w:lineRule="atLeast"/>
        <w:mirrorIndents/>
        <w:rPr>
          <w:rFonts w:eastAsia="Times New Roman" w:cs="Times New Roman"/>
          <w:szCs w:val="20"/>
        </w:rPr>
      </w:pPr>
      <w:r w:rsidRPr="002B5B92">
        <w:rPr>
          <w:b/>
          <w:szCs w:val="20"/>
        </w:rPr>
        <w:t>Is-CMES tipprovdi sett bażiku ta’ elementi tal-evalwazzjoni</w:t>
      </w:r>
      <w:r w:rsidRPr="002B5B92">
        <w:t xml:space="preserve"> (indikaturi tal-output komuni) sabiex jiġu mwieġba l-mistoqsijiet komuni tal-evalwazzjoni rilevanti nri. 1, 2 u 21 (ara </w:t>
      </w:r>
      <w:hyperlink w:anchor="Policy_framework" w:history="1">
        <w:r w:rsidRPr="002B5B92">
          <w:rPr>
            <w:rStyle w:val="Hyperlink"/>
            <w:sz w:val="20"/>
            <w:szCs w:val="20"/>
          </w:rPr>
          <w:t>t-Taqsima 1.2.1</w:t>
        </w:r>
      </w:hyperlink>
      <w:r w:rsidRPr="002B5B92">
        <w:t xml:space="preserve">). Barra minn hekk, il-kriterji tal-ġudizzju għas-CEQs kollha marbuta mal-innovazzjoni u xi indikaturi addizzjonali huma proposti fid-Dokument ta’ Ħidma, </w:t>
      </w:r>
      <w:hyperlink r:id="rId32" w:history="1">
        <w:r w:rsidRPr="002B5B92">
          <w:rPr>
            <w:rStyle w:val="Hyperlink"/>
            <w:sz w:val="20"/>
            <w:szCs w:val="20"/>
          </w:rPr>
          <w:t>Mistoqsijiet Komuni tal-Evalwazzjoni għall-PŻR 2014-2020</w:t>
        </w:r>
      </w:hyperlink>
      <w:r w:rsidRPr="002B5B92">
        <w:t>. Pereżempju, CEQ nru. 23 hija marbuta mal-mira ewlenija tal-UE 2020, li tista’ tintuża bħala bażi sabiex tiġi mwieġba din il-mistoqsija. CEQ nru. 30 hija l-unika mistoqsija akkumpanjata minn indikaturi addizzjonali</w:t>
      </w:r>
      <w:r w:rsidRPr="002B5B92">
        <w:rPr>
          <w:rFonts w:eastAsia="Times New Roman" w:cs="Times New Roman"/>
          <w:szCs w:val="20"/>
          <w:vertAlign w:val="superscript"/>
          <w:lang w:eastAsia="de-DE"/>
        </w:rPr>
        <w:footnoteReference w:id="47"/>
      </w:r>
      <w:r w:rsidRPr="002B5B92">
        <w:t xml:space="preserve">. </w:t>
      </w:r>
    </w:p>
    <w:p w:rsidR="00A45935" w:rsidRPr="002B5B92" w:rsidRDefault="00A45935" w:rsidP="00E05D08">
      <w:pPr>
        <w:spacing w:after="120" w:line="280" w:lineRule="atLeast"/>
        <w:mirrorIndents/>
        <w:rPr>
          <w:rFonts w:eastAsia="Times New Roman" w:cs="Times New Roman"/>
          <w:szCs w:val="20"/>
        </w:rPr>
      </w:pPr>
      <w:r w:rsidRPr="002B5B92">
        <w:rPr>
          <w:b/>
          <w:szCs w:val="20"/>
        </w:rPr>
        <w:t xml:space="preserve">L-elementi komuni tal-evalwazzjoni għandhom jiġu rieżaminati qabel tibda l-evalwazzjoni </w:t>
      </w:r>
      <w:r w:rsidRPr="002B5B92">
        <w:t xml:space="preserve">u jiġu kkomplementati, jekk ikun meħtieġ. Dan l-eżami jista’ jqis is-sejbiet tal-iskrinjar tal-potenzjal tal-innovazzjoni tal-PŻR fit-trawwim tal-innovazzjoni (ara </w:t>
      </w:r>
      <w:hyperlink w:anchor="Screening_Potential" w:history="1">
        <w:r w:rsidRPr="002B5B92">
          <w:rPr>
            <w:rStyle w:val="Hyperlink"/>
            <w:sz w:val="20"/>
            <w:szCs w:val="20"/>
          </w:rPr>
          <w:t>l-Kapitolu 2.2</w:t>
        </w:r>
      </w:hyperlink>
      <w:r w:rsidRPr="002B5B92">
        <w:t xml:space="preserve">). </w:t>
      </w:r>
    </w:p>
    <w:p w:rsidR="00A45935" w:rsidRPr="002B5B92"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2B5B92">
        <w:rPr>
          <w:b/>
          <w:color w:val="57825E"/>
          <w:szCs w:val="20"/>
          <w:shd w:val="clear" w:color="auto" w:fill="FFFFFF"/>
        </w:rPr>
        <w:t>X’inhuma l-passi għall-iżvilupp ta’ elementi tal-evalwazzjoni speċifiċi għall-programmi u addizzjonali?</w:t>
      </w:r>
    </w:p>
    <w:p w:rsidR="00A45935" w:rsidRPr="002B5B92" w:rsidRDefault="00A45935" w:rsidP="00E05D08">
      <w:pPr>
        <w:spacing w:after="120" w:line="280" w:lineRule="atLeast"/>
        <w:mirrorIndents/>
        <w:rPr>
          <w:rFonts w:eastAsia="Calibri" w:cs="Times New Roman"/>
          <w:szCs w:val="20"/>
        </w:rPr>
      </w:pPr>
      <w:r w:rsidRPr="002B5B92">
        <w:t xml:space="preserve">L-iżvilupp ta’ elementi addizzjonali tal-evalwazzjoni (deskritti fid-dettall fil-linji gwida, </w:t>
      </w:r>
      <w:hyperlink r:id="rId33" w:history="1">
        <w:r w:rsidRPr="002B5B92">
          <w:rPr>
            <w:rStyle w:val="Hyperlink"/>
            <w:sz w:val="20"/>
            <w:szCs w:val="20"/>
          </w:rPr>
          <w:t>Assessment of RDP results  how to prepare for reporting on evaluation in 2017</w:t>
        </w:r>
      </w:hyperlink>
      <w:r w:rsidRPr="002B5B92">
        <w:t xml:space="preserve">) jista’ jinġabar fil-qosor kif ġej: </w:t>
      </w:r>
    </w:p>
    <w:p w:rsidR="00A45935" w:rsidRPr="002B5B92" w:rsidRDefault="00576A73" w:rsidP="00B421B9">
      <w:pPr>
        <w:pStyle w:val="Hlistbullet"/>
        <w:rPr>
          <w:rFonts w:eastAsia="Calibri"/>
        </w:rPr>
      </w:pPr>
      <w:r w:rsidRPr="002B5B92">
        <w:rPr>
          <w:noProof/>
          <w:lang w:val="en-GB" w:eastAsia="en-GB"/>
        </w:rPr>
        <mc:AlternateContent>
          <mc:Choice Requires="wps">
            <w:drawing>
              <wp:anchor distT="0" distB="0" distL="114300" distR="114300" simplePos="0" relativeHeight="251710464" behindDoc="0" locked="0" layoutInCell="1" allowOverlap="1" wp14:anchorId="7D831EAC" wp14:editId="2A3C9F20">
                <wp:simplePos x="0" y="0"/>
                <wp:positionH relativeFrom="column">
                  <wp:posOffset>2831465</wp:posOffset>
                </wp:positionH>
                <wp:positionV relativeFrom="paragraph">
                  <wp:posOffset>75565</wp:posOffset>
                </wp:positionV>
                <wp:extent cx="2832735" cy="2149475"/>
                <wp:effectExtent l="0" t="0" r="24765" b="22225"/>
                <wp:wrapSquare wrapText="bothSides"/>
                <wp:docPr id="34" name="Rectangle: Diagonal Corners Rounded 34"/>
                <wp:cNvGraphicFramePr/>
                <a:graphic xmlns:a="http://schemas.openxmlformats.org/drawingml/2006/main">
                  <a:graphicData uri="http://schemas.microsoft.com/office/word/2010/wordprocessingShape">
                    <wps:wsp>
                      <wps:cNvSpPr/>
                      <wps:spPr>
                        <a:xfrm>
                          <a:off x="0" y="0"/>
                          <a:ext cx="2832735" cy="2149475"/>
                        </a:xfrm>
                        <a:prstGeom prst="round2DiagRect">
                          <a:avLst>
                            <a:gd name="adj1" fmla="val 7843"/>
                            <a:gd name="adj2" fmla="val 0"/>
                          </a:avLst>
                        </a:prstGeom>
                        <a:noFill/>
                        <a:ln w="25400" cap="flat" cmpd="sng" algn="ctr">
                          <a:solidFill>
                            <a:srgbClr val="BE4A35"/>
                          </a:solidFill>
                          <a:prstDash val="solid"/>
                        </a:ln>
                        <a:effectLst/>
                      </wps:spPr>
                      <wps:txbx>
                        <w:txbxContent>
                          <w:p w:rsidR="005570DA" w:rsidRPr="00D450FE" w:rsidRDefault="005570DA" w:rsidP="00E05D08">
                            <w:pPr>
                              <w:pStyle w:val="HStandard"/>
                              <w:rPr>
                                <w:sz w:val="18"/>
                                <w:szCs w:val="18"/>
                              </w:rPr>
                            </w:pPr>
                            <w:r>
                              <w:rPr>
                                <w:noProof/>
                                <w:lang w:val="en-GB" w:eastAsia="en-GB"/>
                              </w:rPr>
                              <w:drawing>
                                <wp:inline distT="0" distB="0" distL="0" distR="0" wp14:anchorId="451032FD" wp14:editId="1980E49C">
                                  <wp:extent cx="664845" cy="487680"/>
                                  <wp:effectExtent l="0" t="0" r="0" b="7620"/>
                                  <wp:docPr id="737"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L-elementi addizzjonali tal-evalwazzjoni (mistoqsijiet addizzjonali tal-evalwazzjoni, kriterji addizzjonali tal-ġudizzju u indikaturi addizzjonali) ssuġġeriti f’dawn il-linji gwida fil-Kapitolu 2.4 </w:t>
                            </w:r>
                            <w:r>
                              <w:rPr>
                                <w:b/>
                                <w:sz w:val="18"/>
                                <w:szCs w:val="18"/>
                              </w:rPr>
                              <w:t xml:space="preserve">MHUMIEX VINKOLANTI! </w:t>
                            </w:r>
                            <w:r>
                              <w:rPr>
                                <w:sz w:val="18"/>
                                <w:szCs w:val="18"/>
                              </w:rPr>
                              <w:t xml:space="preserve">Kull MA tista’ tiddeċiedi li tiżviluppa u tuża l-elementi tal-evalwazzjoni speċifiċi għall-programmi u addizzjonali tagħha stess.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31EAC" id="Rectangle: Diagonal Corners Rounded 34" o:spid="_x0000_s1039" style="position:absolute;left:0;text-align:left;margin-left:222.95pt;margin-top:5.95pt;width:223.05pt;height:16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2735,2149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" adj="-11796480,,5400" path="m168583,l2832735,r,l2832735,1980892v,93106,-75477,168583,-168583,168583l,2149475r,l,168583c,75477,75477,,168583,xe" filled="f" strokecolor="#be4a35" strokeweight="2pt">
                <v:stroke joinstyle="miter"/>
                <v:formulas/>
                <v:path arrowok="t" o:connecttype="custom" o:connectlocs="168583,0;2832735,0;2832735,0;2832735,1980892;2664152,2149475;0,2149475;0,2149475;0,168583;168583,0" o:connectangles="0,0,0,0,0,0,0,0,0" textboxrect="0,0,2832735,2149475"/>
                <v:textbox>
                  <w:txbxContent>
                    <w:p w:rsidR="005570DA" w:rsidRPr="00D450FE" w:rsidRDefault="005570DA" w:rsidP="00E05D08">
                      <w:pPr>
                        <w:pStyle w:val="HStandard"/>
                        <w:rPr>
                          <w:sz w:val="18"/>
                          <w:szCs w:val="18"/>
                        </w:rPr>
                      </w:pPr>
                      <w:r>
                        <w:rPr>
                          <w:noProof/>
                          <w:lang w:val="en-GB" w:eastAsia="en-GB"/>
                        </w:rPr>
                        <w:drawing>
                          <wp:inline distT="0" distB="0" distL="0" distR="0" wp14:anchorId="451032FD" wp14:editId="1980E49C">
                            <wp:extent cx="664845" cy="487680"/>
                            <wp:effectExtent l="0" t="0" r="0" b="7620"/>
                            <wp:docPr id="737"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L-elementi addizzjonali tal-evalwazzjoni (mistoqsijiet addizzjonali tal-evalwazzjoni, kriterji addizzjonali tal-ġudizzju u indikaturi addizzjonali) ssuġġeriti f’dawn il-linji gwida fil-Kapitolu 2.4 </w:t>
                      </w:r>
                      <w:r>
                        <w:rPr>
                          <w:b/>
                          <w:sz w:val="18"/>
                          <w:szCs w:val="18"/>
                        </w:rPr>
                        <w:t xml:space="preserve">MHUMIEX VINKOLANTI! </w:t>
                      </w:r>
                      <w:r>
                        <w:rPr>
                          <w:sz w:val="18"/>
                          <w:szCs w:val="18"/>
                        </w:rPr>
                        <w:t xml:space="preserve">Kull MA tista’ tiddeċiedi li tiżviluppa u tuża l-elementi tal-evalwazzjoni speċifiċi għall-programmi u addizzjonali tagħha stess. </w:t>
                      </w:r>
                    </w:p>
                  </w:txbxContent>
                </v:textbox>
                <w10:wrap type="square"/>
              </v:shape>
            </w:pict>
          </mc:Fallback>
        </mc:AlternateContent>
      </w:r>
      <w:r w:rsidRPr="002B5B92">
        <w:t xml:space="preserve">terġa’ tirrevedi l-loġika tal-interventi sottostanti tal-PŻR għall-innovazzjoni (ara </w:t>
      </w:r>
      <w:hyperlink w:anchor="Screening_Potential" w:history="1">
        <w:r w:rsidRPr="002B5B92">
          <w:rPr>
            <w:rStyle w:val="Hyperlink"/>
            <w:sz w:val="20"/>
          </w:rPr>
          <w:t>l-Kapitolu 2.2</w:t>
        </w:r>
      </w:hyperlink>
      <w:r w:rsidRPr="002B5B92">
        <w:t>);</w:t>
      </w:r>
    </w:p>
    <w:p w:rsidR="00A45935" w:rsidRPr="002B5B92" w:rsidRDefault="00A45935" w:rsidP="00B421B9">
      <w:pPr>
        <w:pStyle w:val="Hlistbullet"/>
        <w:rPr>
          <w:rFonts w:eastAsia="Calibri"/>
        </w:rPr>
      </w:pPr>
      <w:r w:rsidRPr="002B5B92">
        <w:t xml:space="preserve">tirrieżamina l-mistoqsijiet komuni tal-evalwazzjoni, il-kriterji komuni tal-ġudizzju u l-indikaturi komuni marbuta mal-innovazzjoni u tiċċekkja jekk dawn humiex biżżejjed sabiex jiġu mwieġba s-CEQs relatati mal-innovazzjoni; </w:t>
      </w:r>
    </w:p>
    <w:p w:rsidR="00576A73" w:rsidRPr="002B5B92" w:rsidRDefault="00A45935" w:rsidP="00B421B9">
      <w:pPr>
        <w:pStyle w:val="Hlistbullet"/>
        <w:rPr>
          <w:rFonts w:eastAsia="Calibri"/>
        </w:rPr>
      </w:pPr>
      <w:r w:rsidRPr="002B5B92">
        <w:t>tikkomplementa s-CMES b’elementi addizzjonali ta’ evalwazzjoni relatati mal-innovazzjoni, f’każ li l-elementi komuni ma jkunux biżżejjed sabiex jiġu mwieġba s-CEQs relatati mal-innovazzjoni;</w:t>
      </w:r>
    </w:p>
    <w:p w:rsidR="00576A73" w:rsidRPr="002B5B92" w:rsidRDefault="00A45935" w:rsidP="00B421B9">
      <w:pPr>
        <w:pStyle w:val="Hlistbullet"/>
        <w:rPr>
          <w:rFonts w:eastAsia="Calibri"/>
        </w:rPr>
      </w:pPr>
      <w:r w:rsidRPr="002B5B92">
        <w:t xml:space="preserve">tiżviluppa elementi ta’ evalwazzjoni speċifiċi għall-programmi għall-valutazzjoni tal-innovazzjoni, relatati ma’ </w:t>
      </w:r>
      <w:r w:rsidR="00794C2E" w:rsidRPr="002B5B92">
        <w:t>oqsma ta' prijorità</w:t>
      </w:r>
      <w:r w:rsidRPr="002B5B92">
        <w:t xml:space="preserve"> speċifiċi għall-programmi u EQs ta’ interess speċifiku għall-MA. </w:t>
      </w:r>
    </w:p>
    <w:p w:rsidR="000A43B7" w:rsidRPr="002B5B92" w:rsidRDefault="000A43B7" w:rsidP="000A43B7">
      <w:pPr>
        <w:rPr>
          <w:noProof/>
          <w:szCs w:val="20"/>
        </w:rPr>
      </w:pPr>
      <w:r w:rsidRPr="002B5B92">
        <w:rPr>
          <w:rFonts w:cs="Arial"/>
          <w:b/>
          <w:noProof/>
          <w:color w:val="F07E31"/>
          <w:szCs w:val="20"/>
          <w:lang w:val="en-GB" w:eastAsia="en-GB"/>
        </w:rPr>
        <w:lastRenderedPageBreak/>
        <mc:AlternateContent>
          <mc:Choice Requires="wps">
            <w:drawing>
              <wp:anchor distT="0" distB="0" distL="114300" distR="114300" simplePos="0" relativeHeight="251738112" behindDoc="0" locked="0" layoutInCell="1" allowOverlap="1" wp14:anchorId="72B16504" wp14:editId="1A7D34DB">
                <wp:simplePos x="0" y="0"/>
                <wp:positionH relativeFrom="column">
                  <wp:posOffset>748030</wp:posOffset>
                </wp:positionH>
                <wp:positionV relativeFrom="paragraph">
                  <wp:posOffset>69215</wp:posOffset>
                </wp:positionV>
                <wp:extent cx="4154170" cy="2486660"/>
                <wp:effectExtent l="0" t="0" r="17780" b="27940"/>
                <wp:wrapSquare wrapText="bothSides"/>
                <wp:docPr id="70" name="Rectangle: Diagonal Corners Rounded 70"/>
                <wp:cNvGraphicFramePr/>
                <a:graphic xmlns:a="http://schemas.openxmlformats.org/drawingml/2006/main">
                  <a:graphicData uri="http://schemas.microsoft.com/office/word/2010/wordprocessingShape">
                    <wps:wsp>
                      <wps:cNvSpPr/>
                      <wps:spPr>
                        <a:xfrm>
                          <a:off x="0" y="0"/>
                          <a:ext cx="4154170" cy="2486660"/>
                        </a:xfrm>
                        <a:prstGeom prst="round2DiagRect">
                          <a:avLst>
                            <a:gd name="adj1" fmla="val 7630"/>
                            <a:gd name="adj2" fmla="val 0"/>
                          </a:avLst>
                        </a:prstGeom>
                        <a:noFill/>
                        <a:ln w="25400" cap="flat" cmpd="sng" algn="ctr">
                          <a:solidFill>
                            <a:srgbClr val="8BAB80"/>
                          </a:solidFill>
                          <a:prstDash val="solid"/>
                        </a:ln>
                        <a:effectLst/>
                      </wps:spPr>
                      <wps:txbx>
                        <w:txbxContent>
                          <w:p w:rsidR="005570DA" w:rsidRPr="00275EE5" w:rsidRDefault="005570DA" w:rsidP="001744D0">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5570DA" w:rsidRPr="0079762F" w:rsidTr="00E05D08">
                              <w:tc>
                                <w:tcPr>
                                  <w:tcW w:w="2991" w:type="dxa"/>
                                  <w:shd w:val="clear" w:color="auto" w:fill="FFFFFF"/>
                                </w:tcPr>
                                <w:p w:rsidR="005570DA" w:rsidRPr="00654F10" w:rsidRDefault="005570DA" w:rsidP="001744D0">
                                  <w:pPr>
                                    <w:pStyle w:val="Normal12PTcouleurgris"/>
                                    <w:rPr>
                                      <w:b/>
                                      <w:color w:val="404040"/>
                                      <w:sz w:val="18"/>
                                    </w:rPr>
                                  </w:pPr>
                                  <w:r>
                                    <w:rPr>
                                      <w:b/>
                                      <w:color w:val="404040"/>
                                      <w:sz w:val="18"/>
                                    </w:rPr>
                                    <w:t>X’għandek tagħmel</w:t>
                                  </w:r>
                                </w:p>
                                <w:p w:rsidR="005570DA" w:rsidRPr="00654F10" w:rsidRDefault="005570DA" w:rsidP="007A450E">
                                  <w:pPr>
                                    <w:pStyle w:val="Hlistbullet"/>
                                    <w:spacing w:line="160" w:lineRule="atLeast"/>
                                    <w:jc w:val="left"/>
                                    <w:rPr>
                                      <w:sz w:val="18"/>
                                      <w:szCs w:val="18"/>
                                    </w:rPr>
                                  </w:pPr>
                                  <w:r>
                                    <w:rPr>
                                      <w:sz w:val="18"/>
                                      <w:szCs w:val="18"/>
                                    </w:rPr>
                                    <w:t>Tiskrinja l-kriterji tal-ġudizzju u l-indikaturi tas-CMES sabiex tiżgura li jkunu jistgħu jwieġbu b’mod suffiċjenti s-CEQs.</w:t>
                                  </w:r>
                                </w:p>
                                <w:p w:rsidR="005570DA" w:rsidRPr="00654F10" w:rsidRDefault="005570DA" w:rsidP="007A450E">
                                  <w:pPr>
                                    <w:pStyle w:val="Hlistbullet"/>
                                    <w:spacing w:line="160" w:lineRule="atLeast"/>
                                    <w:jc w:val="left"/>
                                    <w:rPr>
                                      <w:sz w:val="18"/>
                                      <w:szCs w:val="18"/>
                                    </w:rPr>
                                  </w:pPr>
                                  <w:r>
                                    <w:rPr>
                                      <w:sz w:val="18"/>
                                      <w:szCs w:val="18"/>
                                    </w:rPr>
                                    <w:t>Tiżviluppa kriterji addizzjonali tal-ġudizzju u indikaturi addizzjonali jekk dawk komuni ma jkunux biżżejjed sabiex tinġabar evidenza bil-għan li jiġu mwieġba s-CEQs.</w:t>
                                  </w:r>
                                </w:p>
                              </w:tc>
                              <w:tc>
                                <w:tcPr>
                                  <w:tcW w:w="2960" w:type="dxa"/>
                                  <w:shd w:val="clear" w:color="auto" w:fill="auto"/>
                                </w:tcPr>
                                <w:p w:rsidR="005570DA" w:rsidRPr="00654F10" w:rsidRDefault="005570DA" w:rsidP="001744D0">
                                  <w:pPr>
                                    <w:pStyle w:val="Normal12PTcouleurgris"/>
                                    <w:rPr>
                                      <w:b/>
                                      <w:color w:val="404040"/>
                                      <w:sz w:val="18"/>
                                    </w:rPr>
                                  </w:pPr>
                                  <w:r>
                                    <w:rPr>
                                      <w:b/>
                                      <w:color w:val="404040"/>
                                      <w:sz w:val="18"/>
                                    </w:rPr>
                                    <w:t>X’ma għandekx tagħmel</w:t>
                                  </w:r>
                                </w:p>
                                <w:p w:rsidR="005570DA" w:rsidRPr="00654F10" w:rsidRDefault="005570DA" w:rsidP="007A450E">
                                  <w:pPr>
                                    <w:pStyle w:val="Hlistbullet"/>
                                    <w:spacing w:line="160" w:lineRule="atLeast"/>
                                    <w:jc w:val="left"/>
                                    <w:rPr>
                                      <w:sz w:val="18"/>
                                      <w:szCs w:val="18"/>
                                    </w:rPr>
                                  </w:pPr>
                                  <w:r>
                                    <w:rPr>
                                      <w:sz w:val="18"/>
                                      <w:szCs w:val="18"/>
                                    </w:rPr>
                                    <w:t>Tuża biss indikaturi tal-output sabiex twieġeb is-CEQs (li ma jistgħux juru b’mod sħiħ jekk il-politika laħqitx l-iskop tagħha).</w:t>
                                  </w:r>
                                </w:p>
                                <w:p w:rsidR="005570DA" w:rsidRPr="00654F10" w:rsidRDefault="005570DA" w:rsidP="001744D0">
                                  <w:pPr>
                                    <w:pStyle w:val="Normal12PTcouleurgris"/>
                                    <w:rPr>
                                      <w:color w:val="1A1A1A"/>
                                      <w:sz w:val="18"/>
                                    </w:rPr>
                                  </w:pPr>
                                </w:p>
                              </w:tc>
                            </w:tr>
                          </w:tbl>
                          <w:p w:rsidR="005570DA" w:rsidRPr="00275EE5" w:rsidRDefault="005570DA"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16504" id="Rectangle: Diagonal Corners Rounded 70" o:spid="_x0000_s1040" style="position:absolute;left:0;text-align:left;margin-left:58.9pt;margin-top:5.45pt;width:327.1pt;height:195.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4170,2486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" adj="-11796480,,5400" path="m189732,l4154170,r,l4154170,2296928v,104786,-84946,189732,-189732,189732l,2486660r,l,189732c,84946,84946,,189732,xe" filled="f" strokecolor="#8bab80" strokeweight="2pt">
                <v:stroke joinstyle="miter"/>
                <v:formulas/>
                <v:path arrowok="t" o:connecttype="custom" o:connectlocs="189732,0;4154170,0;4154170,0;4154170,2296928;3964438,2486660;0,2486660;0,2486660;0,189732;189732,0" o:connectangles="0,0,0,0,0,0,0,0,0" textboxrect="0,0,4154170,2486660"/>
                <v:textbox>
                  <w:txbxContent>
                    <w:p w:rsidR="005570DA" w:rsidRPr="00275EE5" w:rsidRDefault="005570DA" w:rsidP="001744D0">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5570DA" w:rsidRPr="0079762F" w:rsidTr="00E05D08">
                        <w:tc>
                          <w:tcPr>
                            <w:tcW w:w="2991" w:type="dxa"/>
                            <w:shd w:val="clear" w:color="auto" w:fill="FFFFFF"/>
                          </w:tcPr>
                          <w:p w:rsidR="005570DA" w:rsidRPr="00654F10" w:rsidRDefault="005570DA" w:rsidP="001744D0">
                            <w:pPr>
                              <w:pStyle w:val="Normal12PTcouleurgris"/>
                              <w:rPr>
                                <w:b/>
                                <w:color w:val="404040"/>
                                <w:sz w:val="18"/>
                              </w:rPr>
                            </w:pPr>
                            <w:r>
                              <w:rPr>
                                <w:b/>
                                <w:color w:val="404040"/>
                                <w:sz w:val="18"/>
                              </w:rPr>
                              <w:t>X’għandek tagħmel</w:t>
                            </w:r>
                          </w:p>
                          <w:p w:rsidR="005570DA" w:rsidRPr="00654F10" w:rsidRDefault="005570DA" w:rsidP="007A450E">
                            <w:pPr>
                              <w:pStyle w:val="Hlistbullet"/>
                              <w:spacing w:line="160" w:lineRule="atLeast"/>
                              <w:jc w:val="left"/>
                              <w:rPr>
                                <w:sz w:val="18"/>
                                <w:szCs w:val="18"/>
                              </w:rPr>
                            </w:pPr>
                            <w:r>
                              <w:rPr>
                                <w:sz w:val="18"/>
                                <w:szCs w:val="18"/>
                              </w:rPr>
                              <w:t>Tiskrinja l-kriterji tal-ġudizzju u l-indikaturi tas-CMES sabiex tiżgura li jkunu jistgħu jwieġbu b’mod suffiċjenti s-CEQs.</w:t>
                            </w:r>
                          </w:p>
                          <w:p w:rsidR="005570DA" w:rsidRPr="00654F10" w:rsidRDefault="005570DA" w:rsidP="007A450E">
                            <w:pPr>
                              <w:pStyle w:val="Hlistbullet"/>
                              <w:spacing w:line="160" w:lineRule="atLeast"/>
                              <w:jc w:val="left"/>
                              <w:rPr>
                                <w:sz w:val="18"/>
                                <w:szCs w:val="18"/>
                              </w:rPr>
                            </w:pPr>
                            <w:r>
                              <w:rPr>
                                <w:sz w:val="18"/>
                                <w:szCs w:val="18"/>
                              </w:rPr>
                              <w:t>Tiżviluppa kriterji addizzjonali tal-ġudizzju u indikaturi addizzjonali jekk dawk komuni ma jkunux biżżejjed sabiex tinġabar evidenza bil-għan li jiġu mwieġba s-CEQs.</w:t>
                            </w:r>
                          </w:p>
                        </w:tc>
                        <w:tc>
                          <w:tcPr>
                            <w:tcW w:w="2960" w:type="dxa"/>
                            <w:shd w:val="clear" w:color="auto" w:fill="auto"/>
                          </w:tcPr>
                          <w:p w:rsidR="005570DA" w:rsidRPr="00654F10" w:rsidRDefault="005570DA" w:rsidP="001744D0">
                            <w:pPr>
                              <w:pStyle w:val="Normal12PTcouleurgris"/>
                              <w:rPr>
                                <w:b/>
                                <w:color w:val="404040"/>
                                <w:sz w:val="18"/>
                              </w:rPr>
                            </w:pPr>
                            <w:r>
                              <w:rPr>
                                <w:b/>
                                <w:color w:val="404040"/>
                                <w:sz w:val="18"/>
                              </w:rPr>
                              <w:t>X’ma għandekx tagħmel</w:t>
                            </w:r>
                          </w:p>
                          <w:p w:rsidR="005570DA" w:rsidRPr="00654F10" w:rsidRDefault="005570DA" w:rsidP="007A450E">
                            <w:pPr>
                              <w:pStyle w:val="Hlistbullet"/>
                              <w:spacing w:line="160" w:lineRule="atLeast"/>
                              <w:jc w:val="left"/>
                              <w:rPr>
                                <w:sz w:val="18"/>
                                <w:szCs w:val="18"/>
                              </w:rPr>
                            </w:pPr>
                            <w:r>
                              <w:rPr>
                                <w:sz w:val="18"/>
                                <w:szCs w:val="18"/>
                              </w:rPr>
                              <w:t>Tuża biss indikaturi tal-output sabiex twieġeb is-CEQs (li ma jistgħux juru b’mod sħiħ jekk il-politika laħqitx l-iskop tagħha).</w:t>
                            </w:r>
                          </w:p>
                          <w:p w:rsidR="005570DA" w:rsidRPr="00654F10" w:rsidRDefault="005570DA" w:rsidP="001744D0">
                            <w:pPr>
                              <w:pStyle w:val="Normal12PTcouleurgris"/>
                              <w:rPr>
                                <w:color w:val="1A1A1A"/>
                                <w:sz w:val="18"/>
                              </w:rPr>
                            </w:pPr>
                          </w:p>
                        </w:tc>
                      </w:tr>
                    </w:tbl>
                    <w:p w:rsidR="005570DA" w:rsidRPr="00275EE5" w:rsidRDefault="005570DA" w:rsidP="007A450E">
                      <w:pPr>
                        <w:pStyle w:val="Normal12PTcouleurgris"/>
                      </w:pPr>
                    </w:p>
                  </w:txbxContent>
                </v:textbox>
                <w10:wrap type="square"/>
              </v:shape>
            </w:pict>
          </mc:Fallback>
        </mc:AlternateContent>
      </w:r>
    </w:p>
    <w:p w:rsidR="00A92E91" w:rsidRPr="002B5B92" w:rsidRDefault="00A45935" w:rsidP="00B421B9">
      <w:pPr>
        <w:pStyle w:val="HHeading2"/>
        <w:numPr>
          <w:ilvl w:val="1"/>
          <w:numId w:val="119"/>
        </w:numPr>
        <w:ind w:left="567" w:hanging="567"/>
        <w:rPr>
          <w:noProof/>
          <w:snapToGrid w:val="0"/>
        </w:rPr>
      </w:pPr>
      <w:bookmarkStart w:id="100" w:name="Answering"/>
      <w:bookmarkStart w:id="101" w:name="_Toc493151904"/>
      <w:bookmarkStart w:id="102" w:name="_Toc501382130"/>
      <w:bookmarkStart w:id="103" w:name="_Toc508960920"/>
      <w:bookmarkEnd w:id="11"/>
      <w:bookmarkEnd w:id="100"/>
      <w:r w:rsidRPr="002B5B92">
        <w:t>Tweġiba għall-mistoqsijiet komuni tal-evalwazzjoni rilevanti (obbligatorja)</w:t>
      </w:r>
      <w:bookmarkEnd w:id="101"/>
      <w:bookmarkEnd w:id="102"/>
      <w:bookmarkEnd w:id="103"/>
    </w:p>
    <w:p w:rsidR="007A450E" w:rsidRPr="002B5B92" w:rsidRDefault="007A450E" w:rsidP="00725801">
      <w:pPr>
        <w:spacing w:after="120" w:line="280" w:lineRule="atLeast"/>
        <w:mirrorIndents/>
        <w:rPr>
          <w:rFonts w:eastAsia="Times New Roman" w:cs="Times New Roman"/>
          <w:szCs w:val="20"/>
          <w:shd w:val="clear" w:color="auto" w:fill="FFFFFF"/>
        </w:rPr>
      </w:pPr>
      <w:r w:rsidRPr="002B5B92">
        <w:rPr>
          <w:noProof/>
          <w:color w:val="F07E31"/>
          <w:lang w:val="en-GB" w:eastAsia="en-GB"/>
        </w:rPr>
        <mc:AlternateContent>
          <mc:Choice Requires="wps">
            <w:drawing>
              <wp:anchor distT="0" distB="0" distL="114300" distR="114300" simplePos="0" relativeHeight="251717632" behindDoc="0" locked="0" layoutInCell="1" allowOverlap="1" wp14:anchorId="50616656" wp14:editId="439FD499">
                <wp:simplePos x="0" y="0"/>
                <wp:positionH relativeFrom="page">
                  <wp:posOffset>852805</wp:posOffset>
                </wp:positionH>
                <wp:positionV relativeFrom="paragraph">
                  <wp:posOffset>953135</wp:posOffset>
                </wp:positionV>
                <wp:extent cx="5795645" cy="3293110"/>
                <wp:effectExtent l="0" t="0" r="14605" b="21590"/>
                <wp:wrapSquare wrapText="bothSides"/>
                <wp:docPr id="19" name="Rectangle: Diagonal Corners Rounded 19"/>
                <wp:cNvGraphicFramePr/>
                <a:graphic xmlns:a="http://schemas.openxmlformats.org/drawingml/2006/main">
                  <a:graphicData uri="http://schemas.microsoft.com/office/word/2010/wordprocessingShape">
                    <wps:wsp>
                      <wps:cNvSpPr/>
                      <wps:spPr>
                        <a:xfrm>
                          <a:off x="0" y="0"/>
                          <a:ext cx="5795645" cy="3293110"/>
                        </a:xfrm>
                        <a:prstGeom prst="round2DiagRect">
                          <a:avLst>
                            <a:gd name="adj1" fmla="val 7843"/>
                            <a:gd name="adj2" fmla="val 0"/>
                          </a:avLst>
                        </a:prstGeom>
                        <a:noFill/>
                        <a:ln w="25400" cap="flat" cmpd="sng" algn="ctr">
                          <a:solidFill>
                            <a:srgbClr val="BE4A35"/>
                          </a:solidFill>
                          <a:prstDash val="solid"/>
                        </a:ln>
                        <a:effectLst/>
                      </wps:spPr>
                      <wps:txbx>
                        <w:txbxContent>
                          <w:p w:rsidR="005570DA" w:rsidRPr="00AC3522" w:rsidRDefault="005570DA" w:rsidP="00E05D08">
                            <w:pPr>
                              <w:pStyle w:val="Normal12PTcouleurgris"/>
                              <w:rPr>
                                <w:shd w:val="clear" w:color="auto" w:fill="FFFFFF"/>
                              </w:rPr>
                            </w:pPr>
                            <w:r>
                              <w:rPr>
                                <w:noProof/>
                                <w:lang w:val="en-GB" w:eastAsia="en-GB"/>
                              </w:rPr>
                              <w:drawing>
                                <wp:inline distT="0" distB="0" distL="0" distR="0" wp14:anchorId="3F068420" wp14:editId="7807A3CD">
                                  <wp:extent cx="664845" cy="487680"/>
                                  <wp:effectExtent l="0" t="0" r="0" b="7620"/>
                                  <wp:docPr id="738"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L-istruttura li ġejja tinżamm għal kull CEQ:</w:t>
                            </w:r>
                          </w:p>
                          <w:p w:rsidR="005570DA" w:rsidRPr="00A92E91" w:rsidRDefault="005570DA" w:rsidP="008C0B17">
                            <w:pPr>
                              <w:pStyle w:val="Normal12PTcouleurgris"/>
                              <w:numPr>
                                <w:ilvl w:val="0"/>
                                <w:numId w:val="78"/>
                              </w:numPr>
                              <w:ind w:left="284" w:hanging="284"/>
                              <w:jc w:val="left"/>
                              <w:rPr>
                                <w:b/>
                                <w:shd w:val="clear" w:color="auto" w:fill="FFFFFF"/>
                              </w:rPr>
                            </w:pPr>
                            <w:r>
                              <w:rPr>
                                <w:b/>
                                <w:shd w:val="clear" w:color="auto" w:fill="FFFFFF"/>
                              </w:rPr>
                              <w:t>Il-fehim tas-CEQ</w:t>
                            </w:r>
                          </w:p>
                          <w:p w:rsidR="005570DA" w:rsidRPr="00A92E91" w:rsidRDefault="005570DA" w:rsidP="008C0B17">
                            <w:pPr>
                              <w:pStyle w:val="Normal12PTcouleurgris"/>
                              <w:numPr>
                                <w:ilvl w:val="0"/>
                                <w:numId w:val="78"/>
                              </w:numPr>
                              <w:ind w:left="284" w:hanging="284"/>
                              <w:jc w:val="left"/>
                              <w:rPr>
                                <w:b/>
                                <w:shd w:val="clear" w:color="auto" w:fill="FFFFFF"/>
                              </w:rPr>
                            </w:pPr>
                            <w:r>
                              <w:rPr>
                                <w:b/>
                                <w:shd w:val="clear" w:color="auto" w:fill="FFFFFF"/>
                              </w:rPr>
                              <w:t xml:space="preserve">Sfidi speċifiċi </w:t>
                            </w:r>
                          </w:p>
                          <w:p w:rsidR="005570DA" w:rsidRPr="00A92E91" w:rsidRDefault="005570DA" w:rsidP="008C0B17">
                            <w:pPr>
                              <w:pStyle w:val="Normal12PTcouleurgris"/>
                              <w:numPr>
                                <w:ilvl w:val="0"/>
                                <w:numId w:val="78"/>
                              </w:numPr>
                              <w:ind w:left="284" w:hanging="284"/>
                              <w:jc w:val="left"/>
                              <w:rPr>
                                <w:shd w:val="clear" w:color="auto" w:fill="FFFFFF"/>
                              </w:rPr>
                            </w:pPr>
                            <w:r>
                              <w:rPr>
                                <w:b/>
                                <w:shd w:val="clear" w:color="auto" w:fill="FFFFFF"/>
                              </w:rPr>
                              <w:t>Approċċ issuġġerit sabiex tiġi mwieġba s-CEQ</w:t>
                            </w:r>
                            <w:r>
                              <w:rPr>
                                <w:shd w:val="clear" w:color="auto" w:fill="FFFFFF"/>
                              </w:rPr>
                              <w:t xml:space="preserve">: </w:t>
                            </w:r>
                            <w:r>
                              <w:rPr>
                                <w:i/>
                                <w:shd w:val="clear" w:color="auto" w:fill="FFFFFF"/>
                              </w:rPr>
                              <w:t xml:space="preserve">Dan il-kapitolu jipproponi passi, metodi u suġġerimenti dwar kif jintużaw l-indikaturi komuni u addizzjonali sabiex tiġi mwieġba s-CEQ. </w:t>
                            </w:r>
                          </w:p>
                          <w:p w:rsidR="005570DA" w:rsidRPr="00A92E91" w:rsidRDefault="005570DA" w:rsidP="008C0B17">
                            <w:pPr>
                              <w:pStyle w:val="Hlistabc2"/>
                              <w:numPr>
                                <w:ilvl w:val="0"/>
                                <w:numId w:val="54"/>
                              </w:numPr>
                              <w:spacing w:before="120" w:after="120"/>
                              <w:rPr>
                                <w:sz w:val="18"/>
                                <w:szCs w:val="18"/>
                              </w:rPr>
                            </w:pPr>
                            <w:r>
                              <w:rPr>
                                <w:sz w:val="18"/>
                                <w:szCs w:val="18"/>
                              </w:rPr>
                              <w:t xml:space="preserve">Il-loġika tal-intervent </w:t>
                            </w:r>
                          </w:p>
                          <w:p w:rsidR="005570DA" w:rsidRPr="00A92E91" w:rsidRDefault="005570DA" w:rsidP="008C0B17">
                            <w:pPr>
                              <w:pStyle w:val="Hlistabc2"/>
                              <w:numPr>
                                <w:ilvl w:val="0"/>
                                <w:numId w:val="54"/>
                              </w:numPr>
                              <w:spacing w:before="120" w:after="120"/>
                              <w:rPr>
                                <w:sz w:val="18"/>
                                <w:szCs w:val="18"/>
                              </w:rPr>
                            </w:pPr>
                            <w:r>
                              <w:rPr>
                                <w:sz w:val="18"/>
                                <w:szCs w:val="18"/>
                              </w:rPr>
                              <w:t xml:space="preserve">L-elementi tal-evalwazzjoni </w:t>
                            </w:r>
                          </w:p>
                          <w:p w:rsidR="005570DA" w:rsidRPr="00A92E91" w:rsidRDefault="005570DA" w:rsidP="008C0B17">
                            <w:pPr>
                              <w:pStyle w:val="Hlistabc2"/>
                              <w:numPr>
                                <w:ilvl w:val="0"/>
                                <w:numId w:val="54"/>
                              </w:numPr>
                              <w:spacing w:before="120" w:after="120"/>
                              <w:rPr>
                                <w:sz w:val="18"/>
                                <w:szCs w:val="18"/>
                              </w:rPr>
                            </w:pPr>
                            <w:r>
                              <w:rPr>
                                <w:sz w:val="18"/>
                                <w:szCs w:val="18"/>
                              </w:rPr>
                              <w:t xml:space="preserve">Il-metodoloġija tal-evalwazzjoni proposta </w:t>
                            </w:r>
                          </w:p>
                          <w:p w:rsidR="005570DA" w:rsidRPr="00A92E91" w:rsidRDefault="005570DA" w:rsidP="008C0B17">
                            <w:pPr>
                              <w:pStyle w:val="Hlistabc2"/>
                              <w:numPr>
                                <w:ilvl w:val="0"/>
                                <w:numId w:val="54"/>
                              </w:numPr>
                              <w:spacing w:before="120" w:after="120"/>
                              <w:rPr>
                                <w:sz w:val="18"/>
                                <w:szCs w:val="18"/>
                              </w:rPr>
                            </w:pPr>
                            <w:r>
                              <w:rPr>
                                <w:sz w:val="18"/>
                                <w:szCs w:val="18"/>
                              </w:rPr>
                              <w:t xml:space="preserve">Riskji u soluzzjonijiet </w:t>
                            </w:r>
                          </w:p>
                          <w:p w:rsidR="005570DA" w:rsidRPr="00A92E91" w:rsidRDefault="005570DA" w:rsidP="008C0B17">
                            <w:pPr>
                              <w:pStyle w:val="Hlistabc2"/>
                              <w:numPr>
                                <w:ilvl w:val="0"/>
                                <w:numId w:val="54"/>
                              </w:numPr>
                              <w:spacing w:before="120" w:after="120"/>
                              <w:rPr>
                                <w:sz w:val="18"/>
                                <w:szCs w:val="18"/>
                              </w:rPr>
                            </w:pPr>
                            <w:r>
                              <w:rPr>
                                <w:sz w:val="18"/>
                                <w:szCs w:val="18"/>
                              </w:rPr>
                              <w:t>Konklużjonjiet u rakkomandazzjonijiet</w:t>
                            </w:r>
                          </w:p>
                          <w:p w:rsidR="005570DA" w:rsidRPr="00A92E91" w:rsidRDefault="005570DA" w:rsidP="007372CD">
                            <w:pPr>
                              <w:pStyle w:val="Normal12PTcouleurgris"/>
                              <w:numPr>
                                <w:ilvl w:val="0"/>
                                <w:numId w:val="78"/>
                              </w:numPr>
                              <w:ind w:left="284" w:hanging="284"/>
                              <w:jc w:val="left"/>
                              <w:rPr>
                                <w:b/>
                                <w:shd w:val="clear" w:color="auto" w:fill="FFFFFF"/>
                              </w:rPr>
                            </w:pPr>
                            <w:r>
                              <w:rPr>
                                <w:b/>
                                <w:shd w:val="clear" w:color="auto" w:fill="FFFFFF"/>
                              </w:rPr>
                              <w:t>Aktar qari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16656" id="Rectangle: Diagonal Corners Rounded 19" o:spid="_x0000_s1041" style="position:absolute;left:0;text-align:left;margin-left:67.15pt;margin-top:75.05pt;width:456.35pt;height:259.3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795645,3293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" adj="-11796480,,5400" path="m258279,l5795645,r,l5795645,3034831v,142644,-115635,258279,-258279,258279l,3293110r,l,258279c,115635,115635,,258279,xe" filled="f" strokecolor="#be4a35" strokeweight="2pt">
                <v:stroke joinstyle="miter"/>
                <v:formulas/>
                <v:path arrowok="t" o:connecttype="custom" o:connectlocs="258279,0;5795645,0;5795645,0;5795645,3034831;5537366,3293110;0,3293110;0,3293110;0,258279;258279,0" o:connectangles="0,0,0,0,0,0,0,0,0" textboxrect="0,0,5795645,3293110"/>
                <v:textbox>
                  <w:txbxContent>
                    <w:p w:rsidR="005570DA" w:rsidRPr="00AC3522" w:rsidRDefault="005570DA" w:rsidP="00E05D08">
                      <w:pPr>
                        <w:pStyle w:val="Normal12PTcouleurgris"/>
                        <w:rPr>
                          <w:shd w:val="clear" w:color="auto" w:fill="FFFFFF"/>
                        </w:rPr>
                      </w:pPr>
                      <w:r>
                        <w:rPr>
                          <w:noProof/>
                          <w:lang w:val="en-GB" w:eastAsia="en-GB"/>
                        </w:rPr>
                        <w:drawing>
                          <wp:inline distT="0" distB="0" distL="0" distR="0" wp14:anchorId="3F068420" wp14:editId="7807A3CD">
                            <wp:extent cx="664845" cy="487680"/>
                            <wp:effectExtent l="0" t="0" r="0" b="7620"/>
                            <wp:docPr id="738"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L-istruttura li ġejja tinżamm għal kull CEQ:</w:t>
                      </w:r>
                    </w:p>
                    <w:p w:rsidR="005570DA" w:rsidRPr="00A92E91" w:rsidRDefault="005570DA" w:rsidP="008C0B17">
                      <w:pPr>
                        <w:pStyle w:val="Normal12PTcouleurgris"/>
                        <w:numPr>
                          <w:ilvl w:val="0"/>
                          <w:numId w:val="78"/>
                        </w:numPr>
                        <w:ind w:left="284" w:hanging="284"/>
                        <w:jc w:val="left"/>
                        <w:rPr>
                          <w:b/>
                          <w:shd w:val="clear" w:color="auto" w:fill="FFFFFF"/>
                        </w:rPr>
                      </w:pPr>
                      <w:r>
                        <w:rPr>
                          <w:b/>
                          <w:shd w:val="clear" w:color="auto" w:fill="FFFFFF"/>
                        </w:rPr>
                        <w:t>Il-fehim tas-CEQ</w:t>
                      </w:r>
                    </w:p>
                    <w:p w:rsidR="005570DA" w:rsidRPr="00A92E91" w:rsidRDefault="005570DA" w:rsidP="008C0B17">
                      <w:pPr>
                        <w:pStyle w:val="Normal12PTcouleurgris"/>
                        <w:numPr>
                          <w:ilvl w:val="0"/>
                          <w:numId w:val="78"/>
                        </w:numPr>
                        <w:ind w:left="284" w:hanging="284"/>
                        <w:jc w:val="left"/>
                        <w:rPr>
                          <w:b/>
                          <w:shd w:val="clear" w:color="auto" w:fill="FFFFFF"/>
                        </w:rPr>
                      </w:pPr>
                      <w:r>
                        <w:rPr>
                          <w:b/>
                          <w:shd w:val="clear" w:color="auto" w:fill="FFFFFF"/>
                        </w:rPr>
                        <w:t xml:space="preserve">Sfidi speċifiċi </w:t>
                      </w:r>
                    </w:p>
                    <w:p w:rsidR="005570DA" w:rsidRPr="00A92E91" w:rsidRDefault="005570DA" w:rsidP="008C0B17">
                      <w:pPr>
                        <w:pStyle w:val="Normal12PTcouleurgris"/>
                        <w:numPr>
                          <w:ilvl w:val="0"/>
                          <w:numId w:val="78"/>
                        </w:numPr>
                        <w:ind w:left="284" w:hanging="284"/>
                        <w:jc w:val="left"/>
                        <w:rPr>
                          <w:shd w:val="clear" w:color="auto" w:fill="FFFFFF"/>
                        </w:rPr>
                      </w:pPr>
                      <w:r>
                        <w:rPr>
                          <w:b/>
                          <w:shd w:val="clear" w:color="auto" w:fill="FFFFFF"/>
                        </w:rPr>
                        <w:t>Approċċ issuġġerit sabiex tiġi mwieġba s-CEQ</w:t>
                      </w:r>
                      <w:r>
                        <w:rPr>
                          <w:shd w:val="clear" w:color="auto" w:fill="FFFFFF"/>
                        </w:rPr>
                        <w:t xml:space="preserve">: </w:t>
                      </w:r>
                      <w:r>
                        <w:rPr>
                          <w:i/>
                          <w:shd w:val="clear" w:color="auto" w:fill="FFFFFF"/>
                        </w:rPr>
                        <w:t xml:space="preserve">Dan il-kapitolu jipproponi passi, metodi u suġġerimenti dwar kif jintużaw l-indikaturi komuni u addizzjonali sabiex tiġi mwieġba s-CEQ. </w:t>
                      </w:r>
                    </w:p>
                    <w:p w:rsidR="005570DA" w:rsidRPr="00A92E91" w:rsidRDefault="005570DA" w:rsidP="008C0B17">
                      <w:pPr>
                        <w:pStyle w:val="Hlistabc2"/>
                        <w:numPr>
                          <w:ilvl w:val="0"/>
                          <w:numId w:val="54"/>
                        </w:numPr>
                        <w:spacing w:before="120" w:after="120"/>
                        <w:rPr>
                          <w:sz w:val="18"/>
                          <w:szCs w:val="18"/>
                        </w:rPr>
                      </w:pPr>
                      <w:r>
                        <w:rPr>
                          <w:sz w:val="18"/>
                          <w:szCs w:val="18"/>
                        </w:rPr>
                        <w:t xml:space="preserve">Il-loġika tal-intervent </w:t>
                      </w:r>
                    </w:p>
                    <w:p w:rsidR="005570DA" w:rsidRPr="00A92E91" w:rsidRDefault="005570DA" w:rsidP="008C0B17">
                      <w:pPr>
                        <w:pStyle w:val="Hlistabc2"/>
                        <w:numPr>
                          <w:ilvl w:val="0"/>
                          <w:numId w:val="54"/>
                        </w:numPr>
                        <w:spacing w:before="120" w:after="120"/>
                        <w:rPr>
                          <w:sz w:val="18"/>
                          <w:szCs w:val="18"/>
                        </w:rPr>
                      </w:pPr>
                      <w:r>
                        <w:rPr>
                          <w:sz w:val="18"/>
                          <w:szCs w:val="18"/>
                        </w:rPr>
                        <w:t xml:space="preserve">L-elementi tal-evalwazzjoni </w:t>
                      </w:r>
                    </w:p>
                    <w:p w:rsidR="005570DA" w:rsidRPr="00A92E91" w:rsidRDefault="005570DA" w:rsidP="008C0B17">
                      <w:pPr>
                        <w:pStyle w:val="Hlistabc2"/>
                        <w:numPr>
                          <w:ilvl w:val="0"/>
                          <w:numId w:val="54"/>
                        </w:numPr>
                        <w:spacing w:before="120" w:after="120"/>
                        <w:rPr>
                          <w:sz w:val="18"/>
                          <w:szCs w:val="18"/>
                        </w:rPr>
                      </w:pPr>
                      <w:r>
                        <w:rPr>
                          <w:sz w:val="18"/>
                          <w:szCs w:val="18"/>
                        </w:rPr>
                        <w:t xml:space="preserve">Il-metodoloġija tal-evalwazzjoni proposta </w:t>
                      </w:r>
                    </w:p>
                    <w:p w:rsidR="005570DA" w:rsidRPr="00A92E91" w:rsidRDefault="005570DA" w:rsidP="008C0B17">
                      <w:pPr>
                        <w:pStyle w:val="Hlistabc2"/>
                        <w:numPr>
                          <w:ilvl w:val="0"/>
                          <w:numId w:val="54"/>
                        </w:numPr>
                        <w:spacing w:before="120" w:after="120"/>
                        <w:rPr>
                          <w:sz w:val="18"/>
                          <w:szCs w:val="18"/>
                        </w:rPr>
                      </w:pPr>
                      <w:r>
                        <w:rPr>
                          <w:sz w:val="18"/>
                          <w:szCs w:val="18"/>
                        </w:rPr>
                        <w:t xml:space="preserve">Riskji u soluzzjonijiet </w:t>
                      </w:r>
                    </w:p>
                    <w:p w:rsidR="005570DA" w:rsidRPr="00A92E91" w:rsidRDefault="005570DA" w:rsidP="008C0B17">
                      <w:pPr>
                        <w:pStyle w:val="Hlistabc2"/>
                        <w:numPr>
                          <w:ilvl w:val="0"/>
                          <w:numId w:val="54"/>
                        </w:numPr>
                        <w:spacing w:before="120" w:after="120"/>
                        <w:rPr>
                          <w:sz w:val="18"/>
                          <w:szCs w:val="18"/>
                        </w:rPr>
                      </w:pPr>
                      <w:r>
                        <w:rPr>
                          <w:sz w:val="18"/>
                          <w:szCs w:val="18"/>
                        </w:rPr>
                        <w:t>Konklużjonjiet u rakkomandazzjonijiet</w:t>
                      </w:r>
                    </w:p>
                    <w:p w:rsidR="005570DA" w:rsidRPr="00A92E91" w:rsidRDefault="005570DA" w:rsidP="007372CD">
                      <w:pPr>
                        <w:pStyle w:val="Normal12PTcouleurgris"/>
                        <w:numPr>
                          <w:ilvl w:val="0"/>
                          <w:numId w:val="78"/>
                        </w:numPr>
                        <w:ind w:left="284" w:hanging="284"/>
                        <w:jc w:val="left"/>
                        <w:rPr>
                          <w:b/>
                          <w:shd w:val="clear" w:color="auto" w:fill="FFFFFF"/>
                        </w:rPr>
                      </w:pPr>
                      <w:r>
                        <w:rPr>
                          <w:b/>
                          <w:shd w:val="clear" w:color="auto" w:fill="FFFFFF"/>
                        </w:rPr>
                        <w:t>Aktar qari</w:t>
                      </w:r>
                    </w:p>
                  </w:txbxContent>
                </v:textbox>
                <w10:wrap type="square" anchorx="page"/>
              </v:shape>
            </w:pict>
          </mc:Fallback>
        </mc:AlternateContent>
      </w:r>
      <w:r w:rsidRPr="002B5B92">
        <w:rPr>
          <w:szCs w:val="20"/>
          <w:shd w:val="clear" w:color="auto" w:fill="FFFFFF"/>
        </w:rPr>
        <w:t xml:space="preserve">Filwaqt li t-tweġiba għas-CEQs hija obbligatorja, dan il-kapitolu jagħti gwida mhux vinkolanti dwar kif għandhom jiġu mwieġba s-CEQs relatati mal-innovazzjoni nri. 1, 2, 21, 23 u 30. Dawn il-mistoqsijiet għandhom jiġu mwieġba fir-Rapport ta’ Implimentazzjoni Annwali mtejjeb li jrid jiġi sottomess fl-2019 u fl-evalwazzjoni </w:t>
      </w:r>
      <w:r w:rsidRPr="002B5B92">
        <w:rPr>
          <w:i/>
          <w:szCs w:val="20"/>
          <w:shd w:val="clear" w:color="auto" w:fill="FFFFFF"/>
        </w:rPr>
        <w:t>ex post</w:t>
      </w:r>
      <w:r w:rsidRPr="002B5B92">
        <w:rPr>
          <w:szCs w:val="20"/>
          <w:shd w:val="clear" w:color="auto" w:fill="FFFFFF"/>
        </w:rPr>
        <w:t>.</w:t>
      </w:r>
    </w:p>
    <w:p w:rsidR="00A45935" w:rsidRPr="002B5B92" w:rsidRDefault="00A45935" w:rsidP="00582F60">
      <w:pPr>
        <w:spacing w:after="120" w:line="280" w:lineRule="atLeast"/>
        <w:mirrorIndents/>
        <w:rPr>
          <w:rFonts w:eastAsia="Times New Roman" w:cs="Times New Roman"/>
          <w:color w:val="F07E31"/>
          <w:szCs w:val="20"/>
        </w:rPr>
        <w:sectPr w:rsidR="00A45935" w:rsidRPr="002B5B92" w:rsidSect="00055039">
          <w:headerReference w:type="even" r:id="rId34"/>
          <w:footerReference w:type="even" r:id="rId35"/>
          <w:footerReference w:type="default" r:id="rId36"/>
          <w:footerReference w:type="first" r:id="rId37"/>
          <w:endnotePr>
            <w:numFmt w:val="decimal"/>
          </w:endnotePr>
          <w:type w:val="continuous"/>
          <w:pgSz w:w="11906" w:h="16838" w:code="9"/>
          <w:pgMar w:top="1440" w:right="1440" w:bottom="1134" w:left="1440" w:header="567" w:footer="1021" w:gutter="0"/>
          <w:cols w:space="708"/>
          <w:noEndnote/>
          <w:titlePg/>
          <w:docGrid w:linePitch="360"/>
        </w:sectPr>
      </w:pPr>
      <w:r w:rsidRPr="002B5B92">
        <w:rPr>
          <w:szCs w:val="20"/>
          <w:shd w:val="clear" w:color="auto" w:fill="FFFFFF"/>
        </w:rPr>
        <w:t xml:space="preserve"> </w:t>
      </w:r>
      <w:bookmarkStart w:id="104" w:name="_Toc501382131"/>
      <w:r w:rsidRPr="002B5B92">
        <w:br w:type="page"/>
      </w:r>
    </w:p>
    <w:p w:rsidR="00A45935" w:rsidRPr="002B5B92" w:rsidRDefault="00A45935" w:rsidP="009B603C">
      <w:pPr>
        <w:pStyle w:val="HHeading3"/>
        <w:numPr>
          <w:ilvl w:val="2"/>
          <w:numId w:val="119"/>
        </w:numPr>
        <w:tabs>
          <w:tab w:val="clear" w:pos="567"/>
        </w:tabs>
        <w:spacing w:line="280" w:lineRule="exact"/>
        <w:ind w:left="567" w:hanging="578"/>
      </w:pPr>
      <w:bookmarkStart w:id="105" w:name="_Toc508960921"/>
      <w:r w:rsidRPr="002B5B92">
        <w:lastRenderedPageBreak/>
        <w:t>CEQ nru. 1: “Sa liema punt l-interventi tal-PŻR appoġġjaw l-innovazzjoni, il-kooperazzjoni u l-iżvilupp tal-bażi tal-għarfien fiż-żoni rurali?”</w:t>
      </w:r>
      <w:bookmarkEnd w:id="104"/>
      <w:bookmarkEnd w:id="105"/>
    </w:p>
    <w:p w:rsidR="00A45935" w:rsidRPr="002B5B92"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2B5B92">
        <w:rPr>
          <w:b/>
          <w:color w:val="57825E"/>
          <w:szCs w:val="20"/>
          <w:shd w:val="clear" w:color="auto" w:fill="FFFFFF"/>
        </w:rPr>
        <w:t>Il-fehim tas-CEQ</w:t>
      </w:r>
    </w:p>
    <w:p w:rsidR="00A45935" w:rsidRPr="002B5B92" w:rsidRDefault="00A45935" w:rsidP="00E05D08">
      <w:pPr>
        <w:spacing w:after="120" w:line="280" w:lineRule="atLeast"/>
        <w:mirrorIndents/>
        <w:rPr>
          <w:rFonts w:eastAsia="Times New Roman" w:cs="Times New Roman"/>
          <w:szCs w:val="20"/>
        </w:rPr>
      </w:pPr>
      <w:r w:rsidRPr="002B5B92">
        <w:t>Hemm tliet miżuri li jikkontribwixxu bl-aktar mod sinifikanti sabiex jintlaħaq l-objettiv marbut mas-CEQ nru. 1 (jiġifieri l-appoġġ għall-innovazzjoni): M1 (Art. 14 “Trasferiment tal-għarfien u azzjonijiet ta’ informazzjoni”), M2 (Art. 15 “Servizzi ta’ konsulenza, ġestjoni tal-azjendi agrikoli u servizzi ta’ għajnuna għall-azjendi agrikoli”) u M16 (Art. 35 “Kooperazzjoni”)</w:t>
      </w:r>
      <w:r w:rsidRPr="002B5B92">
        <w:rPr>
          <w:rFonts w:eastAsia="Times New Roman" w:cs="Times New Roman"/>
          <w:szCs w:val="20"/>
          <w:vertAlign w:val="superscript"/>
          <w:lang w:eastAsia="de-DE"/>
        </w:rPr>
        <w:footnoteReference w:id="48"/>
      </w:r>
      <w:r w:rsidRPr="002B5B92">
        <w:t>. Barra minn hekk, M19 (Art. 42 u Art. 35 tar-Regolament (UE) Nru 1303/2013) tista’ titqies ukoll bħala kontributur importanti għall-aspett ta’ innovazzjoni tal-objettiv imsemmi hawn fuq.</w:t>
      </w:r>
    </w:p>
    <w:p w:rsidR="00A45935" w:rsidRPr="002B5B92" w:rsidRDefault="00A45935" w:rsidP="00E05D08">
      <w:pPr>
        <w:spacing w:after="120" w:line="280" w:lineRule="atLeast"/>
        <w:mirrorIndents/>
        <w:rPr>
          <w:rFonts w:eastAsia="Times New Roman" w:cs="Times New Roman"/>
          <w:szCs w:val="20"/>
        </w:rPr>
      </w:pPr>
      <w:r w:rsidRPr="002B5B92">
        <w:t xml:space="preserve">Huwa essenzjali li jiġi esplorat liema aspetti tal-miżuri jappoġġjaw l-innovazzjoni. Pereżempju, loġika ta’ intervent partikolari tal-Prijorità 1 tista’ turi li M1 u M16 jikkontribwixxu wkoll direttament għal </w:t>
      </w:r>
      <w:r w:rsidR="00794C2E" w:rsidRPr="002B5B92">
        <w:t>OP</w:t>
      </w:r>
      <w:r w:rsidRPr="002B5B92">
        <w:t xml:space="preserve"> 1B (M16) jew </w:t>
      </w:r>
      <w:r w:rsidR="00794C2E" w:rsidRPr="002B5B92">
        <w:t>OP</w:t>
      </w:r>
      <w:r w:rsidRPr="002B5B92">
        <w:t xml:space="preserve"> 1Ċ (M1) u mhux biss għal </w:t>
      </w:r>
      <w:r w:rsidR="00794C2E" w:rsidRPr="002B5B92">
        <w:t>OP</w:t>
      </w:r>
      <w:r w:rsidRPr="002B5B92">
        <w:t xml:space="preserve"> 1A. </w:t>
      </w:r>
    </w:p>
    <w:p w:rsidR="00A45935" w:rsidRPr="002B5B92" w:rsidRDefault="00654F10" w:rsidP="00E05D08">
      <w:pPr>
        <w:spacing w:after="120" w:line="280" w:lineRule="atLeast"/>
        <w:mirrorIndents/>
        <w:rPr>
          <w:rFonts w:eastAsia="Times New Roman" w:cs="Times New Roman"/>
          <w:szCs w:val="20"/>
        </w:rPr>
      </w:pPr>
      <w:r w:rsidRPr="002B5B92">
        <w:t xml:space="preserve">L-elementi relatati mal-innovazzjoni ta’ dawn il-miżuri jistgħu jitneħħew kif ġej: </w:t>
      </w:r>
    </w:p>
    <w:p w:rsidR="00A45935" w:rsidRPr="002B5B92" w:rsidRDefault="00A45935" w:rsidP="00E05D08">
      <w:pPr>
        <w:spacing w:after="120" w:line="280" w:lineRule="atLeast"/>
        <w:mirrorIndents/>
        <w:rPr>
          <w:rFonts w:eastAsia="Times New Roman" w:cs="Times New Roman"/>
          <w:szCs w:val="20"/>
        </w:rPr>
      </w:pPr>
      <w:r w:rsidRPr="002B5B92">
        <w:rPr>
          <w:b/>
          <w:szCs w:val="20"/>
        </w:rPr>
        <w:t>M1</w:t>
      </w:r>
      <w:r w:rsidRPr="002B5B92">
        <w:t xml:space="preserve"> (Art. 14) tkopri l-akkwiżizzjoni ta’ ħiliet u taħriġ vokazzjonali, l-attivitajiet ta’ dimostrazzjoni u l-azzjonijiet ta’ informazzjoni. Barra minn hekk, hija tista’ tkopri wkoll l-iskambji u ż-żjarat ta’ ġestjoni tal-foresti u tal-azjendi agrikoli. Għalkemm l-innovazzjoni mhijiex imsemmija espliċitament fl-Art. 14, dawn l-azzjonijiet jista’ jkollhom irwol importanti fil-</w:t>
      </w:r>
      <w:r w:rsidRPr="002B5B92">
        <w:rPr>
          <w:b/>
        </w:rPr>
        <w:t>bini tal-kapaċità għall-innovazzjoni</w:t>
      </w:r>
      <w:r w:rsidRPr="002B5B92">
        <w:t>.</w:t>
      </w:r>
    </w:p>
    <w:p w:rsidR="00A45935" w:rsidRPr="002B5B92" w:rsidRDefault="00A45935" w:rsidP="00E05D08">
      <w:pPr>
        <w:spacing w:after="120" w:line="280" w:lineRule="atLeast"/>
        <w:mirrorIndents/>
        <w:rPr>
          <w:rFonts w:eastAsia="Times New Roman" w:cs="Times New Roman"/>
          <w:szCs w:val="20"/>
        </w:rPr>
      </w:pPr>
      <w:r w:rsidRPr="002B5B92">
        <w:rPr>
          <w:b/>
          <w:szCs w:val="20"/>
        </w:rPr>
        <w:t>M2</w:t>
      </w:r>
      <w:r w:rsidRPr="002B5B92">
        <w:t xml:space="preserve"> (Art. 15) tinkludi pariri lil bdiewa individwali, bdiewa żgħażagħ u amministraturi tal-art oħrajn, kif ukoll taħriġ tal-konsulenti jew tal-fornituri ta’ servizzi ta’ appoġġ għall-innovazzjoni. Din tkopri diversi elementi, bħall-pariri dwar il-miżuri tal-PŻR fil-livell tal-azjendi agrikoli mmirati, </w:t>
      </w:r>
      <w:r w:rsidRPr="002B5B92">
        <w:rPr>
          <w:i/>
          <w:szCs w:val="20"/>
        </w:rPr>
        <w:t>inter alia</w:t>
      </w:r>
      <w:r w:rsidRPr="002B5B92">
        <w:t>, għall-innovazzjoni</w:t>
      </w:r>
      <w:r w:rsidRPr="002B5B92">
        <w:rPr>
          <w:rFonts w:eastAsia="Times New Roman" w:cs="Times New Roman"/>
          <w:szCs w:val="20"/>
          <w:vertAlign w:val="superscript"/>
          <w:lang w:eastAsia="de-DE"/>
        </w:rPr>
        <w:footnoteReference w:id="49"/>
      </w:r>
      <w:r w:rsidRPr="002B5B92">
        <w:t xml:space="preserve">. Il-forniment ta’ servizzi ta’ konsulenza huwa mod wieħed ta’ kif </w:t>
      </w:r>
      <w:r w:rsidRPr="002B5B92">
        <w:rPr>
          <w:b/>
        </w:rPr>
        <w:t xml:space="preserve">tinbena l-kapaċità għall-innovazzjoni </w:t>
      </w:r>
      <w:r w:rsidRPr="002B5B92">
        <w:t xml:space="preserve">(ara </w:t>
      </w:r>
      <w:hyperlink w:anchor="Innovation_RD" w:history="1">
        <w:r w:rsidRPr="002B5B92">
          <w:rPr>
            <w:rStyle w:val="Hyperlink"/>
            <w:sz w:val="20"/>
            <w:szCs w:val="20"/>
          </w:rPr>
          <w:t>l-Kapitolu 1.1</w:t>
        </w:r>
      </w:hyperlink>
      <w:r w:rsidRPr="002B5B92">
        <w:t>), billi tiġi offruta l-opportunità tat-trasferiment tal-għarfien. Barra minn hekk, fil-kuntest tal-EIP, il-konsulenti/is-servizzi ta’ appoġġ għall-innovazzjoni jiksbu rwol ta’ “coaching” fil-proċessi ta’ innovazzjoni interattivi fil-kuntest tal-GO.</w:t>
      </w:r>
    </w:p>
    <w:p w:rsidR="00A45935" w:rsidRPr="002B5B92" w:rsidRDefault="00A45935" w:rsidP="00E05D08">
      <w:pPr>
        <w:spacing w:after="120" w:line="280" w:lineRule="atLeast"/>
        <w:mirrorIndents/>
        <w:rPr>
          <w:rFonts w:eastAsia="Times New Roman" w:cs="Times New Roman"/>
          <w:szCs w:val="20"/>
        </w:rPr>
      </w:pPr>
      <w:r w:rsidRPr="002B5B92">
        <w:rPr>
          <w:b/>
          <w:szCs w:val="20"/>
        </w:rPr>
        <w:t>M16</w:t>
      </w:r>
      <w:r w:rsidRPr="002B5B92">
        <w:t xml:space="preserve"> (Art. 35) tappoġġja (a) il-kooperazzjoni bejn firxa wiesgħa ta’ atturi li jikkontribwixxu sabiex jintlaħqu l-objettivi tal-politika ta’ żvilupp rurali (is-setturi tal-agrikoltura u l-forestrija, il-katina alimentari, il-gruppi produtturi, il-kooperattivi, l-organizzazzjonijiet interprofessjonali u oħrajn); (b) il-ħolqien ta’ raggruppamenti u netwerks; u (ċ) l-istabbiliment u t-tħaddim tal-GO tal-EIP-AGRI. M16 tinkludi 10 submiżuri u tappoġġja l-innovazzjoni fir-rigward tat-</w:t>
      </w:r>
      <w:r w:rsidRPr="002B5B92">
        <w:rPr>
          <w:b/>
        </w:rPr>
        <w:t>tliet perkorsi kollha</w:t>
      </w:r>
      <w:r w:rsidRPr="002B5B92">
        <w:t xml:space="preserve"> deskritti fil-Kapitolu 1.1 (ara l-kaxxa ta’ hawn taħt).</w:t>
      </w:r>
    </w:p>
    <w:p w:rsidR="006F1601" w:rsidRPr="002B5B92" w:rsidRDefault="00A45935" w:rsidP="00E05D08">
      <w:pPr>
        <w:spacing w:after="120" w:line="280" w:lineRule="atLeast"/>
        <w:mirrorIndents/>
        <w:rPr>
          <w:rFonts w:eastAsia="Times New Roman" w:cs="Times New Roman"/>
          <w:szCs w:val="20"/>
        </w:rPr>
      </w:pPr>
      <w:r w:rsidRPr="002B5B92">
        <w:rPr>
          <w:b/>
          <w:szCs w:val="20"/>
        </w:rPr>
        <w:t xml:space="preserve">M19 </w:t>
      </w:r>
      <w:r w:rsidRPr="002B5B92">
        <w:t>(Art. 42) tappoġġja l-iżvilupp rurali lokali permezz tal-applikazzjoni tal-prinċipji ta’ LEADER</w:t>
      </w:r>
      <w:r w:rsidRPr="002B5B92">
        <w:rPr>
          <w:rFonts w:eastAsia="Calibri" w:cs="Times New Roman"/>
          <w:szCs w:val="20"/>
          <w:vertAlign w:val="superscript"/>
          <w:lang w:eastAsia="de-DE"/>
        </w:rPr>
        <w:footnoteReference w:id="50"/>
      </w:r>
      <w:r w:rsidRPr="002B5B92">
        <w:t>. Wieħed minn dawn il-prinċipji jiffoka fuq il-promozzjoni tal-innovazzjonijiet permezz ta’ attivitajiet tal-gruppi ta’ azzjoni lokali u tal-benefiċjarji tal-istrateġiji ta’ CLLD. M19 tinkludi 5 submiżuri, li jistgħu jappoġġjaw l-innovazzjonijiet, permezz ta’ perkors wieħed, żewġ perkorsi jew it-tliet perkorsi kollha deskritti fil-Kapitolu 1.1 (ara l-kaxxa ta’ hawn taħt).</w:t>
      </w:r>
    </w:p>
    <w:p w:rsidR="006F1601" w:rsidRPr="002B5B92" w:rsidRDefault="006F1601" w:rsidP="00E05D08">
      <w:pPr>
        <w:spacing w:after="120" w:line="280" w:lineRule="atLeast"/>
        <w:mirrorIndents/>
        <w:rPr>
          <w:rFonts w:eastAsia="Calibri" w:cs="Times New Roman"/>
          <w:szCs w:val="20"/>
          <w:lang w:eastAsia="de-DE"/>
        </w:rPr>
      </w:pPr>
    </w:p>
    <w:p w:rsidR="00A66F3C" w:rsidRPr="002B5B92" w:rsidRDefault="00A1327D" w:rsidP="00A66F3C">
      <w:pPr>
        <w:spacing w:after="120" w:line="280" w:lineRule="atLeast"/>
        <w:mirrorIndents/>
        <w:rPr>
          <w:rFonts w:eastAsia="Calibri" w:cs="Times New Roman"/>
          <w:b/>
          <w:color w:val="57825E"/>
          <w:szCs w:val="20"/>
          <w:shd w:val="clear" w:color="auto" w:fill="FFFFFF"/>
        </w:rPr>
      </w:pPr>
      <w:r w:rsidRPr="002B5B92">
        <w:rPr>
          <w:rFonts w:eastAsia="Times New Roman" w:cs="Times New Roman"/>
          <w:noProof/>
          <w:szCs w:val="20"/>
          <w:lang w:val="en-GB" w:eastAsia="en-GB"/>
        </w:rPr>
        <w:lastRenderedPageBreak/>
        <mc:AlternateContent>
          <mc:Choice Requires="wps">
            <w:drawing>
              <wp:anchor distT="0" distB="0" distL="114300" distR="114300" simplePos="0" relativeHeight="251736064" behindDoc="1" locked="0" layoutInCell="1" allowOverlap="1" wp14:anchorId="65ABC5E0" wp14:editId="09D3097B">
                <wp:simplePos x="0" y="0"/>
                <wp:positionH relativeFrom="column">
                  <wp:posOffset>0</wp:posOffset>
                </wp:positionH>
                <wp:positionV relativeFrom="paragraph">
                  <wp:posOffset>286385</wp:posOffset>
                </wp:positionV>
                <wp:extent cx="5913755" cy="7649210"/>
                <wp:effectExtent l="0" t="0" r="10795" b="27940"/>
                <wp:wrapTight wrapText="bothSides">
                  <wp:wrapPolygon edited="0">
                    <wp:start x="765" y="0"/>
                    <wp:lineTo x="0" y="269"/>
                    <wp:lineTo x="0" y="21625"/>
                    <wp:lineTo x="20874" y="21625"/>
                    <wp:lineTo x="20944" y="21625"/>
                    <wp:lineTo x="21152" y="21518"/>
                    <wp:lineTo x="21570" y="21195"/>
                    <wp:lineTo x="21570" y="0"/>
                    <wp:lineTo x="765" y="0"/>
                  </wp:wrapPolygon>
                </wp:wrapTight>
                <wp:docPr id="11" name="Rectangle: Diagonal Corners Rounded 11"/>
                <wp:cNvGraphicFramePr/>
                <a:graphic xmlns:a="http://schemas.openxmlformats.org/drawingml/2006/main">
                  <a:graphicData uri="http://schemas.microsoft.com/office/word/2010/wordprocessingShape">
                    <wps:wsp>
                      <wps:cNvSpPr/>
                      <wps:spPr>
                        <a:xfrm>
                          <a:off x="0" y="0"/>
                          <a:ext cx="5913755" cy="7649210"/>
                        </a:xfrm>
                        <a:prstGeom prst="round2DiagRect">
                          <a:avLst>
                            <a:gd name="adj1" fmla="val 5642"/>
                            <a:gd name="adj2" fmla="val 0"/>
                          </a:avLst>
                        </a:prstGeom>
                        <a:noFill/>
                        <a:ln w="25400" cap="flat" cmpd="sng" algn="ctr">
                          <a:solidFill>
                            <a:srgbClr val="F07E31"/>
                          </a:solidFill>
                          <a:prstDash val="solid"/>
                        </a:ln>
                        <a:effectLst/>
                      </wps:spPr>
                      <wps:txbx>
                        <w:txbxContent>
                          <w:p w:rsidR="005570DA" w:rsidRDefault="005570DA" w:rsidP="00C3334D">
                            <w:pPr>
                              <w:pStyle w:val="HStandard"/>
                              <w:ind w:left="284" w:right="23"/>
                            </w:pPr>
                            <w:r>
                              <w:rPr>
                                <w:noProof/>
                                <w:lang w:val="en-GB" w:eastAsia="en-GB"/>
                              </w:rPr>
                              <w:drawing>
                                <wp:inline distT="0" distB="0" distL="0" distR="0" wp14:anchorId="79710B71" wp14:editId="00D0DF92">
                                  <wp:extent cx="353060" cy="359410"/>
                                  <wp:effectExtent l="0" t="0" r="8890" b="2540"/>
                                  <wp:docPr id="73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5570DA" w:rsidRPr="00A66F3C" w:rsidRDefault="005570DA" w:rsidP="00A66F3C">
                            <w:pPr>
                              <w:pStyle w:val="HStandard"/>
                              <w:ind w:right="23"/>
                              <w:rPr>
                                <w:b/>
                                <w:color w:val="F07E31"/>
                                <w:sz w:val="18"/>
                                <w:szCs w:val="18"/>
                              </w:rPr>
                            </w:pPr>
                            <w:r>
                              <w:rPr>
                                <w:b/>
                                <w:color w:val="F07E31"/>
                                <w:sz w:val="18"/>
                                <w:szCs w:val="18"/>
                              </w:rPr>
                              <w:t>Eżempji ta’ kif M1 tista’ tibni l-kapaċità għall-innovazzjoni:</w:t>
                            </w:r>
                          </w:p>
                          <w:p w:rsidR="005570DA" w:rsidRPr="00A66F3C" w:rsidRDefault="005570DA" w:rsidP="00A66F3C">
                            <w:pPr>
                              <w:pStyle w:val="Hlistbullet"/>
                              <w:rPr>
                                <w:sz w:val="18"/>
                                <w:szCs w:val="18"/>
                              </w:rPr>
                            </w:pPr>
                            <w:r>
                              <w:rPr>
                                <w:sz w:val="18"/>
                                <w:szCs w:val="18"/>
                              </w:rPr>
                              <w:t>Ħiliet ġodda għall-bdiewa/SMEs sabiex japplikaw proċessi/tekniki innovattivi jew ħiliet organizzattivi ġodda.</w:t>
                            </w:r>
                          </w:p>
                          <w:p w:rsidR="005570DA" w:rsidRPr="00A66F3C" w:rsidRDefault="005570DA" w:rsidP="00A66F3C">
                            <w:pPr>
                              <w:pStyle w:val="Hlistbullet"/>
                              <w:rPr>
                                <w:sz w:val="18"/>
                                <w:szCs w:val="18"/>
                              </w:rPr>
                            </w:pPr>
                            <w:r>
                              <w:rPr>
                                <w:sz w:val="18"/>
                                <w:szCs w:val="18"/>
                              </w:rPr>
                              <w:t>Skambji u żjarat li jgħinu fit-trasferiment tal-għarfien minn azjenda agrikola waħda jew reġjun wieħed għal oħra/ieħor.</w:t>
                            </w:r>
                          </w:p>
                          <w:p w:rsidR="005570DA" w:rsidRPr="00A66F3C" w:rsidRDefault="005570DA" w:rsidP="00C3334D">
                            <w:pPr>
                              <w:pStyle w:val="HStandard"/>
                              <w:ind w:right="54"/>
                              <w:rPr>
                                <w:b/>
                                <w:color w:val="F07E31"/>
                                <w:sz w:val="18"/>
                                <w:szCs w:val="18"/>
                              </w:rPr>
                            </w:pPr>
                            <w:r>
                              <w:rPr>
                                <w:b/>
                                <w:color w:val="F07E31"/>
                                <w:sz w:val="18"/>
                                <w:szCs w:val="18"/>
                              </w:rPr>
                              <w:t>Eżempji ta’ kif M16 tappoġġja l-innovazzjoni:</w:t>
                            </w:r>
                          </w:p>
                          <w:p w:rsidR="005570DA" w:rsidRPr="00A66F3C" w:rsidRDefault="005570DA" w:rsidP="00A66F3C">
                            <w:pPr>
                              <w:pStyle w:val="Hlistbullet"/>
                              <w:rPr>
                                <w:sz w:val="18"/>
                                <w:szCs w:val="18"/>
                              </w:rPr>
                            </w:pPr>
                            <w:r>
                              <w:rPr>
                                <w:sz w:val="18"/>
                                <w:szCs w:val="18"/>
                              </w:rPr>
                              <w:t>L-iżvilupp ta’ prodotti, prattiki u teknoloġiji ġodda fis-setturi tal-agrikoltura, l-ikel u l-forestrija (submiżura M16.2</w:t>
                            </w:r>
                            <w:r>
                              <w:rPr>
                                <w:sz w:val="18"/>
                                <w:szCs w:val="18"/>
                                <w:vertAlign w:val="superscript"/>
                              </w:rPr>
                              <w:t>51</w:t>
                            </w:r>
                            <w:r>
                              <w:rPr>
                                <w:sz w:val="18"/>
                                <w:szCs w:val="18"/>
                              </w:rPr>
                              <w:t xml:space="preserve">) huwa relatat mal-identifikazzjoni u t-trawwim tal-innovazzjoni b’mod kollaborattiv. </w:t>
                            </w:r>
                          </w:p>
                          <w:p w:rsidR="005570DA" w:rsidRPr="00A66F3C" w:rsidRDefault="005570DA" w:rsidP="00A66F3C">
                            <w:pPr>
                              <w:pStyle w:val="Hlistbullet"/>
                              <w:rPr>
                                <w:sz w:val="18"/>
                                <w:szCs w:val="18"/>
                              </w:rPr>
                            </w:pPr>
                            <w:r>
                              <w:rPr>
                                <w:sz w:val="18"/>
                                <w:szCs w:val="18"/>
                              </w:rPr>
                              <w:t xml:space="preserve">Is-submiżuri l-oħrajn kollha għandhom il-potenzjal li </w:t>
                            </w:r>
                            <w:r>
                              <w:rPr>
                                <w:b/>
                                <w:sz w:val="18"/>
                                <w:szCs w:val="18"/>
                              </w:rPr>
                              <w:t>jibnu l-kapaċità għall-innovazzjoni</w:t>
                            </w:r>
                            <w:r>
                              <w:rPr>
                                <w:sz w:val="18"/>
                                <w:szCs w:val="18"/>
                              </w:rPr>
                              <w:t>, minħabba li l-proċess ta’ kooperazzjoni jimplika li għandhom jidentifikaw b’mod kollettiv opportunitajiet ġodda, jipproduċu ideat ġodda, jesperimentaw b’teknoloġija ġdida jew jidentifikaw modi ġodda ta’ kif jagħmlu l-affarijiet.</w:t>
                            </w:r>
                          </w:p>
                          <w:p w:rsidR="005570DA" w:rsidRPr="00A66F3C" w:rsidRDefault="005570DA" w:rsidP="00A66F3C">
                            <w:pPr>
                              <w:pStyle w:val="Hlistbullet"/>
                              <w:rPr>
                                <w:sz w:val="18"/>
                                <w:szCs w:val="18"/>
                              </w:rPr>
                            </w:pPr>
                            <w:r>
                              <w:rPr>
                                <w:sz w:val="18"/>
                                <w:szCs w:val="18"/>
                              </w:rPr>
                              <w:t>Barra minn hekk, l-appoġġ offrut għall-proġetti ta’ kooperazzjoni minn konsulenti/servizzi ta’ appoġġ għall-innovazzjoni, inkluż l-appoġġ offrut min-NRN għal dan il-għan, jista’ jikkontribwixxi għall-</w:t>
                            </w:r>
                            <w:r>
                              <w:rPr>
                                <w:b/>
                                <w:sz w:val="18"/>
                                <w:szCs w:val="18"/>
                              </w:rPr>
                              <w:t>bini tal-kapaċità għall-innovazzjoni</w:t>
                            </w:r>
                            <w:r>
                              <w:rPr>
                                <w:sz w:val="18"/>
                                <w:szCs w:val="18"/>
                              </w:rPr>
                              <w:t>.</w:t>
                            </w:r>
                          </w:p>
                          <w:p w:rsidR="005570DA" w:rsidRPr="00A66F3C" w:rsidRDefault="005570DA" w:rsidP="00A66F3C">
                            <w:pPr>
                              <w:pStyle w:val="Hlistbullet"/>
                              <w:rPr>
                                <w:sz w:val="18"/>
                                <w:szCs w:val="18"/>
                              </w:rPr>
                            </w:pPr>
                            <w:r>
                              <w:rPr>
                                <w:sz w:val="18"/>
                                <w:szCs w:val="18"/>
                              </w:rPr>
                              <w:t>L-involviment tal-partijiet ikkonċernati tal-innovazzjoni fi proġetti ta’ kooperazzjoni (eż. servizzi ta’ appoġġ għall-innovazzjoni, dipartimenti tal-innovazzjoni, ċentri tar-riċerka u l-iżvilupp jew ċentri tat-teknoloġija u l-innovazzjoni) jista’ jikkontribwixxi għall-</w:t>
                            </w:r>
                            <w:r>
                              <w:rPr>
                                <w:b/>
                                <w:sz w:val="18"/>
                                <w:szCs w:val="18"/>
                              </w:rPr>
                              <w:t>bini ta’ ambjent favorevoli għall-innovazzjoni</w:t>
                            </w:r>
                            <w:r>
                              <w:rPr>
                                <w:sz w:val="18"/>
                                <w:szCs w:val="18"/>
                              </w:rPr>
                              <w:t>. Pereżempju, it-twettiq ta’ proġett ta’ riċerka kollettiva jista’ jipproduċi eżitu li jista’ jinfluwenza l-leġiżlazzjoni (eż. leġiżlazzjoni ambjentali).</w:t>
                            </w:r>
                          </w:p>
                          <w:p w:rsidR="005570DA" w:rsidRPr="00A66F3C" w:rsidRDefault="005570DA" w:rsidP="00A66F3C">
                            <w:pPr>
                              <w:pStyle w:val="Hlistbullet"/>
                              <w:rPr>
                                <w:sz w:val="18"/>
                                <w:szCs w:val="18"/>
                              </w:rPr>
                            </w:pPr>
                            <w:r>
                              <w:rPr>
                                <w:sz w:val="18"/>
                                <w:szCs w:val="18"/>
                              </w:rPr>
                              <w:t>L-istabbiliment u t-tħaddim tal-GO jistgħu jġibu approċċ saħansitra aktar olistiku sabiex tiġi appoġġjata l-innovazzjoni permezz tal-ikkombinar tat-</w:t>
                            </w:r>
                            <w:r>
                              <w:rPr>
                                <w:b/>
                                <w:sz w:val="18"/>
                                <w:szCs w:val="18"/>
                              </w:rPr>
                              <w:t>tliet perkorsi kollha</w:t>
                            </w:r>
                            <w:r>
                              <w:rPr>
                                <w:sz w:val="18"/>
                                <w:szCs w:val="18"/>
                              </w:rPr>
                              <w:t>: l-identifikazzjoni ta’ ideat ġodda (il-punt tat-tluq għall-GO), il-bini tal-kapaċità għall-innovazzjoni (l-appoġġ minn konsulenti/servizzi ta’ appoġġ għall-innovazzjoni) u l-ħolqien ta’ ambjent favorevoli għall-innovazzjoni (ir-riżultati tal-proġetti tal-GO).</w:t>
                            </w:r>
                          </w:p>
                          <w:p w:rsidR="005570DA" w:rsidRPr="00A66F3C" w:rsidRDefault="005570DA" w:rsidP="00C3334D">
                            <w:pPr>
                              <w:pStyle w:val="Normal12PTcouleurgris"/>
                              <w:ind w:left="284"/>
                              <w:rPr>
                                <w:color w:val="F07E31"/>
                                <w:sz w:val="18"/>
                              </w:rPr>
                            </w:pPr>
                            <w:r>
                              <w:rPr>
                                <w:b/>
                                <w:color w:val="F07E31"/>
                                <w:sz w:val="18"/>
                              </w:rPr>
                              <w:t>Eżempji ta’ kif M19 tappoġġja l-innovazzjoni:</w:t>
                            </w:r>
                          </w:p>
                          <w:p w:rsidR="005570DA" w:rsidRPr="00A66F3C" w:rsidRDefault="005570DA" w:rsidP="00A66F3C">
                            <w:pPr>
                              <w:pStyle w:val="Hlistbullet"/>
                              <w:rPr>
                                <w:sz w:val="18"/>
                                <w:szCs w:val="18"/>
                              </w:rPr>
                            </w:pPr>
                            <w:r>
                              <w:rPr>
                                <w:sz w:val="18"/>
                                <w:szCs w:val="18"/>
                              </w:rPr>
                              <w:t>L-applikazzjoni ta’ modi ġodda ta’ tfassil tal-istrateġija, inklużi diversi forom uniċi ta’ kif tiġi żgurata l-parteċipazzjoni tan-nies lokali fid-deċiżjonijiet strateġiċi (eż. diversi attivitajiet ta’ animazzjoni marbuta mal-ġbir tal-informazzjoni, diversi workshops u pjattaformi għad-diskussjoni, eċċ.) u b’hekk jikkontribwixxu għall-</w:t>
                            </w:r>
                            <w:r>
                              <w:rPr>
                                <w:b/>
                                <w:sz w:val="18"/>
                                <w:szCs w:val="18"/>
                              </w:rPr>
                              <w:t>ambjent favorevoli għall-innovazzjoni (perkors 3).</w:t>
                            </w:r>
                          </w:p>
                          <w:p w:rsidR="005570DA" w:rsidRPr="00A66F3C" w:rsidRDefault="005570DA" w:rsidP="00A66F3C">
                            <w:pPr>
                              <w:pStyle w:val="Hlistbullet"/>
                              <w:rPr>
                                <w:sz w:val="18"/>
                                <w:szCs w:val="18"/>
                              </w:rPr>
                            </w:pPr>
                            <w:r>
                              <w:rPr>
                                <w:sz w:val="18"/>
                                <w:szCs w:val="18"/>
                              </w:rPr>
                              <w:t xml:space="preserve">L-implimentazzjoni ta’ attivitajiet innovattivi ta’ animazzjoni, li jmorru lil hinn mit-tfassil u l-implimentazzjoni tal-istrateġija u jiżguraw l-involviment tal-popolazzjoni usa’ f’diversi azzjonijiet innovattivi tal-LAG (eż. iffokati fuq il-bini tal-identità territorjali b’saħħitha permezz ta’, pereżempju, l-involviment tal-patrimonju naturali u kulturali) li jkomplu jappoġġjaw </w:t>
                            </w:r>
                            <w:r>
                              <w:rPr>
                                <w:b/>
                                <w:sz w:val="18"/>
                                <w:szCs w:val="18"/>
                              </w:rPr>
                              <w:t>l-ambjent favorevoli u jrawmu ideat innovattivi potenzjali (perkorsi 3 u 1).</w:t>
                            </w:r>
                          </w:p>
                          <w:p w:rsidR="005570DA" w:rsidRPr="00A66F3C" w:rsidRDefault="005570DA" w:rsidP="00A66F3C">
                            <w:pPr>
                              <w:pStyle w:val="Hlistbullet"/>
                              <w:rPr>
                                <w:sz w:val="18"/>
                                <w:szCs w:val="18"/>
                              </w:rPr>
                            </w:pPr>
                            <w:r>
                              <w:rPr>
                                <w:sz w:val="18"/>
                                <w:szCs w:val="18"/>
                              </w:rPr>
                              <w:t xml:space="preserve">Il-bidu ta’ proġetti innovattivi ta’ kooperazzjoni, li jippermettu t-trasferiment ta’ għarfien, esperjenzi u teknoloġiji ġodda fit-territorju tal-LAG u jipprovdu spazju </w:t>
                            </w:r>
                            <w:r>
                              <w:rPr>
                                <w:b/>
                                <w:sz w:val="18"/>
                                <w:szCs w:val="18"/>
                              </w:rPr>
                              <w:t>sabiex jitrawmu ideat potenzjalment innovattivi (perkors 1)</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BC5E0" id="Rectangle: Diagonal Corners Rounded 11" o:spid="_x0000_s1042" style="position:absolute;left:0;text-align:left;margin-left:0;margin-top:22.55pt;width:465.65pt;height:602.3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3755,7649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" adj="-11796480,,5400" path="m333654,l5913755,r,l5913755,7315556v,184272,-149382,333654,-333654,333654l,7649210r,l,333654c,149382,149382,,333654,xe" filled="f" strokecolor="#f07e31" strokeweight="2pt">
                <v:stroke joinstyle="miter"/>
                <v:formulas/>
                <v:path arrowok="t" o:connecttype="custom" o:connectlocs="333654,0;5913755,0;5913755,0;5913755,7315556;5580101,7649210;0,7649210;0,7649210;0,333654;333654,0" o:connectangles="0,0,0,0,0,0,0,0,0" textboxrect="0,0,5913755,7649210"/>
                <v:textbox>
                  <w:txbxContent>
                    <w:p w:rsidR="005570DA" w:rsidRDefault="005570DA" w:rsidP="00C3334D">
                      <w:pPr>
                        <w:pStyle w:val="HStandard"/>
                        <w:ind w:left="284" w:right="23"/>
                      </w:pPr>
                      <w:r>
                        <w:rPr>
                          <w:noProof/>
                          <w:lang w:val="en-GB" w:eastAsia="en-GB"/>
                        </w:rPr>
                        <w:drawing>
                          <wp:inline distT="0" distB="0" distL="0" distR="0" wp14:anchorId="79710B71" wp14:editId="00D0DF92">
                            <wp:extent cx="353060" cy="359410"/>
                            <wp:effectExtent l="0" t="0" r="8890" b="2540"/>
                            <wp:docPr id="73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5570DA" w:rsidRPr="00A66F3C" w:rsidRDefault="005570DA" w:rsidP="00A66F3C">
                      <w:pPr>
                        <w:pStyle w:val="HStandard"/>
                        <w:ind w:right="23"/>
                        <w:rPr>
                          <w:b/>
                          <w:color w:val="F07E31"/>
                          <w:sz w:val="18"/>
                          <w:szCs w:val="18"/>
                        </w:rPr>
                      </w:pPr>
                      <w:r>
                        <w:rPr>
                          <w:b/>
                          <w:color w:val="F07E31"/>
                          <w:sz w:val="18"/>
                          <w:szCs w:val="18"/>
                        </w:rPr>
                        <w:t>Eżempji ta’ kif M1 tista’ tibni l-kapaċità għall-innovazzjoni:</w:t>
                      </w:r>
                    </w:p>
                    <w:p w:rsidR="005570DA" w:rsidRPr="00A66F3C" w:rsidRDefault="005570DA" w:rsidP="00A66F3C">
                      <w:pPr>
                        <w:pStyle w:val="Hlistbullet"/>
                        <w:rPr>
                          <w:sz w:val="18"/>
                          <w:szCs w:val="18"/>
                        </w:rPr>
                      </w:pPr>
                      <w:r>
                        <w:rPr>
                          <w:sz w:val="18"/>
                          <w:szCs w:val="18"/>
                        </w:rPr>
                        <w:t>Ħiliet ġodda għall-bdiewa/SMEs sabiex japplikaw proċessi/tekniki innovattivi jew ħiliet organizzattivi ġodda.</w:t>
                      </w:r>
                    </w:p>
                    <w:p w:rsidR="005570DA" w:rsidRPr="00A66F3C" w:rsidRDefault="005570DA" w:rsidP="00A66F3C">
                      <w:pPr>
                        <w:pStyle w:val="Hlistbullet"/>
                        <w:rPr>
                          <w:sz w:val="18"/>
                          <w:szCs w:val="18"/>
                        </w:rPr>
                      </w:pPr>
                      <w:r>
                        <w:rPr>
                          <w:sz w:val="18"/>
                          <w:szCs w:val="18"/>
                        </w:rPr>
                        <w:t>Skambji u żjarat li jgħinu fit-trasferiment tal-għarfien minn azjenda agrikola waħda jew reġjun wieħed għal oħra/ieħor.</w:t>
                      </w:r>
                    </w:p>
                    <w:p w:rsidR="005570DA" w:rsidRPr="00A66F3C" w:rsidRDefault="005570DA" w:rsidP="00C3334D">
                      <w:pPr>
                        <w:pStyle w:val="HStandard"/>
                        <w:ind w:right="54"/>
                        <w:rPr>
                          <w:b/>
                          <w:color w:val="F07E31"/>
                          <w:sz w:val="18"/>
                          <w:szCs w:val="18"/>
                        </w:rPr>
                      </w:pPr>
                      <w:r>
                        <w:rPr>
                          <w:b/>
                          <w:color w:val="F07E31"/>
                          <w:sz w:val="18"/>
                          <w:szCs w:val="18"/>
                        </w:rPr>
                        <w:t>Eżempji ta’ kif M16 tappoġġja l-innovazzjoni:</w:t>
                      </w:r>
                    </w:p>
                    <w:p w:rsidR="005570DA" w:rsidRPr="00A66F3C" w:rsidRDefault="005570DA" w:rsidP="00A66F3C">
                      <w:pPr>
                        <w:pStyle w:val="Hlistbullet"/>
                        <w:rPr>
                          <w:sz w:val="18"/>
                          <w:szCs w:val="18"/>
                        </w:rPr>
                      </w:pPr>
                      <w:r>
                        <w:rPr>
                          <w:sz w:val="18"/>
                          <w:szCs w:val="18"/>
                        </w:rPr>
                        <w:t>L-iżvilupp ta’ prodotti, prattiki u teknoloġiji ġodda fis-setturi tal-agrikoltura, l-ikel u l-forestrija (submiżura M16.2</w:t>
                      </w:r>
                      <w:r>
                        <w:rPr>
                          <w:sz w:val="18"/>
                          <w:szCs w:val="18"/>
                          <w:vertAlign w:val="superscript"/>
                        </w:rPr>
                        <w:t>51</w:t>
                      </w:r>
                      <w:r>
                        <w:rPr>
                          <w:sz w:val="18"/>
                          <w:szCs w:val="18"/>
                        </w:rPr>
                        <w:t xml:space="preserve">) huwa relatat mal-identifikazzjoni u t-trawwim tal-innovazzjoni b’mod kollaborattiv. </w:t>
                      </w:r>
                    </w:p>
                    <w:p w:rsidR="005570DA" w:rsidRPr="00A66F3C" w:rsidRDefault="005570DA" w:rsidP="00A66F3C">
                      <w:pPr>
                        <w:pStyle w:val="Hlistbullet"/>
                        <w:rPr>
                          <w:sz w:val="18"/>
                          <w:szCs w:val="18"/>
                        </w:rPr>
                      </w:pPr>
                      <w:r>
                        <w:rPr>
                          <w:sz w:val="18"/>
                          <w:szCs w:val="18"/>
                        </w:rPr>
                        <w:t xml:space="preserve">Is-submiżuri l-oħrajn kollha għandhom il-potenzjal li </w:t>
                      </w:r>
                      <w:r>
                        <w:rPr>
                          <w:b/>
                          <w:sz w:val="18"/>
                          <w:szCs w:val="18"/>
                        </w:rPr>
                        <w:t>jibnu l-kapaċità għall-innovazzjoni</w:t>
                      </w:r>
                      <w:r>
                        <w:rPr>
                          <w:sz w:val="18"/>
                          <w:szCs w:val="18"/>
                        </w:rPr>
                        <w:t>, minħabba li l-proċess ta’ kooperazzjoni jimplika li għandhom jidentifikaw b’mod kollettiv opportunitajiet ġodda, jipproduċu ideat ġodda, jesperimentaw b’teknoloġija ġdida jew jidentifikaw modi ġodda ta’ kif jagħmlu l-affarijiet.</w:t>
                      </w:r>
                    </w:p>
                    <w:p w:rsidR="005570DA" w:rsidRPr="00A66F3C" w:rsidRDefault="005570DA" w:rsidP="00A66F3C">
                      <w:pPr>
                        <w:pStyle w:val="Hlistbullet"/>
                        <w:rPr>
                          <w:sz w:val="18"/>
                          <w:szCs w:val="18"/>
                        </w:rPr>
                      </w:pPr>
                      <w:r>
                        <w:rPr>
                          <w:sz w:val="18"/>
                          <w:szCs w:val="18"/>
                        </w:rPr>
                        <w:t>Barra minn hekk, l-appoġġ offrut għall-proġetti ta’ kooperazzjoni minn konsulenti/servizzi ta’ appoġġ għall-innovazzjoni, inkluż l-appoġġ offrut min-NRN għal dan il-għan, jista’ jikkontribwixxi għall-</w:t>
                      </w:r>
                      <w:r>
                        <w:rPr>
                          <w:b/>
                          <w:sz w:val="18"/>
                          <w:szCs w:val="18"/>
                        </w:rPr>
                        <w:t>bini tal-kapaċità għall-innovazzjoni</w:t>
                      </w:r>
                      <w:r>
                        <w:rPr>
                          <w:sz w:val="18"/>
                          <w:szCs w:val="18"/>
                        </w:rPr>
                        <w:t>.</w:t>
                      </w:r>
                    </w:p>
                    <w:p w:rsidR="005570DA" w:rsidRPr="00A66F3C" w:rsidRDefault="005570DA" w:rsidP="00A66F3C">
                      <w:pPr>
                        <w:pStyle w:val="Hlistbullet"/>
                        <w:rPr>
                          <w:sz w:val="18"/>
                          <w:szCs w:val="18"/>
                        </w:rPr>
                      </w:pPr>
                      <w:r>
                        <w:rPr>
                          <w:sz w:val="18"/>
                          <w:szCs w:val="18"/>
                        </w:rPr>
                        <w:t>L-involviment tal-partijiet ikkonċernati tal-innovazzjoni fi proġetti ta’ kooperazzjoni (eż. servizzi ta’ appoġġ għall-innovazzjoni, dipartimenti tal-innovazzjoni, ċentri tar-riċerka u l-iżvilupp jew ċentri tat-teknoloġija u l-innovazzjoni) jista’ jikkontribwixxi għall-</w:t>
                      </w:r>
                      <w:r>
                        <w:rPr>
                          <w:b/>
                          <w:sz w:val="18"/>
                          <w:szCs w:val="18"/>
                        </w:rPr>
                        <w:t>bini ta’ ambjent favorevoli għall-innovazzjoni</w:t>
                      </w:r>
                      <w:r>
                        <w:rPr>
                          <w:sz w:val="18"/>
                          <w:szCs w:val="18"/>
                        </w:rPr>
                        <w:t>. Pereżempju, it-twettiq ta’ proġett ta’ riċerka kollettiva jista’ jipproduċi eżitu li jista’ jinfluwenza l-leġiżlazzjoni (eż. leġiżlazzjoni ambjentali).</w:t>
                      </w:r>
                    </w:p>
                    <w:p w:rsidR="005570DA" w:rsidRPr="00A66F3C" w:rsidRDefault="005570DA" w:rsidP="00A66F3C">
                      <w:pPr>
                        <w:pStyle w:val="Hlistbullet"/>
                        <w:rPr>
                          <w:sz w:val="18"/>
                          <w:szCs w:val="18"/>
                        </w:rPr>
                      </w:pPr>
                      <w:r>
                        <w:rPr>
                          <w:sz w:val="18"/>
                          <w:szCs w:val="18"/>
                        </w:rPr>
                        <w:t>L-istabbiliment u t-tħaddim tal-GO jistgħu jġibu approċċ saħansitra aktar olistiku sabiex tiġi appoġġjata l-innovazzjoni permezz tal-ikkombinar tat-</w:t>
                      </w:r>
                      <w:r>
                        <w:rPr>
                          <w:b/>
                          <w:sz w:val="18"/>
                          <w:szCs w:val="18"/>
                        </w:rPr>
                        <w:t>tliet perkorsi kollha</w:t>
                      </w:r>
                      <w:r>
                        <w:rPr>
                          <w:sz w:val="18"/>
                          <w:szCs w:val="18"/>
                        </w:rPr>
                        <w:t>: l-identifikazzjoni ta’ ideat ġodda (il-punt tat-tluq għall-GO), il-bini tal-kapaċità għall-innovazzjoni (l-appoġġ minn konsulenti/servizzi ta’ appoġġ għall-innovazzjoni) u l-ħolqien ta’ ambjent favorevoli għall-innovazzjoni (ir-riżultati tal-proġetti tal-GO).</w:t>
                      </w:r>
                    </w:p>
                    <w:p w:rsidR="005570DA" w:rsidRPr="00A66F3C" w:rsidRDefault="005570DA" w:rsidP="00C3334D">
                      <w:pPr>
                        <w:pStyle w:val="Normal12PTcouleurgris"/>
                        <w:ind w:left="284"/>
                        <w:rPr>
                          <w:color w:val="F07E31"/>
                          <w:sz w:val="18"/>
                        </w:rPr>
                      </w:pPr>
                      <w:r>
                        <w:rPr>
                          <w:b/>
                          <w:color w:val="F07E31"/>
                          <w:sz w:val="18"/>
                        </w:rPr>
                        <w:t>Eżempji ta’ kif M19 tappoġġja l-innovazzjoni:</w:t>
                      </w:r>
                    </w:p>
                    <w:p w:rsidR="005570DA" w:rsidRPr="00A66F3C" w:rsidRDefault="005570DA" w:rsidP="00A66F3C">
                      <w:pPr>
                        <w:pStyle w:val="Hlistbullet"/>
                        <w:rPr>
                          <w:sz w:val="18"/>
                          <w:szCs w:val="18"/>
                        </w:rPr>
                      </w:pPr>
                      <w:r>
                        <w:rPr>
                          <w:sz w:val="18"/>
                          <w:szCs w:val="18"/>
                        </w:rPr>
                        <w:t>L-applikazzjoni ta’ modi ġodda ta’ tfassil tal-istrateġija, inklużi diversi forom uniċi ta’ kif tiġi żgurata l-parteċipazzjoni tan-nies lokali fid-deċiżjonijiet strateġiċi (eż. diversi attivitajiet ta’ animazzjoni marbuta mal-ġbir tal-informazzjoni, diversi workshops u pjattaformi għad-diskussjoni, eċċ.) u b’hekk jikkontribwixxu għall-</w:t>
                      </w:r>
                      <w:r>
                        <w:rPr>
                          <w:b/>
                          <w:sz w:val="18"/>
                          <w:szCs w:val="18"/>
                        </w:rPr>
                        <w:t>ambjent favorevoli għall-innovazzjoni (perkors 3).</w:t>
                      </w:r>
                    </w:p>
                    <w:p w:rsidR="005570DA" w:rsidRPr="00A66F3C" w:rsidRDefault="005570DA" w:rsidP="00A66F3C">
                      <w:pPr>
                        <w:pStyle w:val="Hlistbullet"/>
                        <w:rPr>
                          <w:sz w:val="18"/>
                          <w:szCs w:val="18"/>
                        </w:rPr>
                      </w:pPr>
                      <w:r>
                        <w:rPr>
                          <w:sz w:val="18"/>
                          <w:szCs w:val="18"/>
                        </w:rPr>
                        <w:t xml:space="preserve">L-implimentazzjoni ta’ attivitajiet innovattivi ta’ animazzjoni, li jmorru lil hinn mit-tfassil u l-implimentazzjoni tal-istrateġija u jiżguraw l-involviment tal-popolazzjoni usa’ f’diversi azzjonijiet innovattivi tal-LAG (eż. iffokati fuq il-bini tal-identità territorjali b’saħħitha permezz ta’, pereżempju, l-involviment tal-patrimonju naturali u kulturali) li jkomplu jappoġġjaw </w:t>
                      </w:r>
                      <w:r>
                        <w:rPr>
                          <w:b/>
                          <w:sz w:val="18"/>
                          <w:szCs w:val="18"/>
                        </w:rPr>
                        <w:t>l-ambjent favorevoli u jrawmu ideat innovattivi potenzjali (perkorsi 3 u 1).</w:t>
                      </w:r>
                    </w:p>
                    <w:p w:rsidR="005570DA" w:rsidRPr="00A66F3C" w:rsidRDefault="005570DA" w:rsidP="00A66F3C">
                      <w:pPr>
                        <w:pStyle w:val="Hlistbullet"/>
                        <w:rPr>
                          <w:sz w:val="18"/>
                          <w:szCs w:val="18"/>
                        </w:rPr>
                      </w:pPr>
                      <w:r>
                        <w:rPr>
                          <w:sz w:val="18"/>
                          <w:szCs w:val="18"/>
                        </w:rPr>
                        <w:t xml:space="preserve">Il-bidu ta’ proġetti innovattivi ta’ kooperazzjoni, li jippermettu t-trasferiment ta’ għarfien, esperjenzi u teknoloġiji ġodda fit-territorju tal-LAG u jipprovdu spazju </w:t>
                      </w:r>
                      <w:r>
                        <w:rPr>
                          <w:b/>
                          <w:sz w:val="18"/>
                          <w:szCs w:val="18"/>
                        </w:rPr>
                        <w:t>sabiex jitrawmu ideat potenzjalment innovattivi (perkors 1)</w:t>
                      </w:r>
                      <w:r>
                        <w:rPr>
                          <w:sz w:val="18"/>
                          <w:szCs w:val="18"/>
                        </w:rPr>
                        <w:t>.</w:t>
                      </w:r>
                    </w:p>
                  </w:txbxContent>
                </v:textbox>
                <w10:wrap type="tight"/>
              </v:shape>
            </w:pict>
          </mc:Fallback>
        </mc:AlternateContent>
      </w:r>
      <w:r w:rsidR="00C3092C" w:rsidRPr="002B5B92">
        <w:rPr>
          <w:rStyle w:val="FootnoteReference"/>
          <w:rFonts w:eastAsia="Calibri" w:cs="Times New Roman"/>
          <w:b/>
          <w:color w:val="FFFFFF" w:themeColor="background1"/>
          <w:szCs w:val="20"/>
          <w:shd w:val="clear" w:color="auto" w:fill="FFFFFF"/>
        </w:rPr>
        <w:footnoteReference w:id="51"/>
      </w:r>
    </w:p>
    <w:p w:rsidR="00863DB0" w:rsidRPr="002B5B92" w:rsidRDefault="00863DB0">
      <w:pPr>
        <w:jc w:val="left"/>
        <w:rPr>
          <w:rFonts w:eastAsia="Calibri" w:cs="Times New Roman"/>
          <w:b/>
          <w:color w:val="57825E"/>
          <w:szCs w:val="20"/>
          <w:shd w:val="clear" w:color="auto" w:fill="FFFFFF"/>
        </w:rPr>
      </w:pPr>
      <w:r w:rsidRPr="002B5B92">
        <w:br w:type="page"/>
      </w:r>
    </w:p>
    <w:p w:rsidR="00A45935" w:rsidRPr="002B5B92" w:rsidRDefault="00A45935" w:rsidP="00A66F3C">
      <w:pPr>
        <w:spacing w:after="120" w:line="280" w:lineRule="atLeast"/>
        <w:mirrorIndents/>
        <w:rPr>
          <w:rFonts w:eastAsia="Calibri" w:cs="Times New Roman"/>
          <w:b/>
          <w:color w:val="57825E"/>
          <w:szCs w:val="20"/>
          <w:shd w:val="clear" w:color="auto" w:fill="FFFFFF"/>
        </w:rPr>
      </w:pPr>
      <w:r w:rsidRPr="002B5B92">
        <w:rPr>
          <w:b/>
          <w:color w:val="57825E"/>
          <w:szCs w:val="20"/>
          <w:shd w:val="clear" w:color="auto" w:fill="FFFFFF"/>
        </w:rPr>
        <w:lastRenderedPageBreak/>
        <w:t xml:space="preserve">Sfidi speċifiċi </w:t>
      </w:r>
    </w:p>
    <w:p w:rsidR="00A45935" w:rsidRPr="002B5B92" w:rsidRDefault="00A45935" w:rsidP="00A66F3C">
      <w:pPr>
        <w:pStyle w:val="Hlistbullet"/>
      </w:pPr>
      <w:r w:rsidRPr="002B5B92">
        <w:t xml:space="preserve">L-iżvilupp </w:t>
      </w:r>
      <w:r w:rsidRPr="002B5B92">
        <w:rPr>
          <w:shd w:val="clear" w:color="auto" w:fill="FFFFFF"/>
        </w:rPr>
        <w:t xml:space="preserve">ta’ elementi tal-evalwazzjoni speċifiċi għall-programmi u addizzjonali: CEQ nru. 1 hija marbuta ma’ indikatur fil-mira komuni wieħed (T1) li jista’ ma jkunx biżżejjed sabiex tiġi mwieġba s-CEQ u, għalhekk, jista’ jkun meħtieġ li jkun akkumpanjat minn indikaturi addizzjonali sabiex titkejjel in-nefqa relatata mal-innovazzjoni tal-miżuri rilevanti. Fl-istess ħin, jistgħu jintużaw żewġ indikaturi tal-output komuni sabiex tiġi mwieġba s-CEQ nru. 1 (O13 In-numru ta’ benefiċjarji mogħtija pariri u O16 In-numru ta’ operazzjonijiet tal-EIP). Skont il-loġika tal-intervent speċifika, jistgħu jkunu meħtieġa elementi tal-evalwazzjoni ulterjuri sabiex jiġu vvalutati l-aspetti kollha relatati mal-innovazzjoni. </w:t>
      </w:r>
    </w:p>
    <w:p w:rsidR="00A45935" w:rsidRPr="002B5B92" w:rsidRDefault="00A45935" w:rsidP="00A66F3C">
      <w:pPr>
        <w:pStyle w:val="Hlistbullet"/>
        <w:rPr>
          <w:rFonts w:eastAsia="Calibri"/>
          <w:shd w:val="clear" w:color="auto" w:fill="FFFFFF"/>
        </w:rPr>
      </w:pPr>
      <w:r w:rsidRPr="002B5B92">
        <w:rPr>
          <w:b/>
          <w:shd w:val="clear" w:color="auto" w:fill="FFFFFF"/>
        </w:rPr>
        <w:t xml:space="preserve">L-attribuzzjoni tal-bidliet osservati </w:t>
      </w:r>
      <w:r w:rsidRPr="002B5B92">
        <w:rPr>
          <w:shd w:val="clear" w:color="auto" w:fill="FFFFFF"/>
        </w:rPr>
        <w:t xml:space="preserve">fir-rigward tal-appoġġ għall-innovazzjoni </w:t>
      </w:r>
      <w:r w:rsidRPr="002B5B92">
        <w:rPr>
          <w:b/>
          <w:shd w:val="clear" w:color="auto" w:fill="FFFFFF"/>
        </w:rPr>
        <w:t>għall-miżuri</w:t>
      </w:r>
      <w:r w:rsidRPr="002B5B92">
        <w:rPr>
          <w:shd w:val="clear" w:color="auto" w:fill="FFFFFF"/>
        </w:rPr>
        <w:t xml:space="preserve"> M1, M2, M16 u M19.</w:t>
      </w:r>
    </w:p>
    <w:p w:rsidR="00A45935" w:rsidRPr="002B5B92" w:rsidRDefault="00A45935" w:rsidP="00A66F3C">
      <w:pPr>
        <w:pStyle w:val="Hlistbullet"/>
        <w:rPr>
          <w:rFonts w:eastAsia="Calibri"/>
          <w:shd w:val="clear" w:color="auto" w:fill="FFFFFF"/>
        </w:rPr>
      </w:pPr>
      <w:r w:rsidRPr="002B5B92">
        <w:rPr>
          <w:b/>
          <w:shd w:val="clear" w:color="auto" w:fill="FFFFFF"/>
        </w:rPr>
        <w:t xml:space="preserve">Il-kopertura tal-kontribuzzjonijiet tal-miżuri pprogrammati taħt </w:t>
      </w:r>
      <w:r w:rsidR="00794C2E" w:rsidRPr="002B5B92">
        <w:rPr>
          <w:b/>
          <w:shd w:val="clear" w:color="auto" w:fill="FFFFFF"/>
        </w:rPr>
        <w:t>oqsma ta' prijorità</w:t>
      </w:r>
      <w:r w:rsidRPr="002B5B92">
        <w:rPr>
          <w:b/>
          <w:shd w:val="clear" w:color="auto" w:fill="FFFFFF"/>
        </w:rPr>
        <w:t xml:space="preserve"> oħrajn</w:t>
      </w:r>
      <w:r w:rsidRPr="002B5B92">
        <w:rPr>
          <w:shd w:val="clear" w:color="auto" w:fill="FFFFFF"/>
        </w:rPr>
        <w:t xml:space="preserve"> (għajr għal </w:t>
      </w:r>
      <w:r w:rsidR="00794C2E" w:rsidRPr="002B5B92">
        <w:rPr>
          <w:shd w:val="clear" w:color="auto" w:fill="FFFFFF"/>
        </w:rPr>
        <w:t>OP</w:t>
      </w:r>
      <w:r w:rsidRPr="002B5B92">
        <w:rPr>
          <w:shd w:val="clear" w:color="auto" w:fill="FFFFFF"/>
        </w:rPr>
        <w:t xml:space="preserve"> 1B) għall-appoġġ għall-innovazzjoni. </w:t>
      </w:r>
    </w:p>
    <w:p w:rsidR="00A45935" w:rsidRPr="002B5B92"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2B5B92">
        <w:rPr>
          <w:b/>
          <w:color w:val="57825E"/>
          <w:szCs w:val="20"/>
          <w:shd w:val="clear" w:color="auto" w:fill="FFFFFF"/>
        </w:rPr>
        <w:t>Approċċ issuġġerit sabiex tiġi mwieġba s-CEQ nru. 1</w:t>
      </w:r>
    </w:p>
    <w:p w:rsidR="00A45935" w:rsidRPr="002B5B92" w:rsidRDefault="00A45935" w:rsidP="00582F60">
      <w:pPr>
        <w:numPr>
          <w:ilvl w:val="0"/>
          <w:numId w:val="55"/>
        </w:numPr>
        <w:spacing w:before="120" w:after="120" w:line="280" w:lineRule="atLeast"/>
        <w:ind w:left="567" w:hanging="567"/>
        <w:mirrorIndents/>
        <w:rPr>
          <w:rFonts w:eastAsia="Times New Roman" w:cs="Times New Roman"/>
          <w:b/>
          <w:szCs w:val="20"/>
        </w:rPr>
      </w:pPr>
      <w:r w:rsidRPr="002B5B92">
        <w:rPr>
          <w:b/>
          <w:szCs w:val="20"/>
        </w:rPr>
        <w:t xml:space="preserve">Il-loġika tal-intervent </w:t>
      </w:r>
    </w:p>
    <w:p w:rsidR="00863DB0" w:rsidRPr="002B5B92" w:rsidRDefault="00A45935" w:rsidP="00A66F3C">
      <w:pPr>
        <w:spacing w:after="120" w:line="280" w:lineRule="atLeast"/>
        <w:mirrorIndents/>
        <w:rPr>
          <w:rFonts w:eastAsia="Times New Roman" w:cs="Times New Roman"/>
          <w:szCs w:val="20"/>
        </w:rPr>
      </w:pPr>
      <w:r w:rsidRPr="002B5B92">
        <w:t xml:space="preserve">Il-loġika tal-intervent marbuta mas-CEQ nru. 1 tista’ tiġi riveduta wkoll mill-perspettiva tal-innovazzjoni. Dan jista’ jsir abbażi tal-eżiti tal-iskrinjar tal-potenzjal tal-innovazzjoni (ara </w:t>
      </w:r>
      <w:hyperlink w:anchor="Screening_Potential" w:history="1">
        <w:r w:rsidRPr="002B5B92">
          <w:rPr>
            <w:rStyle w:val="Hyperlink"/>
            <w:sz w:val="20"/>
            <w:szCs w:val="20"/>
          </w:rPr>
          <w:t>l-Kapitolu 2.2</w:t>
        </w:r>
      </w:hyperlink>
      <w:r w:rsidRPr="002B5B92">
        <w:t xml:space="preserve">) tal-miżuri M1, M2, M16 u M19, li ġeneralment jiġu pprogrammati taħt </w:t>
      </w:r>
      <w:r w:rsidR="00794C2E" w:rsidRPr="002B5B92">
        <w:t>oqsma ta' prijorità</w:t>
      </w:r>
      <w:r w:rsidRPr="002B5B92">
        <w:t xml:space="preserve"> oħrajn għajr </w:t>
      </w:r>
      <w:r w:rsidR="00794C2E" w:rsidRPr="002B5B92">
        <w:t>OP</w:t>
      </w:r>
      <w:r w:rsidRPr="002B5B92">
        <w:t xml:space="preserve"> 1A, flimkien ma’ miżuri oħrajn. Dan se jgħin sabiex jiġu koperti l-kisbiet tal-programm fir-rigward tal-objettivi ta’ </w:t>
      </w:r>
      <w:r w:rsidR="00794C2E" w:rsidRPr="002B5B92">
        <w:t xml:space="preserve">OP </w:t>
      </w:r>
      <w:r w:rsidRPr="002B5B92">
        <w:t xml:space="preserve">1A u jiġi identifikat liema benefiċjarji u partijiet ikkonċernati tal-PŻR jistgħu jkunu fornituri tad-data u tal-informazzjoni. </w:t>
      </w:r>
    </w:p>
    <w:p w:rsidR="00863DB0" w:rsidRPr="002B5B92" w:rsidRDefault="00863DB0">
      <w:pPr>
        <w:jc w:val="left"/>
        <w:rPr>
          <w:rFonts w:eastAsia="Times New Roman" w:cs="Times New Roman"/>
          <w:szCs w:val="20"/>
        </w:rPr>
      </w:pPr>
      <w:r w:rsidRPr="002B5B92">
        <w:br w:type="page"/>
      </w:r>
    </w:p>
    <w:p w:rsidR="00A45935" w:rsidRPr="002B5B92" w:rsidRDefault="00DD247A" w:rsidP="00A66F3C">
      <w:pPr>
        <w:pStyle w:val="HHeadingfigures"/>
      </w:pPr>
      <w:bookmarkStart w:id="106" w:name="_Toc508964968"/>
      <w:r w:rsidRPr="002B5B92">
        <w:lastRenderedPageBreak/>
        <w:t>Eżempju ta’ loġika tal-intervent marbuta mas-CEQ nru. 1</w:t>
      </w:r>
      <w:bookmarkEnd w:id="106"/>
      <w:r w:rsidRPr="002B5B92">
        <w:t xml:space="preserve"> </w:t>
      </w:r>
    </w:p>
    <w:p w:rsidR="007D2A0C" w:rsidRPr="002B5B92" w:rsidRDefault="0035138C" w:rsidP="00690E70">
      <w:pPr>
        <w:spacing w:after="120" w:line="280" w:lineRule="atLeast"/>
        <w:mirrorIndents/>
        <w:jc w:val="center"/>
        <w:rPr>
          <w:rFonts w:eastAsia="Times New Roman" w:cs="Times New Roman"/>
          <w:i/>
          <w:sz w:val="16"/>
          <w:szCs w:val="16"/>
          <w:lang w:eastAsia="de-DE"/>
        </w:rPr>
      </w:pPr>
      <w:r>
        <w:rPr>
          <w:noProof/>
          <w:lang w:val="en-GB" w:eastAsia="en-GB"/>
        </w:rPr>
        <w:drawing>
          <wp:inline distT="0" distB="0" distL="0" distR="0" wp14:anchorId="001F64C4" wp14:editId="4F6965B4">
            <wp:extent cx="5731510" cy="322344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3223441"/>
                    </a:xfrm>
                    <a:prstGeom prst="rect">
                      <a:avLst/>
                    </a:prstGeom>
                  </pic:spPr>
                </pic:pic>
              </a:graphicData>
            </a:graphic>
          </wp:inline>
        </w:drawing>
      </w:r>
    </w:p>
    <w:p w:rsidR="00A45935" w:rsidRPr="002B5B92" w:rsidRDefault="007D2A0C" w:rsidP="00690E70">
      <w:pPr>
        <w:spacing w:after="120" w:line="280" w:lineRule="atLeast"/>
        <w:mirrorIndents/>
        <w:jc w:val="center"/>
        <w:rPr>
          <w:rFonts w:eastAsia="Times New Roman" w:cs="Times New Roman"/>
          <w:i/>
          <w:sz w:val="16"/>
          <w:szCs w:val="20"/>
        </w:rPr>
        <w:sectPr w:rsidR="00A45935" w:rsidRPr="002B5B92" w:rsidSect="001F6F07">
          <w:endnotePr>
            <w:numFmt w:val="decimal"/>
          </w:endnotePr>
          <w:type w:val="continuous"/>
          <w:pgSz w:w="11906" w:h="16838" w:code="9"/>
          <w:pgMar w:top="1440" w:right="1440" w:bottom="1134" w:left="1440" w:header="567" w:footer="1021" w:gutter="0"/>
          <w:cols w:space="708"/>
          <w:noEndnote/>
          <w:docGrid w:linePitch="360"/>
        </w:sectPr>
      </w:pPr>
      <w:r w:rsidRPr="002B5B92">
        <w:rPr>
          <w:rFonts w:eastAsia="Times New Roman" w:cs="Times New Roman"/>
          <w:i/>
          <w:noProof/>
          <w:sz w:val="18"/>
          <w:szCs w:val="24"/>
          <w:lang w:val="en-GB" w:eastAsia="en-GB"/>
        </w:rPr>
        <mc:AlternateContent>
          <mc:Choice Requires="wps">
            <w:drawing>
              <wp:anchor distT="0" distB="0" distL="114300" distR="114300" simplePos="0" relativeHeight="251753472" behindDoc="0" locked="0" layoutInCell="1" allowOverlap="1" wp14:anchorId="196F9491" wp14:editId="68A34F4C">
                <wp:simplePos x="0" y="0"/>
                <wp:positionH relativeFrom="column">
                  <wp:posOffset>0</wp:posOffset>
                </wp:positionH>
                <wp:positionV relativeFrom="paragraph">
                  <wp:posOffset>302260</wp:posOffset>
                </wp:positionV>
                <wp:extent cx="5732780" cy="1869440"/>
                <wp:effectExtent l="0" t="0" r="20320" b="16510"/>
                <wp:wrapSquare wrapText="bothSides"/>
                <wp:docPr id="23" name="Rectangle: Diagonal Corners Rounded 23"/>
                <wp:cNvGraphicFramePr/>
                <a:graphic xmlns:a="http://schemas.openxmlformats.org/drawingml/2006/main">
                  <a:graphicData uri="http://schemas.microsoft.com/office/word/2010/wordprocessingShape">
                    <wps:wsp>
                      <wps:cNvSpPr/>
                      <wps:spPr>
                        <a:xfrm>
                          <a:off x="0" y="0"/>
                          <a:ext cx="5732780" cy="1869440"/>
                        </a:xfrm>
                        <a:prstGeom prst="round2DiagRect">
                          <a:avLst>
                            <a:gd name="adj1" fmla="val 11556"/>
                            <a:gd name="adj2" fmla="val 0"/>
                          </a:avLst>
                        </a:prstGeom>
                        <a:noFill/>
                        <a:ln w="25400" cap="flat" cmpd="sng" algn="ctr">
                          <a:solidFill>
                            <a:srgbClr val="F07E31"/>
                          </a:solidFill>
                          <a:prstDash val="solid"/>
                        </a:ln>
                        <a:effectLst/>
                      </wps:spPr>
                      <wps:txbx>
                        <w:txbxContent>
                          <w:p w:rsidR="005570DA" w:rsidRPr="00D33212" w:rsidRDefault="005570DA" w:rsidP="00863DB0">
                            <w:pPr>
                              <w:pStyle w:val="H-Standard"/>
                            </w:pPr>
                            <w:r>
                              <w:rPr>
                                <w:noProof/>
                                <w:lang w:val="en-GB" w:eastAsia="en-GB"/>
                              </w:rPr>
                              <w:drawing>
                                <wp:inline distT="0" distB="0" distL="0" distR="0" wp14:anchorId="67D0B87B" wp14:editId="4D4230DB">
                                  <wp:extent cx="353060" cy="359410"/>
                                  <wp:effectExtent l="0" t="0" r="8890" b="2540"/>
                                  <wp:docPr id="74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t>F’dan l-eżempju, is-submiżura M1, ‘akkwiżizzjoni ta’ ħiliet u taħriġ’ u s-submiżura M2, ‘taħriġ tal-konsulenti’, ġew identifikati bħala li għandhom il-potenzjal li jappoġġaw l-innovazzjoni permezz tal-bini tal-kapaċitajiet għall-innovazzjoni. Il-kombinazzjoni ta’ M16.7 u M16.8 għandha l-potenzjal li tappoġġa l-innovazzjoni permezz tat-trawwim ta’ ideat innovattivi, filwaqt li M16.1 għandha l-potenzjal li tappoġġa l-innovazzjoni permezz tat-tliet perkorsi kollha. Is-submiżura 19.2, li tappoġġa l-istrateġiji ta’ CLLD, tikkontribwixxi għall-ambjent favorevoli. Is-submiżura tal-kooperazzjoni ta’ LEADER (M 19.3) tgħin sabiex jitrawmu ideat innovattivi b’mod kollaborattiv u jinbnew kapaċitajiet għall-innovazzjoni.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F9491" id="Rectangle: Diagonal Corners Rounded 23" o:spid="_x0000_s1043" style="position:absolute;left:0;text-align:left;margin-left:0;margin-top:23.8pt;width:451.4pt;height:147.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2780,1869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" adj="-11796480,,5400" path="m216032,l5732780,r,l5732780,1653408v,119311,-96721,216032,-216032,216032l,1869440r,l,216032c,96721,96721,,216032,xe" filled="f" strokecolor="#f07e31" strokeweight="2pt">
                <v:stroke joinstyle="miter"/>
                <v:formulas/>
                <v:path arrowok="t" o:connecttype="custom" o:connectlocs="216032,0;5732780,0;5732780,0;5732780,1653408;5516748,1869440;0,1869440;0,1869440;0,216032;216032,0" o:connectangles="0,0,0,0,0,0,0,0,0" textboxrect="0,0,5732780,1869440"/>
                <v:textbox>
                  <w:txbxContent>
                    <w:p w:rsidR="005570DA" w:rsidRPr="00D33212" w:rsidRDefault="005570DA" w:rsidP="00863DB0">
                      <w:pPr>
                        <w:pStyle w:val="H-Standard"/>
                      </w:pPr>
                      <w:r>
                        <w:rPr>
                          <w:noProof/>
                          <w:lang w:val="en-GB" w:eastAsia="en-GB"/>
                        </w:rPr>
                        <w:drawing>
                          <wp:inline distT="0" distB="0" distL="0" distR="0" wp14:anchorId="67D0B87B" wp14:editId="4D4230DB">
                            <wp:extent cx="353060" cy="359410"/>
                            <wp:effectExtent l="0" t="0" r="8890" b="2540"/>
                            <wp:docPr id="74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t>F’dan l-eżempju, is-submiżura M1, ‘akkwiżizzjoni ta’ ħiliet u taħriġ’ u s-submiżura M2, ‘taħriġ tal-konsulenti’, ġew identifikati bħala li għandhom il-potenzjal li jappoġġaw l-innovazzjoni permezz tal-bini tal-kapaċitajiet għall-innovazzjoni. Il-kombinazzjoni ta’ M16.7 u M16.8 għandha l-potenzjal li tappoġġa l-innovazzjoni permezz tat-trawwim ta’ ideat innovattivi, filwaqt li M16.1 għandha l-potenzjal li tappoġġa l-innovazzjoni permezz tat-tliet perkorsi kollha. Is-submiżura 19.2, li tappoġġa l-istrateġiji ta’ CLLD, tikkontribwixxi għall-ambjent favorevoli. Is-submiżura tal-kooperazzjoni ta’ LEADER (M 19.3) tgħin sabiex jitrawmu ideat innovattivi b’mod kollaborattiv u jinbnew kapaċitajiet għall-innovazzjoni.</w:t>
                      </w:r>
                    </w:p>
                  </w:txbxContent>
                </v:textbox>
                <w10:wrap type="square"/>
              </v:shape>
            </w:pict>
          </mc:Fallback>
        </mc:AlternateContent>
      </w:r>
      <w:r w:rsidRPr="002B5B92">
        <w:rPr>
          <w:i/>
          <w:sz w:val="16"/>
          <w:szCs w:val="16"/>
        </w:rPr>
        <w:t>Sors: Helpdesk Ewropew ta’ Evalwazzjoni għall-Iżvilupp Rurali, 2017</w:t>
      </w:r>
    </w:p>
    <w:p w:rsidR="00A45935" w:rsidRPr="002B5B92" w:rsidRDefault="00A45935" w:rsidP="008C0B17">
      <w:pPr>
        <w:numPr>
          <w:ilvl w:val="0"/>
          <w:numId w:val="55"/>
        </w:numPr>
        <w:spacing w:before="120" w:after="120" w:line="280" w:lineRule="atLeast"/>
        <w:ind w:left="567" w:hanging="567"/>
        <w:mirrorIndents/>
        <w:rPr>
          <w:rFonts w:eastAsia="Times New Roman" w:cs="Times New Roman"/>
          <w:b/>
          <w:szCs w:val="20"/>
        </w:rPr>
      </w:pPr>
      <w:r w:rsidRPr="002B5B92">
        <w:rPr>
          <w:b/>
          <w:szCs w:val="20"/>
        </w:rPr>
        <w:t xml:space="preserve">Elementi tal-evalwazzjoni </w:t>
      </w:r>
    </w:p>
    <w:p w:rsidR="00A45935" w:rsidRPr="002B5B92" w:rsidRDefault="00734B11" w:rsidP="00E05D08">
      <w:pPr>
        <w:spacing w:before="120" w:after="120" w:line="280" w:lineRule="atLeast"/>
        <w:mirrorIndents/>
        <w:rPr>
          <w:rFonts w:eastAsia="Times New Roman" w:cs="Times New Roman"/>
          <w:szCs w:val="20"/>
        </w:rPr>
      </w:pPr>
      <w:r w:rsidRPr="002B5B92">
        <w:t xml:space="preserve">Il-kriterji komuni tal-ġudizzju u l-indikaturi komuni għas-CEQ nru. 1 jibqgħu fil-livell tal-output tal-operazzjonijiet taħt M1, M2 u M16 u M19. Jista’ jkun meħtieġ li jiġu żviluppati kriterji addizzjonali tal-ġudizzju u indikaturi addizzjonali sabiex jiġu vvalutati r-riżultati ta’ dawn il-miżuri (ara </w:t>
      </w:r>
      <w:hyperlink w:anchor="Evaluation_elements" w:history="1">
        <w:r w:rsidRPr="002B5B92">
          <w:rPr>
            <w:rStyle w:val="Hyperlink"/>
            <w:sz w:val="20"/>
            <w:szCs w:val="20"/>
          </w:rPr>
          <w:t>t-Tabella 1</w:t>
        </w:r>
      </w:hyperlink>
      <w:r w:rsidRPr="002B5B92">
        <w:t>)</w:t>
      </w:r>
    </w:p>
    <w:p w:rsidR="00863DB0" w:rsidRPr="002B5B92" w:rsidRDefault="00863DB0" w:rsidP="00E05D08">
      <w:pPr>
        <w:spacing w:before="120" w:after="120" w:line="280" w:lineRule="atLeast"/>
        <w:mirrorIndents/>
        <w:rPr>
          <w:rFonts w:eastAsia="Times New Roman" w:cs="Times New Roman"/>
          <w:szCs w:val="20"/>
          <w:lang w:eastAsia="de-DE"/>
        </w:rPr>
      </w:pPr>
    </w:p>
    <w:p w:rsidR="00A45935" w:rsidRPr="002B5B92" w:rsidRDefault="00A45935" w:rsidP="00E05D08">
      <w:pPr>
        <w:numPr>
          <w:ilvl w:val="0"/>
          <w:numId w:val="9"/>
        </w:numPr>
        <w:spacing w:before="60" w:after="0" w:line="280" w:lineRule="atLeast"/>
        <w:ind w:left="0" w:firstLine="0"/>
        <w:rPr>
          <w:rFonts w:eastAsia="Times New Roman" w:cs="Arial"/>
          <w:szCs w:val="18"/>
          <w:lang w:eastAsia="de-DE"/>
          <w14:textFill>
            <w14:solidFill>
              <w14:srgbClr w14:val="373737">
                <w14:lumMod w14:val="75000"/>
              </w14:srgbClr>
            </w14:solidFill>
          </w14:textFill>
        </w:rPr>
        <w:sectPr w:rsidR="00A45935" w:rsidRPr="002B5B92"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2B5B92" w:rsidRDefault="00266A8E" w:rsidP="00266A8E">
      <w:pPr>
        <w:pStyle w:val="HHeadingtables"/>
        <w:rPr>
          <w:color w:val="6F6F6F"/>
          <w:sz w:val="18"/>
          <w:szCs w:val="18"/>
        </w:rPr>
      </w:pPr>
      <w:bookmarkStart w:id="107" w:name="Evaluation_elements"/>
      <w:bookmarkStart w:id="108" w:name="_Toc508964832"/>
      <w:r>
        <w:lastRenderedPageBreak/>
        <w:t xml:space="preserve">Tabella 1. </w:t>
      </w:r>
      <w:r w:rsidR="00A45935" w:rsidRPr="002B5B92">
        <w:t>Elementi tal-evalwazzjoni u sorsi ta’ informazzjoni fir-rigward tas-CEQ nru. 1</w:t>
      </w:r>
      <w:bookmarkEnd w:id="107"/>
      <w:bookmarkEnd w:id="108"/>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46"/>
        <w:gridCol w:w="3118"/>
        <w:gridCol w:w="2835"/>
        <w:gridCol w:w="5755"/>
      </w:tblGrid>
      <w:tr w:rsidR="00A45935" w:rsidRPr="002B5B92" w:rsidTr="00E05D08">
        <w:trPr>
          <w:tblHeader/>
        </w:trPr>
        <w:tc>
          <w:tcPr>
            <w:tcW w:w="2547" w:type="dxa"/>
            <w:shd w:val="clear" w:color="auto" w:fill="F07E31"/>
          </w:tcPr>
          <w:p w:rsidR="00A45935" w:rsidRPr="002B5B92" w:rsidRDefault="00A45935" w:rsidP="00E05D08">
            <w:pPr>
              <w:spacing w:after="120" w:line="280" w:lineRule="atLeast"/>
              <w:mirrorIndents/>
              <w:jc w:val="center"/>
              <w:rPr>
                <w:rFonts w:cs="Arial"/>
                <w:b/>
                <w:color w:val="FFFFFF"/>
                <w:sz w:val="18"/>
                <w:szCs w:val="18"/>
              </w:rPr>
            </w:pPr>
            <w:r w:rsidRPr="002B5B92">
              <w:rPr>
                <w:b/>
                <w:color w:val="FFFFFF"/>
                <w:sz w:val="18"/>
                <w:szCs w:val="18"/>
              </w:rPr>
              <w:t>Kriterji tal-ġudizzju</w:t>
            </w:r>
          </w:p>
        </w:tc>
        <w:tc>
          <w:tcPr>
            <w:tcW w:w="3118" w:type="dxa"/>
            <w:shd w:val="clear" w:color="auto" w:fill="F07E31"/>
          </w:tcPr>
          <w:p w:rsidR="00A45935" w:rsidRPr="002B5B92" w:rsidRDefault="00A45935" w:rsidP="00E05D08">
            <w:pPr>
              <w:spacing w:after="120" w:line="280" w:lineRule="atLeast"/>
              <w:mirrorIndents/>
              <w:jc w:val="center"/>
              <w:rPr>
                <w:rFonts w:cs="Arial"/>
                <w:b/>
                <w:color w:val="FFFFFF"/>
                <w:sz w:val="18"/>
                <w:szCs w:val="18"/>
              </w:rPr>
            </w:pPr>
            <w:r w:rsidRPr="002B5B92">
              <w:rPr>
                <w:b/>
                <w:color w:val="FFFFFF"/>
                <w:sz w:val="18"/>
                <w:szCs w:val="18"/>
              </w:rPr>
              <w:t>Indikaturi</w:t>
            </w:r>
          </w:p>
        </w:tc>
        <w:tc>
          <w:tcPr>
            <w:tcW w:w="2835" w:type="dxa"/>
            <w:shd w:val="clear" w:color="auto" w:fill="F07E31"/>
          </w:tcPr>
          <w:p w:rsidR="00A45935" w:rsidRPr="002B5B92" w:rsidRDefault="00A45935" w:rsidP="00E05D08">
            <w:pPr>
              <w:spacing w:after="120" w:line="280" w:lineRule="atLeast"/>
              <w:mirrorIndents/>
              <w:jc w:val="center"/>
              <w:rPr>
                <w:rFonts w:cs="Arial"/>
                <w:b/>
                <w:color w:val="FFFFFF"/>
                <w:sz w:val="18"/>
                <w:szCs w:val="18"/>
              </w:rPr>
            </w:pPr>
            <w:r w:rsidRPr="002B5B92">
              <w:rPr>
                <w:b/>
                <w:color w:val="FFFFFF"/>
                <w:sz w:val="18"/>
                <w:szCs w:val="18"/>
              </w:rPr>
              <w:t>Ħtiġijiet ta’ data</w:t>
            </w:r>
          </w:p>
        </w:tc>
        <w:tc>
          <w:tcPr>
            <w:tcW w:w="5756" w:type="dxa"/>
            <w:shd w:val="clear" w:color="auto" w:fill="F07E31"/>
          </w:tcPr>
          <w:p w:rsidR="00A45935" w:rsidRPr="002B5B92" w:rsidRDefault="00A45935" w:rsidP="00E05D08">
            <w:pPr>
              <w:spacing w:after="120" w:line="280" w:lineRule="atLeast"/>
              <w:mirrorIndents/>
              <w:jc w:val="center"/>
              <w:rPr>
                <w:rFonts w:cs="Arial"/>
                <w:b/>
                <w:color w:val="FFFFFF"/>
                <w:sz w:val="18"/>
                <w:szCs w:val="18"/>
              </w:rPr>
            </w:pPr>
            <w:r w:rsidRPr="002B5B92">
              <w:rPr>
                <w:b/>
                <w:color w:val="FFFFFF"/>
                <w:sz w:val="18"/>
                <w:szCs w:val="18"/>
              </w:rPr>
              <w:t>Sorsi tad-data</w:t>
            </w:r>
          </w:p>
        </w:tc>
      </w:tr>
      <w:tr w:rsidR="00A45935" w:rsidRPr="002B5B92" w:rsidTr="00E05D08">
        <w:tc>
          <w:tcPr>
            <w:tcW w:w="14256" w:type="dxa"/>
            <w:gridSpan w:val="4"/>
            <w:shd w:val="clear" w:color="auto" w:fill="8BAB80"/>
          </w:tcPr>
          <w:p w:rsidR="00A45935" w:rsidRPr="002B5B92" w:rsidRDefault="00A45935" w:rsidP="00E05D08">
            <w:pPr>
              <w:spacing w:after="120" w:line="280" w:lineRule="atLeast"/>
              <w:mirrorIndents/>
              <w:rPr>
                <w:rFonts w:cs="Arial"/>
                <w:b/>
                <w:color w:val="FFFFFF"/>
                <w:sz w:val="18"/>
                <w:szCs w:val="18"/>
              </w:rPr>
            </w:pPr>
            <w:r w:rsidRPr="002B5B92">
              <w:rPr>
                <w:b/>
                <w:color w:val="FFFFFF"/>
                <w:sz w:val="18"/>
                <w:szCs w:val="18"/>
              </w:rPr>
              <w:t>Elementi komuni tal-evalwazzjoni (CMES u elementi proposti fid-Dokument ta’ ħidma “</w:t>
            </w:r>
            <w:r w:rsidRPr="002B5B92">
              <w:rPr>
                <w:b/>
                <w:i/>
                <w:color w:val="FFFFFF"/>
                <w:sz w:val="18"/>
                <w:szCs w:val="18"/>
              </w:rPr>
              <w:t>Mistoqsijiet komuni tal-evalwazzjoni 2014-2020”</w:t>
            </w:r>
            <w:r w:rsidRPr="002B5B92">
              <w:rPr>
                <w:b/>
                <w:color w:val="FFFFFF"/>
                <w:sz w:val="18"/>
                <w:szCs w:val="18"/>
              </w:rPr>
              <w:t>)</w:t>
            </w:r>
          </w:p>
        </w:tc>
      </w:tr>
      <w:tr w:rsidR="00A45935" w:rsidRPr="002B5B92" w:rsidTr="00E05D08">
        <w:trPr>
          <w:trHeight w:val="1184"/>
        </w:trPr>
        <w:tc>
          <w:tcPr>
            <w:tcW w:w="2547"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Il-proġetti tal-PŻR kienu innovattivi u bbażati fuq l-għarfien żviluppat.</w:t>
            </w:r>
          </w:p>
        </w:tc>
        <w:tc>
          <w:tcPr>
            <w:tcW w:w="311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T1: % tan-nefqa skont l-Art. 14, 15 u 35 tar-Regolament (UE) 1305/2013 fir-rigward tan-nefqa totali tal-PŻR.</w:t>
            </w:r>
          </w:p>
          <w:p w:rsidR="00A45935" w:rsidRPr="002B5B92" w:rsidRDefault="00A45935" w:rsidP="007E63EF">
            <w:pPr>
              <w:spacing w:after="120" w:line="280" w:lineRule="atLeast"/>
              <w:jc w:val="left"/>
              <w:rPr>
                <w:rFonts w:eastAsia="Calibri" w:cs="Arial"/>
                <w:color w:val="57825E"/>
                <w:sz w:val="18"/>
                <w:szCs w:val="18"/>
                <w14:textFill>
                  <w14:solidFill>
                    <w14:srgbClr w14:val="57825E">
                      <w14:lumMod w14:val="75000"/>
                    </w14:srgbClr>
                  </w14:solidFill>
                </w14:textFill>
              </w:rPr>
            </w:pPr>
            <w:r w:rsidRPr="002B5B92">
              <w:rPr>
                <w:color w:val="57825E"/>
                <w:sz w:val="18"/>
                <w:szCs w:val="18"/>
                <w:u w:val="single"/>
                <w14:textFill>
                  <w14:solidFill>
                    <w14:srgbClr w14:val="57825E">
                      <w14:lumMod w14:val="75000"/>
                    </w14:srgbClr>
                  </w14:solidFill>
                </w14:textFill>
              </w:rPr>
              <w:t>Indikatur addizzjonali</w:t>
            </w:r>
            <w:r w:rsidRPr="002B5B92">
              <w:rPr>
                <w:color w:val="57825E"/>
                <w:sz w:val="18"/>
                <w:szCs w:val="18"/>
                <w14:textFill>
                  <w14:solidFill>
                    <w14:srgbClr w14:val="57825E">
                      <w14:lumMod w14:val="75000"/>
                    </w14:srgbClr>
                  </w14:solidFill>
                </w14:textFill>
              </w:rPr>
              <w:t xml:space="preserve">: % tal-proġetti innovattivi mill-proġetti kollha appoġġjati mill-PŻR. </w:t>
            </w:r>
          </w:p>
        </w:tc>
        <w:tc>
          <w:tcPr>
            <w:tcW w:w="2835"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Data dwar l-infiq realizzat għall-miżuri 1, 2 u 16.</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Fejn possibbli, għandha tinġabar ukoll data dwar l-infiq fuq is-submiżuri li ġew identifikati b’potenzjal li jappoġġaw l-innovazzjoni.</w:t>
            </w:r>
          </w:p>
        </w:tc>
        <w:tc>
          <w:tcPr>
            <w:tcW w:w="5756"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 xml:space="preserve">Sistema ta’ monitoraġġ tal-PŻR </w:t>
            </w:r>
          </w:p>
          <w:p w:rsidR="00A45935" w:rsidRPr="002B5B92" w:rsidRDefault="00A45935" w:rsidP="007E63EF">
            <w:pPr>
              <w:numPr>
                <w:ilvl w:val="0"/>
                <w:numId w:val="81"/>
              </w:numPr>
              <w:suppressAutoHyphens/>
              <w:spacing w:before="40" w:after="40"/>
              <w:jc w:val="left"/>
              <w:rPr>
                <w:rFonts w:cs="Arial"/>
                <w:sz w:val="18"/>
                <w:szCs w:val="18"/>
              </w:rPr>
            </w:pPr>
            <w:r w:rsidRPr="002B5B92">
              <w:rPr>
                <w:sz w:val="18"/>
                <w:szCs w:val="18"/>
              </w:rPr>
              <w:t>Formoli tal-applikazzjoni tal-benefiċjarji (bidu tal-proġett)</w:t>
            </w:r>
          </w:p>
          <w:p w:rsidR="00A45935" w:rsidRPr="002B5B92" w:rsidRDefault="00A45935" w:rsidP="007E63EF">
            <w:pPr>
              <w:numPr>
                <w:ilvl w:val="0"/>
                <w:numId w:val="81"/>
              </w:numPr>
              <w:suppressAutoHyphens/>
              <w:spacing w:before="40" w:after="40"/>
              <w:jc w:val="left"/>
              <w:rPr>
                <w:rFonts w:cs="Arial"/>
                <w:sz w:val="18"/>
                <w:szCs w:val="18"/>
              </w:rPr>
            </w:pPr>
            <w:r w:rsidRPr="002B5B92">
              <w:rPr>
                <w:sz w:val="18"/>
                <w:szCs w:val="18"/>
              </w:rPr>
              <w:t>Talbiet għall-ħlas tal-benefiċjarji (tmiem tal-proġett)</w:t>
            </w:r>
          </w:p>
        </w:tc>
      </w:tr>
      <w:tr w:rsidR="00A45935" w:rsidRPr="002B5B92" w:rsidTr="00E05D08">
        <w:tc>
          <w:tcPr>
            <w:tcW w:w="2547"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Inħolqu gruppi operazzjonali.</w:t>
            </w:r>
          </w:p>
        </w:tc>
        <w:tc>
          <w:tcPr>
            <w:tcW w:w="3118" w:type="dxa"/>
          </w:tcPr>
          <w:p w:rsidR="00A45935" w:rsidRPr="002B5B92" w:rsidRDefault="00A45935" w:rsidP="00F200A2">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O.16 In-numru ta’ operazzjonijiet tal-EIP.</w:t>
            </w:r>
          </w:p>
        </w:tc>
        <w:tc>
          <w:tcPr>
            <w:tcW w:w="2835"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In-numru ta’ operazzjonijiet tal-EIP (oġġett O.16).</w:t>
            </w:r>
          </w:p>
        </w:tc>
        <w:tc>
          <w:tcPr>
            <w:tcW w:w="5756"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 xml:space="preserve">Sistema ta’ monitoraġġ tal-PŻR </w:t>
            </w:r>
          </w:p>
          <w:p w:rsidR="00A45935" w:rsidRPr="002B5B92" w:rsidRDefault="00A45935" w:rsidP="007E63EF">
            <w:pPr>
              <w:numPr>
                <w:ilvl w:val="0"/>
                <w:numId w:val="82"/>
              </w:numPr>
              <w:suppressAutoHyphens/>
              <w:spacing w:before="40" w:after="40"/>
              <w:jc w:val="left"/>
              <w:rPr>
                <w:rFonts w:cs="Arial"/>
                <w:sz w:val="18"/>
                <w:szCs w:val="18"/>
              </w:rPr>
            </w:pPr>
            <w:r w:rsidRPr="002B5B92">
              <w:rPr>
                <w:sz w:val="18"/>
                <w:szCs w:val="18"/>
              </w:rPr>
              <w:t>Formoli tal-applikazzjoni tal-benefiċjarji (bidu tal-proġett)</w:t>
            </w:r>
          </w:p>
          <w:p w:rsidR="00A45935" w:rsidRPr="002B5B92" w:rsidRDefault="00A45935" w:rsidP="007E63EF">
            <w:pPr>
              <w:numPr>
                <w:ilvl w:val="0"/>
                <w:numId w:val="82"/>
              </w:numPr>
              <w:suppressAutoHyphens/>
              <w:spacing w:before="40" w:after="40"/>
              <w:jc w:val="left"/>
              <w:rPr>
                <w:rFonts w:cs="Arial"/>
                <w:sz w:val="18"/>
                <w:szCs w:val="18"/>
              </w:rPr>
            </w:pPr>
            <w:r w:rsidRPr="002B5B92">
              <w:rPr>
                <w:sz w:val="18"/>
                <w:szCs w:val="18"/>
              </w:rPr>
              <w:t>Talbiet għall-ħlas tal-benefiċjarji (tmiem tal-proġett)</w:t>
            </w:r>
          </w:p>
        </w:tc>
      </w:tr>
      <w:tr w:rsidR="00A45935" w:rsidRPr="002B5B92" w:rsidTr="00E05D08">
        <w:tc>
          <w:tcPr>
            <w:tcW w:w="2547"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Il-varjetà tal-imsieħba involuti fil-GO tal-EIP.</w:t>
            </w:r>
          </w:p>
        </w:tc>
        <w:tc>
          <w:tcPr>
            <w:tcW w:w="311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O.16 In-numru u t-tip ta’ msieħba fl-operazzjonijiet tal-EIP.</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color w:val="57825E"/>
                <w:sz w:val="18"/>
                <w:szCs w:val="18"/>
                <w:u w:val="single"/>
                <w14:textFill>
                  <w14:solidFill>
                    <w14:srgbClr w14:val="57825E">
                      <w14:lumMod w14:val="75000"/>
                    </w14:srgbClr>
                  </w14:solidFill>
                </w14:textFill>
              </w:rPr>
              <w:t>Indikatur addizzjonali</w:t>
            </w:r>
            <w:r w:rsidRPr="002B5B92">
              <w:rPr>
                <w:color w:val="57825E"/>
                <w:sz w:val="18"/>
                <w:szCs w:val="18"/>
                <w14:textFill>
                  <w14:solidFill>
                    <w14:srgbClr w14:val="57825E">
                      <w14:lumMod w14:val="75000"/>
                    </w14:srgbClr>
                  </w14:solidFill>
                </w14:textFill>
              </w:rPr>
              <w:t>: in-numru u t-tip ta’ msieħba involuti fil-proġetti ta’ kooperazzjoni.</w:t>
            </w:r>
          </w:p>
        </w:tc>
        <w:tc>
          <w:tcPr>
            <w:tcW w:w="2835"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In-numru u t-tip ta’ msieħba.</w:t>
            </w:r>
          </w:p>
        </w:tc>
        <w:tc>
          <w:tcPr>
            <w:tcW w:w="5756"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 xml:space="preserve">Sistema ta’ monitoraġġ tal-PŻR </w:t>
            </w:r>
          </w:p>
          <w:p w:rsidR="00A45935" w:rsidRPr="002B5B92" w:rsidRDefault="00A45935" w:rsidP="007E63EF">
            <w:pPr>
              <w:numPr>
                <w:ilvl w:val="0"/>
                <w:numId w:val="83"/>
              </w:numPr>
              <w:suppressAutoHyphens/>
              <w:spacing w:before="40" w:after="40"/>
              <w:jc w:val="left"/>
              <w:rPr>
                <w:rFonts w:cs="Arial"/>
                <w:sz w:val="18"/>
                <w:szCs w:val="18"/>
              </w:rPr>
            </w:pPr>
            <w:r w:rsidRPr="002B5B92">
              <w:rPr>
                <w:sz w:val="18"/>
                <w:szCs w:val="18"/>
              </w:rPr>
              <w:t>Formoli tal-applikazzjoni tal-benefiċjarji (bidu tal-proġett)</w:t>
            </w:r>
          </w:p>
          <w:p w:rsidR="00A45935" w:rsidRPr="002B5B92" w:rsidRDefault="00A45935" w:rsidP="007E63EF">
            <w:pPr>
              <w:numPr>
                <w:ilvl w:val="0"/>
                <w:numId w:val="83"/>
              </w:numPr>
              <w:suppressAutoHyphens/>
              <w:spacing w:before="40" w:after="40"/>
              <w:jc w:val="left"/>
              <w:rPr>
                <w:rFonts w:cs="Arial"/>
                <w:sz w:val="18"/>
                <w:szCs w:val="18"/>
              </w:rPr>
            </w:pPr>
            <w:r w:rsidRPr="002B5B92">
              <w:rPr>
                <w:sz w:val="18"/>
                <w:szCs w:val="18"/>
              </w:rPr>
              <w:t>Talbiet għall-ħlas tal-benefiċjarji (tmiem tal-proġett)</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Sommarji tal-prattika tal-GO.</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p>
        </w:tc>
      </w:tr>
      <w:tr w:rsidR="00A45935" w:rsidRPr="002B5B92" w:rsidTr="00E05D08">
        <w:tc>
          <w:tcPr>
            <w:tcW w:w="2547"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Ġew implimentati u mxerrda azzjonijiet innovattivi mill-GO tal-EIP.</w:t>
            </w:r>
          </w:p>
        </w:tc>
        <w:tc>
          <w:tcPr>
            <w:tcW w:w="311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O.16 In-numru ta’ operazzjonijiet tal-EIP.</w:t>
            </w:r>
          </w:p>
          <w:p w:rsidR="00A45935" w:rsidRPr="002B5B92" w:rsidRDefault="00A45935" w:rsidP="007E63EF">
            <w:pPr>
              <w:spacing w:after="120" w:line="280" w:lineRule="atLeast"/>
              <w:jc w:val="left"/>
              <w:rPr>
                <w:rFonts w:eastAsia="Calibri" w:cs="Arial"/>
                <w:color w:val="57825E"/>
                <w:sz w:val="18"/>
                <w:szCs w:val="18"/>
              </w:rPr>
            </w:pPr>
            <w:r w:rsidRPr="002B5B92">
              <w:rPr>
                <w:color w:val="57825E"/>
                <w:sz w:val="18"/>
                <w:szCs w:val="18"/>
                <w:u w:val="single"/>
              </w:rPr>
              <w:t>Indikatur addizzjonali</w:t>
            </w:r>
            <w:r w:rsidRPr="002B5B92">
              <w:rPr>
                <w:color w:val="57825E"/>
                <w:sz w:val="18"/>
                <w:szCs w:val="18"/>
              </w:rPr>
              <w:t>: in-numru ta’ azzjonijiet innovattivi appoġġjati implimentati u mxerrda mill-GO tal-EIP, maqsuma skont it-tip, is-settur, eċċ.</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p>
        </w:tc>
        <w:tc>
          <w:tcPr>
            <w:tcW w:w="2835"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In-numru ta’ operazzjonijiet tal-EIP (oġġett O.16).</w:t>
            </w:r>
          </w:p>
        </w:tc>
        <w:tc>
          <w:tcPr>
            <w:tcW w:w="5756"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 xml:space="preserve">Sistema ta’ monitoraġġ tal-PŻR </w:t>
            </w:r>
          </w:p>
          <w:p w:rsidR="00A45935" w:rsidRPr="002B5B92" w:rsidRDefault="00A45935" w:rsidP="007E63EF">
            <w:pPr>
              <w:numPr>
                <w:ilvl w:val="0"/>
                <w:numId w:val="84"/>
              </w:numPr>
              <w:suppressAutoHyphens/>
              <w:spacing w:before="40" w:after="40"/>
              <w:jc w:val="left"/>
              <w:rPr>
                <w:rFonts w:cs="Arial"/>
                <w:sz w:val="18"/>
                <w:szCs w:val="18"/>
              </w:rPr>
            </w:pPr>
            <w:r w:rsidRPr="002B5B92">
              <w:rPr>
                <w:sz w:val="18"/>
                <w:szCs w:val="18"/>
              </w:rPr>
              <w:t>Formoli tal-applikazzjoni tal-benefiċjarji (bidu tal-proġett)</w:t>
            </w:r>
          </w:p>
          <w:p w:rsidR="00A45935" w:rsidRPr="002B5B92" w:rsidRDefault="00A45935" w:rsidP="007E63EF">
            <w:pPr>
              <w:numPr>
                <w:ilvl w:val="0"/>
                <w:numId w:val="84"/>
              </w:numPr>
              <w:suppressAutoHyphens/>
              <w:spacing w:before="40" w:after="40"/>
              <w:jc w:val="left"/>
              <w:rPr>
                <w:rFonts w:cs="Arial"/>
                <w:sz w:val="18"/>
                <w:szCs w:val="18"/>
              </w:rPr>
            </w:pPr>
            <w:r w:rsidRPr="002B5B92">
              <w:rPr>
                <w:sz w:val="18"/>
                <w:szCs w:val="18"/>
              </w:rPr>
              <w:t>Talbiet għall-ħlas tal-benefiċjarji (tmiem tal-proġett)</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Sommarji tal-prattika tal-GO.</w:t>
            </w:r>
          </w:p>
        </w:tc>
      </w:tr>
      <w:tr w:rsidR="00A45935" w:rsidRPr="002B5B92" w:rsidTr="00E05D08">
        <w:tc>
          <w:tcPr>
            <w:tcW w:w="14256" w:type="dxa"/>
            <w:gridSpan w:val="4"/>
            <w:shd w:val="clear" w:color="auto" w:fill="8BAB80"/>
          </w:tcPr>
          <w:p w:rsidR="00A45935" w:rsidRPr="002B5B92" w:rsidRDefault="00A45935" w:rsidP="00E05D08">
            <w:pPr>
              <w:spacing w:after="120" w:line="280" w:lineRule="atLeast"/>
              <w:rPr>
                <w:rFonts w:eastAsia="Calibri" w:cs="Arial"/>
                <w:b/>
                <w:color w:val="FFFFFF"/>
                <w:sz w:val="18"/>
                <w:szCs w:val="18"/>
                <w14:textFill>
                  <w14:solidFill>
                    <w14:srgbClr w14:val="FFFFFF">
                      <w14:lumMod w14:val="75000"/>
                      <w14:lumMod w14:val="75000"/>
                    </w14:srgbClr>
                  </w14:solidFill>
                </w14:textFill>
              </w:rPr>
            </w:pPr>
            <w:r w:rsidRPr="002B5B92">
              <w:rPr>
                <w:b/>
                <w:color w:val="FFFFFF" w:themeColor="background1"/>
                <w:sz w:val="18"/>
                <w:szCs w:val="18"/>
              </w:rPr>
              <w:lastRenderedPageBreak/>
              <w:t>Elementi addizzjonali tal-evalwazzjoni (mhux obbligatorji)</w:t>
            </w:r>
          </w:p>
        </w:tc>
      </w:tr>
      <w:tr w:rsidR="00A45935" w:rsidRPr="002B5B92" w:rsidTr="00E05D08">
        <w:tc>
          <w:tcPr>
            <w:tcW w:w="2547"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Il-kompożizzjoni tal-gruppi operazzjonali tal-EIP tinkludi l-partijiet ikkonċernati tal-innovazzjoni.</w:t>
            </w:r>
          </w:p>
        </w:tc>
        <w:tc>
          <w:tcPr>
            <w:tcW w:w="311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Il-kompożizzjoni tal-gruppi operazzjonali tal-EIP (in-numru u t-tip ta’ msieħba), li fosthom hemm partijiet ikkonċernati tal-innovazzjoni.</w:t>
            </w:r>
          </w:p>
        </w:tc>
        <w:tc>
          <w:tcPr>
            <w:tcW w:w="2835" w:type="dxa"/>
          </w:tcPr>
          <w:p w:rsidR="00A45935" w:rsidRPr="002B5B92" w:rsidRDefault="00A45935" w:rsidP="007E63EF">
            <w:pPr>
              <w:suppressAutoHyphens/>
              <w:spacing w:before="40" w:after="40"/>
              <w:jc w:val="left"/>
              <w:rPr>
                <w:rFonts w:cs="Arial"/>
                <w:sz w:val="18"/>
                <w:szCs w:val="18"/>
              </w:rPr>
            </w:pPr>
            <w:r w:rsidRPr="002B5B92">
              <w:rPr>
                <w:sz w:val="18"/>
                <w:szCs w:val="18"/>
              </w:rPr>
              <w:t>In-numru ta’ msieħba tal-GO.</w:t>
            </w:r>
          </w:p>
          <w:p w:rsidR="00A45935" w:rsidRPr="002B5B92" w:rsidRDefault="00A45935" w:rsidP="007E63EF">
            <w:pPr>
              <w:suppressAutoHyphens/>
              <w:spacing w:before="40" w:after="40"/>
              <w:jc w:val="left"/>
              <w:rPr>
                <w:rFonts w:cs="Arial"/>
                <w:sz w:val="18"/>
                <w:szCs w:val="18"/>
              </w:rPr>
            </w:pPr>
            <w:r w:rsidRPr="002B5B92">
              <w:rPr>
                <w:sz w:val="18"/>
                <w:szCs w:val="18"/>
              </w:rPr>
              <w:t>It-tip ta’ msieħba tal-GO.</w:t>
            </w:r>
          </w:p>
        </w:tc>
        <w:tc>
          <w:tcPr>
            <w:tcW w:w="5756" w:type="dxa"/>
          </w:tcPr>
          <w:p w:rsidR="00A45935" w:rsidRPr="002B5B92" w:rsidRDefault="00A45935" w:rsidP="007E63EF">
            <w:pPr>
              <w:suppressAutoHyphens/>
              <w:spacing w:before="40" w:after="40"/>
              <w:jc w:val="left"/>
              <w:rPr>
                <w:rFonts w:cs="Arial"/>
                <w:sz w:val="18"/>
                <w:szCs w:val="18"/>
              </w:rPr>
            </w:pPr>
            <w:r w:rsidRPr="002B5B92">
              <w:rPr>
                <w:sz w:val="18"/>
                <w:szCs w:val="18"/>
              </w:rPr>
              <w:t xml:space="preserve">Sistema ta’ monitoraġġ tal-PŻR </w:t>
            </w:r>
          </w:p>
          <w:p w:rsidR="00A45935" w:rsidRPr="002B5B92" w:rsidRDefault="00A45935" w:rsidP="007E63EF">
            <w:pPr>
              <w:numPr>
                <w:ilvl w:val="0"/>
                <w:numId w:val="85"/>
              </w:numPr>
              <w:suppressAutoHyphens/>
              <w:spacing w:before="40" w:after="40"/>
              <w:jc w:val="left"/>
              <w:rPr>
                <w:rFonts w:cs="Arial"/>
                <w:sz w:val="18"/>
                <w:szCs w:val="18"/>
              </w:rPr>
            </w:pPr>
            <w:r w:rsidRPr="002B5B92">
              <w:rPr>
                <w:sz w:val="18"/>
                <w:szCs w:val="18"/>
              </w:rPr>
              <w:t>Formoli tal-applikazzjoni tal-benefiċjarji (bidu tal-proġett)</w:t>
            </w:r>
          </w:p>
          <w:p w:rsidR="00A45935" w:rsidRPr="002B5B92" w:rsidRDefault="00A45935" w:rsidP="007E63EF">
            <w:pPr>
              <w:numPr>
                <w:ilvl w:val="0"/>
                <w:numId w:val="85"/>
              </w:numPr>
              <w:suppressAutoHyphens/>
              <w:spacing w:before="40" w:after="40"/>
              <w:jc w:val="left"/>
              <w:rPr>
                <w:rFonts w:cs="Arial"/>
                <w:sz w:val="18"/>
                <w:szCs w:val="18"/>
              </w:rPr>
            </w:pPr>
            <w:r w:rsidRPr="002B5B92">
              <w:rPr>
                <w:sz w:val="18"/>
                <w:szCs w:val="18"/>
              </w:rPr>
              <w:t>Talbiet għall-ħlas tal-benefiċjarji (tmiem tal-proġett)</w:t>
            </w:r>
          </w:p>
          <w:p w:rsidR="00A45935" w:rsidRPr="002B5B92" w:rsidRDefault="00A45935" w:rsidP="007E63EF">
            <w:pPr>
              <w:suppressAutoHyphens/>
              <w:spacing w:before="40" w:after="40"/>
              <w:jc w:val="left"/>
              <w:rPr>
                <w:rFonts w:cs="Arial"/>
                <w:sz w:val="18"/>
                <w:szCs w:val="18"/>
              </w:rPr>
            </w:pPr>
            <w:r w:rsidRPr="002B5B92">
              <w:rPr>
                <w:sz w:val="18"/>
                <w:szCs w:val="18"/>
              </w:rPr>
              <w:t>Stħarriġ mal-gruppi operazzjonali tal-EIP u mal-GAL.</w:t>
            </w:r>
          </w:p>
          <w:p w:rsidR="00A45935" w:rsidRPr="002B5B92" w:rsidRDefault="00A45935" w:rsidP="007E63EF">
            <w:pPr>
              <w:suppressAutoHyphens/>
              <w:spacing w:before="40" w:after="40"/>
              <w:jc w:val="left"/>
              <w:rPr>
                <w:rFonts w:cs="Arial"/>
                <w:sz w:val="18"/>
                <w:szCs w:val="18"/>
              </w:rPr>
            </w:pPr>
            <w:r w:rsidRPr="002B5B92">
              <w:rPr>
                <w:sz w:val="18"/>
                <w:szCs w:val="18"/>
              </w:rPr>
              <w:t>Pjattaformi ta’ GO bbażati fuq il-web.</w:t>
            </w:r>
          </w:p>
          <w:p w:rsidR="00A45935" w:rsidRPr="002B5B92" w:rsidRDefault="00A45935" w:rsidP="007E63EF">
            <w:pPr>
              <w:suppressAutoHyphens/>
              <w:spacing w:before="40" w:after="40"/>
              <w:jc w:val="left"/>
              <w:rPr>
                <w:rFonts w:cs="Arial"/>
                <w:sz w:val="18"/>
                <w:szCs w:val="18"/>
              </w:rPr>
            </w:pPr>
            <w:r w:rsidRPr="002B5B92">
              <w:rPr>
                <w:sz w:val="18"/>
                <w:szCs w:val="18"/>
              </w:rPr>
              <w:t>Sommarji tal-prattika tal-GO.</w:t>
            </w:r>
          </w:p>
        </w:tc>
      </w:tr>
      <w:tr w:rsidR="00A45935" w:rsidRPr="002B5B92" w:rsidTr="00E05D08">
        <w:tc>
          <w:tcPr>
            <w:tcW w:w="2547"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Il-GAL appoġġaw proġetti innovattivi.</w:t>
            </w:r>
          </w:p>
        </w:tc>
        <w:tc>
          <w:tcPr>
            <w:tcW w:w="311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In-numru ta’ proġetti implimentati mill-GAL u mill-benefiċjarji tagħhom immarkati bħala innovattivi (li jirrispettaw il-kriterji tal-għażla u tal-eliġibbiltà).</w:t>
            </w:r>
          </w:p>
        </w:tc>
        <w:tc>
          <w:tcPr>
            <w:tcW w:w="2835"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 xml:space="preserve">Il-monitoraġġ tad-data dwar il-proġetti tal-GAL. </w:t>
            </w:r>
          </w:p>
        </w:tc>
        <w:tc>
          <w:tcPr>
            <w:tcW w:w="5756"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Bażi ta’ data ta’ operazzjonijiet tal-GAL.</w:t>
            </w:r>
          </w:p>
        </w:tc>
      </w:tr>
      <w:tr w:rsidR="00A45935" w:rsidRPr="002B5B92" w:rsidTr="00E05D08">
        <w:tc>
          <w:tcPr>
            <w:tcW w:w="2547"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Il-partijiet ikkonċernati tal-innovazzjoni ġew imħarrġin.</w:t>
            </w:r>
          </w:p>
        </w:tc>
        <w:tc>
          <w:tcPr>
            <w:tcW w:w="311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In-numru u t-tip ta’ partijiet ikkonċernati tal-innovazzjoni mħarrġin.</w:t>
            </w:r>
          </w:p>
        </w:tc>
        <w:tc>
          <w:tcPr>
            <w:tcW w:w="2835"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In-numru u t-tip ta’ partijiet ikkonċernati mħarrġin.</w:t>
            </w:r>
          </w:p>
        </w:tc>
        <w:tc>
          <w:tcPr>
            <w:tcW w:w="5756"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 xml:space="preserve">Sistema ta’ monitoraġġ tal-PŻR </w:t>
            </w:r>
          </w:p>
          <w:p w:rsidR="00A45935" w:rsidRPr="002B5B92" w:rsidRDefault="00A45935" w:rsidP="007E63EF">
            <w:pPr>
              <w:numPr>
                <w:ilvl w:val="0"/>
                <w:numId w:val="86"/>
              </w:numPr>
              <w:suppressAutoHyphens/>
              <w:spacing w:before="40" w:after="40"/>
              <w:jc w:val="left"/>
              <w:rPr>
                <w:rFonts w:cs="Arial"/>
                <w:sz w:val="18"/>
                <w:szCs w:val="18"/>
              </w:rPr>
            </w:pPr>
            <w:r w:rsidRPr="002B5B92">
              <w:rPr>
                <w:sz w:val="18"/>
                <w:szCs w:val="18"/>
              </w:rPr>
              <w:t>Formoli tal-applikazzjoni tal-benefiċjarji (bidu tal-proġett)</w:t>
            </w:r>
          </w:p>
          <w:p w:rsidR="00A45935" w:rsidRPr="002B5B92" w:rsidRDefault="00A45935" w:rsidP="007E63EF">
            <w:pPr>
              <w:numPr>
                <w:ilvl w:val="0"/>
                <w:numId w:val="86"/>
              </w:numPr>
              <w:suppressAutoHyphens/>
              <w:spacing w:before="40" w:after="40"/>
              <w:jc w:val="left"/>
              <w:rPr>
                <w:rFonts w:cs="Arial"/>
                <w:sz w:val="18"/>
                <w:szCs w:val="18"/>
              </w:rPr>
            </w:pPr>
            <w:r w:rsidRPr="002B5B92">
              <w:rPr>
                <w:sz w:val="18"/>
                <w:szCs w:val="18"/>
              </w:rPr>
              <w:t>Talbiet għall-ħlas tal-benefiċjarji (tmiem tal-proġett)</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Intervisti, stħarriġ mal-MA u mal-fornituri tat-taħriġ.</w:t>
            </w:r>
          </w:p>
        </w:tc>
      </w:tr>
      <w:tr w:rsidR="00A45935" w:rsidRPr="002B5B92" w:rsidTr="00E05D08">
        <w:tc>
          <w:tcPr>
            <w:tcW w:w="2547"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Fatturi ta’ suċċess ewlenin għall-appoġġ għall-innovazzjoni permezz ta’ M1, M2, M16 u M19.</w:t>
            </w:r>
          </w:p>
        </w:tc>
        <w:tc>
          <w:tcPr>
            <w:tcW w:w="311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Deskrizzjoni tal-fatturi ewlenin li kkontribwixxew għall-appoġġ għall-innovazzjoni f’żoni rurali.</w:t>
            </w:r>
          </w:p>
        </w:tc>
        <w:tc>
          <w:tcPr>
            <w:tcW w:w="2835"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Informazzjoni kwalitattiva.</w:t>
            </w:r>
          </w:p>
        </w:tc>
        <w:tc>
          <w:tcPr>
            <w:tcW w:w="5756"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 xml:space="preserve">Intervisti, stħarriġ u gruppi fokus mal-benefiċjarji ta’ submiżuri relatati mal-innovazzjoni ta’ M1 u M2 u mal-GO. </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EIP-AGRI u GAL.</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 xml:space="preserve">Sommarji tal-prattika tal-GO. </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Bażi ta’ data ta’ operazzjonijiet tal-GAL.</w:t>
            </w:r>
          </w:p>
        </w:tc>
      </w:tr>
    </w:tbl>
    <w:p w:rsidR="00A45935" w:rsidRPr="002B5B92" w:rsidRDefault="00A45935" w:rsidP="00E05D08">
      <w:pPr>
        <w:spacing w:after="120" w:line="280" w:lineRule="atLeast"/>
        <w:mirrorIndents/>
        <w:rPr>
          <w:rFonts w:eastAsia="Times New Roman" w:cs="Times New Roman"/>
          <w:color w:val="FF0000"/>
          <w:szCs w:val="20"/>
          <w:lang w:eastAsia="de-DE"/>
        </w:rPr>
      </w:pPr>
    </w:p>
    <w:p w:rsidR="00A45935" w:rsidRPr="002B5B92" w:rsidRDefault="00A45935" w:rsidP="00541A7D">
      <w:pPr>
        <w:spacing w:before="60" w:after="0" w:line="280" w:lineRule="atLeast"/>
        <w:rPr>
          <w:rFonts w:eastAsia="Times New Roman" w:cs="Arial"/>
          <w:szCs w:val="18"/>
          <w:lang w:eastAsia="de-DE"/>
          <w14:textFill>
            <w14:solidFill>
              <w14:srgbClr w14:val="373737">
                <w14:lumMod w14:val="75000"/>
              </w14:srgbClr>
            </w14:solidFill>
          </w14:textFill>
        </w:rPr>
      </w:pPr>
    </w:p>
    <w:p w:rsidR="00A45935" w:rsidRPr="002B5B92" w:rsidRDefault="00A45935" w:rsidP="00E05D08">
      <w:pPr>
        <w:spacing w:after="120" w:line="280" w:lineRule="atLeast"/>
        <w:mirrorIndents/>
        <w:rPr>
          <w:rFonts w:eastAsia="Times New Roman" w:cs="Times New Roman"/>
          <w:szCs w:val="20"/>
          <w:lang w:eastAsia="de-DE"/>
        </w:rPr>
        <w:sectPr w:rsidR="00A45935" w:rsidRPr="002B5B92"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2B5B92" w:rsidRDefault="00A45935" w:rsidP="008C0B17">
      <w:pPr>
        <w:numPr>
          <w:ilvl w:val="0"/>
          <w:numId w:val="55"/>
        </w:numPr>
        <w:spacing w:before="120" w:after="120" w:line="280" w:lineRule="atLeast"/>
        <w:ind w:left="567" w:hanging="567"/>
        <w:mirrorIndents/>
        <w:rPr>
          <w:rFonts w:eastAsia="Times New Roman" w:cs="Times New Roman"/>
          <w:b/>
          <w:szCs w:val="20"/>
        </w:rPr>
      </w:pPr>
      <w:r w:rsidRPr="002B5B92">
        <w:rPr>
          <w:b/>
          <w:szCs w:val="20"/>
        </w:rPr>
        <w:lastRenderedPageBreak/>
        <w:t xml:space="preserve">Metodoloġija tal-evalwazzjoni proposta sabiex tiġi mwieġba s-CEQ 1 </w:t>
      </w:r>
    </w:p>
    <w:p w:rsidR="00A45935" w:rsidRPr="002B5B92" w:rsidRDefault="00A45935" w:rsidP="00E05D08">
      <w:pPr>
        <w:spacing w:after="120" w:line="280" w:lineRule="atLeast"/>
        <w:mirrorIndents/>
        <w:rPr>
          <w:rFonts w:eastAsia="Times New Roman" w:cs="Times New Roman"/>
          <w:szCs w:val="20"/>
        </w:rPr>
      </w:pPr>
      <w:r w:rsidRPr="002B5B92">
        <w:t>Il-kalkolu tal-indikaturi komuni marbuta mas-CEQ 1 huwa deskritt fl-Anness 11 tal-linji gwida “</w:t>
      </w:r>
      <w:hyperlink r:id="rId39" w:history="1">
        <w:r w:rsidRPr="002B5B92">
          <w:rPr>
            <w:color w:val="F07E31"/>
            <w:szCs w:val="20"/>
            <w:u w:val="single"/>
          </w:rPr>
          <w:t>Assessment of RDP results:</w:t>
        </w:r>
      </w:hyperlink>
      <w:hyperlink r:id="rId40" w:history="1">
        <w:r w:rsidRPr="002B5B92">
          <w:rPr>
            <w:color w:val="F07E31"/>
            <w:szCs w:val="20"/>
            <w:u w:val="single"/>
          </w:rPr>
          <w:t>how to prepare for reporting on evaluation in 2017</w:t>
        </w:r>
      </w:hyperlink>
      <w:r w:rsidRPr="002B5B92">
        <w:t xml:space="preserve">” </w:t>
      </w:r>
    </w:p>
    <w:p w:rsidR="00A45935" w:rsidRPr="002B5B92" w:rsidRDefault="00A45935" w:rsidP="00E05D08">
      <w:pPr>
        <w:spacing w:after="120" w:line="280" w:lineRule="atLeast"/>
        <w:mirrorIndents/>
        <w:rPr>
          <w:rFonts w:eastAsia="Times New Roman" w:cs="Times New Roman"/>
          <w:szCs w:val="20"/>
        </w:rPr>
      </w:pPr>
      <w:r w:rsidRPr="002B5B92">
        <w:t>Għall-valutazzjoni tal-parti relatata mal-innovazzjoni tas-CEQ nru. 1, huwa propost li:</w:t>
      </w:r>
    </w:p>
    <w:p w:rsidR="00A45935" w:rsidRPr="002B5B92" w:rsidRDefault="00A45935" w:rsidP="00C202EC">
      <w:pPr>
        <w:pStyle w:val="Hlistbullet"/>
      </w:pPr>
      <w:r w:rsidRPr="002B5B92">
        <w:rPr>
          <w:b/>
        </w:rPr>
        <w:t xml:space="preserve">PASS 1: Identifika l-potenzjal tal-innovazzjoni tal-benefiċjarji </w:t>
      </w:r>
      <w:r w:rsidRPr="002B5B92">
        <w:t xml:space="preserve">tal-miżuri/submiżuri M1, M2, M16 u M19 (il-benefiċjarji li implimentaw operazzjonijiet ikklassifikati bħala innovattivi). </w:t>
      </w:r>
    </w:p>
    <w:p w:rsidR="00A45935" w:rsidRPr="002B5B92" w:rsidRDefault="00A45935" w:rsidP="00C202EC">
      <w:pPr>
        <w:pStyle w:val="Hlistbullet"/>
      </w:pPr>
      <w:r w:rsidRPr="002B5B92">
        <w:rPr>
          <w:b/>
        </w:rPr>
        <w:t>PASS 2: Ikkwantifika l-indikaturi tal-output u l-indikaturi fil-mira</w:t>
      </w:r>
      <w:r w:rsidRPr="002B5B92">
        <w:t xml:space="preserve"> billi tuża d-data ta’ monitoraġġ mill-bażi ta’ data tal-operazzjonijiet tal-PŻR/GAL dwar il-benefiċjarji (li implimentaw operazzjonijiet ikklassifikati bħala innovattivi). Sabiex jużaw il-bażi ta’ data tal-operazzjonijiet għall-evalwazzjoni tal-innovazzjoni, l-Awtoritajiet Maniġerjali jistgħu jagħżlu li jżidu u jiġbru oġġetti marbuta mal-innovazzjoni. </w:t>
      </w:r>
    </w:p>
    <w:p w:rsidR="00A45935" w:rsidRPr="002B5B92" w:rsidRDefault="00A45935" w:rsidP="00C202EC">
      <w:pPr>
        <w:pStyle w:val="Hlistbullet"/>
      </w:pPr>
      <w:r w:rsidRPr="002B5B92">
        <w:rPr>
          <w:b/>
        </w:rPr>
        <w:t>PASS 3: Iġbor l-evidenza sabiex tkun tista’ twieġeb is-CEQ bl-għajnuna ta’ metodi speċifikati.</w:t>
      </w:r>
      <w:r w:rsidRPr="002B5B92">
        <w:t xml:space="preserve"> L-istħarriġ, il-gruppi fokus u l-metodu Delphi, pereżempju, jistgħu jgħinu fil-ġbir ta’ data għall-kriterji tal-ġudizzju proposti u għall-indikaturi addizzjonali tar-riżultati. Il-kwistjoni tal-kwalità u l-validità tad-data, meta tiġi rrapportata mill-benefiċjarji, għandha titqies meta jiġu applikati dawn il-metodi (ara </w:t>
      </w:r>
      <w:hyperlink w:anchor="Recommended_Methods" w:history="1">
        <w:r w:rsidRPr="002B5B92">
          <w:rPr>
            <w:rStyle w:val="Hyperlink"/>
            <w:sz w:val="20"/>
          </w:rPr>
          <w:t>t-Tabella 2</w:t>
        </w:r>
      </w:hyperlink>
      <w:r w:rsidRPr="002B5B92">
        <w:t xml:space="preserve">). </w:t>
      </w:r>
    </w:p>
    <w:p w:rsidR="00A45935" w:rsidRPr="002B5B92" w:rsidRDefault="00A45935" w:rsidP="00C202EC">
      <w:pPr>
        <w:pStyle w:val="Hlistbullet"/>
        <w:rPr>
          <w:b/>
          <w:sz w:val="16"/>
        </w:rPr>
      </w:pPr>
      <w:r w:rsidRPr="002B5B92">
        <w:rPr>
          <w:b/>
        </w:rPr>
        <w:t>PASS 4: Analizza u interpreta l-evidenza miġbura</w:t>
      </w:r>
      <w:r w:rsidRPr="002B5B92">
        <w:t xml:space="preserve"> u użaha sabiex twieġeb is-CEQ nru. 1 f’termini tal-appoġġ għall-innovazzjoni. </w:t>
      </w:r>
    </w:p>
    <w:p w:rsidR="00A45935" w:rsidRPr="002B5B92" w:rsidRDefault="00A45935" w:rsidP="00FA6691">
      <w:pPr>
        <w:pStyle w:val="HHeadingtables"/>
        <w:rPr>
          <w:color w:val="6F6F6F"/>
          <w:sz w:val="18"/>
          <w:szCs w:val="18"/>
        </w:rPr>
      </w:pPr>
      <w:bookmarkStart w:id="109" w:name="Recommended_Methods"/>
      <w:bookmarkStart w:id="110" w:name="_Toc508964833"/>
      <w:bookmarkEnd w:id="109"/>
      <w:r w:rsidRPr="002B5B92">
        <w:rPr>
          <w:color w:val="6F6F6F"/>
          <w:sz w:val="18"/>
          <w:szCs w:val="18"/>
        </w:rPr>
        <w:t>Metodi rrakkomandati għas-CEQ nru. 1</w:t>
      </w:r>
      <w:bookmarkEnd w:id="110"/>
      <w:r w:rsidRPr="002B5B92">
        <w:rPr>
          <w:color w:val="6F6F6F"/>
          <w:sz w:val="18"/>
          <w:szCs w:val="18"/>
        </w:rPr>
        <w:t xml:space="preserve"> </w:t>
      </w:r>
    </w:p>
    <w:tbl>
      <w:tblPr>
        <w:tblStyle w:val="TableGrid"/>
        <w:tblW w:w="8613" w:type="dxa"/>
        <w:tblInd w:w="4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43"/>
        <w:gridCol w:w="6770"/>
      </w:tblGrid>
      <w:tr w:rsidR="00A45935" w:rsidRPr="002B5B92" w:rsidTr="00E05D08">
        <w:trPr>
          <w:tblHeader/>
        </w:trPr>
        <w:tc>
          <w:tcPr>
            <w:tcW w:w="1843" w:type="dxa"/>
            <w:shd w:val="clear" w:color="auto" w:fill="F07E31"/>
          </w:tcPr>
          <w:p w:rsidR="00A45935" w:rsidRPr="002B5B92" w:rsidRDefault="00A45935" w:rsidP="00E05D08">
            <w:pPr>
              <w:spacing w:after="120" w:line="280" w:lineRule="atLeast"/>
              <w:mirrorIndents/>
              <w:jc w:val="center"/>
              <w:rPr>
                <w:b/>
                <w:color w:val="FFFFFF"/>
                <w:sz w:val="18"/>
                <w:szCs w:val="18"/>
              </w:rPr>
            </w:pPr>
            <w:r w:rsidRPr="002B5B92">
              <w:rPr>
                <w:b/>
                <w:color w:val="FFFFFF"/>
                <w:sz w:val="18"/>
                <w:szCs w:val="18"/>
              </w:rPr>
              <w:t>Metodi</w:t>
            </w:r>
          </w:p>
        </w:tc>
        <w:tc>
          <w:tcPr>
            <w:tcW w:w="6770" w:type="dxa"/>
            <w:shd w:val="clear" w:color="auto" w:fill="F07E31"/>
          </w:tcPr>
          <w:p w:rsidR="00A45935" w:rsidRPr="002B5B92" w:rsidRDefault="00A45935" w:rsidP="00E05D08">
            <w:pPr>
              <w:spacing w:after="120" w:line="280" w:lineRule="atLeast"/>
              <w:mirrorIndents/>
              <w:jc w:val="center"/>
              <w:rPr>
                <w:b/>
                <w:color w:val="FFFFFF"/>
                <w:sz w:val="18"/>
                <w:szCs w:val="18"/>
              </w:rPr>
            </w:pPr>
            <w:r w:rsidRPr="002B5B92">
              <w:rPr>
                <w:b/>
                <w:color w:val="FFFFFF"/>
                <w:sz w:val="18"/>
                <w:szCs w:val="18"/>
              </w:rPr>
              <w:t>Suġġerimenti dwar kif jintużaw il-metodi</w:t>
            </w:r>
          </w:p>
        </w:tc>
      </w:tr>
      <w:tr w:rsidR="00A45935" w:rsidRPr="002B5B92" w:rsidTr="00E05D08">
        <w:tc>
          <w:tcPr>
            <w:tcW w:w="1843" w:type="dxa"/>
          </w:tcPr>
          <w:p w:rsidR="00A45935" w:rsidRPr="002B5B92" w:rsidRDefault="00A45935" w:rsidP="007E63EF">
            <w:pPr>
              <w:spacing w:after="120" w:line="280" w:lineRule="atLeast"/>
              <w:ind w:right="116"/>
              <w:mirrorIndents/>
              <w:jc w:val="left"/>
              <w:rPr>
                <w:sz w:val="18"/>
                <w:szCs w:val="18"/>
              </w:rPr>
            </w:pPr>
            <w:r w:rsidRPr="002B5B92">
              <w:rPr>
                <w:sz w:val="18"/>
                <w:szCs w:val="18"/>
              </w:rPr>
              <w:t xml:space="preserve">Stħarriġ lill-maniġers ta’ M1 u M2 </w:t>
            </w:r>
          </w:p>
          <w:p w:rsidR="00A45935" w:rsidRPr="002B5B92" w:rsidRDefault="00A45935" w:rsidP="007E63EF">
            <w:pPr>
              <w:spacing w:after="120" w:line="280" w:lineRule="atLeast"/>
              <w:ind w:right="116"/>
              <w:mirrorIndents/>
              <w:jc w:val="left"/>
              <w:rPr>
                <w:sz w:val="18"/>
                <w:szCs w:val="18"/>
              </w:rPr>
            </w:pPr>
            <w:r w:rsidRPr="002B5B92">
              <w:rPr>
                <w:sz w:val="18"/>
                <w:szCs w:val="18"/>
              </w:rPr>
              <w:t>Stħarriġ lill-benefiċjarji ta’ M1 u M2</w:t>
            </w:r>
          </w:p>
          <w:p w:rsidR="00A45935" w:rsidRPr="002B5B92" w:rsidRDefault="00A45935" w:rsidP="007E63EF">
            <w:pPr>
              <w:spacing w:after="120" w:line="280" w:lineRule="atLeast"/>
              <w:ind w:right="116"/>
              <w:mirrorIndents/>
              <w:jc w:val="left"/>
              <w:rPr>
                <w:sz w:val="18"/>
                <w:szCs w:val="18"/>
              </w:rPr>
            </w:pPr>
            <w:r w:rsidRPr="002B5B92">
              <w:rPr>
                <w:sz w:val="18"/>
                <w:szCs w:val="18"/>
              </w:rPr>
              <w:t>Stħarriġ dwar il-proġetti ta’ kooperazzjoni tal-GO</w:t>
            </w:r>
          </w:p>
          <w:p w:rsidR="00A45935" w:rsidRPr="002B5B92" w:rsidRDefault="00A45935" w:rsidP="007E63EF">
            <w:pPr>
              <w:spacing w:after="120" w:line="280" w:lineRule="atLeast"/>
              <w:ind w:right="116"/>
              <w:mirrorIndents/>
              <w:jc w:val="left"/>
              <w:rPr>
                <w:sz w:val="18"/>
                <w:szCs w:val="18"/>
              </w:rPr>
            </w:pPr>
            <w:r w:rsidRPr="002B5B92">
              <w:rPr>
                <w:sz w:val="18"/>
                <w:szCs w:val="18"/>
              </w:rPr>
              <w:t xml:space="preserve">Stħarriġ mal-GAL u l-benefiċjarji tagħhom </w:t>
            </w:r>
          </w:p>
        </w:tc>
        <w:tc>
          <w:tcPr>
            <w:tcW w:w="6770" w:type="dxa"/>
          </w:tcPr>
          <w:p w:rsidR="00A45935" w:rsidRPr="002B5B92" w:rsidRDefault="00A45935" w:rsidP="00C202EC">
            <w:pPr>
              <w:pStyle w:val="Hlistbullet"/>
              <w:rPr>
                <w:sz w:val="18"/>
                <w:szCs w:val="18"/>
              </w:rPr>
            </w:pPr>
            <w:r w:rsidRPr="002B5B92">
              <w:rPr>
                <w:sz w:val="18"/>
                <w:szCs w:val="18"/>
              </w:rPr>
              <w:t xml:space="preserve">Agħżel il-maniġers/benefiċjarji tas-submiżuri relatati mal-innovazzjoni ta’ M1 u M2 </w:t>
            </w:r>
            <w:r w:rsidR="00534954" w:rsidRPr="002B5B92">
              <w:rPr>
                <w:sz w:val="18"/>
                <w:szCs w:val="18"/>
              </w:rPr>
              <w:t>biex iwettqu l</w:t>
            </w:r>
            <w:r w:rsidRPr="002B5B92">
              <w:rPr>
                <w:sz w:val="18"/>
                <w:szCs w:val="18"/>
              </w:rPr>
              <w:t xml:space="preserve">-istħarriġ. </w:t>
            </w:r>
          </w:p>
          <w:p w:rsidR="00A45935" w:rsidRPr="002B5B92" w:rsidRDefault="00A45935" w:rsidP="00C202EC">
            <w:pPr>
              <w:pStyle w:val="Hlistbullet"/>
              <w:rPr>
                <w:sz w:val="18"/>
                <w:szCs w:val="18"/>
              </w:rPr>
            </w:pPr>
            <w:r w:rsidRPr="002B5B92">
              <w:rPr>
                <w:sz w:val="18"/>
                <w:szCs w:val="18"/>
              </w:rPr>
              <w:t>Agħżel kampjun ta’ proġetti ta’ kooperazzjoni (pereżempju skont is-settur, id-daqs tal-GO, il-ġeografija, eċċ.) biex tiġbor data u informazzjoni mingħand il-benefiċjarji għal</w:t>
            </w:r>
            <w:r w:rsidR="00534954" w:rsidRPr="002B5B92">
              <w:rPr>
                <w:sz w:val="18"/>
                <w:szCs w:val="18"/>
              </w:rPr>
              <w:t>l-</w:t>
            </w:r>
            <w:r w:rsidRPr="002B5B92">
              <w:rPr>
                <w:sz w:val="18"/>
                <w:szCs w:val="18"/>
              </w:rPr>
              <w:t>indikaturi permezz tal-istħarriġ.</w:t>
            </w:r>
          </w:p>
          <w:p w:rsidR="00A45935" w:rsidRPr="002B5B92" w:rsidRDefault="00A45935" w:rsidP="00C202EC">
            <w:pPr>
              <w:pStyle w:val="Hlistbullet"/>
              <w:rPr>
                <w:sz w:val="18"/>
                <w:szCs w:val="18"/>
              </w:rPr>
            </w:pPr>
            <w:r w:rsidRPr="002B5B92">
              <w:rPr>
                <w:sz w:val="18"/>
                <w:szCs w:val="18"/>
              </w:rPr>
              <w:t>Ibni l-istħarriġ, inklużi mistoqsijiet miftuħa dwar kif l-attivitajiet ta’ M1 u M2, il-GO u l-GAL ikkontribwew għal: a) il-kondiviżjoni ta’ ideat innovattivi, b) il-bini tal-kapaċità għall-innovazzjoni, ċ) il-ħolqien ta’ ambjent favorevoli għall-innovazzjoni.</w:t>
            </w:r>
          </w:p>
          <w:p w:rsidR="00A45935" w:rsidRPr="002B5B92" w:rsidRDefault="00A45935" w:rsidP="00C202EC">
            <w:pPr>
              <w:pStyle w:val="Hlistbullet"/>
              <w:rPr>
                <w:sz w:val="18"/>
                <w:szCs w:val="18"/>
              </w:rPr>
            </w:pPr>
            <w:r w:rsidRPr="002B5B92">
              <w:rPr>
                <w:sz w:val="18"/>
                <w:szCs w:val="18"/>
              </w:rPr>
              <w:t>Uża s-sejbiet tal-istħarriġ sabiex:</w:t>
            </w:r>
          </w:p>
          <w:p w:rsidR="00A45935" w:rsidRPr="002B5B92" w:rsidRDefault="00A45935" w:rsidP="00C202EC">
            <w:pPr>
              <w:pStyle w:val="Hlistbullet2"/>
              <w:rPr>
                <w:sz w:val="18"/>
                <w:szCs w:val="18"/>
              </w:rPr>
            </w:pPr>
            <w:r w:rsidRPr="002B5B92">
              <w:rPr>
                <w:sz w:val="18"/>
                <w:szCs w:val="18"/>
              </w:rPr>
              <w:t>Tivvaluta kif il-forom differenti ta’ azzjonijiet ta’ taħriġ u informazzjoni taħt M1 jikkontribwixxu biex jappoġġaw l-innovazzjoni;</w:t>
            </w:r>
          </w:p>
          <w:p w:rsidR="00A45935" w:rsidRPr="002B5B92" w:rsidRDefault="00A45935" w:rsidP="00C202EC">
            <w:pPr>
              <w:pStyle w:val="Hlistbullet2"/>
              <w:rPr>
                <w:sz w:val="18"/>
                <w:szCs w:val="18"/>
              </w:rPr>
            </w:pPr>
            <w:r w:rsidRPr="002B5B92">
              <w:rPr>
                <w:sz w:val="18"/>
                <w:szCs w:val="18"/>
              </w:rPr>
              <w:t>Tivvaluta kif is-servizzi ta’ konsulenza jikkontribwixxu biex jappoġġaw l-innovazzjoni;</w:t>
            </w:r>
          </w:p>
          <w:p w:rsidR="00A45935" w:rsidRPr="002B5B92" w:rsidRDefault="00A45935" w:rsidP="00C202EC">
            <w:pPr>
              <w:pStyle w:val="Hlistbullet2"/>
              <w:rPr>
                <w:sz w:val="18"/>
                <w:szCs w:val="18"/>
              </w:rPr>
            </w:pPr>
            <w:r w:rsidRPr="002B5B92">
              <w:rPr>
                <w:sz w:val="18"/>
                <w:szCs w:val="18"/>
              </w:rPr>
              <w:t xml:space="preserve">Tivvaluta kif il-GO jikkontribwixxu għall-produzzjoni tar-riżultati li jistgħu jintużaw; </w:t>
            </w:r>
          </w:p>
          <w:p w:rsidR="00A45935" w:rsidRPr="002B5B92" w:rsidRDefault="00A45935" w:rsidP="00C202EC">
            <w:pPr>
              <w:pStyle w:val="Hlistbullet2"/>
            </w:pPr>
            <w:r w:rsidRPr="002B5B92">
              <w:rPr>
                <w:sz w:val="18"/>
                <w:szCs w:val="18"/>
              </w:rPr>
              <w:t>Tivvaluta kif il-GAL jippromwovu l-innovazzjoni permezz tal-proġetti appoġġati minn strateġiji jew attivitajiet tas-CLLD immexxija mill-GAL permezz tal-animazzjoni tagħhom.</w:t>
            </w:r>
          </w:p>
        </w:tc>
      </w:tr>
      <w:tr w:rsidR="00A45935" w:rsidRPr="002B5B92" w:rsidTr="00E05D08">
        <w:tc>
          <w:tcPr>
            <w:tcW w:w="1843" w:type="dxa"/>
          </w:tcPr>
          <w:p w:rsidR="00A45935" w:rsidRPr="002B5B92" w:rsidRDefault="00A45935" w:rsidP="007E63EF">
            <w:pPr>
              <w:spacing w:after="120" w:line="280" w:lineRule="atLeast"/>
              <w:mirrorIndents/>
              <w:jc w:val="left"/>
              <w:rPr>
                <w:sz w:val="18"/>
                <w:szCs w:val="18"/>
              </w:rPr>
            </w:pPr>
            <w:r w:rsidRPr="002B5B92">
              <w:rPr>
                <w:sz w:val="18"/>
                <w:szCs w:val="18"/>
              </w:rPr>
              <w:t>Gruppi fokus</w:t>
            </w:r>
          </w:p>
        </w:tc>
        <w:tc>
          <w:tcPr>
            <w:tcW w:w="6770" w:type="dxa"/>
          </w:tcPr>
          <w:p w:rsidR="00A45935" w:rsidRPr="002B5B92" w:rsidRDefault="00A45935" w:rsidP="00C202EC">
            <w:pPr>
              <w:pStyle w:val="Hlistbullet"/>
              <w:rPr>
                <w:sz w:val="18"/>
                <w:szCs w:val="18"/>
              </w:rPr>
            </w:pPr>
            <w:r w:rsidRPr="002B5B92">
              <w:rPr>
                <w:sz w:val="18"/>
                <w:szCs w:val="18"/>
              </w:rPr>
              <w:t>Involvi atturi tal-innovazzjoni fil-gruppi fokus (eż. servizzi ta’ appoġġ għall-innovazzjoni, konsulenti li jaġixxu bħala sensara tal-innovazzjoni, ċentri ta’ riċerka u innovazzjoni, eċċ.).</w:t>
            </w:r>
          </w:p>
          <w:p w:rsidR="00A45935" w:rsidRPr="002B5B92" w:rsidRDefault="00A45935" w:rsidP="00C202EC">
            <w:pPr>
              <w:pStyle w:val="Hlistbullet"/>
              <w:rPr>
                <w:sz w:val="18"/>
                <w:szCs w:val="18"/>
              </w:rPr>
            </w:pPr>
            <w:r w:rsidRPr="002B5B92">
              <w:rPr>
                <w:sz w:val="18"/>
                <w:szCs w:val="18"/>
              </w:rPr>
              <w:lastRenderedPageBreak/>
              <w:t>Analizza kif is-submiżuri rilevanti ta’ M1, M2 u l-GO u l-GAL jinfluwenzaw il-kapaċità għall-innovazzjoni u l-ħolqien ta’ ambjent favorevoli għall-innovazzjoni.</w:t>
            </w:r>
          </w:p>
          <w:p w:rsidR="00A45935" w:rsidRPr="002B5B92" w:rsidRDefault="00A45935" w:rsidP="00C202EC">
            <w:pPr>
              <w:pStyle w:val="Hlistbullet"/>
              <w:rPr>
                <w:sz w:val="18"/>
                <w:szCs w:val="18"/>
              </w:rPr>
            </w:pPr>
            <w:r w:rsidRPr="002B5B92">
              <w:rPr>
                <w:sz w:val="18"/>
                <w:szCs w:val="18"/>
              </w:rPr>
              <w:t>Ikkunsidra l-għażla ta’ gruppi fokus tematiċi (eż. grupp fokus fuq is-senserija tal-innovazzjoni).</w:t>
            </w:r>
          </w:p>
        </w:tc>
      </w:tr>
      <w:tr w:rsidR="00A45935" w:rsidRPr="002B5B92" w:rsidTr="00E05D08">
        <w:tc>
          <w:tcPr>
            <w:tcW w:w="1843" w:type="dxa"/>
          </w:tcPr>
          <w:p w:rsidR="00A45935" w:rsidRPr="002B5B92" w:rsidRDefault="00A45935" w:rsidP="00E05D08">
            <w:pPr>
              <w:spacing w:after="120" w:line="280" w:lineRule="atLeast"/>
              <w:ind w:right="399"/>
              <w:mirrorIndents/>
              <w:rPr>
                <w:sz w:val="18"/>
                <w:szCs w:val="18"/>
              </w:rPr>
            </w:pPr>
            <w:r w:rsidRPr="002B5B92">
              <w:rPr>
                <w:sz w:val="18"/>
                <w:szCs w:val="18"/>
              </w:rPr>
              <w:t>Il-metodu Delphi</w:t>
            </w:r>
          </w:p>
        </w:tc>
        <w:tc>
          <w:tcPr>
            <w:tcW w:w="6770" w:type="dxa"/>
          </w:tcPr>
          <w:p w:rsidR="00A45935" w:rsidRPr="002B5B92" w:rsidRDefault="00A45935" w:rsidP="00C202EC">
            <w:pPr>
              <w:pStyle w:val="Hlistbullet"/>
              <w:rPr>
                <w:sz w:val="18"/>
                <w:szCs w:val="18"/>
              </w:rPr>
            </w:pPr>
            <w:r w:rsidRPr="002B5B92">
              <w:rPr>
                <w:sz w:val="18"/>
                <w:szCs w:val="18"/>
              </w:rPr>
              <w:t>Involvi l-esperti tal-innovazzjoni (eż. dawk involuti fil-miżuri u fi proġetti ta’ kooperazzjoni, iżda wkoll esperti oħrajn tal-innovazzjoni, bħal akkademiċi).</w:t>
            </w:r>
          </w:p>
        </w:tc>
      </w:tr>
    </w:tbl>
    <w:p w:rsidR="00EF1B0F" w:rsidRPr="002B5B92" w:rsidRDefault="00EF1B0F" w:rsidP="00EF1B0F">
      <w:pPr>
        <w:spacing w:before="240" w:after="120" w:line="280" w:lineRule="atLeast"/>
        <w:mirrorIndents/>
        <w:rPr>
          <w:rFonts w:eastAsia="Times New Roman" w:cs="Times New Roman"/>
          <w:b/>
          <w:i/>
          <w:sz w:val="18"/>
          <w:szCs w:val="18"/>
        </w:rPr>
      </w:pPr>
      <w:r w:rsidRPr="002B5B92">
        <w:rPr>
          <w:b/>
          <w:i/>
          <w:sz w:val="18"/>
          <w:szCs w:val="18"/>
        </w:rPr>
        <w:t>Il-prattiki tal-evalwazzjoni rrapportati fl-AIRs fl-2017</w:t>
      </w:r>
    </w:p>
    <w:p w:rsidR="00A45935" w:rsidRPr="002B5B92" w:rsidRDefault="00A45935" w:rsidP="00E05D08">
      <w:pPr>
        <w:spacing w:after="120" w:line="280" w:lineRule="atLeast"/>
        <w:mirrorIndents/>
        <w:rPr>
          <w:rFonts w:eastAsia="Times New Roman" w:cs="Times New Roman"/>
          <w:i/>
          <w:szCs w:val="20"/>
          <w:lang w:eastAsia="de-DE"/>
        </w:rPr>
        <w:sectPr w:rsidR="00A45935" w:rsidRPr="002B5B92" w:rsidSect="00055039">
          <w:endnotePr>
            <w:numFmt w:val="decimal"/>
          </w:endnotePr>
          <w:type w:val="continuous"/>
          <w:pgSz w:w="11906" w:h="16838" w:code="9"/>
          <w:pgMar w:top="1134" w:right="1440" w:bottom="1440" w:left="1440" w:header="567" w:footer="1021" w:gutter="0"/>
          <w:cols w:space="708"/>
          <w:noEndnote/>
          <w:titlePg/>
          <w:docGrid w:linePitch="360"/>
        </w:sectPr>
      </w:pPr>
    </w:p>
    <w:p w:rsidR="00C202EC" w:rsidRPr="002B5B92" w:rsidRDefault="006F1601" w:rsidP="00E05D08">
      <w:pPr>
        <w:spacing w:after="120" w:line="280" w:lineRule="atLeast"/>
        <w:mirrorIndents/>
        <w:rPr>
          <w:rFonts w:eastAsia="Times New Roman" w:cs="Times New Roman"/>
          <w:b/>
          <w:i/>
          <w:sz w:val="18"/>
          <w:szCs w:val="18"/>
        </w:rPr>
      </w:pPr>
      <w:r w:rsidRPr="002B5B92">
        <w:rPr>
          <w:rFonts w:eastAsia="Times New Roman" w:cs="Times New Roman"/>
          <w:noProof/>
          <w:sz w:val="18"/>
          <w:szCs w:val="24"/>
          <w:lang w:val="en-GB" w:eastAsia="en-GB"/>
        </w:rPr>
        <mc:AlternateContent>
          <mc:Choice Requires="wps">
            <w:drawing>
              <wp:inline distT="0" distB="0" distL="0" distR="0" wp14:anchorId="5C260188" wp14:editId="39159FF7">
                <wp:extent cx="5878195" cy="5588758"/>
                <wp:effectExtent l="0" t="0" r="27305" b="12065"/>
                <wp:docPr id="60" name="Rectangle: Diagonal Corners Rounded 60"/>
                <wp:cNvGraphicFramePr/>
                <a:graphic xmlns:a="http://schemas.openxmlformats.org/drawingml/2006/main">
                  <a:graphicData uri="http://schemas.microsoft.com/office/word/2010/wordprocessingShape">
                    <wps:wsp>
                      <wps:cNvSpPr/>
                      <wps:spPr>
                        <a:xfrm>
                          <a:off x="0" y="0"/>
                          <a:ext cx="5878195" cy="5588758"/>
                        </a:xfrm>
                        <a:prstGeom prst="round2DiagRect">
                          <a:avLst>
                            <a:gd name="adj1" fmla="val 5521"/>
                            <a:gd name="adj2" fmla="val 0"/>
                          </a:avLst>
                        </a:prstGeom>
                        <a:noFill/>
                        <a:ln w="25400" cap="flat" cmpd="sng" algn="ctr">
                          <a:solidFill>
                            <a:srgbClr val="F07E31"/>
                          </a:solidFill>
                          <a:prstDash val="solid"/>
                        </a:ln>
                        <a:effectLst/>
                      </wps:spPr>
                      <wps:txbx>
                        <w:txbxContent>
                          <w:p w:rsidR="005570DA" w:rsidRPr="00C202EC" w:rsidRDefault="005570DA" w:rsidP="00E05D08">
                            <w:pPr>
                              <w:pStyle w:val="Normal12PTcouleurgris"/>
                              <w:ind w:left="567" w:hanging="567"/>
                              <w:rPr>
                                <w:b/>
                                <w:color w:val="F07E31"/>
                                <w:sz w:val="18"/>
                              </w:rPr>
                            </w:pPr>
                            <w:r>
                              <w:rPr>
                                <w:noProof/>
                                <w:color w:val="F07E31"/>
                                <w:lang w:val="en-GB" w:eastAsia="en-GB"/>
                              </w:rPr>
                              <w:drawing>
                                <wp:inline distT="0" distB="0" distL="0" distR="0" wp14:anchorId="44977270" wp14:editId="010E1CA4">
                                  <wp:extent cx="353060" cy="359410"/>
                                  <wp:effectExtent l="0" t="0" r="8890" b="2540"/>
                                  <wp:docPr id="74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5570DA" w:rsidRPr="00C202EC" w:rsidRDefault="005570DA" w:rsidP="00C202EC">
                            <w:pPr>
                              <w:pStyle w:val="Normal12PTcouleurgris"/>
                              <w:spacing w:after="120"/>
                              <w:ind w:left="567" w:hanging="567"/>
                              <w:rPr>
                                <w:b/>
                                <w:color w:val="F07E31"/>
                                <w:sz w:val="18"/>
                              </w:rPr>
                            </w:pPr>
                            <w:r>
                              <w:rPr>
                                <w:b/>
                                <w:color w:val="F07E31"/>
                                <w:sz w:val="18"/>
                              </w:rPr>
                              <w:t>Eżempji għall-identifikazzjoni tal-potenzjal tal-innovazzjoni</w:t>
                            </w:r>
                          </w:p>
                          <w:p w:rsidR="005570DA" w:rsidRPr="00C202EC" w:rsidRDefault="005570DA" w:rsidP="00C202EC">
                            <w:pPr>
                              <w:pStyle w:val="Hlistbullet"/>
                              <w:rPr>
                                <w:sz w:val="18"/>
                                <w:szCs w:val="18"/>
                              </w:rPr>
                            </w:pPr>
                            <w:r>
                              <w:rPr>
                                <w:b/>
                                <w:sz w:val="18"/>
                                <w:szCs w:val="18"/>
                              </w:rPr>
                              <w:t>Castilla y León (ES)</w:t>
                            </w:r>
                            <w:r>
                              <w:rPr>
                                <w:sz w:val="18"/>
                                <w:szCs w:val="18"/>
                              </w:rPr>
                              <w:t xml:space="preserve"> - tenfasizza l-potenzjal tal-innovazzjoni tal-GAL u tirrakkomanda l-analiżi tal-istrateġiji tal-iżvilupp lokali sabiex jiġu identifikati t-tipi ta’ operazzjonijiet implimentati skont strateġiji li jippromwovu l-kontribut tal-GAL għall-objettivi relatati mal-innovazzjoni ta’ OP 1A.</w:t>
                            </w:r>
                            <w:r>
                              <w:rPr>
                                <w:b/>
                                <w:sz w:val="18"/>
                                <w:szCs w:val="18"/>
                              </w:rPr>
                              <w:t xml:space="preserve"> </w:t>
                            </w:r>
                          </w:p>
                          <w:p w:rsidR="005570DA" w:rsidRPr="00C202EC" w:rsidRDefault="005570DA" w:rsidP="00C202EC">
                            <w:pPr>
                              <w:pStyle w:val="Hlistbullet"/>
                              <w:rPr>
                                <w:sz w:val="18"/>
                                <w:szCs w:val="18"/>
                              </w:rPr>
                            </w:pPr>
                            <w:r>
                              <w:rPr>
                                <w:b/>
                                <w:sz w:val="18"/>
                                <w:szCs w:val="18"/>
                              </w:rPr>
                              <w:t>Canarias (ES)</w:t>
                            </w:r>
                            <w:r>
                              <w:rPr>
                                <w:sz w:val="18"/>
                                <w:szCs w:val="18"/>
                              </w:rPr>
                              <w:t xml:space="preserve"> - tenfasizza wkoll il-potenzjal tal-innovazzjoni tal-GAL u tirrakkomanda li jiġi inkluż varjabbli fis-sistema ta’ monitoraġġ u ta’ evalwazzjoni li jindika jekk l-operazzjonijiet implimentati mill-GAL fil-kuntest tal-istrateġiji tal-iżvilupp lokali taħt M19 humiex innovattivi.</w:t>
                            </w:r>
                          </w:p>
                          <w:p w:rsidR="005570DA" w:rsidRPr="00C202EC" w:rsidRDefault="005570DA" w:rsidP="003F6478">
                            <w:pPr>
                              <w:pStyle w:val="HStandard"/>
                              <w:ind w:left="567" w:hanging="567"/>
                              <w:rPr>
                                <w:b/>
                                <w:color w:val="F07E31"/>
                                <w:sz w:val="18"/>
                                <w:szCs w:val="18"/>
                              </w:rPr>
                            </w:pPr>
                            <w:r>
                              <w:rPr>
                                <w:b/>
                                <w:color w:val="F07E31"/>
                                <w:sz w:val="18"/>
                                <w:szCs w:val="18"/>
                              </w:rPr>
                              <w:t xml:space="preserve">Eżempji ta’ elementi addizzjonali tal-evalwazzjoni </w:t>
                            </w:r>
                          </w:p>
                          <w:p w:rsidR="005570DA" w:rsidRPr="00C202EC" w:rsidRDefault="005570DA" w:rsidP="00C202EC">
                            <w:pPr>
                              <w:pStyle w:val="Hlistbullet"/>
                              <w:rPr>
                                <w:sz w:val="18"/>
                                <w:szCs w:val="18"/>
                              </w:rPr>
                            </w:pPr>
                            <w:r>
                              <w:rPr>
                                <w:b/>
                                <w:sz w:val="18"/>
                                <w:szCs w:val="18"/>
                              </w:rPr>
                              <w:t>Bavarja (DE)</w:t>
                            </w:r>
                            <w:r>
                              <w:rPr>
                                <w:sz w:val="18"/>
                                <w:szCs w:val="18"/>
                              </w:rPr>
                              <w:t xml:space="preserve"> - issemmi l-użu ta’ kriterji addizzjonali tal-ġudizzju relatati mal-innovazzjoni fil-livell tal-GAL (eż. proġetti multisettorjali ġodda implimentati mill-GAL, ġew ittestjati proċessi/tekniki ġodda). Ġie applikat indikatur addizzjonali tar-riżultati (ideat/soluzzjonijiet ġodda, innovazzjonijiet - M19). L-indikatur ġie kkwantifikat u l-informazzjoni nġabret permezz ta’ (a) stħarriġ online mal-maniġers tal-GAL; (b) intervisti semi-strutturati ma’ maniġers tal-GAL magħżula. </w:t>
                            </w:r>
                          </w:p>
                          <w:p w:rsidR="005570DA" w:rsidRPr="00C202EC" w:rsidRDefault="005570DA" w:rsidP="00C202EC">
                            <w:pPr>
                              <w:pStyle w:val="Hlistbullet"/>
                              <w:rPr>
                                <w:sz w:val="18"/>
                                <w:szCs w:val="18"/>
                              </w:rPr>
                            </w:pPr>
                            <w:r>
                              <w:rPr>
                                <w:b/>
                                <w:sz w:val="18"/>
                                <w:szCs w:val="18"/>
                              </w:rPr>
                              <w:t>Ir-Repubblika Ċeka</w:t>
                            </w:r>
                            <w:r>
                              <w:rPr>
                                <w:sz w:val="18"/>
                                <w:szCs w:val="18"/>
                              </w:rPr>
                              <w:t xml:space="preserve"> - tiddeskrivi l-ġbir tad-data għall-indikatur addizzjonali tar-riżultati “in-numru ta’ parteċipanti li jispiċċaw attivitajiet iffokati fuq innovazzjonijiet” permezz tal-bażi ta’ data tal-operazzjonijiet. Issemmi wkoll stħarriġ mal-benefiċjarji ta’ proġetti appoġġati sabiex tinġabar informazzjoni dwar l-innovazzjoni.</w:t>
                            </w:r>
                          </w:p>
                          <w:p w:rsidR="005570DA" w:rsidRPr="00C202EC" w:rsidRDefault="005570DA" w:rsidP="00142A64">
                            <w:pPr>
                              <w:pStyle w:val="HStandard"/>
                              <w:rPr>
                                <w:b/>
                                <w:sz w:val="18"/>
                                <w:szCs w:val="18"/>
                              </w:rPr>
                            </w:pPr>
                            <w:r>
                              <w:rPr>
                                <w:b/>
                                <w:color w:val="F07E31"/>
                                <w:sz w:val="18"/>
                                <w:szCs w:val="18"/>
                              </w:rPr>
                              <w:t>Eżempji ta’ metodi</w:t>
                            </w:r>
                          </w:p>
                          <w:p w:rsidR="005570DA" w:rsidRPr="00C202EC" w:rsidRDefault="005570DA" w:rsidP="00C202EC">
                            <w:pPr>
                              <w:pStyle w:val="Hlistbullet"/>
                              <w:rPr>
                                <w:sz w:val="18"/>
                                <w:szCs w:val="18"/>
                              </w:rPr>
                            </w:pPr>
                            <w:r>
                              <w:rPr>
                                <w:b/>
                                <w:sz w:val="18"/>
                                <w:szCs w:val="18"/>
                              </w:rPr>
                              <w:t>Castilla y León (ES)</w:t>
                            </w:r>
                            <w:r>
                              <w:rPr>
                                <w:sz w:val="18"/>
                                <w:szCs w:val="18"/>
                              </w:rPr>
                              <w:t xml:space="preserve"> - tirrakkomanda li jiġi intervistat kull maniġer tal-miżura u li jiġu inklużi elementi ta’ data addizzjonali fis-sistema ta’ monitoraġġ li tippermetti l-valutazzjoni ta’ kif l-operazzjonijiet differenti jinkorporaw elementi innovattivi u jikkontribwixxu għall-objettivi tal-innovazzjoni.</w:t>
                            </w:r>
                          </w:p>
                          <w:p w:rsidR="005570DA" w:rsidRPr="00C202EC" w:rsidRDefault="005570DA" w:rsidP="00C202EC">
                            <w:pPr>
                              <w:pStyle w:val="Hlistbullet"/>
                            </w:pPr>
                            <w:r>
                              <w:rPr>
                                <w:b/>
                                <w:sz w:val="18"/>
                                <w:szCs w:val="18"/>
                              </w:rPr>
                              <w:t>Castilla la Mancha (ES)</w:t>
                            </w:r>
                            <w:r>
                              <w:rPr>
                                <w:sz w:val="18"/>
                                <w:szCs w:val="18"/>
                              </w:rPr>
                              <w:t xml:space="preserve"> - użat stħarriġ mibgħut lill-parteċipanti kollha tat-taħriġ sabiex tevalwa, </w:t>
                            </w:r>
                            <w:r>
                              <w:rPr>
                                <w:i/>
                                <w:sz w:val="18"/>
                                <w:szCs w:val="18"/>
                              </w:rPr>
                              <w:t>inter alia</w:t>
                            </w:r>
                            <w:r>
                              <w:rPr>
                                <w:sz w:val="18"/>
                                <w:szCs w:val="18"/>
                              </w:rPr>
                              <w:t>, il-kontribuzzjonijiet tat-trasferiment tal-għarfien u l-azzjonijiet ta’ informazzjoni għall-innovazzjoni. L-istħarriġ ippermetta li jiġu vvalutati sessjonijiet ta’ taħriġ innovattivi.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C260188" id="Rectangle: Diagonal Corners Rounded 60" o:spid="_x0000_s1044" style="width:462.85pt;height:440.05pt;visibility:visible;mso-wrap-style:square;mso-left-percent:-10001;mso-top-percent:-10001;mso-position-horizontal:absolute;mso-position-horizontal-relative:char;mso-position-vertical:absolute;mso-position-vertical-relative:line;mso-left-percent:-10001;mso-top-percent:-10001;v-text-anchor:middle" coordsize="5878195,55887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" adj="-11796480,,5400" path="m308555,l5878195,r,l5878195,5280203v,170410,-138145,308555,-308555,308555l,5588758r,l,308555c,138145,138145,,308555,xe" filled="f" strokecolor="#f07e31" strokeweight="2pt">
                <v:stroke joinstyle="miter"/>
                <v:formulas/>
                <v:path arrowok="t" o:connecttype="custom" o:connectlocs="308555,0;5878195,0;5878195,0;5878195,5280203;5569640,5588758;0,5588758;0,5588758;0,308555;308555,0" o:connectangles="0,0,0,0,0,0,0,0,0" textboxrect="0,0,5878195,5588758"/>
                <v:textbox>
                  <w:txbxContent>
                    <w:p w:rsidR="005570DA" w:rsidRPr="00C202EC" w:rsidRDefault="005570DA" w:rsidP="00E05D08">
                      <w:pPr>
                        <w:pStyle w:val="Normal12PTcouleurgris"/>
                        <w:ind w:left="567" w:hanging="567"/>
                        <w:rPr>
                          <w:b/>
                          <w:color w:val="F07E31"/>
                          <w:sz w:val="18"/>
                        </w:rPr>
                      </w:pPr>
                      <w:r>
                        <w:rPr>
                          <w:noProof/>
                          <w:color w:val="F07E31"/>
                          <w:lang w:val="en-GB" w:eastAsia="en-GB"/>
                        </w:rPr>
                        <w:drawing>
                          <wp:inline distT="0" distB="0" distL="0" distR="0" wp14:anchorId="44977270" wp14:editId="010E1CA4">
                            <wp:extent cx="353060" cy="359410"/>
                            <wp:effectExtent l="0" t="0" r="8890" b="2540"/>
                            <wp:docPr id="74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5570DA" w:rsidRPr="00C202EC" w:rsidRDefault="005570DA" w:rsidP="00C202EC">
                      <w:pPr>
                        <w:pStyle w:val="Normal12PTcouleurgris"/>
                        <w:spacing w:after="120"/>
                        <w:ind w:left="567" w:hanging="567"/>
                        <w:rPr>
                          <w:b/>
                          <w:color w:val="F07E31"/>
                          <w:sz w:val="18"/>
                        </w:rPr>
                      </w:pPr>
                      <w:r>
                        <w:rPr>
                          <w:b/>
                          <w:color w:val="F07E31"/>
                          <w:sz w:val="18"/>
                        </w:rPr>
                        <w:t>Eżempji għall-identifikazzjoni tal-potenzjal tal-innovazzjoni</w:t>
                      </w:r>
                    </w:p>
                    <w:p w:rsidR="005570DA" w:rsidRPr="00C202EC" w:rsidRDefault="005570DA" w:rsidP="00C202EC">
                      <w:pPr>
                        <w:pStyle w:val="Hlistbullet"/>
                        <w:rPr>
                          <w:sz w:val="18"/>
                          <w:szCs w:val="18"/>
                        </w:rPr>
                      </w:pPr>
                      <w:r>
                        <w:rPr>
                          <w:b/>
                          <w:sz w:val="18"/>
                          <w:szCs w:val="18"/>
                        </w:rPr>
                        <w:t>Castilla y León (ES)</w:t>
                      </w:r>
                      <w:r>
                        <w:rPr>
                          <w:sz w:val="18"/>
                          <w:szCs w:val="18"/>
                        </w:rPr>
                        <w:t xml:space="preserve"> - tenfasizza l-potenzjal tal-innovazzjoni tal-GAL u tirrakkomanda l-analiżi tal-istrateġiji tal-iżvilupp lokali sabiex jiġu identifikati t-tipi ta’ operazzjonijiet implimentati skont strateġiji li jippromwovu l-kontribut tal-GAL għall-objettivi relatati mal-innovazzjoni ta’ OP 1A.</w:t>
                      </w:r>
                      <w:r>
                        <w:rPr>
                          <w:b/>
                          <w:sz w:val="18"/>
                          <w:szCs w:val="18"/>
                        </w:rPr>
                        <w:t xml:space="preserve"> </w:t>
                      </w:r>
                    </w:p>
                    <w:p w:rsidR="005570DA" w:rsidRPr="00C202EC" w:rsidRDefault="005570DA" w:rsidP="00C202EC">
                      <w:pPr>
                        <w:pStyle w:val="Hlistbullet"/>
                        <w:rPr>
                          <w:sz w:val="18"/>
                          <w:szCs w:val="18"/>
                        </w:rPr>
                      </w:pPr>
                      <w:r>
                        <w:rPr>
                          <w:b/>
                          <w:sz w:val="18"/>
                          <w:szCs w:val="18"/>
                        </w:rPr>
                        <w:t>Canarias (ES)</w:t>
                      </w:r>
                      <w:r>
                        <w:rPr>
                          <w:sz w:val="18"/>
                          <w:szCs w:val="18"/>
                        </w:rPr>
                        <w:t xml:space="preserve"> - tenfasizza wkoll il-potenzjal tal-innovazzjoni tal-GAL u tirrakkomanda li jiġi inkluż varjabbli fis-sistema ta’ monitoraġġ u ta’ evalwazzjoni li jindika jekk l-operazzjonijiet implimentati mill-GAL fil-kuntest tal-istrateġiji tal-iżvilupp lokali taħt M19 humiex innovattivi.</w:t>
                      </w:r>
                    </w:p>
                    <w:p w:rsidR="005570DA" w:rsidRPr="00C202EC" w:rsidRDefault="005570DA" w:rsidP="003F6478">
                      <w:pPr>
                        <w:pStyle w:val="HStandard"/>
                        <w:ind w:left="567" w:hanging="567"/>
                        <w:rPr>
                          <w:b/>
                          <w:color w:val="F07E31"/>
                          <w:sz w:val="18"/>
                          <w:szCs w:val="18"/>
                        </w:rPr>
                      </w:pPr>
                      <w:r>
                        <w:rPr>
                          <w:b/>
                          <w:color w:val="F07E31"/>
                          <w:sz w:val="18"/>
                          <w:szCs w:val="18"/>
                        </w:rPr>
                        <w:t xml:space="preserve">Eżempji ta’ elementi addizzjonali tal-evalwazzjoni </w:t>
                      </w:r>
                    </w:p>
                    <w:p w:rsidR="005570DA" w:rsidRPr="00C202EC" w:rsidRDefault="005570DA" w:rsidP="00C202EC">
                      <w:pPr>
                        <w:pStyle w:val="Hlistbullet"/>
                        <w:rPr>
                          <w:sz w:val="18"/>
                          <w:szCs w:val="18"/>
                        </w:rPr>
                      </w:pPr>
                      <w:r>
                        <w:rPr>
                          <w:b/>
                          <w:sz w:val="18"/>
                          <w:szCs w:val="18"/>
                        </w:rPr>
                        <w:t>Bavarja (DE)</w:t>
                      </w:r>
                      <w:r>
                        <w:rPr>
                          <w:sz w:val="18"/>
                          <w:szCs w:val="18"/>
                        </w:rPr>
                        <w:t xml:space="preserve"> - issemmi l-użu ta’ kriterji addizzjonali tal-ġudizzju relatati mal-innovazzjoni fil-livell tal-GAL (eż. proġetti multisettorjali ġodda implimentati mill-GAL, ġew ittestjati proċessi/tekniki ġodda). Ġie applikat indikatur addizzjonali tar-riżultati (ideat/soluzzjonijiet ġodda, innovazzjonijiet - M19). L-indikatur ġie kkwantifikat u l-informazzjoni nġabret permezz ta’ (a) stħarriġ online mal-maniġers tal-GAL; (b) intervisti semi-strutturati ma’ maniġers tal-GAL magħżula. </w:t>
                      </w:r>
                    </w:p>
                    <w:p w:rsidR="005570DA" w:rsidRPr="00C202EC" w:rsidRDefault="005570DA" w:rsidP="00C202EC">
                      <w:pPr>
                        <w:pStyle w:val="Hlistbullet"/>
                        <w:rPr>
                          <w:sz w:val="18"/>
                          <w:szCs w:val="18"/>
                        </w:rPr>
                      </w:pPr>
                      <w:r>
                        <w:rPr>
                          <w:b/>
                          <w:sz w:val="18"/>
                          <w:szCs w:val="18"/>
                        </w:rPr>
                        <w:t>Ir-Repubblika Ċeka</w:t>
                      </w:r>
                      <w:r>
                        <w:rPr>
                          <w:sz w:val="18"/>
                          <w:szCs w:val="18"/>
                        </w:rPr>
                        <w:t xml:space="preserve"> - tiddeskrivi l-ġbir tad-data għall-indikatur addizzjonali tar-riżultati “in-numru ta’ parteċipanti li jispiċċaw attivitajiet iffokati fuq innovazzjonijiet” permezz tal-bażi ta’ data tal-operazzjonijiet. Issemmi wkoll stħarriġ mal-benefiċjarji ta’ proġetti appoġġati sabiex tinġabar informazzjoni dwar l-innovazzjoni.</w:t>
                      </w:r>
                    </w:p>
                    <w:p w:rsidR="005570DA" w:rsidRPr="00C202EC" w:rsidRDefault="005570DA" w:rsidP="00142A64">
                      <w:pPr>
                        <w:pStyle w:val="HStandard"/>
                        <w:rPr>
                          <w:b/>
                          <w:sz w:val="18"/>
                          <w:szCs w:val="18"/>
                        </w:rPr>
                      </w:pPr>
                      <w:r>
                        <w:rPr>
                          <w:b/>
                          <w:color w:val="F07E31"/>
                          <w:sz w:val="18"/>
                          <w:szCs w:val="18"/>
                        </w:rPr>
                        <w:t>Eżempji ta’ metodi</w:t>
                      </w:r>
                    </w:p>
                    <w:p w:rsidR="005570DA" w:rsidRPr="00C202EC" w:rsidRDefault="005570DA" w:rsidP="00C202EC">
                      <w:pPr>
                        <w:pStyle w:val="Hlistbullet"/>
                        <w:rPr>
                          <w:sz w:val="18"/>
                          <w:szCs w:val="18"/>
                        </w:rPr>
                      </w:pPr>
                      <w:r>
                        <w:rPr>
                          <w:b/>
                          <w:sz w:val="18"/>
                          <w:szCs w:val="18"/>
                        </w:rPr>
                        <w:t>Castilla y León (ES)</w:t>
                      </w:r>
                      <w:r>
                        <w:rPr>
                          <w:sz w:val="18"/>
                          <w:szCs w:val="18"/>
                        </w:rPr>
                        <w:t xml:space="preserve"> - tirrakkomanda li jiġi intervistat kull maniġer tal-miżura u li jiġu inklużi elementi ta’ data addizzjonali fis-sistema ta’ monitoraġġ li tippermetti l-valutazzjoni ta’ kif l-operazzjonijiet differenti jinkorporaw elementi innovattivi u jikkontribwixxu għall-objettivi tal-innovazzjoni.</w:t>
                      </w:r>
                    </w:p>
                    <w:p w:rsidR="005570DA" w:rsidRPr="00C202EC" w:rsidRDefault="005570DA" w:rsidP="00C202EC">
                      <w:pPr>
                        <w:pStyle w:val="Hlistbullet"/>
                      </w:pPr>
                      <w:r>
                        <w:rPr>
                          <w:b/>
                          <w:sz w:val="18"/>
                          <w:szCs w:val="18"/>
                        </w:rPr>
                        <w:t>Castilla la Mancha (ES)</w:t>
                      </w:r>
                      <w:r>
                        <w:rPr>
                          <w:sz w:val="18"/>
                          <w:szCs w:val="18"/>
                        </w:rPr>
                        <w:t xml:space="preserve"> - użat stħarriġ mibgħut lill-parteċipanti kollha tat-taħriġ sabiex tevalwa, </w:t>
                      </w:r>
                      <w:r>
                        <w:rPr>
                          <w:i/>
                          <w:sz w:val="18"/>
                          <w:szCs w:val="18"/>
                        </w:rPr>
                        <w:t>inter alia</w:t>
                      </w:r>
                      <w:r>
                        <w:rPr>
                          <w:sz w:val="18"/>
                          <w:szCs w:val="18"/>
                        </w:rPr>
                        <w:t>, il-kontribuzzjonijiet tat-trasferiment tal-għarfien u l-azzjonijiet ta’ informazzjoni għall-innovazzjoni. L-istħarriġ ippermetta li jiġu vvalutati sessjonijiet ta’ taħriġ innovattivi.</w:t>
                      </w:r>
                    </w:p>
                  </w:txbxContent>
                </v:textbox>
                <w10:anchorlock/>
              </v:shape>
            </w:pict>
          </mc:Fallback>
        </mc:AlternateContent>
      </w:r>
    </w:p>
    <w:p w:rsidR="00C202EC" w:rsidRPr="002B5B92" w:rsidRDefault="00C202EC">
      <w:pPr>
        <w:jc w:val="left"/>
        <w:rPr>
          <w:rFonts w:eastAsia="Times New Roman" w:cs="Times New Roman"/>
          <w:b/>
          <w:i/>
          <w:sz w:val="18"/>
          <w:szCs w:val="18"/>
        </w:rPr>
      </w:pPr>
      <w:r w:rsidRPr="002B5B92">
        <w:br w:type="page"/>
      </w:r>
    </w:p>
    <w:p w:rsidR="00A45935" w:rsidRPr="002B5B92" w:rsidRDefault="00A45935" w:rsidP="00AB16BB">
      <w:pPr>
        <w:pStyle w:val="ListParagraph"/>
        <w:numPr>
          <w:ilvl w:val="0"/>
          <w:numId w:val="55"/>
        </w:numPr>
        <w:spacing w:after="120" w:line="280" w:lineRule="atLeast"/>
        <w:ind w:left="567" w:hanging="567"/>
        <w:rPr>
          <w:rFonts w:eastAsia="Times New Roman" w:cs="Times New Roman"/>
          <w:b/>
          <w:szCs w:val="20"/>
        </w:rPr>
      </w:pPr>
      <w:r w:rsidRPr="002B5B92">
        <w:rPr>
          <w:b/>
          <w:szCs w:val="20"/>
        </w:rPr>
        <w:lastRenderedPageBreak/>
        <w:t xml:space="preserve">Riskji u soluzzjonijiet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33"/>
        <w:gridCol w:w="5097"/>
      </w:tblGrid>
      <w:tr w:rsidR="00A45935" w:rsidRPr="002B5B92" w:rsidTr="00E05D08">
        <w:tc>
          <w:tcPr>
            <w:tcW w:w="3833" w:type="dxa"/>
            <w:shd w:val="clear" w:color="auto" w:fill="F07E31"/>
            <w:hideMark/>
          </w:tcPr>
          <w:p w:rsidR="00A45935" w:rsidRPr="002B5B92" w:rsidRDefault="00A45935" w:rsidP="00E05D08">
            <w:pPr>
              <w:tabs>
                <w:tab w:val="left" w:pos="2070"/>
              </w:tabs>
              <w:spacing w:after="120" w:line="280" w:lineRule="atLeast"/>
              <w:mirrorIndents/>
              <w:jc w:val="center"/>
              <w:rPr>
                <w:b/>
                <w:color w:val="FFFFFF" w:themeColor="background1"/>
                <w:sz w:val="18"/>
                <w:szCs w:val="18"/>
              </w:rPr>
            </w:pPr>
            <w:r w:rsidRPr="002B5B92">
              <w:rPr>
                <w:b/>
                <w:color w:val="FFFFFF" w:themeColor="background1"/>
                <w:sz w:val="18"/>
                <w:szCs w:val="18"/>
              </w:rPr>
              <w:t>Riskji</w:t>
            </w:r>
          </w:p>
        </w:tc>
        <w:tc>
          <w:tcPr>
            <w:tcW w:w="5097" w:type="dxa"/>
            <w:shd w:val="clear" w:color="auto" w:fill="F07E31"/>
            <w:hideMark/>
          </w:tcPr>
          <w:p w:rsidR="00A45935" w:rsidRPr="002B5B92" w:rsidRDefault="00A45935" w:rsidP="00E05D08">
            <w:pPr>
              <w:spacing w:after="120" w:line="280" w:lineRule="atLeast"/>
              <w:mirrorIndents/>
              <w:jc w:val="center"/>
              <w:rPr>
                <w:b/>
                <w:color w:val="FFFFFF" w:themeColor="background1"/>
                <w:sz w:val="18"/>
                <w:szCs w:val="18"/>
              </w:rPr>
            </w:pPr>
            <w:r w:rsidRPr="002B5B92">
              <w:rPr>
                <w:b/>
                <w:color w:val="FFFFFF" w:themeColor="background1"/>
                <w:sz w:val="18"/>
                <w:szCs w:val="18"/>
              </w:rPr>
              <w:t>Soluzzjonijiet</w:t>
            </w:r>
          </w:p>
        </w:tc>
      </w:tr>
      <w:tr w:rsidR="00A45935" w:rsidRPr="002B5B92" w:rsidTr="00E05D08">
        <w:tc>
          <w:tcPr>
            <w:tcW w:w="3833" w:type="dxa"/>
          </w:tcPr>
          <w:p w:rsidR="00A45935" w:rsidRPr="002B5B92" w:rsidRDefault="00A45935" w:rsidP="007E63EF">
            <w:pPr>
              <w:spacing w:after="120" w:line="280" w:lineRule="atLeast"/>
              <w:ind w:left="164" w:right="49"/>
              <w:mirrorIndents/>
              <w:rPr>
                <w:sz w:val="18"/>
                <w:szCs w:val="18"/>
              </w:rPr>
            </w:pPr>
            <w:r w:rsidRPr="002B5B92">
              <w:rPr>
                <w:sz w:val="18"/>
                <w:szCs w:val="18"/>
              </w:rPr>
              <w:t>Xi oġġetti (eż. in-numru finali ta’ proġetti ta’ kooperazzjoni) jistgħu ma jkunux disponibbli sa wara t-tmiem tal-perjodu ta’ programmazzjoni.</w:t>
            </w:r>
          </w:p>
        </w:tc>
        <w:tc>
          <w:tcPr>
            <w:tcW w:w="5097" w:type="dxa"/>
          </w:tcPr>
          <w:p w:rsidR="00A45935" w:rsidRPr="002B5B92" w:rsidRDefault="00A45935" w:rsidP="007E63EF">
            <w:pPr>
              <w:spacing w:after="120" w:line="280" w:lineRule="atLeast"/>
              <w:ind w:left="164" w:right="49"/>
              <w:mirrorIndents/>
              <w:rPr>
                <w:sz w:val="18"/>
                <w:szCs w:val="18"/>
              </w:rPr>
            </w:pPr>
            <w:r w:rsidRPr="002B5B92">
              <w:rPr>
                <w:sz w:val="18"/>
                <w:szCs w:val="18"/>
              </w:rPr>
              <w:t>It-tipi ta’ strutturi ta’ kooperazzjoni/GO maħluqa (struttura legali, kompożizzjoni, dikjarazzjoni tal-impenn tal-imsieħba, eċċ.) jistgħu jiġu analizzati permezz ta’ valutazzjoni kwalitattiva bħala prokura għan-numru finali ta’ strutturi ta’ kooperazzjoni.</w:t>
            </w:r>
          </w:p>
        </w:tc>
      </w:tr>
      <w:tr w:rsidR="00A45935" w:rsidRPr="002B5B92" w:rsidTr="00E05D08">
        <w:tc>
          <w:tcPr>
            <w:tcW w:w="3833" w:type="dxa"/>
          </w:tcPr>
          <w:p w:rsidR="00A45935" w:rsidRPr="002B5B92" w:rsidRDefault="00A45935" w:rsidP="007E63EF">
            <w:pPr>
              <w:spacing w:after="120" w:line="280" w:lineRule="atLeast"/>
              <w:ind w:left="164" w:right="49"/>
              <w:mirrorIndents/>
              <w:rPr>
                <w:sz w:val="18"/>
                <w:szCs w:val="18"/>
              </w:rPr>
            </w:pPr>
            <w:r w:rsidRPr="002B5B92">
              <w:rPr>
                <w:sz w:val="18"/>
                <w:szCs w:val="18"/>
              </w:rPr>
              <w:t>L-informazzjoni dwar il-kompożizzjoni u t-tip ta’ msieħba fi proġetti ta’ kooperazzjoni jew partijiet ikkonċernati tal-innovazzjoni f’M1 u M2 ma tistax tiġi rreġistrata fid-data ta’ monitoraġġ.</w:t>
            </w:r>
          </w:p>
        </w:tc>
        <w:tc>
          <w:tcPr>
            <w:tcW w:w="5097" w:type="dxa"/>
          </w:tcPr>
          <w:p w:rsidR="00A45935" w:rsidRPr="002B5B92" w:rsidRDefault="00A45935" w:rsidP="007E63EF">
            <w:pPr>
              <w:spacing w:after="120" w:line="280" w:lineRule="atLeast"/>
              <w:ind w:left="164" w:right="49"/>
              <w:mirrorIndents/>
              <w:rPr>
                <w:sz w:val="18"/>
                <w:szCs w:val="18"/>
              </w:rPr>
            </w:pPr>
            <w:r w:rsidRPr="002B5B92">
              <w:rPr>
                <w:sz w:val="18"/>
                <w:szCs w:val="18"/>
              </w:rPr>
              <w:t>Il-kompożizzjoni u t-tipi ta’ msieħba jistgħu jiġu vvalutati bi stħarriġ u intervisti dwar l-operazzjonijiet appoġġati. Inkella, il-formoli ta’ applikazzjoni tal-operazzjonijiet appoġġati jistgħu jipprovdu data utli.</w:t>
            </w:r>
          </w:p>
        </w:tc>
      </w:tr>
      <w:tr w:rsidR="00A45935" w:rsidRPr="002B5B92" w:rsidTr="00E05D08">
        <w:tc>
          <w:tcPr>
            <w:tcW w:w="3833" w:type="dxa"/>
          </w:tcPr>
          <w:p w:rsidR="00A45935" w:rsidRPr="002B5B92" w:rsidRDefault="00A45935" w:rsidP="007E63EF">
            <w:pPr>
              <w:spacing w:after="120" w:line="280" w:lineRule="atLeast"/>
              <w:ind w:left="164" w:right="49"/>
              <w:mirrorIndents/>
              <w:rPr>
                <w:sz w:val="18"/>
                <w:szCs w:val="18"/>
              </w:rPr>
            </w:pPr>
            <w:r w:rsidRPr="002B5B92">
              <w:rPr>
                <w:sz w:val="18"/>
                <w:szCs w:val="18"/>
              </w:rPr>
              <w:t>It-tip ta’ innovazzjoni maħluqa u l-użu tagħha ma jistgħux jiġu rreġistrati fit-tabelli ta’ monitoraġġ.</w:t>
            </w:r>
          </w:p>
        </w:tc>
        <w:tc>
          <w:tcPr>
            <w:tcW w:w="5097" w:type="dxa"/>
          </w:tcPr>
          <w:p w:rsidR="00A45935" w:rsidRPr="002B5B92" w:rsidRDefault="00A45935" w:rsidP="007E63EF">
            <w:pPr>
              <w:spacing w:after="120" w:line="280" w:lineRule="atLeast"/>
              <w:ind w:left="164" w:right="49"/>
              <w:mirrorIndents/>
              <w:rPr>
                <w:sz w:val="18"/>
                <w:szCs w:val="18"/>
              </w:rPr>
            </w:pPr>
            <w:r w:rsidRPr="002B5B92">
              <w:rPr>
                <w:sz w:val="18"/>
                <w:szCs w:val="18"/>
              </w:rPr>
              <w:t xml:space="preserve">L-istħarriġ, il-gruppi fokus u l-intervisti ma’ gruppi operazzjonali jistgħu jgħinu sabiex jiġu stmati t-tipi ta’ innovazzjoni maħluqa. </w:t>
            </w:r>
          </w:p>
        </w:tc>
      </w:tr>
    </w:tbl>
    <w:p w:rsidR="00A45935" w:rsidRPr="002B5B92" w:rsidRDefault="00A45935" w:rsidP="00582F60">
      <w:pPr>
        <w:numPr>
          <w:ilvl w:val="0"/>
          <w:numId w:val="55"/>
        </w:numPr>
        <w:spacing w:before="120" w:after="120" w:line="280" w:lineRule="atLeast"/>
        <w:ind w:left="567" w:hanging="567"/>
        <w:mirrorIndents/>
        <w:rPr>
          <w:rFonts w:eastAsia="Times New Roman" w:cs="Times New Roman"/>
          <w:b/>
          <w:szCs w:val="20"/>
        </w:rPr>
      </w:pPr>
      <w:r w:rsidRPr="002B5B92">
        <w:rPr>
          <w:b/>
          <w:szCs w:val="20"/>
        </w:rPr>
        <w:t>Konklużjonijiet u rakkomandazzjonijiet</w:t>
      </w:r>
    </w:p>
    <w:p w:rsidR="00A45935" w:rsidRPr="002B5B92" w:rsidRDefault="00A45935" w:rsidP="00E05D08">
      <w:pPr>
        <w:spacing w:after="120" w:line="280" w:lineRule="atLeast"/>
        <w:mirrorIndents/>
        <w:rPr>
          <w:rFonts w:eastAsia="Calibri" w:cs="Times New Roman"/>
          <w:szCs w:val="20"/>
          <w:shd w:val="clear" w:color="auto" w:fill="FFFFFF"/>
        </w:rPr>
      </w:pPr>
      <w:r w:rsidRPr="002B5B92">
        <w:rPr>
          <w:szCs w:val="20"/>
          <w:shd w:val="clear" w:color="auto" w:fill="FFFFFF"/>
        </w:rPr>
        <w:t>Il-konklużjonijiet u r-rakkomandazzjonijiet għandhom jindirizzaw mill-inqas il-kwistjonijiet ta’ politika li ġejjin:</w:t>
      </w:r>
    </w:p>
    <w:p w:rsidR="00A45935" w:rsidRPr="002B5B92" w:rsidRDefault="00A45935" w:rsidP="00AB16BB">
      <w:pPr>
        <w:pStyle w:val="Hlistbullet"/>
        <w:rPr>
          <w:rFonts w:eastAsia="Calibri"/>
          <w:shd w:val="clear" w:color="auto" w:fill="FFFFFF"/>
        </w:rPr>
      </w:pPr>
      <w:r w:rsidRPr="002B5B92">
        <w:rPr>
          <w:b/>
          <w:shd w:val="clear" w:color="auto" w:fill="FFFFFF"/>
        </w:rPr>
        <w:t>Ir-realizzazzjoni tal-potenzjal tal-innovazzjoni</w:t>
      </w:r>
      <w:r w:rsidRPr="002B5B92">
        <w:rPr>
          <w:shd w:val="clear" w:color="auto" w:fill="FFFFFF"/>
        </w:rPr>
        <w:t xml:space="preserve"> (permezz tat-tliet perkorsi) tal-miżuri M1, M2, M16 u M19 u s-submiżuri identifikati tagħhom.</w:t>
      </w:r>
    </w:p>
    <w:p w:rsidR="00A45935" w:rsidRPr="002B5B92" w:rsidRDefault="00A45935" w:rsidP="00AB16BB">
      <w:pPr>
        <w:pStyle w:val="Hlistbullet"/>
        <w:rPr>
          <w:rFonts w:eastAsia="Calibri"/>
          <w:shd w:val="clear" w:color="auto" w:fill="FFFFFF"/>
        </w:rPr>
      </w:pPr>
      <w:r w:rsidRPr="002B5B92">
        <w:rPr>
          <w:b/>
          <w:shd w:val="clear" w:color="auto" w:fill="FFFFFF"/>
        </w:rPr>
        <w:t>L-effett tal-azzjonijiet ta’ taħriġ u informazzjoni</w:t>
      </w:r>
      <w:r w:rsidRPr="002B5B92">
        <w:rPr>
          <w:shd w:val="clear" w:color="auto" w:fill="FFFFFF"/>
        </w:rPr>
        <w:t xml:space="preserve"> taħt M1 u tas-servizzi ta’ konsulenza taħt M2 fuq il-bini tal-kapaċità għall-innovazzjoni.</w:t>
      </w:r>
    </w:p>
    <w:p w:rsidR="00A45935" w:rsidRPr="002B5B92" w:rsidRDefault="00A45935" w:rsidP="00AB16BB">
      <w:pPr>
        <w:pStyle w:val="Hlistbullet"/>
        <w:rPr>
          <w:rFonts w:eastAsia="Calibri"/>
          <w:shd w:val="clear" w:color="auto" w:fill="FFFFFF"/>
        </w:rPr>
      </w:pPr>
      <w:r w:rsidRPr="002B5B92">
        <w:rPr>
          <w:b/>
          <w:shd w:val="clear" w:color="auto" w:fill="FFFFFF"/>
        </w:rPr>
        <w:t>L-effett tal-proġetti ta’ kooperazzjoni</w:t>
      </w:r>
      <w:r w:rsidRPr="002B5B92">
        <w:rPr>
          <w:shd w:val="clear" w:color="auto" w:fill="FFFFFF"/>
        </w:rPr>
        <w:t>, speċjalment ta’ GO fuq l-appoġġ għall-innovazzjoni, b’mod aktar speċifiku:</w:t>
      </w:r>
    </w:p>
    <w:p w:rsidR="00A45935" w:rsidRPr="002B5B92" w:rsidRDefault="00A45935" w:rsidP="00AB16BB">
      <w:pPr>
        <w:pStyle w:val="Hlistbullet2"/>
        <w:rPr>
          <w:rFonts w:eastAsia="Calibri"/>
          <w:shd w:val="clear" w:color="auto" w:fill="FFFFFF"/>
        </w:rPr>
      </w:pPr>
      <w:r w:rsidRPr="002B5B92">
        <w:rPr>
          <w:shd w:val="clear" w:color="auto" w:fill="FFFFFF"/>
        </w:rPr>
        <w:t>In-numru, il-kamp ta’ applikazzjoni, il-kontenut u t-tul ta’ żmien tal-proġetti tal-GO jistgħu jipprovdu konklużjonijiet utli dwar l-identifikazzjoni ta’ ideat innovattivi li għandhom jitħaddmu fil-prattika;</w:t>
      </w:r>
    </w:p>
    <w:p w:rsidR="00A45935" w:rsidRPr="002B5B92" w:rsidRDefault="00A45935" w:rsidP="00AB16BB">
      <w:pPr>
        <w:pStyle w:val="Hlistbullet2"/>
        <w:rPr>
          <w:rFonts w:eastAsia="Calibri"/>
          <w:shd w:val="clear" w:color="auto" w:fill="FFFFFF"/>
        </w:rPr>
      </w:pPr>
      <w:r w:rsidRPr="002B5B92">
        <w:rPr>
          <w:shd w:val="clear" w:color="auto" w:fill="FFFFFF"/>
        </w:rPr>
        <w:t>In-numru u t-tip ta’ proġetti tal-GO, kif ukoll l-involviment tal-partijiet ikkonċernati tal-innovazzjoni jistgħu jippermettu li jsiru konklużjonijiet rilevanti dwar il-kisbiet tal-miżura ta’ kooperazzjoni fir-rigward tal-kapaċità ta’ innovazzjoni fiż-żoni rurali.</w:t>
      </w:r>
    </w:p>
    <w:p w:rsidR="00A45935" w:rsidRPr="002B5B92" w:rsidRDefault="00A45935" w:rsidP="00AB16BB">
      <w:pPr>
        <w:pStyle w:val="Hlistbullet2"/>
        <w:rPr>
          <w:rFonts w:eastAsia="Calibri"/>
          <w:shd w:val="clear" w:color="auto" w:fill="FFFFFF"/>
        </w:rPr>
      </w:pPr>
      <w:r w:rsidRPr="002B5B92">
        <w:rPr>
          <w:shd w:val="clear" w:color="auto" w:fill="FFFFFF"/>
        </w:rPr>
        <w:t xml:space="preserve">Konklużjonijiet dwar kemm il-proġetti tal-GO jipproduċu strutturi u proċeduri li jiffaċilitaw il-produzzjoni tal-innovazzjoni. </w:t>
      </w:r>
    </w:p>
    <w:p w:rsidR="00A45935" w:rsidRPr="002B5B92" w:rsidRDefault="00A45935" w:rsidP="008C0B17">
      <w:pPr>
        <w:numPr>
          <w:ilvl w:val="0"/>
          <w:numId w:val="88"/>
        </w:numPr>
        <w:tabs>
          <w:tab w:val="left" w:pos="426"/>
        </w:tabs>
        <w:ind w:left="426" w:hanging="284"/>
        <w:mirrorIndents/>
        <w:rPr>
          <w:rFonts w:eastAsia="Calibri"/>
          <w:szCs w:val="20"/>
          <w:shd w:val="clear" w:color="auto" w:fill="FFFFFF"/>
        </w:rPr>
      </w:pPr>
      <w:r w:rsidRPr="002B5B92">
        <w:rPr>
          <w:b/>
          <w:szCs w:val="20"/>
          <w:shd w:val="clear" w:color="auto" w:fill="FFFFFF"/>
        </w:rPr>
        <w:t xml:space="preserve">L-effetti tal-attivitajiet tal-GAL </w:t>
      </w:r>
      <w:r w:rsidRPr="002B5B92">
        <w:rPr>
          <w:szCs w:val="20"/>
          <w:shd w:val="clear" w:color="auto" w:fill="FFFFFF"/>
        </w:rPr>
        <w:t xml:space="preserve">(inkluża l-kooperazzjoni bejn il-GAL) u l-proġetti implimentati permezz tal-istrateġiji ta’ CLLD. </w:t>
      </w:r>
    </w:p>
    <w:p w:rsidR="00A45935" w:rsidRPr="002B5B92"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2B5B92">
        <w:rPr>
          <w:b/>
          <w:color w:val="57825E"/>
          <w:szCs w:val="20"/>
          <w:shd w:val="clear" w:color="auto" w:fill="FFFFFF"/>
        </w:rPr>
        <w:lastRenderedPageBreak/>
        <w:t>Aktar qari</w:t>
      </w:r>
    </w:p>
    <w:p w:rsidR="00A45935" w:rsidRPr="002B5B92" w:rsidRDefault="00A45935" w:rsidP="00E05D08">
      <w:pPr>
        <w:spacing w:after="120" w:line="280" w:lineRule="atLeast"/>
        <w:mirrorIndents/>
        <w:rPr>
          <w:rFonts w:eastAsia="Calibri" w:cs="Times New Roman"/>
          <w:szCs w:val="20"/>
        </w:rPr>
      </w:pPr>
      <w:r w:rsidRPr="002B5B92">
        <w:rPr>
          <w:rFonts w:eastAsia="Times New Roman" w:cs="Times New Roman"/>
          <w:noProof/>
          <w:sz w:val="18"/>
          <w:szCs w:val="24"/>
          <w:lang w:val="en-GB" w:eastAsia="en-GB"/>
        </w:rPr>
        <mc:AlternateContent>
          <mc:Choice Requires="wps">
            <w:drawing>
              <wp:inline distT="0" distB="0" distL="0" distR="0" wp14:anchorId="0DA68D3E" wp14:editId="49853414">
                <wp:extent cx="5633634" cy="1735810"/>
                <wp:effectExtent l="0" t="0" r="24765" b="17145"/>
                <wp:docPr id="5" name="Rectangle: Diagonal Corners Rounded 5"/>
                <wp:cNvGraphicFramePr/>
                <a:graphic xmlns:a="http://schemas.openxmlformats.org/drawingml/2006/main">
                  <a:graphicData uri="http://schemas.microsoft.com/office/word/2010/wordprocessingShape">
                    <wps:wsp>
                      <wps:cNvSpPr/>
                      <wps:spPr>
                        <a:xfrm>
                          <a:off x="0" y="0"/>
                          <a:ext cx="5633634" cy="1735810"/>
                        </a:xfrm>
                        <a:prstGeom prst="round2DiagRect">
                          <a:avLst>
                            <a:gd name="adj1" fmla="val 11556"/>
                            <a:gd name="adj2" fmla="val 0"/>
                          </a:avLst>
                        </a:prstGeom>
                        <a:noFill/>
                        <a:ln w="25400" cap="flat" cmpd="sng" algn="ctr">
                          <a:solidFill>
                            <a:srgbClr val="59638E"/>
                          </a:solidFill>
                          <a:prstDash val="solid"/>
                        </a:ln>
                        <a:effectLst/>
                      </wps:spPr>
                      <wps:txbx>
                        <w:txbxContent>
                          <w:p w:rsidR="005570DA" w:rsidRDefault="005570DA" w:rsidP="00E05D08">
                            <w:pPr>
                              <w:pStyle w:val="HStandard"/>
                              <w:rPr>
                                <w:color w:val="000000"/>
                                <w:sz w:val="18"/>
                              </w:rPr>
                            </w:pPr>
                            <w:r>
                              <w:rPr>
                                <w:noProof/>
                                <w:lang w:val="en-GB" w:eastAsia="en-GB"/>
                              </w:rPr>
                              <w:drawing>
                                <wp:inline distT="0" distB="0" distL="0" distR="0" wp14:anchorId="5F33D9B2" wp14:editId="63337008">
                                  <wp:extent cx="360465" cy="360000"/>
                                  <wp:effectExtent l="0" t="0" r="1905" b="2540"/>
                                  <wp:docPr id="742"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570DA" w:rsidRPr="00EB3015" w:rsidRDefault="005570DA" w:rsidP="00E05D08">
                            <w:pPr>
                              <w:pStyle w:val="HStandard"/>
                              <w:rPr>
                                <w:color w:val="000000"/>
                                <w:sz w:val="18"/>
                              </w:rPr>
                            </w:pPr>
                            <w:r>
                              <w:t>Linji gwida</w:t>
                            </w:r>
                            <w:r>
                              <w:rPr>
                                <w:color w:val="000000"/>
                                <w:sz w:val="18"/>
                              </w:rPr>
                              <w:t xml:space="preserve"> </w:t>
                            </w:r>
                            <w:hyperlink r:id="rId42" w:history="1">
                              <w:r>
                                <w:rPr>
                                  <w:rStyle w:val="Hyperlink"/>
                                  <w:sz w:val="18"/>
                                </w:rPr>
                                <w:t>Assessment of RDP Results:</w:t>
                              </w:r>
                            </w:hyperlink>
                            <w:hyperlink r:id="rId43" w:history="1">
                              <w:r>
                                <w:rPr>
                                  <w:rStyle w:val="Hyperlink"/>
                                  <w:sz w:val="18"/>
                                </w:rPr>
                                <w:t>How to Prepare for Reporting on Evaluation in 2017</w:t>
                              </w:r>
                            </w:hyperlink>
                            <w:r>
                              <w:rPr>
                                <w:sz w:val="18"/>
                              </w:rPr>
                              <w:t>, Anness 11;</w:t>
                            </w:r>
                            <w:r>
                              <w:rPr>
                                <w:color w:val="000000"/>
                                <w:sz w:val="18"/>
                              </w:rPr>
                              <w:t xml:space="preserve"> </w:t>
                            </w:r>
                          </w:p>
                          <w:p w:rsidR="005570DA" w:rsidRPr="00730192" w:rsidRDefault="005570DA" w:rsidP="00E05D08">
                            <w:pPr>
                              <w:pStyle w:val="HStandard"/>
                              <w:rPr>
                                <w:sz w:val="18"/>
                              </w:rPr>
                            </w:pPr>
                            <w:r>
                              <w:t xml:space="preserve">Dokument ta’ gwida </w:t>
                            </w:r>
                            <w:r>
                              <w:rPr>
                                <w:sz w:val="18"/>
                              </w:rPr>
                              <w:t>“</w:t>
                            </w:r>
                            <w:hyperlink r:id="rId44" w:history="1">
                              <w:r>
                                <w:rPr>
                                  <w:rStyle w:val="Hyperlink"/>
                                  <w:sz w:val="18"/>
                                </w:rPr>
                                <w:t>Cooperation measure</w:t>
                              </w:r>
                            </w:hyperlink>
                            <w:r>
                              <w:rPr>
                                <w:sz w:val="18"/>
                              </w:rPr>
                              <w:t>”, l-Art. 35 tar-Regolament (UE) Nru 1305/2013, Novembru 2014</w:t>
                            </w:r>
                          </w:p>
                          <w:p w:rsidR="005570DA" w:rsidRPr="009D62F4" w:rsidRDefault="005570DA" w:rsidP="00E05D08">
                            <w:pPr>
                              <w:pStyle w:val="HStandard"/>
                              <w:rPr>
                                <w:sz w:val="18"/>
                                <w:szCs w:val="18"/>
                              </w:rPr>
                            </w:pPr>
                            <w:r>
                              <w:rPr>
                                <w:sz w:val="18"/>
                              </w:rPr>
                              <w:t xml:space="preserve">Dokumenti mill-workshop tal-ENRD dwar M 16 “Kooperazzjoni”, Ġunju 2016, Brussell: </w:t>
                            </w:r>
                            <w:hyperlink r:id="rId45" w:history="1">
                              <w:r>
                                <w:rPr>
                                  <w:rStyle w:val="Hyperlink"/>
                                  <w:sz w:val="18"/>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A68D3E" id="Rectangle: Diagonal Corners Rounded 5" o:spid="_x0000_s1045" style="width:443.6pt;height:136.7pt;visibility:visible;mso-wrap-style:square;mso-left-percent:-10001;mso-top-percent:-10001;mso-position-horizontal:absolute;mso-position-horizontal-relative:char;mso-position-vertical:absolute;mso-position-vertical-relative:line;mso-left-percent:-10001;mso-top-percent:-10001;v-text-anchor:middle" coordsize="5633634,1735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" adj="-11796480,,5400" path="m200590,l5633634,r,l5633634,1535220v,110783,-89807,200590,-200590,200590l,1735810r,l,200590c,89807,89807,,200590,xe" filled="f" strokecolor="#59638e" strokeweight="2pt">
                <v:stroke joinstyle="miter"/>
                <v:formulas/>
                <v:path arrowok="t" o:connecttype="custom" o:connectlocs="200590,0;5633634,0;5633634,0;5633634,1535220;5433044,1735810;0,1735810;0,1735810;0,200590;200590,0" o:connectangles="0,0,0,0,0,0,0,0,0" textboxrect="0,0,5633634,1735810"/>
                <v:textbox>
                  <w:txbxContent>
                    <w:p w:rsidR="005570DA" w:rsidRDefault="005570DA" w:rsidP="00E05D08">
                      <w:pPr>
                        <w:pStyle w:val="HStandard"/>
                        <w:rPr>
                          <w:color w:val="000000"/>
                          <w:sz w:val="18"/>
                        </w:rPr>
                      </w:pPr>
                      <w:r>
                        <w:rPr>
                          <w:noProof/>
                          <w:lang w:val="en-GB" w:eastAsia="en-GB"/>
                        </w:rPr>
                        <w:drawing>
                          <wp:inline distT="0" distB="0" distL="0" distR="0" wp14:anchorId="5F33D9B2" wp14:editId="63337008">
                            <wp:extent cx="360465" cy="360000"/>
                            <wp:effectExtent l="0" t="0" r="1905" b="2540"/>
                            <wp:docPr id="742"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570DA" w:rsidRPr="00EB3015" w:rsidRDefault="005570DA" w:rsidP="00E05D08">
                      <w:pPr>
                        <w:pStyle w:val="HStandard"/>
                        <w:rPr>
                          <w:color w:val="000000"/>
                          <w:sz w:val="18"/>
                        </w:rPr>
                      </w:pPr>
                      <w:r>
                        <w:t>Linji gwida</w:t>
                      </w:r>
                      <w:r>
                        <w:rPr>
                          <w:color w:val="000000"/>
                          <w:sz w:val="18"/>
                        </w:rPr>
                        <w:t xml:space="preserve"> </w:t>
                      </w:r>
                      <w:hyperlink r:id="rId46" w:history="1">
                        <w:r>
                          <w:rPr>
                            <w:rStyle w:val="Hyperlink"/>
                            <w:sz w:val="18"/>
                          </w:rPr>
                          <w:t>Assessment of RDP Results:</w:t>
                        </w:r>
                      </w:hyperlink>
                      <w:hyperlink r:id="rId47" w:history="1">
                        <w:r>
                          <w:rPr>
                            <w:rStyle w:val="Hyperlink"/>
                            <w:sz w:val="18"/>
                          </w:rPr>
                          <w:t>How to Prepare for Reporting on Evaluation in 2017</w:t>
                        </w:r>
                      </w:hyperlink>
                      <w:r>
                        <w:rPr>
                          <w:sz w:val="18"/>
                        </w:rPr>
                        <w:t>, Anness 11;</w:t>
                      </w:r>
                      <w:r>
                        <w:rPr>
                          <w:color w:val="000000"/>
                          <w:sz w:val="18"/>
                        </w:rPr>
                        <w:t xml:space="preserve"> </w:t>
                      </w:r>
                    </w:p>
                    <w:p w:rsidR="005570DA" w:rsidRPr="00730192" w:rsidRDefault="005570DA" w:rsidP="00E05D08">
                      <w:pPr>
                        <w:pStyle w:val="HStandard"/>
                        <w:rPr>
                          <w:sz w:val="18"/>
                        </w:rPr>
                      </w:pPr>
                      <w:r>
                        <w:t xml:space="preserve">Dokument ta’ gwida </w:t>
                      </w:r>
                      <w:r>
                        <w:rPr>
                          <w:sz w:val="18"/>
                        </w:rPr>
                        <w:t>“</w:t>
                      </w:r>
                      <w:hyperlink r:id="rId48" w:history="1">
                        <w:r>
                          <w:rPr>
                            <w:rStyle w:val="Hyperlink"/>
                            <w:sz w:val="18"/>
                          </w:rPr>
                          <w:t>Cooperation measure</w:t>
                        </w:r>
                      </w:hyperlink>
                      <w:r>
                        <w:rPr>
                          <w:sz w:val="18"/>
                        </w:rPr>
                        <w:t>”, l-Art. 35 tar-Regolament (UE) Nru 1305/2013, Novembru 2014</w:t>
                      </w:r>
                    </w:p>
                    <w:p w:rsidR="005570DA" w:rsidRPr="009D62F4" w:rsidRDefault="005570DA" w:rsidP="00E05D08">
                      <w:pPr>
                        <w:pStyle w:val="HStandard"/>
                        <w:rPr>
                          <w:sz w:val="18"/>
                          <w:szCs w:val="18"/>
                        </w:rPr>
                      </w:pPr>
                      <w:r>
                        <w:rPr>
                          <w:sz w:val="18"/>
                        </w:rPr>
                        <w:t xml:space="preserve">Dokumenti mill-workshop tal-ENRD dwar M 16 “Kooperazzjoni”, Ġunju 2016, Brussell: </w:t>
                      </w:r>
                      <w:hyperlink r:id="rId49" w:history="1">
                        <w:r>
                          <w:rPr>
                            <w:rStyle w:val="Hyperlink"/>
                            <w:sz w:val="18"/>
                          </w:rPr>
                          <w:t>http://enrd.ec.europa.eu/news-events/events/enrd-workshop-measure-16-cooperation_en</w:t>
                        </w:r>
                      </w:hyperlink>
                    </w:p>
                  </w:txbxContent>
                </v:textbox>
                <w10:anchorlock/>
              </v:shape>
            </w:pict>
          </mc:Fallback>
        </mc:AlternateContent>
      </w:r>
    </w:p>
    <w:p w:rsidR="00A45935" w:rsidRPr="002B5B92" w:rsidRDefault="00A45935" w:rsidP="009B603C">
      <w:pPr>
        <w:pStyle w:val="HHeading3"/>
        <w:numPr>
          <w:ilvl w:val="2"/>
          <w:numId w:val="119"/>
        </w:numPr>
        <w:tabs>
          <w:tab w:val="clear" w:pos="567"/>
        </w:tabs>
        <w:spacing w:line="280" w:lineRule="exact"/>
        <w:ind w:left="567" w:hanging="567"/>
      </w:pPr>
      <w:bookmarkStart w:id="111" w:name="_Toc501382132"/>
      <w:bookmarkStart w:id="112" w:name="_Toc508960922"/>
      <w:r w:rsidRPr="002B5B92">
        <w:t>CEQ nru. 2: “Sa liema punt l-interventi tal-PŻR appoġġaw it-tisħiħ tar-rabtiet bejn l-agrikoltura, il-produzzjoni tal-ikel, il-forestrija u r-riċerka u l-innovazzjoni, inkluż għall-fini ta’ ġestjoni u prestazzjoni ambjentali mtejba?”</w:t>
      </w:r>
      <w:bookmarkEnd w:id="111"/>
      <w:bookmarkEnd w:id="112"/>
    </w:p>
    <w:p w:rsidR="00A45935" w:rsidRPr="002B5B92"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2B5B92">
        <w:rPr>
          <w:b/>
          <w:color w:val="57825E"/>
          <w:szCs w:val="20"/>
          <w:shd w:val="clear" w:color="auto" w:fill="FFFFFF"/>
        </w:rPr>
        <w:t>Il-fehim tas-CEQ</w:t>
      </w:r>
    </w:p>
    <w:p w:rsidR="00A45935" w:rsidRPr="002B5B92" w:rsidRDefault="00A45935" w:rsidP="00E05D08">
      <w:pPr>
        <w:spacing w:after="120" w:line="280" w:lineRule="atLeast"/>
        <w:mirrorIndents/>
        <w:rPr>
          <w:rFonts w:eastAsia="Times New Roman" w:cs="Times New Roman"/>
          <w:szCs w:val="20"/>
        </w:rPr>
      </w:pPr>
      <w:r w:rsidRPr="002B5B92">
        <w:t>CEQ 2 hija primarjament marbuta ma’ M16 u l-10 submiżuri tagħha tal-Art. 35 - Kooperazzjoni</w:t>
      </w:r>
      <w:r w:rsidRPr="002B5B92">
        <w:rPr>
          <w:rFonts w:eastAsia="Times New Roman" w:cs="Arial"/>
          <w:szCs w:val="20"/>
          <w:vertAlign w:val="superscript"/>
          <w:lang w:eastAsia="de-DE"/>
        </w:rPr>
        <w:footnoteReference w:id="52"/>
      </w:r>
      <w:r w:rsidRPr="002B5B92">
        <w:t xml:space="preserve">. </w:t>
      </w:r>
      <w:r w:rsidRPr="002B5B92">
        <w:rPr>
          <w:b/>
          <w:szCs w:val="20"/>
        </w:rPr>
        <w:t>Ir-rabtiet bejn l-agrikoltura, il-produzzjoni tal-ikel, il-forestrija u r-riċerka u l-innovazzjoni</w:t>
      </w:r>
      <w:r w:rsidRPr="002B5B92">
        <w:t xml:space="preserve"> jistgħu jiġu promossi bi tliet modi</w:t>
      </w:r>
      <w:r w:rsidRPr="002B5B92">
        <w:rPr>
          <w:rFonts w:eastAsia="Times New Roman" w:cs="Times New Roman"/>
          <w:szCs w:val="20"/>
          <w:vertAlign w:val="superscript"/>
          <w:lang w:eastAsia="de-DE"/>
        </w:rPr>
        <w:footnoteReference w:id="53"/>
      </w:r>
      <w:r w:rsidRPr="002B5B92">
        <w:t>:</w:t>
      </w:r>
    </w:p>
    <w:p w:rsidR="00A45935" w:rsidRPr="002B5B92" w:rsidRDefault="00A45935" w:rsidP="008C0B17">
      <w:pPr>
        <w:numPr>
          <w:ilvl w:val="0"/>
          <w:numId w:val="25"/>
        </w:numPr>
        <w:spacing w:before="60" w:after="120" w:line="280" w:lineRule="atLeast"/>
        <w:ind w:left="567" w:hanging="567"/>
        <w:rPr>
          <w:rFonts w:eastAsia="Times New Roman" w:cs="Times New Roman"/>
          <w:szCs w:val="20"/>
        </w:rPr>
      </w:pPr>
      <w:r w:rsidRPr="002B5B92">
        <w:t>Il-kooperazzjoni bejn firxa wiesgħa ta’ atturi mis-settur agrikolu u forestali, il-katina alimentari u oħrajn li jikkontribwixxu biex jintlaħqu l-objettivi tal-politika ta’ żvilupp rurali, kif ukoll gruppi ta’ produtturi, kooperattivi u organizzazzjonijiet interprofessjonali;</w:t>
      </w:r>
    </w:p>
    <w:p w:rsidR="00A45935" w:rsidRPr="002B5B92" w:rsidRDefault="00A45935" w:rsidP="008C0B17">
      <w:pPr>
        <w:numPr>
          <w:ilvl w:val="0"/>
          <w:numId w:val="25"/>
        </w:numPr>
        <w:spacing w:before="60" w:after="120" w:line="280" w:lineRule="atLeast"/>
        <w:ind w:left="567" w:hanging="567"/>
        <w:rPr>
          <w:rFonts w:eastAsia="Times New Roman" w:cs="Times New Roman"/>
          <w:szCs w:val="20"/>
        </w:rPr>
      </w:pPr>
      <w:r w:rsidRPr="002B5B92">
        <w:t>Il-ħolqien ta’ raggruppamenti u netwerks, li huma forom aktar speċifiċi iżda importanti ta’ kooperazzjoni;</w:t>
      </w:r>
    </w:p>
    <w:p w:rsidR="00A45935" w:rsidRPr="002B5B92" w:rsidRDefault="00A45935" w:rsidP="008C0B17">
      <w:pPr>
        <w:numPr>
          <w:ilvl w:val="0"/>
          <w:numId w:val="25"/>
        </w:numPr>
        <w:spacing w:before="60" w:after="120" w:line="280" w:lineRule="atLeast"/>
        <w:ind w:left="567" w:hanging="567"/>
        <w:rPr>
          <w:rFonts w:eastAsia="Times New Roman" w:cs="Times New Roman"/>
          <w:szCs w:val="20"/>
        </w:rPr>
      </w:pPr>
      <w:r w:rsidRPr="002B5B92">
        <w:t>Il-ħolqien ta’ GO tal-EIP-AGRI, komponent ġdid tal-politika ta’ żvilupp rurali, bil-għan li r-riċerka u l-prattika jinġiebu aktar qrib xulxin.</w:t>
      </w:r>
    </w:p>
    <w:p w:rsidR="00A45935" w:rsidRPr="002B5B92" w:rsidRDefault="00A45935" w:rsidP="00E05D08">
      <w:pPr>
        <w:spacing w:after="120" w:line="280" w:lineRule="atLeast"/>
        <w:mirrorIndents/>
        <w:rPr>
          <w:rFonts w:eastAsia="Times New Roman" w:cs="Times New Roman"/>
          <w:szCs w:val="20"/>
        </w:rPr>
      </w:pPr>
      <w:r w:rsidRPr="002B5B92">
        <w:t>L-appoġġ tal-politika ta’ żvilupp rurali għal dawn il-forom ta’ kooperazzjoni evolva matul iż-żmien. Fil-perjodu ta’ programmazzjoni li għadda, kienu appoġġati forom speċifiċi ħafna ta’ kooperazzjoni (skemi ta’ kwalità tal-ikel u gruppi ta’ produtturi) jew kooperazzjoni f’livell lokali (taħt LEADER). Il-politika attwali tippromwovi r-rabtiet bejn firxa usa’ ta’ atturi u tagħti aktar flessibbiltà fl-ambitu u l-kompożizzjoni tal-attivitajiet ta’ kooperazzjoni. Billi tgħaqqad l-agrikoltura, il-forestrija u l-katina alimentari b’atturi tar-riċerka/l-innovazzjoni, il-politika ta’ żvilupp rurali tpoġġi enfasi qawwija fuq l-innovazzjoni bħala triq sabiex jintlaħqu l-objettivi tal-PŻR. Pereżempju:</w:t>
      </w:r>
    </w:p>
    <w:p w:rsidR="00A45935" w:rsidRPr="002B5B92" w:rsidRDefault="00A45935" w:rsidP="00AB16BB">
      <w:pPr>
        <w:pStyle w:val="Hlistbullet"/>
      </w:pPr>
      <w:r w:rsidRPr="002B5B92">
        <w:t>Ir-rabta bejn ir-riċerka u l-prattika tista’ tgħin biex tidentifika l-innovazzjoni li tista’ ttejjeb l-implimentazzjoni tal-programm u tikkontribwixxi għall-objettivi tal-PŻR.</w:t>
      </w:r>
    </w:p>
    <w:p w:rsidR="00EF1B0F" w:rsidRPr="002B5B92" w:rsidRDefault="00A45935" w:rsidP="00734B11">
      <w:pPr>
        <w:pStyle w:val="Hlistbullet"/>
      </w:pPr>
      <w:r w:rsidRPr="002B5B92">
        <w:t xml:space="preserve">L-enfasi fuq l-appoġġ offrut għall-proġetti ta’ kooperazzjoni minn konsulenti u servizzi ta’ appoġġ għall-innovazzjoni (inkluż l-appoġġ offrut minn NRN) </w:t>
      </w:r>
      <w:r w:rsidR="00C5764F" w:rsidRPr="002B5B92">
        <w:t>tista' t</w:t>
      </w:r>
      <w:r w:rsidRPr="002B5B92">
        <w:t>ikkontribwixx</w:t>
      </w:r>
      <w:r w:rsidR="00C5764F" w:rsidRPr="002B5B92">
        <w:t>i</w:t>
      </w:r>
      <w:r w:rsidRPr="002B5B92">
        <w:t xml:space="preserve"> għall-bini tal-kapaċità għall-innovazzjoni u għat-titjib tal-kompetittività u/jew tal-ambjent. </w:t>
      </w:r>
    </w:p>
    <w:p w:rsidR="00EF1B0F" w:rsidRPr="002B5B92" w:rsidRDefault="00A45935" w:rsidP="00734B11">
      <w:pPr>
        <w:pStyle w:val="Hlistbullet"/>
      </w:pPr>
      <w:r w:rsidRPr="002B5B92">
        <w:rPr>
          <w:b/>
        </w:rPr>
        <w:t>Il-kooperazzjoni għal ġestjoni u prestazzjoni ambjentali mtejba</w:t>
      </w:r>
      <w:r w:rsidRPr="002B5B92">
        <w:t xml:space="preserve"> hija fokus ieħor tas-CEQ nru. 2. Il-kamp ta’ applikazzjoni tal-proġetti ta’ kooperazzjoni jinkludi l-protezzjoni u t-titjib tar-riżorsi (ilma, ħamrija, arja), il-bijodiversità u l-ambjent naturali, kif ukoll il-mitigazzjoni tat-tibdil fil-</w:t>
      </w:r>
      <w:r w:rsidR="00ED27A4" w:rsidRPr="002B5B92">
        <w:lastRenderedPageBreak/>
        <w:t xml:space="preserve">klima u l-adattament għalih. Il-ġestjoni ambjentali għal finijiet ta’ tibdil fil-klima tista’ tinkludi </w:t>
      </w:r>
      <w:r w:rsidR="004C2E9B" w:rsidRPr="002B5B92">
        <w:rPr>
          <w:noProof/>
          <w:color w:val="auto"/>
          <w:sz w:val="18"/>
          <w:lang w:val="en-GB" w:eastAsia="en-GB"/>
        </w:rPr>
        <mc:AlternateContent>
          <mc:Choice Requires="wps">
            <w:drawing>
              <wp:anchor distT="0" distB="0" distL="114300" distR="114300" simplePos="0" relativeHeight="251723776" behindDoc="0" locked="0" layoutInCell="1" allowOverlap="1" wp14:anchorId="162BB1B8" wp14:editId="254D9A24">
                <wp:simplePos x="0" y="0"/>
                <wp:positionH relativeFrom="column">
                  <wp:posOffset>-163830</wp:posOffset>
                </wp:positionH>
                <wp:positionV relativeFrom="page">
                  <wp:posOffset>1173480</wp:posOffset>
                </wp:positionV>
                <wp:extent cx="5763260" cy="6468745"/>
                <wp:effectExtent l="0" t="0" r="27940" b="27305"/>
                <wp:wrapSquare wrapText="bothSides"/>
                <wp:docPr id="24" name="Rectangle: Diagonal Corners Rounded 24"/>
                <wp:cNvGraphicFramePr/>
                <a:graphic xmlns:a="http://schemas.openxmlformats.org/drawingml/2006/main">
                  <a:graphicData uri="http://schemas.microsoft.com/office/word/2010/wordprocessingShape">
                    <wps:wsp>
                      <wps:cNvSpPr/>
                      <wps:spPr>
                        <a:xfrm>
                          <a:off x="0" y="0"/>
                          <a:ext cx="5763260" cy="6468745"/>
                        </a:xfrm>
                        <a:prstGeom prst="round2DiagRect">
                          <a:avLst>
                            <a:gd name="adj1" fmla="val 5422"/>
                            <a:gd name="adj2" fmla="val 0"/>
                          </a:avLst>
                        </a:prstGeom>
                        <a:noFill/>
                        <a:ln w="25400" cap="flat" cmpd="sng" algn="ctr">
                          <a:solidFill>
                            <a:srgbClr val="F07E31"/>
                          </a:solidFill>
                          <a:prstDash val="solid"/>
                        </a:ln>
                        <a:effectLst/>
                      </wps:spPr>
                      <wps:txbx>
                        <w:txbxContent>
                          <w:p w:rsidR="005570DA" w:rsidRPr="007B4A6D" w:rsidRDefault="005570DA" w:rsidP="00E05D08">
                            <w:pPr>
                              <w:pStyle w:val="HStandard"/>
                              <w:ind w:left="567" w:hanging="567"/>
                              <w:rPr>
                                <w:b/>
                                <w:color w:val="648659"/>
                                <w:sz w:val="18"/>
                                <w:szCs w:val="18"/>
                              </w:rPr>
                            </w:pPr>
                            <w:r>
                              <w:rPr>
                                <w:noProof/>
                                <w:sz w:val="18"/>
                                <w:szCs w:val="18"/>
                                <w:lang w:val="en-GB" w:eastAsia="en-GB"/>
                              </w:rPr>
                              <w:drawing>
                                <wp:inline distT="0" distB="0" distL="0" distR="0" wp14:anchorId="398C2EC4" wp14:editId="51EAE90C">
                                  <wp:extent cx="353060" cy="359410"/>
                                  <wp:effectExtent l="0" t="0" r="8890" b="2540"/>
                                  <wp:docPr id="74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Eżempju: Il-miżuri ta’ kooperazzjoni użati għal ġestjoni ambjentali mtejba</w:t>
                            </w:r>
                          </w:p>
                          <w:p w:rsidR="005570DA" w:rsidRPr="007B4A6D" w:rsidRDefault="005570DA" w:rsidP="00E05D08">
                            <w:pPr>
                              <w:pStyle w:val="HStandard"/>
                              <w:rPr>
                                <w:sz w:val="18"/>
                                <w:szCs w:val="18"/>
                              </w:rPr>
                            </w:pPr>
                            <w:r>
                              <w:rPr>
                                <w:b/>
                                <w:sz w:val="18"/>
                                <w:szCs w:val="18"/>
                              </w:rPr>
                              <w:t>Il-Finlandja -</w:t>
                            </w:r>
                            <w:r>
                              <w:rPr>
                                <w:sz w:val="18"/>
                                <w:szCs w:val="18"/>
                              </w:rPr>
                              <w:t xml:space="preserve"> M16 tikkomplementa miżuri ta’ PŻR oħrajn sabiex jintlaħqu l-objettivi tal-prijoritajiet P4 u P5:</w:t>
                            </w:r>
                          </w:p>
                          <w:p w:rsidR="005570DA" w:rsidRPr="00055039" w:rsidRDefault="005570DA" w:rsidP="008C0B17">
                            <w:pPr>
                              <w:pStyle w:val="HStandard"/>
                              <w:numPr>
                                <w:ilvl w:val="0"/>
                                <w:numId w:val="24"/>
                              </w:numPr>
                              <w:ind w:left="567" w:hanging="567"/>
                              <w:rPr>
                                <w:sz w:val="18"/>
                                <w:szCs w:val="18"/>
                              </w:rPr>
                            </w:pPr>
                            <w:r>
                              <w:rPr>
                                <w:sz w:val="18"/>
                                <w:szCs w:val="18"/>
                              </w:rPr>
                              <w:t>58 % ta’ M16, kif ukoll partijiet ta’ M1 u M2, jintużaw għall-promozzjoni tal-effiċjenza fl-użu tal-enerġija;</w:t>
                            </w:r>
                          </w:p>
                          <w:p w:rsidR="005570DA" w:rsidRPr="00D66182" w:rsidRDefault="005570DA" w:rsidP="008C0B17">
                            <w:pPr>
                              <w:pStyle w:val="HStandard"/>
                              <w:numPr>
                                <w:ilvl w:val="0"/>
                                <w:numId w:val="24"/>
                              </w:numPr>
                              <w:ind w:left="567" w:hanging="567"/>
                              <w:rPr>
                                <w:sz w:val="18"/>
                                <w:szCs w:val="18"/>
                              </w:rPr>
                            </w:pPr>
                            <w:r>
                              <w:rPr>
                                <w:sz w:val="18"/>
                                <w:szCs w:val="18"/>
                              </w:rPr>
                              <w:t>49 % ta’ M16, kif ukoll partijiet ta’ M1 u M2, jintużaw għas-sekwestru u l-konservazzjoni tal-karbonju;</w:t>
                            </w:r>
                          </w:p>
                          <w:p w:rsidR="005570DA" w:rsidRPr="000E1D4B" w:rsidRDefault="005570DA" w:rsidP="008C0B17">
                            <w:pPr>
                              <w:pStyle w:val="HStandard"/>
                              <w:numPr>
                                <w:ilvl w:val="0"/>
                                <w:numId w:val="24"/>
                              </w:numPr>
                              <w:ind w:left="567" w:hanging="567"/>
                              <w:rPr>
                                <w:sz w:val="18"/>
                                <w:szCs w:val="18"/>
                              </w:rPr>
                            </w:pPr>
                            <w:r>
                              <w:rPr>
                                <w:sz w:val="18"/>
                                <w:szCs w:val="18"/>
                              </w:rPr>
                              <w:t>10 % ta’ M16, 84 % ta’ M4, kif ukoll partijiet ta’ M1 u M2, jintużaw għall-immaniġġjar tal-iskart u tas-sorsi ta’ enerġija rinnovabbli;</w:t>
                            </w:r>
                          </w:p>
                          <w:p w:rsidR="005570DA" w:rsidRPr="000E1D4B" w:rsidRDefault="005570DA" w:rsidP="008C0B17">
                            <w:pPr>
                              <w:pStyle w:val="HStandard"/>
                              <w:numPr>
                                <w:ilvl w:val="0"/>
                                <w:numId w:val="24"/>
                              </w:numPr>
                              <w:ind w:left="567" w:hanging="567"/>
                              <w:rPr>
                                <w:sz w:val="18"/>
                                <w:szCs w:val="18"/>
                              </w:rPr>
                            </w:pPr>
                            <w:r>
                              <w:rPr>
                                <w:sz w:val="18"/>
                                <w:szCs w:val="18"/>
                              </w:rPr>
                              <w:t>5.5 % ta’ M16, 89 % ta’ M4, kif ukoll partijiet ta’ M1 u M2, jintużaw għat-tnaqqis tal-emissjonijiet ta’ gassijiet serra u ammonijaka.</w:t>
                            </w:r>
                          </w:p>
                          <w:p w:rsidR="005570DA" w:rsidRPr="000E1D4B" w:rsidRDefault="005570DA" w:rsidP="00E05D08">
                            <w:pPr>
                              <w:pStyle w:val="HStandard"/>
                              <w:rPr>
                                <w:sz w:val="18"/>
                                <w:szCs w:val="18"/>
                              </w:rPr>
                            </w:pPr>
                            <w:r>
                              <w:rPr>
                                <w:sz w:val="18"/>
                                <w:szCs w:val="18"/>
                              </w:rPr>
                              <w:t>Is-submiżuri ta’ kooperazzjoni (eż. l-appoġġ għal proġetti pilota M16.2, l-appoġġ għal azzjonijiet konġunti għall-mitigazzjoni tat-tibdil fil-klima u l-adattament għalih u għal approċċi konġunti għal proġetti u prattiki ambjentali M16.5) għandhom impatti primarji fuq OP 4A-Ċ u OP 5A-E.</w:t>
                            </w:r>
                          </w:p>
                          <w:p w:rsidR="005570DA" w:rsidRPr="00AB16BB" w:rsidRDefault="005570DA" w:rsidP="00AB16BB">
                            <w:pPr>
                              <w:pStyle w:val="HSource"/>
                              <w:ind w:right="8"/>
                              <w:jc w:val="right"/>
                              <w:rPr>
                                <w:rFonts w:eastAsia="Calibri"/>
                                <w:sz w:val="14"/>
                                <w:szCs w:val="14"/>
                              </w:rPr>
                            </w:pPr>
                            <w:r>
                              <w:rPr>
                                <w:sz w:val="14"/>
                                <w:szCs w:val="14"/>
                              </w:rPr>
                              <w:t>Sors: ENRD (2016). Workshop dwar M 16 Kooperazzjoni</w:t>
                            </w:r>
                            <w:r>
                              <w:rPr>
                                <w:sz w:val="14"/>
                                <w:szCs w:val="14"/>
                                <w:vertAlign w:val="superscript"/>
                              </w:rPr>
                              <w:t>54</w:t>
                            </w:r>
                            <w:r>
                              <w:rPr>
                                <w:sz w:val="14"/>
                                <w:szCs w:val="14"/>
                              </w:rPr>
                              <w:t>.</w:t>
                            </w:r>
                          </w:p>
                          <w:p w:rsidR="005570DA" w:rsidRPr="007B4A6D" w:rsidRDefault="005570DA" w:rsidP="00235D46">
                            <w:pPr>
                              <w:pStyle w:val="HStandard"/>
                              <w:spacing w:after="0"/>
                              <w:ind w:left="567" w:hanging="567"/>
                              <w:rPr>
                                <w:b/>
                                <w:sz w:val="18"/>
                                <w:szCs w:val="18"/>
                              </w:rPr>
                            </w:pPr>
                            <w:r>
                              <w:rPr>
                                <w:b/>
                                <w:color w:val="F07E31"/>
                                <w:sz w:val="18"/>
                                <w:szCs w:val="18"/>
                              </w:rPr>
                              <w:t>Eżempju:</w:t>
                            </w:r>
                            <w:r>
                              <w:rPr>
                                <w:color w:val="F07E31"/>
                                <w:sz w:val="18"/>
                                <w:szCs w:val="18"/>
                              </w:rPr>
                              <w:t xml:space="preserve"> </w:t>
                            </w:r>
                            <w:r>
                              <w:rPr>
                                <w:b/>
                                <w:color w:val="F07E31"/>
                                <w:sz w:val="18"/>
                                <w:szCs w:val="18"/>
                              </w:rPr>
                              <w:t>Ir-rabta bejn ir-riċerkaturi u l-bdiewa</w:t>
                            </w:r>
                            <w:r>
                              <w:rPr>
                                <w:color w:val="F07E31"/>
                                <w:sz w:val="18"/>
                                <w:szCs w:val="18"/>
                              </w:rPr>
                              <w:t xml:space="preserve"> </w:t>
                            </w:r>
                          </w:p>
                          <w:p w:rsidR="005570DA" w:rsidRPr="00D66182" w:rsidRDefault="005570DA" w:rsidP="00235D46">
                            <w:pPr>
                              <w:pStyle w:val="HStandard"/>
                              <w:rPr>
                                <w:sz w:val="18"/>
                                <w:szCs w:val="18"/>
                              </w:rPr>
                            </w:pPr>
                            <w:r>
                              <w:rPr>
                                <w:b/>
                                <w:sz w:val="18"/>
                                <w:szCs w:val="18"/>
                              </w:rPr>
                              <w:t>Il-Belġju</w:t>
                            </w:r>
                            <w:r>
                              <w:rPr>
                                <w:sz w:val="18"/>
                                <w:szCs w:val="18"/>
                              </w:rPr>
                              <w:t xml:space="preserve"> </w:t>
                            </w:r>
                            <w:r>
                              <w:rPr>
                                <w:b/>
                                <w:sz w:val="18"/>
                                <w:szCs w:val="18"/>
                              </w:rPr>
                              <w:t>-</w:t>
                            </w:r>
                            <w:r>
                              <w:rPr>
                                <w:sz w:val="18"/>
                                <w:szCs w:val="18"/>
                              </w:rPr>
                              <w:t xml:space="preserve"> stalla tal-ħnieżer innovattiva tgħin sabiex jitnaqqsu l-emissjonijiet ta’ ammonijaka. Ir-rabta bejn ir-riċerkaturi u l-bdiewa permezz ta’ servizzi ta’ appoġġ għall-innovazzjoni kienet fundamentali għall-iżvilupp u l-ittestjar ta’ dawn it-tekniki għat-tnaqqis tal-ammonijaka permezz taż-żieda ta’ batterji speċifiċi mad-demel tal-ħnieżer. Dan jikkontribwixxi wkoll sabiex jintlaħqu l-objettivi ambjentali tal-PŻR. </w:t>
                            </w:r>
                          </w:p>
                          <w:p w:rsidR="005570DA" w:rsidRPr="00AB16BB" w:rsidRDefault="005570DA" w:rsidP="00AB16BB">
                            <w:pPr>
                              <w:pStyle w:val="HStandard"/>
                              <w:jc w:val="right"/>
                              <w:rPr>
                                <w:sz w:val="14"/>
                                <w:szCs w:val="14"/>
                                <w:vertAlign w:val="superscript"/>
                              </w:rPr>
                            </w:pPr>
                            <w:r>
                              <w:rPr>
                                <w:i/>
                                <w:sz w:val="14"/>
                                <w:szCs w:val="14"/>
                              </w:rPr>
                              <w:t>Sors: EIP – Punt ta’ Servizz</w:t>
                            </w:r>
                            <w:r>
                              <w:rPr>
                                <w:i/>
                                <w:sz w:val="14"/>
                                <w:szCs w:val="14"/>
                                <w:vertAlign w:val="superscript"/>
                              </w:rPr>
                              <w:t>55</w:t>
                            </w:r>
                          </w:p>
                          <w:p w:rsidR="005570DA" w:rsidRPr="007B4A6D" w:rsidRDefault="005570DA" w:rsidP="00235D46">
                            <w:pPr>
                              <w:pStyle w:val="HStandard"/>
                              <w:rPr>
                                <w:b/>
                                <w:color w:val="F07E31"/>
                                <w:sz w:val="18"/>
                                <w:szCs w:val="18"/>
                              </w:rPr>
                            </w:pPr>
                            <w:r>
                              <w:rPr>
                                <w:b/>
                                <w:color w:val="F07E31"/>
                                <w:sz w:val="18"/>
                                <w:szCs w:val="18"/>
                              </w:rPr>
                              <w:t xml:space="preserve">Eżempju: Is-servizzi ta’ appoġġ għall-innovazzjoni </w:t>
                            </w:r>
                          </w:p>
                          <w:p w:rsidR="005570DA" w:rsidRPr="007B4A6D" w:rsidRDefault="005570DA" w:rsidP="00235D46">
                            <w:pPr>
                              <w:pStyle w:val="HStandard"/>
                              <w:spacing w:after="0"/>
                              <w:rPr>
                                <w:b/>
                                <w:sz w:val="18"/>
                                <w:szCs w:val="18"/>
                              </w:rPr>
                            </w:pPr>
                            <w:r>
                              <w:rPr>
                                <w:b/>
                                <w:sz w:val="18"/>
                                <w:szCs w:val="18"/>
                              </w:rPr>
                              <w:t>Hessen (DE) -</w:t>
                            </w:r>
                            <w:r>
                              <w:rPr>
                                <w:sz w:val="18"/>
                                <w:szCs w:val="18"/>
                              </w:rPr>
                              <w:t xml:space="preserve"> is-servizzi ta’ appoġġ għall-innovazzjoni għenu sabiex tinbena l-kapaċità għall-innovazzjoni permezz ta’:</w:t>
                            </w:r>
                          </w:p>
                          <w:p w:rsidR="005570DA" w:rsidRPr="00055039" w:rsidRDefault="005570DA" w:rsidP="00235D46">
                            <w:pPr>
                              <w:pStyle w:val="HStandard"/>
                              <w:numPr>
                                <w:ilvl w:val="0"/>
                                <w:numId w:val="24"/>
                              </w:numPr>
                              <w:ind w:left="567" w:hanging="567"/>
                              <w:rPr>
                                <w:sz w:val="18"/>
                                <w:szCs w:val="18"/>
                              </w:rPr>
                            </w:pPr>
                            <w:r>
                              <w:rPr>
                                <w:sz w:val="18"/>
                                <w:szCs w:val="18"/>
                              </w:rPr>
                              <w:t>Appoġġ fl-implimentazzjoni ta’ M16,</w:t>
                            </w:r>
                          </w:p>
                          <w:p w:rsidR="005570DA" w:rsidRPr="00D66182" w:rsidRDefault="005570DA" w:rsidP="00235D46">
                            <w:pPr>
                              <w:pStyle w:val="HStandard"/>
                              <w:numPr>
                                <w:ilvl w:val="0"/>
                                <w:numId w:val="24"/>
                              </w:numPr>
                              <w:ind w:left="567" w:hanging="567"/>
                              <w:rPr>
                                <w:sz w:val="18"/>
                                <w:szCs w:val="18"/>
                              </w:rPr>
                            </w:pPr>
                            <w:r>
                              <w:rPr>
                                <w:sz w:val="18"/>
                                <w:szCs w:val="18"/>
                              </w:rPr>
                              <w:t>Informazzjoni u pubbliċità fir-reġjun,</w:t>
                            </w:r>
                          </w:p>
                          <w:p w:rsidR="005570DA" w:rsidRPr="000E1D4B" w:rsidRDefault="005570DA" w:rsidP="00235D46">
                            <w:pPr>
                              <w:pStyle w:val="HStandard"/>
                              <w:numPr>
                                <w:ilvl w:val="0"/>
                                <w:numId w:val="24"/>
                              </w:numPr>
                              <w:ind w:left="567" w:hanging="567"/>
                              <w:rPr>
                                <w:sz w:val="18"/>
                                <w:szCs w:val="18"/>
                              </w:rPr>
                            </w:pPr>
                            <w:r>
                              <w:rPr>
                                <w:sz w:val="18"/>
                                <w:szCs w:val="18"/>
                              </w:rPr>
                              <w:t>Netwerking bejn l-attivitajiet ta’ kooperazzjoni ġewwa Hessen fil-Ġermanja,</w:t>
                            </w:r>
                          </w:p>
                          <w:p w:rsidR="005570DA" w:rsidRPr="000E1D4B" w:rsidRDefault="005570DA" w:rsidP="00235D46">
                            <w:pPr>
                              <w:pStyle w:val="HStandard"/>
                              <w:numPr>
                                <w:ilvl w:val="0"/>
                                <w:numId w:val="24"/>
                              </w:numPr>
                              <w:ind w:left="567" w:hanging="567"/>
                              <w:rPr>
                                <w:sz w:val="18"/>
                                <w:szCs w:val="18"/>
                              </w:rPr>
                            </w:pPr>
                            <w:r>
                              <w:rPr>
                                <w:sz w:val="18"/>
                                <w:szCs w:val="18"/>
                              </w:rPr>
                              <w:t>Appoġġ għall-attivitajiet ta’ kooperazzjoni matul il-fażi ta’ tħejjija u implimentazzjoni.</w:t>
                            </w:r>
                          </w:p>
                          <w:p w:rsidR="005570DA" w:rsidRPr="00AB16BB" w:rsidRDefault="005570DA" w:rsidP="00AB16BB">
                            <w:pPr>
                              <w:pStyle w:val="HSource"/>
                              <w:spacing w:before="0" w:after="0"/>
                              <w:ind w:right="11"/>
                              <w:jc w:val="right"/>
                              <w:rPr>
                                <w:rFonts w:eastAsia="Calibri"/>
                                <w:sz w:val="14"/>
                                <w:szCs w:val="14"/>
                              </w:rPr>
                            </w:pPr>
                            <w:r>
                              <w:rPr>
                                <w:sz w:val="14"/>
                                <w:szCs w:val="14"/>
                              </w:rPr>
                              <w:t xml:space="preserve">Sors: ENRD (2016) </w:t>
                            </w:r>
                          </w:p>
                          <w:p w:rsidR="005570DA" w:rsidRPr="00AB16BB" w:rsidRDefault="005570DA" w:rsidP="00AB16BB">
                            <w:pPr>
                              <w:pStyle w:val="HSource"/>
                              <w:spacing w:before="0" w:after="0"/>
                              <w:ind w:right="11"/>
                              <w:jc w:val="right"/>
                              <w:rPr>
                                <w:sz w:val="14"/>
                                <w:szCs w:val="14"/>
                              </w:rPr>
                            </w:pPr>
                            <w:r>
                              <w:rPr>
                                <w:sz w:val="14"/>
                                <w:szCs w:val="14"/>
                              </w:rPr>
                              <w:t>Workshop dwar M 16 Kooperazzjoni</w:t>
                            </w:r>
                            <w:r>
                              <w:rPr>
                                <w:sz w:val="14"/>
                                <w:szCs w:val="14"/>
                                <w:vertAlign w:val="superscript"/>
                              </w:rPr>
                              <w:t>56</w:t>
                            </w:r>
                            <w:r>
                              <w:rPr>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BB1B8" id="Rectangle: Diagonal Corners Rounded 24" o:spid="_x0000_s1046" style="position:absolute;left:0;text-align:left;margin-left:-12.9pt;margin-top:92.4pt;width:453.8pt;height:509.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63260,6468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" adj="-11796480,,5400" path="m312484,l5763260,r,l5763260,6156261v,172580,-139904,312484,-312484,312484l,6468745r,l,312484c,139904,139904,,312484,xe" filled="f" strokecolor="#f07e31" strokeweight="2pt">
                <v:stroke joinstyle="miter"/>
                <v:formulas/>
                <v:path arrowok="t" o:connecttype="custom" o:connectlocs="312484,0;5763260,0;5763260,0;5763260,6156261;5450776,6468745;0,6468745;0,6468745;0,312484;312484,0" o:connectangles="0,0,0,0,0,0,0,0,0" textboxrect="0,0,5763260,6468745"/>
                <v:textbox>
                  <w:txbxContent>
                    <w:p w:rsidR="005570DA" w:rsidRPr="007B4A6D" w:rsidRDefault="005570DA" w:rsidP="00E05D08">
                      <w:pPr>
                        <w:pStyle w:val="HStandard"/>
                        <w:ind w:left="567" w:hanging="567"/>
                        <w:rPr>
                          <w:b/>
                          <w:color w:val="648659"/>
                          <w:sz w:val="18"/>
                          <w:szCs w:val="18"/>
                        </w:rPr>
                      </w:pPr>
                      <w:r>
                        <w:rPr>
                          <w:noProof/>
                          <w:sz w:val="18"/>
                          <w:szCs w:val="18"/>
                          <w:lang w:val="en-GB" w:eastAsia="en-GB"/>
                        </w:rPr>
                        <w:drawing>
                          <wp:inline distT="0" distB="0" distL="0" distR="0" wp14:anchorId="398C2EC4" wp14:editId="51EAE90C">
                            <wp:extent cx="353060" cy="359410"/>
                            <wp:effectExtent l="0" t="0" r="8890" b="2540"/>
                            <wp:docPr id="74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Eżempju: Il-miżuri ta’ kooperazzjoni użati għal ġestjoni ambjentali mtejba</w:t>
                      </w:r>
                    </w:p>
                    <w:p w:rsidR="005570DA" w:rsidRPr="007B4A6D" w:rsidRDefault="005570DA" w:rsidP="00E05D08">
                      <w:pPr>
                        <w:pStyle w:val="HStandard"/>
                        <w:rPr>
                          <w:sz w:val="18"/>
                          <w:szCs w:val="18"/>
                        </w:rPr>
                      </w:pPr>
                      <w:r>
                        <w:rPr>
                          <w:b/>
                          <w:sz w:val="18"/>
                          <w:szCs w:val="18"/>
                        </w:rPr>
                        <w:t>Il-Finlandja -</w:t>
                      </w:r>
                      <w:r>
                        <w:rPr>
                          <w:sz w:val="18"/>
                          <w:szCs w:val="18"/>
                        </w:rPr>
                        <w:t xml:space="preserve"> M16 tikkomplementa miżuri ta’ PŻR oħrajn sabiex jintlaħqu l-objettivi tal-prijoritajiet P4 u P5:</w:t>
                      </w:r>
                    </w:p>
                    <w:p w:rsidR="005570DA" w:rsidRPr="00055039" w:rsidRDefault="005570DA" w:rsidP="008C0B17">
                      <w:pPr>
                        <w:pStyle w:val="HStandard"/>
                        <w:numPr>
                          <w:ilvl w:val="0"/>
                          <w:numId w:val="24"/>
                        </w:numPr>
                        <w:ind w:left="567" w:hanging="567"/>
                        <w:rPr>
                          <w:sz w:val="18"/>
                          <w:szCs w:val="18"/>
                        </w:rPr>
                      </w:pPr>
                      <w:r>
                        <w:rPr>
                          <w:sz w:val="18"/>
                          <w:szCs w:val="18"/>
                        </w:rPr>
                        <w:t>58 % ta’ M16, kif ukoll partijiet ta’ M1 u M2, jintużaw għall-promozzjoni tal-effiċjenza fl-użu tal-enerġija;</w:t>
                      </w:r>
                    </w:p>
                    <w:p w:rsidR="005570DA" w:rsidRPr="00D66182" w:rsidRDefault="005570DA" w:rsidP="008C0B17">
                      <w:pPr>
                        <w:pStyle w:val="HStandard"/>
                        <w:numPr>
                          <w:ilvl w:val="0"/>
                          <w:numId w:val="24"/>
                        </w:numPr>
                        <w:ind w:left="567" w:hanging="567"/>
                        <w:rPr>
                          <w:sz w:val="18"/>
                          <w:szCs w:val="18"/>
                        </w:rPr>
                      </w:pPr>
                      <w:r>
                        <w:rPr>
                          <w:sz w:val="18"/>
                          <w:szCs w:val="18"/>
                        </w:rPr>
                        <w:t>49 % ta’ M16, kif ukoll partijiet ta’ M1 u M2, jintużaw għas-sekwestru u l-konservazzjoni tal-karbonju;</w:t>
                      </w:r>
                    </w:p>
                    <w:p w:rsidR="005570DA" w:rsidRPr="000E1D4B" w:rsidRDefault="005570DA" w:rsidP="008C0B17">
                      <w:pPr>
                        <w:pStyle w:val="HStandard"/>
                        <w:numPr>
                          <w:ilvl w:val="0"/>
                          <w:numId w:val="24"/>
                        </w:numPr>
                        <w:ind w:left="567" w:hanging="567"/>
                        <w:rPr>
                          <w:sz w:val="18"/>
                          <w:szCs w:val="18"/>
                        </w:rPr>
                      </w:pPr>
                      <w:r>
                        <w:rPr>
                          <w:sz w:val="18"/>
                          <w:szCs w:val="18"/>
                        </w:rPr>
                        <w:t>10 % ta’ M16, 84 % ta’ M4, kif ukoll partijiet ta’ M1 u M2, jintużaw għall-immaniġġjar tal-iskart u tas-sorsi ta’ enerġija rinnovabbli;</w:t>
                      </w:r>
                    </w:p>
                    <w:p w:rsidR="005570DA" w:rsidRPr="000E1D4B" w:rsidRDefault="005570DA" w:rsidP="008C0B17">
                      <w:pPr>
                        <w:pStyle w:val="HStandard"/>
                        <w:numPr>
                          <w:ilvl w:val="0"/>
                          <w:numId w:val="24"/>
                        </w:numPr>
                        <w:ind w:left="567" w:hanging="567"/>
                        <w:rPr>
                          <w:sz w:val="18"/>
                          <w:szCs w:val="18"/>
                        </w:rPr>
                      </w:pPr>
                      <w:r>
                        <w:rPr>
                          <w:sz w:val="18"/>
                          <w:szCs w:val="18"/>
                        </w:rPr>
                        <w:t>5.5 % ta’ M16, 89 % ta’ M4, kif ukoll partijiet ta’ M1 u M2, jintużaw għat-tnaqqis tal-emissjonijiet ta’ gassijiet serra u ammonijaka.</w:t>
                      </w:r>
                    </w:p>
                    <w:p w:rsidR="005570DA" w:rsidRPr="000E1D4B" w:rsidRDefault="005570DA" w:rsidP="00E05D08">
                      <w:pPr>
                        <w:pStyle w:val="HStandard"/>
                        <w:rPr>
                          <w:sz w:val="18"/>
                          <w:szCs w:val="18"/>
                        </w:rPr>
                      </w:pPr>
                      <w:r>
                        <w:rPr>
                          <w:sz w:val="18"/>
                          <w:szCs w:val="18"/>
                        </w:rPr>
                        <w:t>Is-submiżuri ta’ kooperazzjoni (eż. l-appoġġ għal proġetti pilota M16.2, l-appoġġ għal azzjonijiet konġunti għall-mitigazzjoni tat-tibdil fil-klima u l-adattament għalih u għal approċċi konġunti għal proġetti u prattiki ambjentali M16.5) għandhom impatti primarji fuq OP 4A-Ċ u OP 5A-E.</w:t>
                      </w:r>
                    </w:p>
                    <w:p w:rsidR="005570DA" w:rsidRPr="00AB16BB" w:rsidRDefault="005570DA" w:rsidP="00AB16BB">
                      <w:pPr>
                        <w:pStyle w:val="HSource"/>
                        <w:ind w:right="8"/>
                        <w:jc w:val="right"/>
                        <w:rPr>
                          <w:rFonts w:eastAsia="Calibri"/>
                          <w:sz w:val="14"/>
                          <w:szCs w:val="14"/>
                        </w:rPr>
                      </w:pPr>
                      <w:r>
                        <w:rPr>
                          <w:sz w:val="14"/>
                          <w:szCs w:val="14"/>
                        </w:rPr>
                        <w:t>Sors: ENRD (2016). Workshop dwar M 16 Kooperazzjoni</w:t>
                      </w:r>
                      <w:r>
                        <w:rPr>
                          <w:sz w:val="14"/>
                          <w:szCs w:val="14"/>
                          <w:vertAlign w:val="superscript"/>
                        </w:rPr>
                        <w:t>54</w:t>
                      </w:r>
                      <w:r>
                        <w:rPr>
                          <w:sz w:val="14"/>
                          <w:szCs w:val="14"/>
                        </w:rPr>
                        <w:t>.</w:t>
                      </w:r>
                    </w:p>
                    <w:p w:rsidR="005570DA" w:rsidRPr="007B4A6D" w:rsidRDefault="005570DA" w:rsidP="00235D46">
                      <w:pPr>
                        <w:pStyle w:val="HStandard"/>
                        <w:spacing w:after="0"/>
                        <w:ind w:left="567" w:hanging="567"/>
                        <w:rPr>
                          <w:b/>
                          <w:sz w:val="18"/>
                          <w:szCs w:val="18"/>
                        </w:rPr>
                      </w:pPr>
                      <w:r>
                        <w:rPr>
                          <w:b/>
                          <w:color w:val="F07E31"/>
                          <w:sz w:val="18"/>
                          <w:szCs w:val="18"/>
                        </w:rPr>
                        <w:t>Eżempju:</w:t>
                      </w:r>
                      <w:r>
                        <w:rPr>
                          <w:color w:val="F07E31"/>
                          <w:sz w:val="18"/>
                          <w:szCs w:val="18"/>
                        </w:rPr>
                        <w:t xml:space="preserve"> </w:t>
                      </w:r>
                      <w:r>
                        <w:rPr>
                          <w:b/>
                          <w:color w:val="F07E31"/>
                          <w:sz w:val="18"/>
                          <w:szCs w:val="18"/>
                        </w:rPr>
                        <w:t>Ir-rabta bejn ir-riċerkaturi u l-bdiewa</w:t>
                      </w:r>
                      <w:r>
                        <w:rPr>
                          <w:color w:val="F07E31"/>
                          <w:sz w:val="18"/>
                          <w:szCs w:val="18"/>
                        </w:rPr>
                        <w:t xml:space="preserve"> </w:t>
                      </w:r>
                    </w:p>
                    <w:p w:rsidR="005570DA" w:rsidRPr="00D66182" w:rsidRDefault="005570DA" w:rsidP="00235D46">
                      <w:pPr>
                        <w:pStyle w:val="HStandard"/>
                        <w:rPr>
                          <w:sz w:val="18"/>
                          <w:szCs w:val="18"/>
                        </w:rPr>
                      </w:pPr>
                      <w:r>
                        <w:rPr>
                          <w:b/>
                          <w:sz w:val="18"/>
                          <w:szCs w:val="18"/>
                        </w:rPr>
                        <w:t>Il-Belġju</w:t>
                      </w:r>
                      <w:r>
                        <w:rPr>
                          <w:sz w:val="18"/>
                          <w:szCs w:val="18"/>
                        </w:rPr>
                        <w:t xml:space="preserve"> </w:t>
                      </w:r>
                      <w:r>
                        <w:rPr>
                          <w:b/>
                          <w:sz w:val="18"/>
                          <w:szCs w:val="18"/>
                        </w:rPr>
                        <w:t>-</w:t>
                      </w:r>
                      <w:r>
                        <w:rPr>
                          <w:sz w:val="18"/>
                          <w:szCs w:val="18"/>
                        </w:rPr>
                        <w:t xml:space="preserve"> stalla tal-ħnieżer innovattiva tgħin sabiex jitnaqqsu l-emissjonijiet ta’ ammonijaka. Ir-rabta bejn ir-riċerkaturi u l-bdiewa permezz ta’ servizzi ta’ appoġġ għall-innovazzjoni kienet fundamentali għall-iżvilupp u l-ittestjar ta’ dawn it-tekniki għat-tnaqqis tal-ammonijaka permezz taż-żieda ta’ batterji speċifiċi mad-demel tal-ħnieżer. Dan jikkontribwixxi wkoll sabiex jintlaħqu l-objettivi ambjentali tal-PŻR. </w:t>
                      </w:r>
                    </w:p>
                    <w:p w:rsidR="005570DA" w:rsidRPr="00AB16BB" w:rsidRDefault="005570DA" w:rsidP="00AB16BB">
                      <w:pPr>
                        <w:pStyle w:val="HStandard"/>
                        <w:jc w:val="right"/>
                        <w:rPr>
                          <w:sz w:val="14"/>
                          <w:szCs w:val="14"/>
                          <w:vertAlign w:val="superscript"/>
                        </w:rPr>
                      </w:pPr>
                      <w:r>
                        <w:rPr>
                          <w:i/>
                          <w:sz w:val="14"/>
                          <w:szCs w:val="14"/>
                        </w:rPr>
                        <w:t>Sors: EIP – Punt ta’ Servizz</w:t>
                      </w:r>
                      <w:r>
                        <w:rPr>
                          <w:i/>
                          <w:sz w:val="14"/>
                          <w:szCs w:val="14"/>
                          <w:vertAlign w:val="superscript"/>
                        </w:rPr>
                        <w:t>55</w:t>
                      </w:r>
                    </w:p>
                    <w:p w:rsidR="005570DA" w:rsidRPr="007B4A6D" w:rsidRDefault="005570DA" w:rsidP="00235D46">
                      <w:pPr>
                        <w:pStyle w:val="HStandard"/>
                        <w:rPr>
                          <w:b/>
                          <w:color w:val="F07E31"/>
                          <w:sz w:val="18"/>
                          <w:szCs w:val="18"/>
                        </w:rPr>
                      </w:pPr>
                      <w:r>
                        <w:rPr>
                          <w:b/>
                          <w:color w:val="F07E31"/>
                          <w:sz w:val="18"/>
                          <w:szCs w:val="18"/>
                        </w:rPr>
                        <w:t xml:space="preserve">Eżempju: Is-servizzi ta’ appoġġ għall-innovazzjoni </w:t>
                      </w:r>
                    </w:p>
                    <w:p w:rsidR="005570DA" w:rsidRPr="007B4A6D" w:rsidRDefault="005570DA" w:rsidP="00235D46">
                      <w:pPr>
                        <w:pStyle w:val="HStandard"/>
                        <w:spacing w:after="0"/>
                        <w:rPr>
                          <w:b/>
                          <w:sz w:val="18"/>
                          <w:szCs w:val="18"/>
                        </w:rPr>
                      </w:pPr>
                      <w:r>
                        <w:rPr>
                          <w:b/>
                          <w:sz w:val="18"/>
                          <w:szCs w:val="18"/>
                        </w:rPr>
                        <w:t>Hessen (DE) -</w:t>
                      </w:r>
                      <w:r>
                        <w:rPr>
                          <w:sz w:val="18"/>
                          <w:szCs w:val="18"/>
                        </w:rPr>
                        <w:t xml:space="preserve"> is-servizzi ta’ appoġġ għall-innovazzjoni għenu sabiex tinbena l-kapaċità għall-innovazzjoni permezz ta’:</w:t>
                      </w:r>
                    </w:p>
                    <w:p w:rsidR="005570DA" w:rsidRPr="00055039" w:rsidRDefault="005570DA" w:rsidP="00235D46">
                      <w:pPr>
                        <w:pStyle w:val="HStandard"/>
                        <w:numPr>
                          <w:ilvl w:val="0"/>
                          <w:numId w:val="24"/>
                        </w:numPr>
                        <w:ind w:left="567" w:hanging="567"/>
                        <w:rPr>
                          <w:sz w:val="18"/>
                          <w:szCs w:val="18"/>
                        </w:rPr>
                      </w:pPr>
                      <w:r>
                        <w:rPr>
                          <w:sz w:val="18"/>
                          <w:szCs w:val="18"/>
                        </w:rPr>
                        <w:t>Appoġġ fl-implimentazzjoni ta’ M16,</w:t>
                      </w:r>
                    </w:p>
                    <w:p w:rsidR="005570DA" w:rsidRPr="00D66182" w:rsidRDefault="005570DA" w:rsidP="00235D46">
                      <w:pPr>
                        <w:pStyle w:val="HStandard"/>
                        <w:numPr>
                          <w:ilvl w:val="0"/>
                          <w:numId w:val="24"/>
                        </w:numPr>
                        <w:ind w:left="567" w:hanging="567"/>
                        <w:rPr>
                          <w:sz w:val="18"/>
                          <w:szCs w:val="18"/>
                        </w:rPr>
                      </w:pPr>
                      <w:r>
                        <w:rPr>
                          <w:sz w:val="18"/>
                          <w:szCs w:val="18"/>
                        </w:rPr>
                        <w:t>Informazzjoni u pubbliċità fir-reġjun,</w:t>
                      </w:r>
                    </w:p>
                    <w:p w:rsidR="005570DA" w:rsidRPr="000E1D4B" w:rsidRDefault="005570DA" w:rsidP="00235D46">
                      <w:pPr>
                        <w:pStyle w:val="HStandard"/>
                        <w:numPr>
                          <w:ilvl w:val="0"/>
                          <w:numId w:val="24"/>
                        </w:numPr>
                        <w:ind w:left="567" w:hanging="567"/>
                        <w:rPr>
                          <w:sz w:val="18"/>
                          <w:szCs w:val="18"/>
                        </w:rPr>
                      </w:pPr>
                      <w:r>
                        <w:rPr>
                          <w:sz w:val="18"/>
                          <w:szCs w:val="18"/>
                        </w:rPr>
                        <w:t>Netwerking bejn l-attivitajiet ta’ kooperazzjoni ġewwa Hessen fil-Ġermanja,</w:t>
                      </w:r>
                    </w:p>
                    <w:p w:rsidR="005570DA" w:rsidRPr="000E1D4B" w:rsidRDefault="005570DA" w:rsidP="00235D46">
                      <w:pPr>
                        <w:pStyle w:val="HStandard"/>
                        <w:numPr>
                          <w:ilvl w:val="0"/>
                          <w:numId w:val="24"/>
                        </w:numPr>
                        <w:ind w:left="567" w:hanging="567"/>
                        <w:rPr>
                          <w:sz w:val="18"/>
                          <w:szCs w:val="18"/>
                        </w:rPr>
                      </w:pPr>
                      <w:r>
                        <w:rPr>
                          <w:sz w:val="18"/>
                          <w:szCs w:val="18"/>
                        </w:rPr>
                        <w:t>Appoġġ għall-attivitajiet ta’ kooperazzjoni matul il-fażi ta’ tħejjija u implimentazzjoni.</w:t>
                      </w:r>
                    </w:p>
                    <w:p w:rsidR="005570DA" w:rsidRPr="00AB16BB" w:rsidRDefault="005570DA" w:rsidP="00AB16BB">
                      <w:pPr>
                        <w:pStyle w:val="HSource"/>
                        <w:spacing w:before="0" w:after="0"/>
                        <w:ind w:right="11"/>
                        <w:jc w:val="right"/>
                        <w:rPr>
                          <w:rFonts w:eastAsia="Calibri"/>
                          <w:sz w:val="14"/>
                          <w:szCs w:val="14"/>
                        </w:rPr>
                      </w:pPr>
                      <w:r>
                        <w:rPr>
                          <w:sz w:val="14"/>
                          <w:szCs w:val="14"/>
                        </w:rPr>
                        <w:t xml:space="preserve">Sors: ENRD (2016) </w:t>
                      </w:r>
                    </w:p>
                    <w:p w:rsidR="005570DA" w:rsidRPr="00AB16BB" w:rsidRDefault="005570DA" w:rsidP="00AB16BB">
                      <w:pPr>
                        <w:pStyle w:val="HSource"/>
                        <w:spacing w:before="0" w:after="0"/>
                        <w:ind w:right="11"/>
                        <w:jc w:val="right"/>
                        <w:rPr>
                          <w:sz w:val="14"/>
                          <w:szCs w:val="14"/>
                        </w:rPr>
                      </w:pPr>
                      <w:r>
                        <w:rPr>
                          <w:sz w:val="14"/>
                          <w:szCs w:val="14"/>
                        </w:rPr>
                        <w:t>Workshop dwar M 16 Kooperazzjoni</w:t>
                      </w:r>
                      <w:r>
                        <w:rPr>
                          <w:sz w:val="14"/>
                          <w:szCs w:val="14"/>
                          <w:vertAlign w:val="superscript"/>
                        </w:rPr>
                        <w:t>56</w:t>
                      </w:r>
                      <w:r>
                        <w:rPr>
                          <w:sz w:val="14"/>
                          <w:szCs w:val="14"/>
                        </w:rPr>
                        <w:t xml:space="preserve">. </w:t>
                      </w:r>
                    </w:p>
                  </w:txbxContent>
                </v:textbox>
                <w10:wrap type="square" anchory="page"/>
              </v:shape>
            </w:pict>
          </mc:Fallback>
        </mc:AlternateContent>
      </w:r>
      <w:r w:rsidR="00ED27A4" w:rsidRPr="002B5B92">
        <w:t>azzjonijiet relatati mal-effiċjenza u l-iffrankar tal-ilma u tal-enerġija.</w:t>
      </w:r>
    </w:p>
    <w:p w:rsidR="00A45935" w:rsidRPr="002B5B92" w:rsidRDefault="00A66638" w:rsidP="00EF1B0F">
      <w:pPr>
        <w:pStyle w:val="Hlistbullet"/>
        <w:numPr>
          <w:ilvl w:val="0"/>
          <w:numId w:val="0"/>
        </w:numPr>
        <w:rPr>
          <w:color w:val="FFFFFF" w:themeColor="background1"/>
        </w:rPr>
      </w:pPr>
      <w:r w:rsidRPr="002B5B92">
        <w:rPr>
          <w:rStyle w:val="FootnoteReference"/>
          <w:color w:val="FFFFFF" w:themeColor="background1"/>
        </w:rPr>
        <w:footnoteReference w:id="54"/>
      </w:r>
      <w:r w:rsidRPr="002B5B92">
        <w:rPr>
          <w:color w:val="FFFFFF" w:themeColor="background1"/>
        </w:rPr>
        <w:t xml:space="preserve"> </w:t>
      </w:r>
      <w:r w:rsidRPr="002B5B92">
        <w:rPr>
          <w:rStyle w:val="FootnoteReference"/>
          <w:color w:val="FFFFFF" w:themeColor="background1"/>
        </w:rPr>
        <w:footnoteReference w:id="55"/>
      </w:r>
      <w:r w:rsidRPr="002B5B92">
        <w:rPr>
          <w:rStyle w:val="FootnoteReference"/>
          <w:color w:val="FFFFFF" w:themeColor="background1"/>
        </w:rPr>
        <w:footnoteReference w:id="56"/>
      </w:r>
    </w:p>
    <w:p w:rsidR="00A45935" w:rsidRPr="002B5B92"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sidRPr="002B5B92">
        <w:rPr>
          <w:b/>
          <w:color w:val="57825E"/>
          <w:szCs w:val="20"/>
          <w:shd w:val="clear" w:color="auto" w:fill="FFFFFF"/>
        </w:rPr>
        <w:t xml:space="preserve">Sfidi speċifiċi </w:t>
      </w:r>
    </w:p>
    <w:p w:rsidR="00A45935" w:rsidRPr="002B5B92" w:rsidRDefault="00A45935" w:rsidP="00AB16BB">
      <w:pPr>
        <w:pStyle w:val="Hlistbullet"/>
      </w:pPr>
      <w:r w:rsidRPr="002B5B92">
        <w:rPr>
          <w:b/>
          <w:shd w:val="clear" w:color="auto" w:fill="FFFFFF"/>
        </w:rPr>
        <w:t>L-iżvilupp ta’ elementi tal-evalwazzjoni speċifiċi għall-programmi u addizzjonali</w:t>
      </w:r>
      <w:r w:rsidRPr="002B5B92">
        <w:rPr>
          <w:shd w:val="clear" w:color="auto" w:fill="FFFFFF"/>
        </w:rPr>
        <w:t xml:space="preserve">: </w:t>
      </w:r>
      <w:r w:rsidRPr="002B5B92">
        <w:rPr>
          <w:color w:val="545454"/>
          <w:shd w:val="clear" w:color="auto" w:fill="FFFFFF"/>
        </w:rPr>
        <w:t xml:space="preserve">CEQ nru. 2 hija marbuta ma’ indikatur fil-mira wieħed komuni (T2: </w:t>
      </w:r>
      <w:r w:rsidRPr="002B5B92">
        <w:t xml:space="preserve">In-numru totali ta’ operazzjonijiet ta’ </w:t>
      </w:r>
      <w:r w:rsidRPr="002B5B92">
        <w:lastRenderedPageBreak/>
        <w:t xml:space="preserve">kooperazzjoni appoġġati taħt il-miżura ta’ kooperazzjoni) </w:t>
      </w:r>
      <w:r w:rsidRPr="002B5B92">
        <w:rPr>
          <w:color w:val="545454"/>
          <w:shd w:val="clear" w:color="auto" w:fill="FFFFFF"/>
        </w:rPr>
        <w:t>li jistgħu ma jkunux biżżejjed sabiex tiġi mwieġba s-CEQ.</w:t>
      </w:r>
    </w:p>
    <w:p w:rsidR="00A45935" w:rsidRPr="002B5B92" w:rsidRDefault="00A45935" w:rsidP="00AB16BB">
      <w:pPr>
        <w:pStyle w:val="Hlistbullet"/>
        <w:rPr>
          <w:rFonts w:eastAsia="Calibri"/>
          <w:shd w:val="clear" w:color="auto" w:fill="FFFFFF"/>
        </w:rPr>
      </w:pPr>
      <w:r w:rsidRPr="002B5B92">
        <w:rPr>
          <w:b/>
          <w:shd w:val="clear" w:color="auto" w:fill="FFFFFF"/>
        </w:rPr>
        <w:t xml:space="preserve">L-attribuzzjoni tal-bidliet osservati </w:t>
      </w:r>
      <w:r w:rsidRPr="002B5B92">
        <w:rPr>
          <w:shd w:val="clear" w:color="auto" w:fill="FFFFFF"/>
        </w:rPr>
        <w:t>għar-rabtiet bejn</w:t>
      </w:r>
      <w:r w:rsidRPr="002B5B92">
        <w:rPr>
          <w:b/>
          <w:shd w:val="clear" w:color="auto" w:fill="FFFFFF"/>
        </w:rPr>
        <w:t xml:space="preserve"> </w:t>
      </w:r>
      <w:r w:rsidRPr="002B5B92">
        <w:rPr>
          <w:shd w:val="clear" w:color="auto" w:fill="FFFFFF"/>
        </w:rPr>
        <w:t>l-agrikoltura, il-forestrija u r-riċerka u l-innovazzjoni. Dawn huma dawk marbuta mal-ġestjoni u l-prestazzjoni ambjentali</w:t>
      </w:r>
      <w:r w:rsidRPr="002B5B92">
        <w:rPr>
          <w:b/>
          <w:shd w:val="clear" w:color="auto" w:fill="FFFFFF"/>
        </w:rPr>
        <w:t xml:space="preserve">, </w:t>
      </w:r>
      <w:r w:rsidRPr="002B5B92">
        <w:rPr>
          <w:shd w:val="clear" w:color="auto" w:fill="FFFFFF"/>
        </w:rPr>
        <w:t xml:space="preserve">mal-miżura ta’ kooperazzjoni M16 u l-kontribut tagħha sabiex jintlaħqu l-objettivi tal-PŻR. </w:t>
      </w:r>
    </w:p>
    <w:p w:rsidR="00A45935" w:rsidRPr="002B5B92" w:rsidRDefault="00A45935" w:rsidP="00AB16BB">
      <w:pPr>
        <w:pStyle w:val="Hlistbullet"/>
        <w:rPr>
          <w:rFonts w:eastAsia="Calibri"/>
          <w:shd w:val="clear" w:color="auto" w:fill="FFFFFF"/>
        </w:rPr>
      </w:pPr>
      <w:r w:rsidRPr="002B5B92">
        <w:rPr>
          <w:b/>
          <w:shd w:val="clear" w:color="auto" w:fill="FFFFFF"/>
        </w:rPr>
        <w:t xml:space="preserve">Il-kopertura tal-kontribuzzjonijiet tal-miżuri pprogrammati taħt </w:t>
      </w:r>
      <w:r w:rsidR="00794C2E" w:rsidRPr="002B5B92">
        <w:rPr>
          <w:b/>
          <w:shd w:val="clear" w:color="auto" w:fill="FFFFFF"/>
        </w:rPr>
        <w:t>oqsma ta' prijorità</w:t>
      </w:r>
      <w:r w:rsidRPr="002B5B92">
        <w:rPr>
          <w:b/>
          <w:shd w:val="clear" w:color="auto" w:fill="FFFFFF"/>
        </w:rPr>
        <w:t xml:space="preserve"> oħrajn għajr 1B </w:t>
      </w:r>
      <w:r w:rsidRPr="002B5B92">
        <w:rPr>
          <w:shd w:val="clear" w:color="auto" w:fill="FFFFFF"/>
        </w:rPr>
        <w:t>(inklużi s-submiżuri ta’ M16) maħsuba għat-tisħiħ tar-rabtiet bejn</w:t>
      </w:r>
      <w:r w:rsidRPr="002B5B92">
        <w:rPr>
          <w:b/>
          <w:shd w:val="clear" w:color="auto" w:fill="FFFFFF"/>
        </w:rPr>
        <w:t xml:space="preserve"> </w:t>
      </w:r>
      <w:r w:rsidRPr="002B5B92">
        <w:rPr>
          <w:shd w:val="clear" w:color="auto" w:fill="FFFFFF"/>
        </w:rPr>
        <w:t xml:space="preserve">l-agrikoltura, il-forestrija, ir-riċerka u l-innovazzjoni, b’mod partikolari dawk marbuta mal-ġestjoni u l-prestazzjoni ambjentali. </w:t>
      </w:r>
    </w:p>
    <w:p w:rsidR="00A45935" w:rsidRPr="002B5B92"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2B5B92">
        <w:rPr>
          <w:b/>
          <w:color w:val="57825E"/>
          <w:szCs w:val="20"/>
          <w:shd w:val="clear" w:color="auto" w:fill="FFFFFF"/>
        </w:rPr>
        <w:t>Approċċ issuġġerit sabiex tiġi mwieġba s-CEQ nru. 2</w:t>
      </w:r>
    </w:p>
    <w:p w:rsidR="00A45935" w:rsidRPr="002B5B92" w:rsidRDefault="00A45935" w:rsidP="008C0B17">
      <w:pPr>
        <w:numPr>
          <w:ilvl w:val="0"/>
          <w:numId w:val="56"/>
        </w:numPr>
        <w:spacing w:before="120" w:after="120" w:line="280" w:lineRule="atLeast"/>
        <w:ind w:left="567" w:hanging="567"/>
        <w:mirrorIndents/>
        <w:rPr>
          <w:rFonts w:eastAsia="Times New Roman" w:cs="Times New Roman"/>
          <w:b/>
          <w:szCs w:val="20"/>
        </w:rPr>
      </w:pPr>
      <w:r w:rsidRPr="002B5B92">
        <w:rPr>
          <w:b/>
          <w:szCs w:val="20"/>
        </w:rPr>
        <w:t xml:space="preserve">Il-loġika tal-intervent </w:t>
      </w:r>
    </w:p>
    <w:p w:rsidR="00A45935" w:rsidRPr="002B5B92" w:rsidRDefault="00A45935" w:rsidP="00E05D08">
      <w:pPr>
        <w:spacing w:after="120" w:line="280" w:lineRule="atLeast"/>
        <w:mirrorIndents/>
        <w:rPr>
          <w:rFonts w:eastAsia="Times New Roman" w:cs="Times New Roman"/>
          <w:szCs w:val="20"/>
        </w:rPr>
      </w:pPr>
      <w:r w:rsidRPr="002B5B92">
        <w:t>Fl-eżempju ta’ hawn taħt, il-loġika tal-intervent marbuta mas-CEQ nru. 2 hija magħmula minn submiżuri ta’ M16 kif ipprogrammati taħt l-</w:t>
      </w:r>
      <w:r w:rsidR="00794C2E" w:rsidRPr="002B5B92">
        <w:t>OP</w:t>
      </w:r>
      <w:r w:rsidRPr="002B5B92">
        <w:t xml:space="preserve"> 1B jew taħt </w:t>
      </w:r>
      <w:r w:rsidR="00794C2E" w:rsidRPr="002B5B92">
        <w:t>oqsma ta' prijorità</w:t>
      </w:r>
      <w:r w:rsidRPr="002B5B92">
        <w:t xml:space="preserve"> oħrajn li jikkontribwixxu għall-objettivi ta’ </w:t>
      </w:r>
      <w:r w:rsidR="00794C2E" w:rsidRPr="002B5B92">
        <w:t>OP </w:t>
      </w:r>
      <w:r w:rsidRPr="002B5B92">
        <w:t xml:space="preserve">1B. </w:t>
      </w:r>
    </w:p>
    <w:p w:rsidR="00A45935" w:rsidRPr="002B5B92" w:rsidRDefault="00A45935" w:rsidP="00E05D08">
      <w:pPr>
        <w:spacing w:after="120" w:line="280" w:lineRule="atLeast"/>
        <w:mirrorIndents/>
        <w:rPr>
          <w:rFonts w:eastAsia="Times New Roman" w:cs="Times New Roman"/>
          <w:szCs w:val="20"/>
        </w:rPr>
      </w:pPr>
      <w:r w:rsidRPr="002B5B92">
        <w:t xml:space="preserve">Punt tat-tluq possibbli għar-rieżami tal-loġika tal-intervent huwa l-iskrinjar tal-potenzjal tal-innovazzjoni tas-submiżuri ta’ M16 għat-trawwim tal-innovazzjoni permezz tat-tliet perkorsi. </w:t>
      </w:r>
    </w:p>
    <w:p w:rsidR="00A45935" w:rsidRPr="002B5B92" w:rsidRDefault="00BE1F31" w:rsidP="00547012">
      <w:pPr>
        <w:pStyle w:val="HHeadingfigures"/>
      </w:pPr>
      <w:bookmarkStart w:id="113" w:name="_Toc508964969"/>
      <w:r w:rsidRPr="002B5B92">
        <w:t>Eżempju tal-potenzjal tal-innovazzjoni ta’ kull submiżura ta’ M16</w:t>
      </w:r>
      <w:bookmarkEnd w:id="113"/>
    </w:p>
    <w:p w:rsidR="00A45935" w:rsidRPr="002B5B92" w:rsidRDefault="0035138C" w:rsidP="002C2C15">
      <w:pPr>
        <w:spacing w:after="120" w:line="280" w:lineRule="atLeast"/>
        <w:mirrorIndents/>
        <w:jc w:val="center"/>
        <w:rPr>
          <w:rFonts w:eastAsia="Times New Roman" w:cs="Times New Roman"/>
          <w:szCs w:val="20"/>
          <w:lang w:eastAsia="de-DE"/>
        </w:rPr>
      </w:pPr>
      <w:r>
        <w:rPr>
          <w:noProof/>
          <w:lang w:val="en-GB" w:eastAsia="en-GB"/>
        </w:rPr>
        <w:drawing>
          <wp:inline distT="0" distB="0" distL="0" distR="0" wp14:anchorId="2D1F16B2" wp14:editId="1CB6664F">
            <wp:extent cx="5731510" cy="32386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0" cy="3238675"/>
                    </a:xfrm>
                    <a:prstGeom prst="rect">
                      <a:avLst/>
                    </a:prstGeom>
                  </pic:spPr>
                </pic:pic>
              </a:graphicData>
            </a:graphic>
          </wp:inline>
        </w:drawing>
      </w:r>
    </w:p>
    <w:p w:rsidR="00A45935" w:rsidRPr="002B5B92" w:rsidRDefault="00A45935" w:rsidP="00BD7227">
      <w:pPr>
        <w:suppressAutoHyphens/>
        <w:spacing w:before="60" w:after="140" w:line="240" w:lineRule="auto"/>
        <w:mirrorIndents/>
        <w:jc w:val="center"/>
        <w:rPr>
          <w:rFonts w:eastAsia="Times New Roman" w:cs="Times New Roman"/>
          <w:i/>
          <w:sz w:val="16"/>
          <w:szCs w:val="20"/>
        </w:rPr>
      </w:pPr>
      <w:r w:rsidRPr="002B5B92">
        <w:rPr>
          <w:i/>
          <w:sz w:val="16"/>
          <w:szCs w:val="20"/>
        </w:rPr>
        <w:t>Sors: Helpdesk Ewropew ta’ Evalwazzjoni għall-Iżvilupp Rurali, 2017</w:t>
      </w:r>
    </w:p>
    <w:p w:rsidR="00A45935" w:rsidRPr="002B5B92" w:rsidRDefault="00647766" w:rsidP="00E05D08">
      <w:pPr>
        <w:spacing w:after="120" w:line="280" w:lineRule="atLeast"/>
        <w:mirrorIndents/>
        <w:rPr>
          <w:rFonts w:eastAsia="Times New Roman" w:cs="Times New Roman"/>
          <w:szCs w:val="20"/>
        </w:rPr>
      </w:pPr>
      <w:r w:rsidRPr="002B5B92">
        <w:rPr>
          <w:rFonts w:eastAsia="Times New Roman" w:cs="Times New Roman"/>
          <w:noProof/>
          <w:sz w:val="18"/>
          <w:szCs w:val="24"/>
          <w:lang w:val="en-GB" w:eastAsia="en-GB"/>
        </w:rPr>
        <w:lastRenderedPageBreak/>
        <mc:AlternateContent>
          <mc:Choice Requires="wps">
            <w:drawing>
              <wp:anchor distT="0" distB="0" distL="114300" distR="114300" simplePos="0" relativeHeight="251724800" behindDoc="0" locked="0" layoutInCell="1" allowOverlap="1" wp14:anchorId="1C7FAEA8" wp14:editId="695C2138">
                <wp:simplePos x="0" y="0"/>
                <wp:positionH relativeFrom="column">
                  <wp:posOffset>-46635</wp:posOffset>
                </wp:positionH>
                <wp:positionV relativeFrom="paragraph">
                  <wp:posOffset>813844</wp:posOffset>
                </wp:positionV>
                <wp:extent cx="5733415" cy="1921510"/>
                <wp:effectExtent l="0" t="0" r="19685" b="21590"/>
                <wp:wrapSquare wrapText="bothSides"/>
                <wp:docPr id="83" name="Rectangle: Diagonal Corners Rounded 83"/>
                <wp:cNvGraphicFramePr/>
                <a:graphic xmlns:a="http://schemas.openxmlformats.org/drawingml/2006/main">
                  <a:graphicData uri="http://schemas.microsoft.com/office/word/2010/wordprocessingShape">
                    <wps:wsp>
                      <wps:cNvSpPr/>
                      <wps:spPr>
                        <a:xfrm>
                          <a:off x="0" y="0"/>
                          <a:ext cx="5733415" cy="1921510"/>
                        </a:xfrm>
                        <a:prstGeom prst="round2DiagRect">
                          <a:avLst>
                            <a:gd name="adj1" fmla="val 11556"/>
                            <a:gd name="adj2" fmla="val 0"/>
                          </a:avLst>
                        </a:prstGeom>
                        <a:noFill/>
                        <a:ln w="25400" cap="flat" cmpd="sng" algn="ctr">
                          <a:solidFill>
                            <a:srgbClr val="F07E31"/>
                          </a:solidFill>
                          <a:prstDash val="solid"/>
                        </a:ln>
                        <a:effectLst/>
                      </wps:spPr>
                      <wps:txbx>
                        <w:txbxContent>
                          <w:p w:rsidR="005570DA" w:rsidRPr="00A10ACC" w:rsidRDefault="005570DA" w:rsidP="00E05D08">
                            <w:pPr>
                              <w:pStyle w:val="HStandard"/>
                              <w:rPr>
                                <w:sz w:val="18"/>
                              </w:rPr>
                            </w:pPr>
                            <w:r>
                              <w:rPr>
                                <w:noProof/>
                                <w:lang w:val="en-GB" w:eastAsia="en-GB"/>
                              </w:rPr>
                              <w:drawing>
                                <wp:inline distT="0" distB="0" distL="0" distR="0" wp14:anchorId="7CBC6E97" wp14:editId="63EB9628">
                                  <wp:extent cx="353060" cy="359410"/>
                                  <wp:effectExtent l="0" t="0" r="8890" b="2540"/>
                                  <wp:docPr id="74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L-eżempju juri l-potenzjal tal-innovazzjoni tas-submiżuri ta’ M16 (kif jista’ jiġi pprogrammat taħt kwalunkwe OP ta’ żvilupp rurali) li jikkontribwixxu għall-objettiv ta’ politika ta’ OP 1B.</w:t>
                            </w:r>
                            <w:r>
                              <w:rPr>
                                <w:sz w:val="18"/>
                              </w:rPr>
                              <w:t xml:space="preserve"> Filwaqt li l-għaxar submiżuri kollha ta’ M16 jikkontribwixxu għat-tisħiħ tar-rabtiet bejn l-agrikoltura, il-produzzjoni tal-ikel, il-forestrija, ir-riċerka u l-innovazzjoni, huma biss is-submiżuri 5, 6, 8 u 9 li juru potenzjal li jikkontribwixxu għat-tisħiħ ta’ dawn ir-rabtiet għall-ġestjoni u l-prestazzjoni ambjentali. Fir-rigward tat-tliet perkorsi tal-innovazzjoni, is-submiżuri 1, 5, 6, 7 u 8 jinkoraġġixxu t-trawwim ta’ ideat innovattivi (Perkors 1). Is-submiżura 1 trawwem ukoll il-bini tal-kapaċitajiet u l-ħolqien ta’ ambjent favorevoli (Perkorsi 2 u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FAEA8" id="Rectangle: Diagonal Corners Rounded 83" o:spid="_x0000_s1047" style="position:absolute;left:0;text-align:left;margin-left:-3.65pt;margin-top:64.1pt;width:451.45pt;height:151.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3415,1921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" adj="-11796480,,5400" path="m222050,l5733415,r,l5733415,1699460v,122635,-99415,222050,-222050,222050l,1921510r,l,222050c,99415,99415,,222050,xe" filled="f" strokecolor="#f07e31" strokeweight="2pt">
                <v:stroke joinstyle="miter"/>
                <v:formulas/>
                <v:path arrowok="t" o:connecttype="custom" o:connectlocs="222050,0;5733415,0;5733415,0;5733415,1699460;5511365,1921510;0,1921510;0,1921510;0,222050;222050,0" o:connectangles="0,0,0,0,0,0,0,0,0" textboxrect="0,0,5733415,1921510"/>
                <v:textbox>
                  <w:txbxContent>
                    <w:p w:rsidR="005570DA" w:rsidRPr="00A10ACC" w:rsidRDefault="005570DA" w:rsidP="00E05D08">
                      <w:pPr>
                        <w:pStyle w:val="HStandard"/>
                        <w:rPr>
                          <w:sz w:val="18"/>
                        </w:rPr>
                      </w:pPr>
                      <w:r>
                        <w:rPr>
                          <w:noProof/>
                          <w:lang w:val="en-GB" w:eastAsia="en-GB"/>
                        </w:rPr>
                        <w:drawing>
                          <wp:inline distT="0" distB="0" distL="0" distR="0" wp14:anchorId="7CBC6E97" wp14:editId="63EB9628">
                            <wp:extent cx="353060" cy="359410"/>
                            <wp:effectExtent l="0" t="0" r="8890" b="2540"/>
                            <wp:docPr id="74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L-eżempju juri l-potenzjal tal-innovazzjoni tas-submiżuri ta’ M16 (kif jista’ jiġi pprogrammat taħt kwalunkwe OP ta’ żvilupp rurali) li jikkontribwixxu għall-objettiv ta’ politika ta’ OP 1B.</w:t>
                      </w:r>
                      <w:r>
                        <w:rPr>
                          <w:sz w:val="18"/>
                        </w:rPr>
                        <w:t xml:space="preserve"> Filwaqt li l-għaxar submiżuri kollha ta’ M16 jikkontribwixxu għat-tisħiħ tar-rabtiet bejn l-agrikoltura, il-produzzjoni tal-ikel, il-forestrija, ir-riċerka u l-innovazzjoni, huma biss is-submiżuri 5, 6, 8 u 9 li juru potenzjal li jikkontribwixxu għat-tisħiħ ta’ dawn ir-rabtiet għall-ġestjoni u l-prestazzjoni ambjentali. Fir-rigward tat-tliet perkorsi tal-innovazzjoni, is-submiżuri 1, 5, 6, 7 u 8 jinkoraġġixxu t-trawwim ta’ ideat innovattivi (Perkors 1). Is-submiżura 1 trawwem ukoll il-bini tal-kapaċitajiet u l-ħolqien ta’ ambjent favorevoli (Perkorsi 2 u 3).</w:t>
                      </w:r>
                    </w:p>
                  </w:txbxContent>
                </v:textbox>
                <w10:wrap type="square"/>
              </v:shape>
            </w:pict>
          </mc:Fallback>
        </mc:AlternateContent>
      </w:r>
      <w:r w:rsidRPr="002B5B92">
        <w:t xml:space="preserve">Barra minn hekk, is-submiżuri kollha ta’ M16 ipprogrammati taħt </w:t>
      </w:r>
      <w:r w:rsidR="00ED27A4" w:rsidRPr="002B5B92">
        <w:rPr>
          <w:sz w:val="18"/>
        </w:rPr>
        <w:t>oqsma ta' prijorità</w:t>
      </w:r>
      <w:r w:rsidRPr="002B5B92">
        <w:t xml:space="preserve"> oħrajn għajr </w:t>
      </w:r>
      <w:r w:rsidR="00ED27A4" w:rsidRPr="002B5B92">
        <w:t>OP</w:t>
      </w:r>
      <w:r w:rsidRPr="002B5B92">
        <w:t xml:space="preserve"> 1B għandhom jiġu inklużi fil-valutazzjoni tal-kisba tal-aspetti relatati mal-innovazzjoni tas-CEQ nru. 2. Pereżempju, jekk M16.1 tkun ipprogrammata taħt </w:t>
      </w:r>
      <w:r w:rsidR="00794C2E" w:rsidRPr="002B5B92">
        <w:t>OP</w:t>
      </w:r>
      <w:r w:rsidRPr="002B5B92">
        <w:t> 2A, il-kontribuzzjonijiet għar-rabtiet fost il-bdiewa, ir-riċerkaturi u l-konsulenti dwar l-innovazzjoni jistgħu jitqiesu fil-valutazzjoni tas-CEQ nru. 2.</w:t>
      </w:r>
    </w:p>
    <w:p w:rsidR="00A45935" w:rsidRPr="002B5B92" w:rsidRDefault="00A45935" w:rsidP="008C0B17">
      <w:pPr>
        <w:numPr>
          <w:ilvl w:val="0"/>
          <w:numId w:val="56"/>
        </w:numPr>
        <w:spacing w:before="120" w:after="120" w:line="280" w:lineRule="atLeast"/>
        <w:ind w:left="567" w:hanging="567"/>
        <w:mirrorIndents/>
        <w:rPr>
          <w:rFonts w:eastAsia="Times New Roman" w:cs="Times New Roman"/>
          <w:b/>
          <w:szCs w:val="20"/>
        </w:rPr>
      </w:pPr>
      <w:r w:rsidRPr="002B5B92">
        <w:rPr>
          <w:b/>
          <w:szCs w:val="20"/>
        </w:rPr>
        <w:t xml:space="preserve">Elementi tal-evalwazzjoni </w:t>
      </w:r>
    </w:p>
    <w:p w:rsidR="00A45935" w:rsidRPr="002B5B92" w:rsidRDefault="00734B11" w:rsidP="00E05D08">
      <w:pPr>
        <w:spacing w:after="120" w:line="280" w:lineRule="atLeast"/>
        <w:mirrorIndents/>
        <w:rPr>
          <w:rFonts w:eastAsia="Times New Roman" w:cs="Times New Roman"/>
          <w:szCs w:val="20"/>
        </w:rPr>
        <w:sectPr w:rsidR="00A45935" w:rsidRPr="002B5B92" w:rsidSect="00055039">
          <w:endnotePr>
            <w:numFmt w:val="decimal"/>
          </w:endnotePr>
          <w:type w:val="continuous"/>
          <w:pgSz w:w="11906" w:h="16838" w:code="9"/>
          <w:pgMar w:top="1134" w:right="1440" w:bottom="1440" w:left="1440" w:header="567" w:footer="1021" w:gutter="0"/>
          <w:cols w:space="708"/>
          <w:noEndnote/>
          <w:docGrid w:linePitch="360"/>
        </w:sectPr>
      </w:pPr>
      <w:r w:rsidRPr="002B5B92">
        <w:t>Il-kriterji komuni tal-ġudizzju u l-indikaturi komuni għas-CEQ nru. 2 jibqgħu fil-livell tal-output tal-operazzjonijiet taħt il-miżura ta’ kooperazzjoni. Jista’ jkun meħtieġ li jiġu żviluppati kriterji addizzjonali tal-ġudizzju u indikaturi addizzjonali sabiex jiġu vvalutati r-riżultati ta’ dawn il-miżuri. It-tabella ta’ hawn taħt telenka l-kriterji tal-ġudizzju, l-indikaturi u r-rekwiżiti ta’ data sabiex tiġi mwieġba s-CEQ nru. 2.</w:t>
      </w:r>
    </w:p>
    <w:p w:rsidR="00A45935" w:rsidRPr="002B5B92" w:rsidRDefault="00A45935" w:rsidP="009A2DAD">
      <w:pPr>
        <w:pStyle w:val="HHeadingtables"/>
        <w:rPr>
          <w:color w:val="6F6F6F"/>
          <w:sz w:val="18"/>
          <w:szCs w:val="18"/>
        </w:rPr>
      </w:pPr>
      <w:bookmarkStart w:id="114" w:name="_Toc508964834"/>
      <w:r w:rsidRPr="002B5B92">
        <w:rPr>
          <w:color w:val="6F6F6F"/>
          <w:sz w:val="18"/>
          <w:szCs w:val="18"/>
        </w:rPr>
        <w:lastRenderedPageBreak/>
        <w:t>Il-kriterji tal-ġudizzju, l-indikaturi u l-ħtiġijiet u s-sorsi tad-data</w:t>
      </w:r>
      <w:bookmarkEnd w:id="114"/>
    </w:p>
    <w:tbl>
      <w:tblPr>
        <w:tblStyle w:val="TableGrid"/>
        <w:tblW w:w="143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78"/>
        <w:gridCol w:w="3578"/>
        <w:gridCol w:w="3578"/>
        <w:gridCol w:w="3578"/>
      </w:tblGrid>
      <w:tr w:rsidR="00A45935" w:rsidRPr="002B5B92" w:rsidTr="00E05D08">
        <w:trPr>
          <w:tblHeader/>
        </w:trPr>
        <w:tc>
          <w:tcPr>
            <w:tcW w:w="3578" w:type="dxa"/>
            <w:shd w:val="clear" w:color="auto" w:fill="F07E31"/>
          </w:tcPr>
          <w:p w:rsidR="00A45935" w:rsidRPr="002B5B92" w:rsidRDefault="00A45935" w:rsidP="00E05D08">
            <w:pPr>
              <w:spacing w:after="120" w:line="280" w:lineRule="atLeast"/>
              <w:ind w:left="29" w:right="110"/>
              <w:mirrorIndents/>
              <w:jc w:val="center"/>
              <w:rPr>
                <w:rFonts w:cs="Arial"/>
                <w:b/>
                <w:color w:val="FFFFFF"/>
                <w:sz w:val="18"/>
                <w:szCs w:val="18"/>
              </w:rPr>
            </w:pPr>
            <w:r w:rsidRPr="002B5B92">
              <w:rPr>
                <w:b/>
                <w:color w:val="FFFFFF"/>
                <w:sz w:val="18"/>
                <w:szCs w:val="18"/>
              </w:rPr>
              <w:t>Kriterji tal-ġudizzju</w:t>
            </w:r>
          </w:p>
        </w:tc>
        <w:tc>
          <w:tcPr>
            <w:tcW w:w="3578" w:type="dxa"/>
            <w:shd w:val="clear" w:color="auto" w:fill="F07E31"/>
          </w:tcPr>
          <w:p w:rsidR="00A45935" w:rsidRPr="002B5B92" w:rsidRDefault="00A45935" w:rsidP="00E05D08">
            <w:pPr>
              <w:spacing w:after="120" w:line="280" w:lineRule="atLeast"/>
              <w:ind w:left="75" w:right="61"/>
              <w:mirrorIndents/>
              <w:jc w:val="center"/>
              <w:rPr>
                <w:rFonts w:cs="Arial"/>
                <w:b/>
                <w:color w:val="FFFFFF"/>
                <w:sz w:val="18"/>
                <w:szCs w:val="18"/>
              </w:rPr>
            </w:pPr>
            <w:r w:rsidRPr="002B5B92">
              <w:rPr>
                <w:b/>
                <w:color w:val="FFFFFF"/>
                <w:sz w:val="18"/>
                <w:szCs w:val="18"/>
              </w:rPr>
              <w:t>Indikaturi</w:t>
            </w:r>
          </w:p>
        </w:tc>
        <w:tc>
          <w:tcPr>
            <w:tcW w:w="3578" w:type="dxa"/>
            <w:shd w:val="clear" w:color="auto" w:fill="F07E31"/>
          </w:tcPr>
          <w:p w:rsidR="00A45935" w:rsidRPr="002B5B92" w:rsidRDefault="00A45935" w:rsidP="00E05D08">
            <w:pPr>
              <w:spacing w:after="120" w:line="280" w:lineRule="atLeast"/>
              <w:ind w:left="11" w:right="12"/>
              <w:mirrorIndents/>
              <w:jc w:val="center"/>
              <w:rPr>
                <w:rFonts w:cs="Arial"/>
                <w:b/>
                <w:color w:val="FFFFFF"/>
                <w:sz w:val="18"/>
                <w:szCs w:val="18"/>
              </w:rPr>
            </w:pPr>
            <w:r w:rsidRPr="002B5B92">
              <w:rPr>
                <w:b/>
                <w:color w:val="FFFFFF"/>
                <w:sz w:val="18"/>
                <w:szCs w:val="18"/>
              </w:rPr>
              <w:t>Ħtiġijiet ta’ data</w:t>
            </w:r>
          </w:p>
        </w:tc>
        <w:tc>
          <w:tcPr>
            <w:tcW w:w="3578" w:type="dxa"/>
            <w:shd w:val="clear" w:color="auto" w:fill="F07E31"/>
          </w:tcPr>
          <w:p w:rsidR="00A45935" w:rsidRPr="002B5B92" w:rsidRDefault="00A45935" w:rsidP="00E05D08">
            <w:pPr>
              <w:spacing w:after="120" w:line="280" w:lineRule="atLeast"/>
              <w:ind w:left="355" w:right="31"/>
              <w:mirrorIndents/>
              <w:jc w:val="center"/>
              <w:rPr>
                <w:rFonts w:cs="Arial"/>
                <w:b/>
                <w:color w:val="FFFFFF"/>
                <w:sz w:val="18"/>
                <w:szCs w:val="18"/>
              </w:rPr>
            </w:pPr>
            <w:r w:rsidRPr="002B5B92">
              <w:rPr>
                <w:b/>
                <w:color w:val="FFFFFF"/>
                <w:sz w:val="18"/>
                <w:szCs w:val="18"/>
              </w:rPr>
              <w:t>Sorsi tad-data</w:t>
            </w:r>
          </w:p>
        </w:tc>
      </w:tr>
      <w:tr w:rsidR="00A45935" w:rsidRPr="002B5B92" w:rsidTr="00406C98">
        <w:tc>
          <w:tcPr>
            <w:tcW w:w="14312" w:type="dxa"/>
            <w:gridSpan w:val="4"/>
            <w:tcBorders>
              <w:bottom w:val="single" w:sz="4" w:space="0" w:color="808080"/>
            </w:tcBorders>
            <w:shd w:val="clear" w:color="auto" w:fill="8BAB80"/>
          </w:tcPr>
          <w:p w:rsidR="00A45935" w:rsidRPr="002B5B92" w:rsidRDefault="00A45935" w:rsidP="00E05D08">
            <w:pPr>
              <w:spacing w:after="120" w:line="280" w:lineRule="atLeast"/>
              <w:ind w:left="355" w:right="31"/>
              <w:mirrorIndents/>
              <w:rPr>
                <w:rFonts w:cs="Arial"/>
                <w:b/>
                <w:color w:val="FFFFFF"/>
                <w:sz w:val="18"/>
                <w:szCs w:val="18"/>
              </w:rPr>
            </w:pPr>
            <w:r w:rsidRPr="002B5B92">
              <w:rPr>
                <w:b/>
                <w:color w:val="FFFFFF"/>
                <w:sz w:val="18"/>
                <w:szCs w:val="18"/>
              </w:rPr>
              <w:t>Elementi komuni tal-evalwazzjoni (CMES u proposti fid-Dokument ta’ ħidma “Mistoqsijiet komuni tal-evalwazzjoni 2014-2020”)</w:t>
            </w:r>
          </w:p>
        </w:tc>
      </w:tr>
      <w:tr w:rsidR="00A45935" w:rsidRPr="002B5B92" w:rsidTr="00406C98">
        <w:tc>
          <w:tcPr>
            <w:tcW w:w="3578" w:type="dxa"/>
            <w:tcBorders>
              <w:bottom w:val="nil"/>
            </w:tcBorders>
          </w:tcPr>
          <w:p w:rsidR="00A45935" w:rsidRPr="002B5B92" w:rsidRDefault="00A45935" w:rsidP="007E63EF">
            <w:pPr>
              <w:spacing w:after="120" w:line="280" w:lineRule="atLeast"/>
              <w:ind w:left="29" w:right="110"/>
              <w:mirrorIndents/>
              <w:jc w:val="left"/>
              <w:rPr>
                <w:rFonts w:cs="Arial"/>
                <w:sz w:val="18"/>
                <w:szCs w:val="18"/>
              </w:rPr>
            </w:pPr>
            <w:r w:rsidRPr="002B5B92">
              <w:rPr>
                <w:sz w:val="18"/>
                <w:szCs w:val="18"/>
              </w:rPr>
              <w:t>Ġiet stabbilita kollaborazzjoni fit-tul bejn l-agrikoltura, il-produzzjoni tal-ikel, l-entitajiet tal-forestrija u l-istituzzjonijiet għar-riċerka u l-innovazzjoni.</w:t>
            </w:r>
          </w:p>
        </w:tc>
        <w:tc>
          <w:tcPr>
            <w:tcW w:w="3578" w:type="dxa"/>
            <w:tcBorders>
              <w:bottom w:val="nil"/>
            </w:tcBorders>
          </w:tcPr>
          <w:p w:rsidR="00A45935" w:rsidRPr="002B5B92" w:rsidRDefault="00A45935" w:rsidP="007E63EF">
            <w:pPr>
              <w:spacing w:after="120" w:line="280" w:lineRule="atLeast"/>
              <w:ind w:left="75" w:right="61"/>
              <w:mirrorIndents/>
              <w:jc w:val="left"/>
              <w:rPr>
                <w:rFonts w:cs="Arial"/>
                <w:sz w:val="18"/>
                <w:szCs w:val="18"/>
              </w:rPr>
            </w:pPr>
            <w:r w:rsidRPr="002B5B92">
              <w:rPr>
                <w:sz w:val="18"/>
                <w:szCs w:val="18"/>
              </w:rPr>
              <w:t>T2: In-numru totali ta’ operazzjonijiet ta’ kooperazzjoni appoġġati taħt il-miżura ta’ kooperazzjoni (l-Art. 35 tar-Regolament (UE) Nru 1305/2013) (gruppi, netwerks/raggruppamenti, proġetti pilota).</w:t>
            </w:r>
          </w:p>
          <w:p w:rsidR="00A45935" w:rsidRPr="002B5B92" w:rsidRDefault="00A45935" w:rsidP="007E63EF">
            <w:pPr>
              <w:spacing w:after="120" w:line="280" w:lineRule="atLeast"/>
              <w:ind w:left="75" w:right="61"/>
              <w:mirrorIndents/>
              <w:jc w:val="left"/>
              <w:rPr>
                <w:rFonts w:cs="Arial"/>
                <w:sz w:val="18"/>
                <w:szCs w:val="18"/>
              </w:rPr>
            </w:pPr>
            <w:r w:rsidRPr="002B5B92">
              <w:rPr>
                <w:color w:val="57825E"/>
                <w:sz w:val="18"/>
                <w:szCs w:val="18"/>
                <w:u w:val="single"/>
              </w:rPr>
              <w:t>Indikatur addizzjonali:</w:t>
            </w:r>
            <w:r w:rsidRPr="002B5B92">
              <w:rPr>
                <w:color w:val="57825E"/>
                <w:sz w:val="18"/>
                <w:szCs w:val="18"/>
              </w:rPr>
              <w:t xml:space="preserve"> In-numru u t-tipi ta’ msieħba involuti fil-proġetti ta’ kooperazzjoni, inklużi r-rwoli u r-responsabbiltajiet tagħhom.</w:t>
            </w:r>
          </w:p>
        </w:tc>
        <w:tc>
          <w:tcPr>
            <w:tcW w:w="3578" w:type="dxa"/>
            <w:tcBorders>
              <w:bottom w:val="nil"/>
            </w:tcBorders>
          </w:tcPr>
          <w:p w:rsidR="00A45935" w:rsidRPr="002B5B92" w:rsidRDefault="00A45935" w:rsidP="007E63EF">
            <w:pPr>
              <w:spacing w:after="120" w:line="280" w:lineRule="atLeast"/>
              <w:ind w:left="11" w:right="12"/>
              <w:mirrorIndents/>
              <w:jc w:val="left"/>
              <w:rPr>
                <w:rFonts w:cs="Arial"/>
                <w:sz w:val="18"/>
                <w:szCs w:val="18"/>
              </w:rPr>
            </w:pPr>
            <w:r w:rsidRPr="002B5B92">
              <w:rPr>
                <w:sz w:val="18"/>
                <w:szCs w:val="18"/>
              </w:rPr>
              <w:t>In-numru ta’ operazzjonijiet tal-EIP (oġġett O.16).</w:t>
            </w:r>
          </w:p>
          <w:p w:rsidR="00A45935" w:rsidRPr="002B5B92" w:rsidRDefault="00A45935" w:rsidP="007E63EF">
            <w:pPr>
              <w:spacing w:after="120" w:line="280" w:lineRule="atLeast"/>
              <w:ind w:left="11" w:right="12"/>
              <w:mirrorIndents/>
              <w:jc w:val="left"/>
              <w:rPr>
                <w:rFonts w:cs="Arial"/>
                <w:sz w:val="18"/>
                <w:szCs w:val="18"/>
              </w:rPr>
            </w:pPr>
            <w:r w:rsidRPr="002B5B92">
              <w:rPr>
                <w:sz w:val="18"/>
                <w:szCs w:val="18"/>
              </w:rPr>
              <w:t>In-numru ta’ operazzjonijiet ta’ kooperazzjoni oħrajn (gruppi, netwerks/raggruppamenti, proġetti pilota) li għandhom jiġu appoġġati taħt M16 ‘Kooperazzjoni’ (oġġett O.17).</w:t>
            </w:r>
          </w:p>
          <w:p w:rsidR="00A45935" w:rsidRPr="002B5B92" w:rsidRDefault="00A45935" w:rsidP="007E63EF">
            <w:pPr>
              <w:spacing w:after="120" w:line="280" w:lineRule="atLeast"/>
              <w:ind w:left="11" w:right="12"/>
              <w:mirrorIndents/>
              <w:jc w:val="left"/>
              <w:rPr>
                <w:rFonts w:cs="Arial"/>
                <w:sz w:val="18"/>
                <w:szCs w:val="18"/>
              </w:rPr>
            </w:pPr>
            <w:r w:rsidRPr="002B5B92">
              <w:rPr>
                <w:sz w:val="18"/>
                <w:szCs w:val="18"/>
              </w:rPr>
              <w:t xml:space="preserve">It-tipi ta’ msieħba involuti u n-numru tagħhom. </w:t>
            </w:r>
          </w:p>
        </w:tc>
        <w:tc>
          <w:tcPr>
            <w:tcW w:w="3578" w:type="dxa"/>
            <w:tcBorders>
              <w:bottom w:val="nil"/>
            </w:tcBorders>
          </w:tcPr>
          <w:p w:rsidR="00A45935" w:rsidRPr="002B5B92" w:rsidRDefault="00A45935" w:rsidP="007E63EF">
            <w:pPr>
              <w:spacing w:after="120" w:line="280" w:lineRule="atLeast"/>
              <w:ind w:left="355" w:right="31"/>
              <w:mirrorIndents/>
              <w:jc w:val="left"/>
              <w:rPr>
                <w:rFonts w:cs="Arial"/>
                <w:sz w:val="18"/>
                <w:szCs w:val="18"/>
              </w:rPr>
            </w:pPr>
            <w:r w:rsidRPr="002B5B92">
              <w:rPr>
                <w:sz w:val="18"/>
                <w:szCs w:val="18"/>
              </w:rPr>
              <w:t>Sistema ta’ monitoraġġ tal-PŻR</w:t>
            </w:r>
          </w:p>
          <w:p w:rsidR="00A45935" w:rsidRPr="002B5B92" w:rsidRDefault="00A45935" w:rsidP="007E63EF">
            <w:pPr>
              <w:numPr>
                <w:ilvl w:val="0"/>
                <w:numId w:val="20"/>
              </w:numPr>
              <w:spacing w:before="60" w:after="120" w:line="280" w:lineRule="atLeast"/>
              <w:ind w:left="355" w:right="31" w:hanging="357"/>
              <w:jc w:val="left"/>
              <w:rPr>
                <w:rFonts w:cs="Arial"/>
                <w:sz w:val="18"/>
                <w:szCs w:val="18"/>
              </w:rPr>
            </w:pPr>
            <w:r w:rsidRPr="002B5B92">
              <w:rPr>
                <w:sz w:val="18"/>
                <w:szCs w:val="18"/>
              </w:rPr>
              <w:t>Formoli tal-applikazzjoni tal-benefiċjarji (bidu tal-proġett)</w:t>
            </w:r>
          </w:p>
          <w:p w:rsidR="00A45935" w:rsidRPr="002B5B92" w:rsidRDefault="00A45935" w:rsidP="007E63EF">
            <w:pPr>
              <w:numPr>
                <w:ilvl w:val="0"/>
                <w:numId w:val="20"/>
              </w:numPr>
              <w:spacing w:before="60" w:after="120" w:line="280" w:lineRule="atLeast"/>
              <w:ind w:left="355" w:right="31" w:hanging="357"/>
              <w:jc w:val="left"/>
              <w:rPr>
                <w:rFonts w:cs="Arial"/>
                <w:sz w:val="18"/>
                <w:szCs w:val="18"/>
              </w:rPr>
            </w:pPr>
            <w:r w:rsidRPr="002B5B92">
              <w:rPr>
                <w:sz w:val="18"/>
                <w:szCs w:val="18"/>
              </w:rPr>
              <w:t>Talbiet għall-ħlas tal-benefiċjarji (tmiem tal-proġett)</w:t>
            </w:r>
          </w:p>
        </w:tc>
      </w:tr>
      <w:tr w:rsidR="00A45935" w:rsidRPr="002B5B92" w:rsidTr="005520BA">
        <w:tc>
          <w:tcPr>
            <w:tcW w:w="3578" w:type="dxa"/>
            <w:tcBorders>
              <w:top w:val="nil"/>
              <w:bottom w:val="single" w:sz="4" w:space="0" w:color="808080"/>
            </w:tcBorders>
          </w:tcPr>
          <w:p w:rsidR="00A45935" w:rsidRPr="002B5B92" w:rsidRDefault="00A45935" w:rsidP="007E63EF">
            <w:pPr>
              <w:spacing w:after="120" w:line="280" w:lineRule="atLeast"/>
              <w:ind w:left="29" w:right="110"/>
              <w:mirrorIndents/>
              <w:jc w:val="left"/>
              <w:rPr>
                <w:rFonts w:cs="Arial"/>
                <w:sz w:val="18"/>
                <w:szCs w:val="18"/>
                <w:lang w:val="en-GB"/>
              </w:rPr>
            </w:pPr>
          </w:p>
        </w:tc>
        <w:tc>
          <w:tcPr>
            <w:tcW w:w="3578" w:type="dxa"/>
            <w:tcBorders>
              <w:top w:val="nil"/>
              <w:bottom w:val="single" w:sz="4" w:space="0" w:color="808080"/>
            </w:tcBorders>
          </w:tcPr>
          <w:p w:rsidR="00A45935" w:rsidRPr="002B5B92" w:rsidRDefault="00A45935" w:rsidP="007E63EF">
            <w:pPr>
              <w:spacing w:after="120" w:line="280" w:lineRule="atLeast"/>
              <w:ind w:left="75" w:right="61"/>
              <w:mirrorIndents/>
              <w:jc w:val="left"/>
              <w:rPr>
                <w:rFonts w:cs="Arial"/>
                <w:sz w:val="18"/>
                <w:szCs w:val="18"/>
              </w:rPr>
            </w:pPr>
            <w:r w:rsidRPr="002B5B92">
              <w:rPr>
                <w:sz w:val="18"/>
                <w:szCs w:val="18"/>
              </w:rPr>
              <w:t>O.3 In-numru ta’ operazzjonijiet appoġġati.</w:t>
            </w:r>
          </w:p>
        </w:tc>
        <w:tc>
          <w:tcPr>
            <w:tcW w:w="3578" w:type="dxa"/>
            <w:tcBorders>
              <w:top w:val="nil"/>
              <w:bottom w:val="single" w:sz="4" w:space="0" w:color="808080"/>
            </w:tcBorders>
          </w:tcPr>
          <w:p w:rsidR="00A45935" w:rsidRPr="002B5B92" w:rsidRDefault="00A45935" w:rsidP="007E63EF">
            <w:pPr>
              <w:spacing w:after="120" w:line="280" w:lineRule="atLeast"/>
              <w:ind w:left="11" w:right="12"/>
              <w:mirrorIndents/>
              <w:jc w:val="left"/>
              <w:rPr>
                <w:rFonts w:cs="Arial"/>
                <w:sz w:val="18"/>
                <w:szCs w:val="18"/>
              </w:rPr>
            </w:pPr>
            <w:r w:rsidRPr="002B5B92">
              <w:rPr>
                <w:sz w:val="18"/>
                <w:szCs w:val="18"/>
              </w:rPr>
              <w:t>In-numru totali ta’ operazzjonijiet appoġġati.</w:t>
            </w:r>
          </w:p>
          <w:p w:rsidR="00A45935" w:rsidRPr="002B5B92" w:rsidRDefault="00A45935" w:rsidP="007E63EF">
            <w:pPr>
              <w:spacing w:after="120" w:line="280" w:lineRule="atLeast"/>
              <w:ind w:left="11" w:right="12"/>
              <w:mirrorIndents/>
              <w:jc w:val="left"/>
              <w:rPr>
                <w:rFonts w:cs="Arial"/>
                <w:sz w:val="18"/>
                <w:szCs w:val="18"/>
              </w:rPr>
            </w:pPr>
            <w:r w:rsidRPr="002B5B92">
              <w:rPr>
                <w:sz w:val="18"/>
                <w:szCs w:val="18"/>
              </w:rPr>
              <w:t>In-numru ta’ operazzjonijiet ta’ kooperazzjoni appoġġati (O.16+O.17).</w:t>
            </w:r>
          </w:p>
        </w:tc>
        <w:tc>
          <w:tcPr>
            <w:tcW w:w="3578" w:type="dxa"/>
            <w:tcBorders>
              <w:top w:val="nil"/>
              <w:bottom w:val="single" w:sz="4" w:space="0" w:color="808080"/>
            </w:tcBorders>
          </w:tcPr>
          <w:p w:rsidR="00A45935" w:rsidRPr="002B5B92" w:rsidRDefault="00A45935" w:rsidP="007E63EF">
            <w:pPr>
              <w:spacing w:after="120" w:line="280" w:lineRule="atLeast"/>
              <w:ind w:left="355" w:right="31"/>
              <w:mirrorIndents/>
              <w:jc w:val="left"/>
              <w:rPr>
                <w:rFonts w:cs="Arial"/>
                <w:sz w:val="18"/>
                <w:szCs w:val="18"/>
              </w:rPr>
            </w:pPr>
            <w:r w:rsidRPr="002B5B92">
              <w:rPr>
                <w:sz w:val="18"/>
                <w:szCs w:val="18"/>
              </w:rPr>
              <w:t xml:space="preserve">Sistema ta’ monitoraġġ tal-PŻR </w:t>
            </w:r>
          </w:p>
          <w:p w:rsidR="00A45935" w:rsidRPr="002B5B92" w:rsidRDefault="00A45935" w:rsidP="007E63EF">
            <w:pPr>
              <w:numPr>
                <w:ilvl w:val="0"/>
                <w:numId w:val="20"/>
              </w:numPr>
              <w:spacing w:before="60" w:after="120" w:line="280" w:lineRule="atLeast"/>
              <w:ind w:left="355" w:right="31" w:hanging="357"/>
              <w:jc w:val="left"/>
              <w:rPr>
                <w:rFonts w:cs="Arial"/>
                <w:sz w:val="18"/>
                <w:szCs w:val="18"/>
              </w:rPr>
            </w:pPr>
            <w:r w:rsidRPr="002B5B92">
              <w:rPr>
                <w:sz w:val="18"/>
                <w:szCs w:val="18"/>
              </w:rPr>
              <w:t>Formoli tal-applikazzjoni tal-benefiċjarji (bidu tal-proġett)</w:t>
            </w:r>
          </w:p>
          <w:p w:rsidR="00A45935" w:rsidRPr="002B5B92" w:rsidRDefault="00A45935" w:rsidP="007E63EF">
            <w:pPr>
              <w:numPr>
                <w:ilvl w:val="0"/>
                <w:numId w:val="20"/>
              </w:numPr>
              <w:spacing w:before="60" w:after="120" w:line="280" w:lineRule="atLeast"/>
              <w:ind w:left="355" w:right="31" w:hanging="357"/>
              <w:jc w:val="left"/>
              <w:rPr>
                <w:rFonts w:cs="Arial"/>
                <w:sz w:val="18"/>
                <w:szCs w:val="18"/>
              </w:rPr>
            </w:pPr>
            <w:r w:rsidRPr="002B5B92">
              <w:rPr>
                <w:sz w:val="18"/>
                <w:szCs w:val="18"/>
              </w:rPr>
              <w:t>Talbiet għall-ħlas tal-benefiċjarji (tmiem tal-proġett)</w:t>
            </w:r>
          </w:p>
        </w:tc>
      </w:tr>
      <w:tr w:rsidR="00A45935" w:rsidRPr="002B5B92" w:rsidTr="005520BA">
        <w:trPr>
          <w:trHeight w:val="1003"/>
        </w:trPr>
        <w:tc>
          <w:tcPr>
            <w:tcW w:w="3578" w:type="dxa"/>
            <w:tcBorders>
              <w:bottom w:val="single" w:sz="4" w:space="0" w:color="808080"/>
            </w:tcBorders>
          </w:tcPr>
          <w:p w:rsidR="00A45935" w:rsidRPr="002B5B92" w:rsidRDefault="00A45935" w:rsidP="007E63EF">
            <w:pPr>
              <w:spacing w:after="120" w:line="280" w:lineRule="atLeast"/>
              <w:ind w:left="29" w:right="110"/>
              <w:mirrorIndents/>
              <w:jc w:val="left"/>
              <w:rPr>
                <w:rFonts w:cs="Arial"/>
                <w:sz w:val="18"/>
                <w:szCs w:val="18"/>
              </w:rPr>
            </w:pPr>
            <w:r w:rsidRPr="002B5B92">
              <w:rPr>
                <w:sz w:val="18"/>
                <w:szCs w:val="18"/>
              </w:rPr>
              <w:t>Ġew implimentati operazzjonijiet ta’ kooperazzjoni bejn l-agrikoltura, il-produzzjoni tal-ikel, il-forestrija, ir-riċerka u l-innovazzjoni għall-fini ta’ ġestjoni u prestazzjoni ambjentali mtejba.</w:t>
            </w:r>
          </w:p>
        </w:tc>
        <w:tc>
          <w:tcPr>
            <w:tcW w:w="3578" w:type="dxa"/>
            <w:tcBorders>
              <w:bottom w:val="single" w:sz="4" w:space="0" w:color="808080"/>
            </w:tcBorders>
          </w:tcPr>
          <w:p w:rsidR="00A45935" w:rsidRPr="002B5B92" w:rsidRDefault="00A45935" w:rsidP="007E63EF">
            <w:pPr>
              <w:spacing w:after="120" w:line="280" w:lineRule="atLeast"/>
              <w:ind w:left="75" w:right="61"/>
              <w:mirrorIndents/>
              <w:jc w:val="left"/>
              <w:rPr>
                <w:rFonts w:cs="Arial"/>
                <w:sz w:val="18"/>
                <w:szCs w:val="18"/>
              </w:rPr>
            </w:pPr>
            <w:r w:rsidRPr="002B5B92">
              <w:rPr>
                <w:sz w:val="18"/>
                <w:szCs w:val="18"/>
              </w:rPr>
              <w:t xml:space="preserve">T2: In-numru totali ta’ operazzjonijiet ta’ kooperazzjoni appoġġati taħt il-miżura ta’ kooperazzjoni (l-Art. 35 tar-Regolament (UE) Nru 1305/2013) (gruppi, netwerks/raggruppamenti, proġetti pilota). </w:t>
            </w:r>
          </w:p>
          <w:p w:rsidR="00A45935" w:rsidRPr="002B5B92" w:rsidRDefault="00A45935" w:rsidP="007E63EF">
            <w:pPr>
              <w:spacing w:after="120" w:line="280" w:lineRule="atLeast"/>
              <w:ind w:left="75" w:right="61"/>
              <w:mirrorIndents/>
              <w:jc w:val="left"/>
              <w:rPr>
                <w:rFonts w:cs="Arial"/>
                <w:color w:val="57825E"/>
                <w:sz w:val="18"/>
                <w:szCs w:val="18"/>
              </w:rPr>
            </w:pPr>
            <w:r w:rsidRPr="002B5B92">
              <w:rPr>
                <w:color w:val="57825E"/>
                <w:sz w:val="18"/>
                <w:szCs w:val="18"/>
                <w:u w:val="single"/>
              </w:rPr>
              <w:t>Indikatur addizzjonali:</w:t>
            </w:r>
            <w:r w:rsidRPr="002B5B92">
              <w:rPr>
                <w:color w:val="57825E"/>
                <w:sz w:val="18"/>
                <w:szCs w:val="18"/>
              </w:rPr>
              <w:t xml:space="preserve"> % tal-operazzjonijiet ta’ kooperazzjoni li se jkomplu wara l-appoġġ mill-PŻR, inkluż </w:t>
            </w:r>
            <w:r w:rsidRPr="002B5B92">
              <w:rPr>
                <w:color w:val="57825E"/>
                <w:sz w:val="18"/>
                <w:szCs w:val="18"/>
              </w:rPr>
              <w:lastRenderedPageBreak/>
              <w:t>għall-fini ta’ ġestjoni u prestazzjoni ambjentali mtejba.</w:t>
            </w:r>
          </w:p>
          <w:p w:rsidR="00A45935" w:rsidRPr="002B5B92" w:rsidRDefault="00A45935" w:rsidP="007E63EF">
            <w:pPr>
              <w:spacing w:after="120" w:line="280" w:lineRule="atLeast"/>
              <w:ind w:left="75" w:right="61"/>
              <w:mirrorIndents/>
              <w:jc w:val="left"/>
              <w:rPr>
                <w:rFonts w:cs="Arial"/>
                <w:sz w:val="18"/>
                <w:szCs w:val="18"/>
              </w:rPr>
            </w:pPr>
            <w:r w:rsidRPr="002B5B92">
              <w:rPr>
                <w:color w:val="57825E"/>
                <w:sz w:val="18"/>
                <w:szCs w:val="18"/>
                <w:u w:val="single"/>
              </w:rPr>
              <w:t>Indikatur addizzjonali:</w:t>
            </w:r>
            <w:r w:rsidRPr="002B5B92">
              <w:rPr>
                <w:color w:val="57825E"/>
                <w:sz w:val="18"/>
                <w:szCs w:val="18"/>
              </w:rPr>
              <w:t xml:space="preserve"> In-numru u t-tipi ta’ msieħba involuti fil-proġetti ta’ kooperazzjoni, inklużi r-rwoli u r-responsabbiltajiet tagħhom.</w:t>
            </w:r>
          </w:p>
        </w:tc>
        <w:tc>
          <w:tcPr>
            <w:tcW w:w="3578" w:type="dxa"/>
            <w:tcBorders>
              <w:bottom w:val="single" w:sz="4" w:space="0" w:color="808080"/>
            </w:tcBorders>
          </w:tcPr>
          <w:p w:rsidR="00A45935" w:rsidRPr="002B5B92" w:rsidRDefault="00A45935" w:rsidP="007E63EF">
            <w:pPr>
              <w:spacing w:after="120" w:line="280" w:lineRule="atLeast"/>
              <w:ind w:left="11" w:right="12"/>
              <w:mirrorIndents/>
              <w:jc w:val="left"/>
              <w:rPr>
                <w:rFonts w:cs="Arial"/>
                <w:sz w:val="18"/>
                <w:szCs w:val="18"/>
              </w:rPr>
            </w:pPr>
            <w:r w:rsidRPr="002B5B92">
              <w:rPr>
                <w:sz w:val="18"/>
                <w:szCs w:val="18"/>
              </w:rPr>
              <w:lastRenderedPageBreak/>
              <w:t>In-numru ta’ operazzjonijiet tal-EIP (oġġett O.16) li jittrattaw il-ġestjoni u l-prestazzjoni ambjentali mtejba.</w:t>
            </w:r>
          </w:p>
          <w:p w:rsidR="00A45935" w:rsidRPr="002B5B92" w:rsidRDefault="00A45935" w:rsidP="007E63EF">
            <w:pPr>
              <w:spacing w:after="120" w:line="280" w:lineRule="atLeast"/>
              <w:ind w:left="11" w:right="12"/>
              <w:mirrorIndents/>
              <w:jc w:val="left"/>
              <w:rPr>
                <w:rFonts w:cs="Arial"/>
                <w:sz w:val="18"/>
                <w:szCs w:val="18"/>
              </w:rPr>
            </w:pPr>
            <w:r w:rsidRPr="002B5B92">
              <w:rPr>
                <w:sz w:val="18"/>
                <w:szCs w:val="18"/>
              </w:rPr>
              <w:t xml:space="preserve">In-numru ta’ operazzjonijiet ta’ kooperazzjoni oħrajn (gruppi, netwerks/raggruppamenti, proġetti pilota) li għandhom jiġu appoġġati taħt M16 ‘Kooperazzjoni’ (oġġett O.17) u li jittrattaw </w:t>
            </w:r>
            <w:r w:rsidRPr="002B5B92">
              <w:rPr>
                <w:sz w:val="18"/>
                <w:szCs w:val="18"/>
              </w:rPr>
              <w:lastRenderedPageBreak/>
              <w:t>il-ġestjoni u l-prestazzjoni ambjentali mtejba.</w:t>
            </w:r>
          </w:p>
          <w:p w:rsidR="00A45935" w:rsidRPr="002B5B92" w:rsidRDefault="00A45935" w:rsidP="007E63EF">
            <w:pPr>
              <w:spacing w:after="120" w:line="280" w:lineRule="atLeast"/>
              <w:ind w:left="11" w:right="12"/>
              <w:mirrorIndents/>
              <w:jc w:val="left"/>
              <w:rPr>
                <w:rFonts w:cs="Arial"/>
                <w:sz w:val="18"/>
                <w:szCs w:val="18"/>
              </w:rPr>
            </w:pPr>
            <w:r w:rsidRPr="002B5B92">
              <w:rPr>
                <w:sz w:val="18"/>
                <w:szCs w:val="18"/>
              </w:rPr>
              <w:t>It-tipi ta’ msieħba involuti u n-numru tagħhom.</w:t>
            </w:r>
          </w:p>
        </w:tc>
        <w:tc>
          <w:tcPr>
            <w:tcW w:w="3578" w:type="dxa"/>
            <w:tcBorders>
              <w:bottom w:val="single" w:sz="4" w:space="0" w:color="808080"/>
            </w:tcBorders>
          </w:tcPr>
          <w:p w:rsidR="00A45935" w:rsidRPr="002B5B92" w:rsidRDefault="00A45935" w:rsidP="007E63EF">
            <w:pPr>
              <w:spacing w:after="120" w:line="280" w:lineRule="atLeast"/>
              <w:ind w:left="355" w:right="31"/>
              <w:mirrorIndents/>
              <w:jc w:val="left"/>
              <w:rPr>
                <w:rFonts w:cs="Arial"/>
                <w:sz w:val="18"/>
                <w:szCs w:val="18"/>
              </w:rPr>
            </w:pPr>
            <w:r w:rsidRPr="002B5B92">
              <w:rPr>
                <w:sz w:val="18"/>
                <w:szCs w:val="18"/>
              </w:rPr>
              <w:lastRenderedPageBreak/>
              <w:t xml:space="preserve">Sistema ta’ monitoraġġ tal-PŻR </w:t>
            </w:r>
          </w:p>
          <w:p w:rsidR="00A45935" w:rsidRPr="002B5B92" w:rsidRDefault="00A45935" w:rsidP="007E63EF">
            <w:pPr>
              <w:numPr>
                <w:ilvl w:val="0"/>
                <w:numId w:val="20"/>
              </w:numPr>
              <w:spacing w:before="60" w:after="120" w:line="280" w:lineRule="atLeast"/>
              <w:ind w:left="355" w:right="31" w:hanging="357"/>
              <w:jc w:val="left"/>
              <w:rPr>
                <w:rFonts w:cs="Arial"/>
                <w:sz w:val="18"/>
                <w:szCs w:val="18"/>
              </w:rPr>
            </w:pPr>
            <w:r w:rsidRPr="002B5B92">
              <w:rPr>
                <w:sz w:val="18"/>
                <w:szCs w:val="18"/>
              </w:rPr>
              <w:t>Formoli tal-applikazzjoni tal-benefiċjarji (bidu tal-proġett)</w:t>
            </w:r>
          </w:p>
          <w:p w:rsidR="00A45935" w:rsidRPr="002B5B92" w:rsidRDefault="00A45935" w:rsidP="007E63EF">
            <w:pPr>
              <w:numPr>
                <w:ilvl w:val="0"/>
                <w:numId w:val="20"/>
              </w:numPr>
              <w:spacing w:before="60" w:after="120" w:line="280" w:lineRule="atLeast"/>
              <w:ind w:left="355" w:right="31" w:hanging="357"/>
              <w:jc w:val="left"/>
              <w:rPr>
                <w:rFonts w:cs="Arial"/>
                <w:sz w:val="18"/>
                <w:szCs w:val="18"/>
              </w:rPr>
            </w:pPr>
            <w:r w:rsidRPr="002B5B92">
              <w:rPr>
                <w:sz w:val="18"/>
                <w:szCs w:val="18"/>
              </w:rPr>
              <w:t>Talbiet għall-ħlas tal-benefiċjarji (tmiem tal-proġett)</w:t>
            </w:r>
          </w:p>
        </w:tc>
      </w:tr>
      <w:tr w:rsidR="00A45935" w:rsidRPr="002B5B92" w:rsidTr="005520BA">
        <w:tc>
          <w:tcPr>
            <w:tcW w:w="3578" w:type="dxa"/>
            <w:tcBorders>
              <w:top w:val="single" w:sz="4" w:space="0" w:color="808080"/>
            </w:tcBorders>
          </w:tcPr>
          <w:p w:rsidR="00A45935" w:rsidRPr="002B5B92" w:rsidRDefault="00A45935" w:rsidP="00E05D08">
            <w:pPr>
              <w:spacing w:after="120" w:line="280" w:lineRule="atLeast"/>
              <w:ind w:left="29" w:right="110"/>
              <w:mirrorIndents/>
              <w:rPr>
                <w:rFonts w:cs="Arial"/>
                <w:sz w:val="18"/>
                <w:szCs w:val="18"/>
                <w:lang w:val="en-GB"/>
              </w:rPr>
            </w:pPr>
          </w:p>
        </w:tc>
        <w:tc>
          <w:tcPr>
            <w:tcW w:w="3578" w:type="dxa"/>
            <w:tcBorders>
              <w:top w:val="single" w:sz="4" w:space="0" w:color="808080"/>
            </w:tcBorders>
          </w:tcPr>
          <w:p w:rsidR="00A45935" w:rsidRPr="002B5B92" w:rsidRDefault="00A45935" w:rsidP="007E63EF">
            <w:pPr>
              <w:spacing w:after="120" w:line="280" w:lineRule="atLeast"/>
              <w:ind w:left="75" w:right="61"/>
              <w:mirrorIndents/>
              <w:jc w:val="left"/>
              <w:rPr>
                <w:rFonts w:cs="Arial"/>
                <w:sz w:val="18"/>
                <w:szCs w:val="18"/>
              </w:rPr>
            </w:pPr>
            <w:r w:rsidRPr="002B5B92">
              <w:rPr>
                <w:sz w:val="18"/>
                <w:szCs w:val="18"/>
              </w:rPr>
              <w:t>O.3 In-numru ta’ operazzjonijiet appoġġati</w:t>
            </w:r>
          </w:p>
        </w:tc>
        <w:tc>
          <w:tcPr>
            <w:tcW w:w="3578" w:type="dxa"/>
            <w:tcBorders>
              <w:top w:val="single" w:sz="4" w:space="0" w:color="808080"/>
            </w:tcBorders>
          </w:tcPr>
          <w:p w:rsidR="00A45935" w:rsidRPr="002B5B92" w:rsidRDefault="00A45935" w:rsidP="007E63EF">
            <w:pPr>
              <w:spacing w:after="120" w:line="280" w:lineRule="atLeast"/>
              <w:ind w:left="11" w:right="12"/>
              <w:mirrorIndents/>
              <w:jc w:val="left"/>
              <w:rPr>
                <w:rFonts w:cs="Arial"/>
                <w:sz w:val="18"/>
                <w:szCs w:val="18"/>
              </w:rPr>
            </w:pPr>
            <w:r w:rsidRPr="002B5B92">
              <w:rPr>
                <w:sz w:val="18"/>
                <w:szCs w:val="18"/>
              </w:rPr>
              <w:t>In-numru totali ta’ operazzjonijiet appoġġati.</w:t>
            </w:r>
          </w:p>
          <w:p w:rsidR="00A45935" w:rsidRPr="002B5B92" w:rsidRDefault="00A45935" w:rsidP="007E63EF">
            <w:pPr>
              <w:spacing w:after="120" w:line="280" w:lineRule="atLeast"/>
              <w:ind w:left="11" w:right="12"/>
              <w:mirrorIndents/>
              <w:jc w:val="left"/>
              <w:rPr>
                <w:rFonts w:cs="Arial"/>
                <w:sz w:val="18"/>
                <w:szCs w:val="18"/>
              </w:rPr>
            </w:pPr>
            <w:r w:rsidRPr="002B5B92">
              <w:rPr>
                <w:sz w:val="18"/>
                <w:szCs w:val="18"/>
              </w:rPr>
              <w:t>In-numru ta’ operazzjonijiet ta’ kooperazzjoni appoġġati (O.16+O.17).</w:t>
            </w:r>
          </w:p>
        </w:tc>
        <w:tc>
          <w:tcPr>
            <w:tcW w:w="3578" w:type="dxa"/>
            <w:tcBorders>
              <w:top w:val="single" w:sz="4" w:space="0" w:color="808080"/>
            </w:tcBorders>
          </w:tcPr>
          <w:p w:rsidR="00A45935" w:rsidRPr="002B5B92" w:rsidRDefault="00A45935" w:rsidP="007E63EF">
            <w:pPr>
              <w:spacing w:after="120" w:line="280" w:lineRule="atLeast"/>
              <w:ind w:left="355" w:right="31"/>
              <w:mirrorIndents/>
              <w:jc w:val="left"/>
              <w:rPr>
                <w:rFonts w:cs="Arial"/>
                <w:sz w:val="18"/>
                <w:szCs w:val="18"/>
              </w:rPr>
            </w:pPr>
            <w:r w:rsidRPr="002B5B92">
              <w:rPr>
                <w:sz w:val="18"/>
                <w:szCs w:val="18"/>
              </w:rPr>
              <w:t>Sistema ta’ monitoraġġ tal-PŻR</w:t>
            </w:r>
          </w:p>
          <w:p w:rsidR="00A45935" w:rsidRPr="002B5B92" w:rsidRDefault="00A45935" w:rsidP="007E63EF">
            <w:pPr>
              <w:numPr>
                <w:ilvl w:val="0"/>
                <w:numId w:val="20"/>
              </w:numPr>
              <w:spacing w:before="60" w:after="120" w:line="280" w:lineRule="atLeast"/>
              <w:ind w:left="355" w:right="31" w:hanging="357"/>
              <w:jc w:val="left"/>
              <w:rPr>
                <w:rFonts w:cs="Arial"/>
                <w:sz w:val="18"/>
                <w:szCs w:val="18"/>
              </w:rPr>
            </w:pPr>
            <w:r w:rsidRPr="002B5B92">
              <w:rPr>
                <w:sz w:val="18"/>
                <w:szCs w:val="18"/>
              </w:rPr>
              <w:t>Formoli tal-applikazzjoni tal-benefiċjarji (bidu tal-proġett)</w:t>
            </w:r>
          </w:p>
          <w:p w:rsidR="00A45935" w:rsidRPr="002B5B92" w:rsidRDefault="00A45935" w:rsidP="007E63EF">
            <w:pPr>
              <w:numPr>
                <w:ilvl w:val="0"/>
                <w:numId w:val="20"/>
              </w:numPr>
              <w:spacing w:before="60" w:after="120" w:line="280" w:lineRule="atLeast"/>
              <w:ind w:left="355" w:right="31" w:hanging="357"/>
              <w:jc w:val="left"/>
              <w:rPr>
                <w:rFonts w:cs="Arial"/>
                <w:sz w:val="18"/>
                <w:szCs w:val="18"/>
              </w:rPr>
            </w:pPr>
            <w:r w:rsidRPr="002B5B92">
              <w:rPr>
                <w:sz w:val="18"/>
                <w:szCs w:val="18"/>
              </w:rPr>
              <w:t>Talbiet għall-ħlas tal-benefiċjarji (tmiem tal-proġett)</w:t>
            </w:r>
          </w:p>
        </w:tc>
      </w:tr>
      <w:tr w:rsidR="00A45935" w:rsidRPr="002B5B92" w:rsidTr="00E05D08">
        <w:tc>
          <w:tcPr>
            <w:tcW w:w="14312" w:type="dxa"/>
            <w:gridSpan w:val="4"/>
            <w:shd w:val="clear" w:color="auto" w:fill="8BAB80"/>
          </w:tcPr>
          <w:p w:rsidR="00A45935" w:rsidRPr="002B5B92" w:rsidRDefault="00A45935" w:rsidP="00E05D08">
            <w:pPr>
              <w:spacing w:after="120" w:line="280" w:lineRule="atLeast"/>
              <w:ind w:left="355" w:right="31"/>
              <w:mirrorIndents/>
              <w:rPr>
                <w:rFonts w:cs="Arial"/>
                <w:b/>
                <w:color w:val="FFFFFF"/>
                <w:sz w:val="18"/>
                <w:szCs w:val="18"/>
              </w:rPr>
            </w:pPr>
            <w:r w:rsidRPr="002B5B92">
              <w:rPr>
                <w:b/>
                <w:color w:val="FFFFFF"/>
                <w:sz w:val="18"/>
                <w:szCs w:val="18"/>
              </w:rPr>
              <w:t>Elementi addizzjonali tal-evalwazzjoni (mhux obbligatorji)</w:t>
            </w:r>
          </w:p>
        </w:tc>
      </w:tr>
      <w:tr w:rsidR="00A45935" w:rsidRPr="002B5B92" w:rsidTr="00E05D08">
        <w:tc>
          <w:tcPr>
            <w:tcW w:w="3578" w:type="dxa"/>
          </w:tcPr>
          <w:p w:rsidR="00A45935" w:rsidRPr="002B5B92" w:rsidRDefault="00A45935" w:rsidP="007E63EF">
            <w:pPr>
              <w:spacing w:after="120" w:line="280" w:lineRule="atLeast"/>
              <w:ind w:left="29" w:right="110"/>
              <w:mirrorIndents/>
              <w:jc w:val="left"/>
              <w:rPr>
                <w:rFonts w:cs="Arial"/>
                <w:sz w:val="18"/>
                <w:szCs w:val="18"/>
              </w:rPr>
            </w:pPr>
            <w:r w:rsidRPr="002B5B92">
              <w:rPr>
                <w:sz w:val="18"/>
                <w:szCs w:val="18"/>
              </w:rPr>
              <w:t>Il-proġetti ta’ kooperazzjoni tejbu l-kapaċità għall-innovazzjoni, inkluż fil-qasam tal-ġestjoni u l-prestazzjoni ambjentali.</w:t>
            </w:r>
          </w:p>
        </w:tc>
        <w:tc>
          <w:tcPr>
            <w:tcW w:w="3578" w:type="dxa"/>
          </w:tcPr>
          <w:p w:rsidR="00A45935" w:rsidRPr="002B5B92" w:rsidRDefault="00A45935" w:rsidP="007E63EF">
            <w:pPr>
              <w:spacing w:after="120" w:line="280" w:lineRule="atLeast"/>
              <w:ind w:left="75" w:right="61"/>
              <w:mirrorIndents/>
              <w:jc w:val="left"/>
              <w:rPr>
                <w:rFonts w:cs="Arial"/>
                <w:sz w:val="18"/>
                <w:szCs w:val="18"/>
              </w:rPr>
            </w:pPr>
            <w:r w:rsidRPr="002B5B92">
              <w:rPr>
                <w:sz w:val="18"/>
                <w:szCs w:val="18"/>
              </w:rPr>
              <w:t xml:space="preserve">In-numru u t-tip ta’ innovazzjonijiet prodotti mill-proġetti ta’ kooperazzjoni, fosthom dawk iffokati fuq il-ġestjoni u l-prestazzjoni ambjentali. </w:t>
            </w:r>
          </w:p>
        </w:tc>
        <w:tc>
          <w:tcPr>
            <w:tcW w:w="3578" w:type="dxa"/>
          </w:tcPr>
          <w:p w:rsidR="00A45935" w:rsidRPr="002B5B92" w:rsidRDefault="00A45935" w:rsidP="007E63EF">
            <w:pPr>
              <w:spacing w:after="120" w:line="280" w:lineRule="atLeast"/>
              <w:ind w:left="11" w:right="12"/>
              <w:mirrorIndents/>
              <w:jc w:val="left"/>
              <w:rPr>
                <w:rFonts w:cs="Arial"/>
                <w:sz w:val="18"/>
                <w:szCs w:val="18"/>
              </w:rPr>
            </w:pPr>
            <w:r w:rsidRPr="002B5B92">
              <w:rPr>
                <w:sz w:val="18"/>
                <w:szCs w:val="18"/>
              </w:rPr>
              <w:t>In-numru ta’ innovazzjonijiet prodotti.</w:t>
            </w:r>
          </w:p>
          <w:p w:rsidR="00A45935" w:rsidRPr="002B5B92" w:rsidRDefault="00A45935" w:rsidP="007E63EF">
            <w:pPr>
              <w:spacing w:after="120" w:line="280" w:lineRule="atLeast"/>
              <w:ind w:left="11" w:right="12"/>
              <w:mirrorIndents/>
              <w:jc w:val="left"/>
              <w:rPr>
                <w:rFonts w:cs="Arial"/>
                <w:sz w:val="18"/>
                <w:szCs w:val="18"/>
              </w:rPr>
            </w:pPr>
            <w:r w:rsidRPr="002B5B92">
              <w:rPr>
                <w:sz w:val="18"/>
                <w:szCs w:val="18"/>
              </w:rPr>
              <w:t>In-numru ta’ innovazzjonijiet għal ġestjoni u prestazzjoni ambjentali mtejba.</w:t>
            </w:r>
          </w:p>
        </w:tc>
        <w:tc>
          <w:tcPr>
            <w:tcW w:w="3578" w:type="dxa"/>
          </w:tcPr>
          <w:p w:rsidR="00A45935" w:rsidRPr="002B5B92" w:rsidRDefault="00A45935" w:rsidP="007E63EF">
            <w:pPr>
              <w:spacing w:after="120" w:line="280" w:lineRule="atLeast"/>
              <w:ind w:right="31"/>
              <w:mirrorIndents/>
              <w:jc w:val="left"/>
              <w:rPr>
                <w:rFonts w:cs="Arial"/>
                <w:sz w:val="18"/>
                <w:szCs w:val="18"/>
              </w:rPr>
            </w:pPr>
            <w:r w:rsidRPr="002B5B92">
              <w:rPr>
                <w:sz w:val="18"/>
                <w:szCs w:val="18"/>
              </w:rPr>
              <w:t>Stħarriġ.</w:t>
            </w:r>
          </w:p>
          <w:p w:rsidR="00A45935" w:rsidRPr="002B5B92" w:rsidRDefault="00A45935" w:rsidP="007E63EF">
            <w:pPr>
              <w:spacing w:after="120" w:line="280" w:lineRule="atLeast"/>
              <w:ind w:right="31"/>
              <w:mirrorIndents/>
              <w:jc w:val="left"/>
              <w:rPr>
                <w:rFonts w:cs="Arial"/>
                <w:sz w:val="18"/>
                <w:szCs w:val="18"/>
              </w:rPr>
            </w:pPr>
            <w:r w:rsidRPr="002B5B92">
              <w:rPr>
                <w:sz w:val="18"/>
                <w:szCs w:val="18"/>
              </w:rPr>
              <w:t>Intervisti u gruppi fokus ma’ dawk li jipparteċipaw fi proġetti ta’ kooperazzjoni.</w:t>
            </w:r>
          </w:p>
          <w:p w:rsidR="00A45935" w:rsidRPr="002B5B92" w:rsidRDefault="00A45935" w:rsidP="007E63EF">
            <w:pPr>
              <w:spacing w:after="120" w:line="280" w:lineRule="atLeast"/>
              <w:ind w:right="31"/>
              <w:mirrorIndents/>
              <w:jc w:val="left"/>
              <w:rPr>
                <w:rFonts w:cs="Arial"/>
                <w:sz w:val="18"/>
                <w:szCs w:val="18"/>
              </w:rPr>
            </w:pPr>
            <w:r w:rsidRPr="002B5B92">
              <w:rPr>
                <w:sz w:val="18"/>
                <w:szCs w:val="18"/>
              </w:rPr>
              <w:t>GIS.</w:t>
            </w:r>
          </w:p>
        </w:tc>
      </w:tr>
    </w:tbl>
    <w:p w:rsidR="00A45935" w:rsidRPr="002B5B92" w:rsidRDefault="00A45935" w:rsidP="00E05D08">
      <w:pPr>
        <w:spacing w:after="120" w:line="280" w:lineRule="atLeast"/>
        <w:mirrorIndents/>
        <w:rPr>
          <w:rFonts w:eastAsia="Times New Roman" w:cs="Times New Roman"/>
          <w:szCs w:val="20"/>
          <w:lang w:eastAsia="de-DE"/>
        </w:rPr>
        <w:sectPr w:rsidR="00A45935" w:rsidRPr="002B5B92"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2B5B92" w:rsidRDefault="00A45935" w:rsidP="008C0B17">
      <w:pPr>
        <w:numPr>
          <w:ilvl w:val="0"/>
          <w:numId w:val="56"/>
        </w:numPr>
        <w:spacing w:before="120" w:after="120" w:line="280" w:lineRule="atLeast"/>
        <w:ind w:left="567" w:hanging="567"/>
        <w:mirrorIndents/>
        <w:rPr>
          <w:rFonts w:eastAsia="Times New Roman" w:cs="Times New Roman"/>
          <w:b/>
          <w:szCs w:val="20"/>
        </w:rPr>
      </w:pPr>
      <w:r w:rsidRPr="002B5B92">
        <w:rPr>
          <w:b/>
          <w:szCs w:val="20"/>
        </w:rPr>
        <w:lastRenderedPageBreak/>
        <w:t xml:space="preserve">Il-metodoloġija tal-evalwazzjoni proposta </w:t>
      </w:r>
    </w:p>
    <w:p w:rsidR="00A45935" w:rsidRPr="002B5B92" w:rsidRDefault="00A45935" w:rsidP="00E05D08">
      <w:pPr>
        <w:spacing w:after="120" w:line="280" w:lineRule="atLeast"/>
        <w:mirrorIndents/>
        <w:rPr>
          <w:rFonts w:eastAsia="Times New Roman" w:cs="Times New Roman"/>
          <w:color w:val="F07E31"/>
          <w:szCs w:val="20"/>
          <w:u w:val="single"/>
        </w:rPr>
      </w:pPr>
      <w:r w:rsidRPr="002B5B92">
        <w:t>Il-kalkolu tal-indikaturi komuni marbuta mas-CEQ 2 huwa deskritt fl-Anness 11 tal-Linji Gwida “</w:t>
      </w:r>
      <w:hyperlink r:id="rId51" w:history="1">
        <w:r w:rsidRPr="002B5B92">
          <w:rPr>
            <w:color w:val="F07E31"/>
            <w:szCs w:val="20"/>
            <w:u w:val="single"/>
          </w:rPr>
          <w:t>Assessment of RDP results:</w:t>
        </w:r>
      </w:hyperlink>
      <w:hyperlink r:id="rId52" w:history="1">
        <w:r w:rsidRPr="002B5B92">
          <w:rPr>
            <w:color w:val="F07E31"/>
            <w:szCs w:val="20"/>
            <w:u w:val="single"/>
          </w:rPr>
          <w:t>how to prepare for reporting on evaluation in 2017</w:t>
        </w:r>
      </w:hyperlink>
      <w:r w:rsidRPr="002B5B92">
        <w:t>”</w:t>
      </w:r>
    </w:p>
    <w:p w:rsidR="00A45935" w:rsidRPr="002B5B92" w:rsidRDefault="00A45935" w:rsidP="00E05D08">
      <w:pPr>
        <w:spacing w:after="120" w:line="280" w:lineRule="atLeast"/>
        <w:mirrorIndents/>
        <w:rPr>
          <w:rFonts w:eastAsia="Times New Roman" w:cs="Times New Roman"/>
          <w:szCs w:val="20"/>
        </w:rPr>
      </w:pPr>
      <w:r w:rsidRPr="002B5B92">
        <w:t>Għall-valutazzjoni tal-parti relatata mal-innovazzjoni tas-CEQ nru. 2, huwa propost li:</w:t>
      </w:r>
    </w:p>
    <w:p w:rsidR="00A45935" w:rsidRPr="002B5B92" w:rsidRDefault="00A45935" w:rsidP="00547012">
      <w:pPr>
        <w:pStyle w:val="Hlistbullet"/>
      </w:pPr>
      <w:r w:rsidRPr="002B5B92">
        <w:rPr>
          <w:b/>
        </w:rPr>
        <w:t>PASS 1: Identifika l-benefiċjarji ta’ M16</w:t>
      </w:r>
      <w:r w:rsidRPr="002B5B92">
        <w:t xml:space="preserve"> u s-submiżuri tagħha f’konformità mar-riżultati tal-identifikazzjoni tal-potenzjal tal-innovazzjoni tagħhom (il-benefiċjarji li implimentaw operazzjonijiet ikklassifikati bħala innovattivi) </w:t>
      </w:r>
    </w:p>
    <w:p w:rsidR="00A45935" w:rsidRPr="002B5B92" w:rsidRDefault="00A45935" w:rsidP="00547012">
      <w:pPr>
        <w:pStyle w:val="Hlistbullet"/>
      </w:pPr>
      <w:r w:rsidRPr="002B5B92">
        <w:rPr>
          <w:b/>
        </w:rPr>
        <w:t>PASS 2: Ikkwantifika l-indikaturi tal-output u l-indikaturi fil-mira</w:t>
      </w:r>
      <w:r w:rsidRPr="002B5B92">
        <w:t xml:space="preserve"> bl-għajnuna ta’ data ta’ monitoraġġ mill-bażi ta’ data tal-operazzjonijiet tal-PŻR fuq il-GO. Sabiex jużaw il-bażi ta’ data tal-operazzjonijiet għall-evalwazzjoni tal-innovazzjoni, l-Awtoritajiet Maniġerjali jistgħu jżidu u jiġbru oġġetti marbuta mal-GO u l-innovazzjoni. </w:t>
      </w:r>
    </w:p>
    <w:p w:rsidR="00A45935" w:rsidRPr="002B5B92" w:rsidRDefault="00A45935" w:rsidP="00547012">
      <w:pPr>
        <w:pStyle w:val="Hlistbullet"/>
      </w:pPr>
      <w:r w:rsidRPr="002B5B92">
        <w:rPr>
          <w:b/>
        </w:rPr>
        <w:t>PASS 3: Iġbor l-evidenza sabiex tkun tista’ twieġeb is-CEQ</w:t>
      </w:r>
      <w:r w:rsidRPr="002B5B92">
        <w:t xml:space="preserve"> bl-għajnuna ta’ metodi speċifikati. Iddisinja mistoqsijiet miftuħa għall-użu tal-metodi inklużi fit-tabella ta’ hawn taħt (stħarriġ, gruppi fokus u l-metodu Delphi) li jirrispettaw il-kriterji u indikaturi tal-ġudizzju proposti, kif ukoll ir-riżultati tal-identifikazzjoni tal-potenzjal tal-innovazzjoni.</w:t>
      </w:r>
    </w:p>
    <w:p w:rsidR="00A45935" w:rsidRPr="002B5B92" w:rsidRDefault="00A45935" w:rsidP="00547012">
      <w:pPr>
        <w:pStyle w:val="Hlistbullet"/>
      </w:pPr>
      <w:r w:rsidRPr="002B5B92">
        <w:rPr>
          <w:b/>
        </w:rPr>
        <w:t>PASS 4: Analizza u interpreta l-evidenza miġbura</w:t>
      </w:r>
      <w:r w:rsidRPr="002B5B92">
        <w:t xml:space="preserve"> u użaha sabiex twieġeb is-CEQ nru. 2 f’termini tat-tisħiħ tar-rabtiet fir-rigward tal-innovazzjoni.</w:t>
      </w:r>
    </w:p>
    <w:p w:rsidR="00A45935" w:rsidRPr="002B5B92" w:rsidRDefault="00A45935" w:rsidP="00897804">
      <w:pPr>
        <w:pStyle w:val="HHeadingtables"/>
        <w:rPr>
          <w:color w:val="6F6F6F"/>
          <w:sz w:val="18"/>
          <w:szCs w:val="18"/>
        </w:rPr>
      </w:pPr>
      <w:bookmarkStart w:id="115" w:name="_Toc508964835"/>
      <w:r w:rsidRPr="002B5B92">
        <w:rPr>
          <w:color w:val="6F6F6F"/>
          <w:sz w:val="18"/>
          <w:szCs w:val="18"/>
        </w:rPr>
        <w:t>Metodi rrakkomandati għas-CEQ nru. 2</w:t>
      </w:r>
      <w:bookmarkEnd w:id="115"/>
      <w:r w:rsidRPr="002B5B92">
        <w:rPr>
          <w:color w:val="6F6F6F"/>
          <w:sz w:val="18"/>
          <w:szCs w:val="18"/>
        </w:rPr>
        <w:t xml:space="preser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1"/>
      </w:tblGrid>
      <w:tr w:rsidR="00A45935" w:rsidRPr="002B5B92" w:rsidTr="00E05D08">
        <w:tc>
          <w:tcPr>
            <w:tcW w:w="2405" w:type="dxa"/>
            <w:shd w:val="clear" w:color="auto" w:fill="F07E31"/>
          </w:tcPr>
          <w:p w:rsidR="00A45935" w:rsidRPr="002B5B92" w:rsidRDefault="00A45935" w:rsidP="00E05D08">
            <w:pPr>
              <w:spacing w:after="120" w:line="280" w:lineRule="atLeast"/>
              <w:mirrorIndents/>
              <w:jc w:val="center"/>
              <w:rPr>
                <w:b/>
                <w:color w:val="FFFFFF"/>
                <w:sz w:val="18"/>
                <w:szCs w:val="18"/>
              </w:rPr>
            </w:pPr>
            <w:r w:rsidRPr="002B5B92">
              <w:rPr>
                <w:b/>
                <w:color w:val="FFFFFF"/>
                <w:sz w:val="18"/>
                <w:szCs w:val="18"/>
              </w:rPr>
              <w:t>Metodi</w:t>
            </w:r>
          </w:p>
        </w:tc>
        <w:tc>
          <w:tcPr>
            <w:tcW w:w="6612" w:type="dxa"/>
            <w:shd w:val="clear" w:color="auto" w:fill="F07E31"/>
          </w:tcPr>
          <w:p w:rsidR="00A45935" w:rsidRPr="002B5B92" w:rsidRDefault="00A45935" w:rsidP="00E05D08">
            <w:pPr>
              <w:spacing w:after="120" w:line="280" w:lineRule="atLeast"/>
              <w:mirrorIndents/>
              <w:jc w:val="center"/>
              <w:rPr>
                <w:b/>
                <w:color w:val="FFFFFF"/>
                <w:sz w:val="18"/>
                <w:szCs w:val="18"/>
              </w:rPr>
            </w:pPr>
            <w:r w:rsidRPr="002B5B92">
              <w:rPr>
                <w:b/>
                <w:color w:val="FFFFFF"/>
                <w:sz w:val="18"/>
                <w:szCs w:val="18"/>
              </w:rPr>
              <w:t>Suġġerimenti dwar kif jintużaw il-metodi</w:t>
            </w:r>
          </w:p>
        </w:tc>
      </w:tr>
      <w:tr w:rsidR="00A45935" w:rsidRPr="002B5B92" w:rsidTr="00E05D08">
        <w:tc>
          <w:tcPr>
            <w:tcW w:w="2405" w:type="dxa"/>
          </w:tcPr>
          <w:p w:rsidR="00A45935" w:rsidRPr="002B5B92" w:rsidRDefault="00A45935" w:rsidP="000E0FE4">
            <w:pPr>
              <w:spacing w:after="120" w:line="280" w:lineRule="atLeast"/>
              <w:ind w:left="22" w:right="91"/>
              <w:mirrorIndents/>
              <w:jc w:val="left"/>
              <w:rPr>
                <w:sz w:val="18"/>
                <w:szCs w:val="18"/>
              </w:rPr>
            </w:pPr>
            <w:r w:rsidRPr="002B5B92">
              <w:rPr>
                <w:sz w:val="18"/>
                <w:szCs w:val="18"/>
              </w:rPr>
              <w:t>Stħarriġ għall-proġetti ta’ kooperazzjoni u l-benefiċjarji finali</w:t>
            </w:r>
          </w:p>
        </w:tc>
        <w:tc>
          <w:tcPr>
            <w:tcW w:w="6612" w:type="dxa"/>
          </w:tcPr>
          <w:p w:rsidR="00A45935" w:rsidRPr="002B5B92" w:rsidRDefault="00A45935" w:rsidP="008C0B17">
            <w:pPr>
              <w:numPr>
                <w:ilvl w:val="0"/>
                <w:numId w:val="21"/>
              </w:numPr>
              <w:spacing w:before="60" w:after="120" w:line="280" w:lineRule="atLeast"/>
              <w:ind w:left="459"/>
              <w:rPr>
                <w:sz w:val="18"/>
                <w:szCs w:val="18"/>
              </w:rPr>
            </w:pPr>
            <w:r w:rsidRPr="002B5B92">
              <w:rPr>
                <w:sz w:val="18"/>
                <w:szCs w:val="18"/>
              </w:rPr>
              <w:t>Agħżel kampjun ta’ proġetti ta’ kooperazzjoni (eż. skont is-settur, id-daqs tal-GO, il-ġeografija, eċċ.) biex tiġbor data u informazzjoni mingħand il-benefiċjarji għal indikaturi permezz ta’ stħarriġ.</w:t>
            </w:r>
          </w:p>
          <w:p w:rsidR="00A45935" w:rsidRPr="002B5B92" w:rsidRDefault="00A45935" w:rsidP="008C0B17">
            <w:pPr>
              <w:numPr>
                <w:ilvl w:val="0"/>
                <w:numId w:val="21"/>
              </w:numPr>
              <w:spacing w:before="60" w:after="120" w:line="280" w:lineRule="atLeast"/>
              <w:ind w:left="459"/>
              <w:rPr>
                <w:sz w:val="18"/>
                <w:szCs w:val="18"/>
              </w:rPr>
            </w:pPr>
            <w:r w:rsidRPr="002B5B92">
              <w:rPr>
                <w:sz w:val="18"/>
                <w:szCs w:val="18"/>
              </w:rPr>
              <w:t xml:space="preserve">Agħżel, </w:t>
            </w:r>
            <w:r w:rsidRPr="002B5B92">
              <w:rPr>
                <w:i/>
                <w:sz w:val="18"/>
                <w:szCs w:val="18"/>
              </w:rPr>
              <w:t>inter alia</w:t>
            </w:r>
            <w:r w:rsidRPr="002B5B92">
              <w:rPr>
                <w:sz w:val="18"/>
                <w:szCs w:val="18"/>
              </w:rPr>
              <w:t>, proġetti ta’ kooperazzjoni li jista’ jkollhom inċidenza fuq il-ġestjoni u l-prestazzjoni ambjentali (eż. is-submiżuri 5, 6, 8 u 9 jew gruppi operazzjonali f’dan il-qasam - M16.1).</w:t>
            </w:r>
          </w:p>
          <w:p w:rsidR="00A45935" w:rsidRPr="002B5B92" w:rsidRDefault="00A45935" w:rsidP="008C0B17">
            <w:pPr>
              <w:numPr>
                <w:ilvl w:val="0"/>
                <w:numId w:val="21"/>
              </w:numPr>
              <w:spacing w:before="60" w:after="120" w:line="280" w:lineRule="atLeast"/>
              <w:ind w:left="459"/>
              <w:rPr>
                <w:sz w:val="18"/>
                <w:szCs w:val="18"/>
              </w:rPr>
            </w:pPr>
            <w:r w:rsidRPr="002B5B92">
              <w:rPr>
                <w:sz w:val="18"/>
                <w:szCs w:val="18"/>
              </w:rPr>
              <w:t>Ibni l-istħarriġ, inklużi mistoqsijiet miftuħa dwar kif il-proġetti ta’ kooperazzjoni jikkontribwixxu għal: a) il-kondiviżjoni ta’ ideat innovattivi, b) il-bini tal-kapaċità għall-innovazzjoni, ċ) il-ħolqien ta’ ambjent favorevoli għall-innovazzjoni.</w:t>
            </w:r>
          </w:p>
          <w:p w:rsidR="00A45935" w:rsidRPr="002B5B92" w:rsidRDefault="00A45935" w:rsidP="008C0B17">
            <w:pPr>
              <w:numPr>
                <w:ilvl w:val="0"/>
                <w:numId w:val="21"/>
              </w:numPr>
              <w:spacing w:before="60" w:after="120" w:line="280" w:lineRule="atLeast"/>
              <w:ind w:left="459"/>
            </w:pPr>
            <w:r w:rsidRPr="002B5B92">
              <w:rPr>
                <w:sz w:val="18"/>
                <w:szCs w:val="18"/>
              </w:rPr>
              <w:t>Uża s-sejbiet tal-istħarriġ sabiex: tivvaluta kif forom differenti ta’ proġetti ta’ kooperazzjoni (kooperazzjoni bejn atturi differenti, raggruppamenti u netwerks u gruppi operazzjonali) jikkontribwixxu għal rabtiet aktar b’saħħithom bejn ir-riċerka/l-innovazzjoni u l-prattika.</w:t>
            </w:r>
          </w:p>
        </w:tc>
      </w:tr>
      <w:tr w:rsidR="00A45935" w:rsidRPr="002B5B92" w:rsidTr="00E05D08">
        <w:tc>
          <w:tcPr>
            <w:tcW w:w="2405" w:type="dxa"/>
          </w:tcPr>
          <w:p w:rsidR="00A45935" w:rsidRPr="002B5B92" w:rsidRDefault="00A45935" w:rsidP="000E0FE4">
            <w:pPr>
              <w:spacing w:after="120" w:line="280" w:lineRule="atLeast"/>
              <w:ind w:left="22" w:right="143"/>
              <w:mirrorIndents/>
              <w:jc w:val="left"/>
              <w:rPr>
                <w:sz w:val="18"/>
                <w:szCs w:val="18"/>
              </w:rPr>
            </w:pPr>
            <w:r w:rsidRPr="002B5B92">
              <w:rPr>
                <w:sz w:val="18"/>
                <w:szCs w:val="18"/>
              </w:rPr>
              <w:t>Gruppi fokus strutturati</w:t>
            </w:r>
          </w:p>
        </w:tc>
        <w:tc>
          <w:tcPr>
            <w:tcW w:w="6612" w:type="dxa"/>
          </w:tcPr>
          <w:p w:rsidR="00A45935" w:rsidRPr="002B5B92" w:rsidRDefault="00A45935" w:rsidP="008C0B17">
            <w:pPr>
              <w:numPr>
                <w:ilvl w:val="0"/>
                <w:numId w:val="22"/>
              </w:numPr>
              <w:spacing w:before="60" w:after="120" w:line="280" w:lineRule="atLeast"/>
              <w:ind w:left="459"/>
              <w:rPr>
                <w:sz w:val="18"/>
                <w:szCs w:val="18"/>
              </w:rPr>
            </w:pPr>
            <w:r w:rsidRPr="002B5B92">
              <w:rPr>
                <w:sz w:val="18"/>
                <w:szCs w:val="18"/>
              </w:rPr>
              <w:t>Mexxi gruppi fokus b’partijiet ikkonċernati tal-innovazzjoni (eż. servizzi ta’ appoġġ għall-innovazzjoni, konsulenti li jaġixxu bħala sensara tal-innovazzjoni, riċerkaturi u ċentri tal-innovazzjoni, eċċ.).</w:t>
            </w:r>
          </w:p>
          <w:p w:rsidR="00A45935" w:rsidRPr="002B5B92" w:rsidRDefault="00A45935" w:rsidP="008C0B17">
            <w:pPr>
              <w:numPr>
                <w:ilvl w:val="0"/>
                <w:numId w:val="22"/>
              </w:numPr>
              <w:spacing w:before="60" w:after="120" w:line="280" w:lineRule="atLeast"/>
              <w:ind w:left="459"/>
              <w:rPr>
                <w:sz w:val="18"/>
                <w:szCs w:val="18"/>
              </w:rPr>
            </w:pPr>
            <w:r w:rsidRPr="002B5B92">
              <w:rPr>
                <w:sz w:val="18"/>
                <w:szCs w:val="18"/>
              </w:rPr>
              <w:t>Analizza kif ir-rabtiet bejn il-partijiet ikkonċernati jinfluwenzaw il-kapaċità għall-innovazzjoni u għall-ħolqien ta’ ambjent favorevoli għall-innovazzjoni.</w:t>
            </w:r>
          </w:p>
          <w:p w:rsidR="00A45935" w:rsidRPr="002B5B92" w:rsidRDefault="00A45935" w:rsidP="008C0B17">
            <w:pPr>
              <w:numPr>
                <w:ilvl w:val="0"/>
                <w:numId w:val="22"/>
              </w:numPr>
              <w:spacing w:before="60" w:after="120" w:line="280" w:lineRule="atLeast"/>
              <w:ind w:left="459"/>
              <w:rPr>
                <w:sz w:val="18"/>
                <w:szCs w:val="18"/>
              </w:rPr>
            </w:pPr>
            <w:r w:rsidRPr="002B5B92">
              <w:rPr>
                <w:sz w:val="18"/>
                <w:szCs w:val="18"/>
              </w:rPr>
              <w:t>Ikkunsidra l-għażla ta’ gruppi fokus tematiċi (eż. grupp fokus għal proġetti ta’ kooperazzjoni li jittratta kwistjonijiet ambjentali, ieħor għall-gruppi operazzjonali tal-EIP, eċċ.).</w:t>
            </w:r>
          </w:p>
        </w:tc>
      </w:tr>
      <w:tr w:rsidR="00A45935" w:rsidRPr="002B5B92" w:rsidTr="00E05D08">
        <w:tc>
          <w:tcPr>
            <w:tcW w:w="2405" w:type="dxa"/>
          </w:tcPr>
          <w:p w:rsidR="00A45935" w:rsidRPr="002B5B92" w:rsidRDefault="00A45935" w:rsidP="000E0FE4">
            <w:pPr>
              <w:spacing w:after="120" w:line="280" w:lineRule="atLeast"/>
              <w:ind w:right="143"/>
              <w:mirrorIndents/>
              <w:jc w:val="left"/>
              <w:rPr>
                <w:sz w:val="18"/>
                <w:szCs w:val="18"/>
              </w:rPr>
            </w:pPr>
            <w:r w:rsidRPr="002B5B92">
              <w:rPr>
                <w:sz w:val="18"/>
                <w:szCs w:val="18"/>
              </w:rPr>
              <w:lastRenderedPageBreak/>
              <w:t>Il-metodu Delphi</w:t>
            </w:r>
          </w:p>
        </w:tc>
        <w:tc>
          <w:tcPr>
            <w:tcW w:w="6612" w:type="dxa"/>
          </w:tcPr>
          <w:p w:rsidR="00A45935" w:rsidRPr="002B5B92" w:rsidRDefault="0050721E" w:rsidP="008C0B17">
            <w:pPr>
              <w:numPr>
                <w:ilvl w:val="0"/>
                <w:numId w:val="23"/>
              </w:numPr>
              <w:spacing w:before="60" w:after="120" w:line="280" w:lineRule="atLeast"/>
              <w:ind w:left="459"/>
              <w:rPr>
                <w:sz w:val="18"/>
                <w:szCs w:val="18"/>
              </w:rPr>
            </w:pPr>
            <w:r w:rsidRPr="002B5B92">
              <w:rPr>
                <w:sz w:val="18"/>
                <w:szCs w:val="18"/>
              </w:rPr>
              <w:t>Organizza proċess Delphi bil-parteċipazzjoni ta’ esperti tal-innovazzjoni (eż. dawk involuti fi proġetti ta’ kooperazzjoni, iżda wkoll akkademiċi, eċċ.) sabiex jagħtu l-ġudizzju tagħhom fuq il-kriterji rilevanti.</w:t>
            </w:r>
          </w:p>
        </w:tc>
      </w:tr>
    </w:tbl>
    <w:p w:rsidR="00A45935" w:rsidRPr="002B5B92" w:rsidRDefault="00A45935" w:rsidP="00E05D08">
      <w:pPr>
        <w:spacing w:after="0" w:line="240" w:lineRule="auto"/>
        <w:rPr>
          <w:rFonts w:eastAsia="Times New Roman" w:cs="Times New Roman"/>
          <w:sz w:val="18"/>
          <w:szCs w:val="24"/>
        </w:rPr>
      </w:pPr>
    </w:p>
    <w:p w:rsidR="00A45935" w:rsidRPr="002B5B92" w:rsidRDefault="00A45935" w:rsidP="00E05D08">
      <w:pPr>
        <w:spacing w:after="120" w:line="280" w:lineRule="atLeast"/>
        <w:mirrorIndents/>
        <w:rPr>
          <w:rFonts w:eastAsia="Times New Roman" w:cs="Times New Roman"/>
          <w:szCs w:val="20"/>
        </w:rPr>
      </w:pPr>
      <w:r w:rsidRPr="002B5B92">
        <w:rPr>
          <w:rFonts w:eastAsia="Times New Roman" w:cs="Times New Roman"/>
          <w:noProof/>
          <w:sz w:val="18"/>
          <w:szCs w:val="24"/>
          <w:lang w:val="en-GB" w:eastAsia="en-GB"/>
        </w:rPr>
        <mc:AlternateContent>
          <mc:Choice Requires="wps">
            <w:drawing>
              <wp:inline distT="0" distB="0" distL="0" distR="0" wp14:anchorId="0E735868" wp14:editId="7A13594E">
                <wp:extent cx="5707380" cy="4408227"/>
                <wp:effectExtent l="0" t="0" r="26670" b="11430"/>
                <wp:docPr id="26" name="Rectangle: Diagonal Corners Rounded 26"/>
                <wp:cNvGraphicFramePr/>
                <a:graphic xmlns:a="http://schemas.openxmlformats.org/drawingml/2006/main">
                  <a:graphicData uri="http://schemas.microsoft.com/office/word/2010/wordprocessingShape">
                    <wps:wsp>
                      <wps:cNvSpPr/>
                      <wps:spPr>
                        <a:xfrm>
                          <a:off x="0" y="0"/>
                          <a:ext cx="5707380" cy="4408227"/>
                        </a:xfrm>
                        <a:prstGeom prst="round2DiagRect">
                          <a:avLst>
                            <a:gd name="adj1" fmla="val 7299"/>
                            <a:gd name="adj2" fmla="val 0"/>
                          </a:avLst>
                        </a:prstGeom>
                        <a:noFill/>
                        <a:ln w="25400" cap="flat" cmpd="sng" algn="ctr">
                          <a:solidFill>
                            <a:srgbClr val="F07E31"/>
                          </a:solidFill>
                          <a:prstDash val="solid"/>
                        </a:ln>
                        <a:effectLst/>
                      </wps:spPr>
                      <wps:txbx>
                        <w:txbxContent>
                          <w:p w:rsidR="005570DA" w:rsidRPr="001954EB" w:rsidRDefault="005570DA" w:rsidP="00E05D08">
                            <w:pPr>
                              <w:pStyle w:val="HStandard"/>
                              <w:rPr>
                                <w:b/>
                                <w:color w:val="F07E31"/>
                                <w:sz w:val="18"/>
                                <w:szCs w:val="18"/>
                              </w:rPr>
                            </w:pPr>
                            <w:r>
                              <w:rPr>
                                <w:noProof/>
                                <w:sz w:val="18"/>
                                <w:szCs w:val="18"/>
                                <w:lang w:val="en-GB" w:eastAsia="en-GB"/>
                              </w:rPr>
                              <w:drawing>
                                <wp:inline distT="0" distB="0" distL="0" distR="0" wp14:anchorId="5EA380B1" wp14:editId="418CEFBA">
                                  <wp:extent cx="353060" cy="359410"/>
                                  <wp:effectExtent l="0" t="0" r="8890" b="2540"/>
                                  <wp:docPr id="74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Eżempji mill-AIRs sottomessi fl-2017</w:t>
                            </w:r>
                          </w:p>
                          <w:p w:rsidR="005570DA" w:rsidRPr="00547012" w:rsidRDefault="005570DA" w:rsidP="00E05D08">
                            <w:pPr>
                              <w:rPr>
                                <w:rFonts w:cs="Arial"/>
                                <w:sz w:val="18"/>
                                <w:szCs w:val="18"/>
                              </w:rPr>
                            </w:pPr>
                            <w:r>
                              <w:rPr>
                                <w:b/>
                                <w:sz w:val="18"/>
                                <w:szCs w:val="18"/>
                              </w:rPr>
                              <w:t>Mecklenburg-Vorpommern (DE) -</w:t>
                            </w:r>
                            <w:r>
                              <w:rPr>
                                <w:sz w:val="18"/>
                                <w:szCs w:val="18"/>
                              </w:rPr>
                              <w:t xml:space="preserve"> juża tliet kriterji tal-ġudizzju fir-rigward tal-innovazzjoni:</w:t>
                            </w:r>
                          </w:p>
                          <w:p w:rsidR="005570DA" w:rsidRPr="001954EB" w:rsidRDefault="005570DA" w:rsidP="008C0B17">
                            <w:pPr>
                              <w:numPr>
                                <w:ilvl w:val="0"/>
                                <w:numId w:val="57"/>
                              </w:numPr>
                              <w:rPr>
                                <w:rFonts w:cs="Arial"/>
                                <w:sz w:val="18"/>
                                <w:szCs w:val="18"/>
                              </w:rPr>
                            </w:pPr>
                            <w:r>
                              <w:rPr>
                                <w:sz w:val="18"/>
                                <w:szCs w:val="18"/>
                              </w:rPr>
                              <w:t xml:space="preserve">Il-proċessi appoġġati mill-PŻR huma innovattivi u bbażati fuq l-għarfien miksub, </w:t>
                            </w:r>
                          </w:p>
                          <w:p w:rsidR="005570DA" w:rsidRPr="001954EB" w:rsidRDefault="005570DA" w:rsidP="008C0B17">
                            <w:pPr>
                              <w:numPr>
                                <w:ilvl w:val="0"/>
                                <w:numId w:val="57"/>
                              </w:numPr>
                              <w:rPr>
                                <w:rFonts w:cs="Arial"/>
                                <w:sz w:val="18"/>
                                <w:szCs w:val="18"/>
                              </w:rPr>
                            </w:pPr>
                            <w:r>
                              <w:rPr>
                                <w:sz w:val="18"/>
                                <w:szCs w:val="18"/>
                              </w:rPr>
                              <w:t>L-azzjonijiet innovattivi jiġu implimentati u mxerrda permezz tal-GO,</w:t>
                            </w:r>
                          </w:p>
                          <w:p w:rsidR="005570DA" w:rsidRPr="001954EB" w:rsidRDefault="005570DA" w:rsidP="008C0B17">
                            <w:pPr>
                              <w:numPr>
                                <w:ilvl w:val="0"/>
                                <w:numId w:val="57"/>
                              </w:numPr>
                              <w:rPr>
                                <w:rFonts w:cs="Arial"/>
                                <w:sz w:val="18"/>
                                <w:szCs w:val="18"/>
                              </w:rPr>
                            </w:pPr>
                            <w:r>
                              <w:rPr>
                                <w:sz w:val="18"/>
                                <w:szCs w:val="18"/>
                              </w:rPr>
                              <w:t>Ir-riżultati miksuba jwasslu għal pożizzjoni mtejba fis-suq tal-imsieħba involuti permezz tal-innovazzjoni.</w:t>
                            </w:r>
                          </w:p>
                          <w:p w:rsidR="005570DA" w:rsidRPr="00547012" w:rsidRDefault="005570DA" w:rsidP="00E05D08">
                            <w:pPr>
                              <w:rPr>
                                <w:rFonts w:cs="Arial"/>
                                <w:sz w:val="18"/>
                                <w:szCs w:val="18"/>
                              </w:rPr>
                            </w:pPr>
                            <w:r>
                              <w:rPr>
                                <w:sz w:val="18"/>
                                <w:szCs w:val="18"/>
                              </w:rPr>
                              <w:t>Jintużaw diversi metodi sabiex tinġabar l-informazzjoni mingħand il-GO tal-EIP. Dawn ikopru dimensjonijiet differenti tal-innovazzjonijiet u għandhom l-għan li jiġġudikaw il-kwalità u l-effetti tal-GO:</w:t>
                            </w:r>
                          </w:p>
                          <w:p w:rsidR="005570DA" w:rsidRPr="001954EB" w:rsidRDefault="005570DA" w:rsidP="008C0B17">
                            <w:pPr>
                              <w:numPr>
                                <w:ilvl w:val="0"/>
                                <w:numId w:val="58"/>
                              </w:numPr>
                              <w:rPr>
                                <w:rFonts w:cs="Arial"/>
                                <w:sz w:val="18"/>
                                <w:szCs w:val="18"/>
                              </w:rPr>
                            </w:pPr>
                            <w:r>
                              <w:rPr>
                                <w:sz w:val="18"/>
                                <w:szCs w:val="18"/>
                              </w:rPr>
                              <w:t>Analiżi bażi (valutazzjoni tal-kundizzjonijiet ta’ qafas, intervisti mal-atturi, eċċ.);</w:t>
                            </w:r>
                          </w:p>
                          <w:p w:rsidR="005570DA" w:rsidRPr="001954EB" w:rsidRDefault="005570DA" w:rsidP="008C0B17">
                            <w:pPr>
                              <w:numPr>
                                <w:ilvl w:val="0"/>
                                <w:numId w:val="58"/>
                              </w:numPr>
                              <w:rPr>
                                <w:rFonts w:cs="Arial"/>
                                <w:sz w:val="18"/>
                                <w:szCs w:val="18"/>
                              </w:rPr>
                            </w:pPr>
                            <w:r>
                              <w:rPr>
                                <w:sz w:val="18"/>
                                <w:szCs w:val="18"/>
                              </w:rPr>
                              <w:t xml:space="preserve">Valutazzjoni tal-karatteristiċi u t-tipi ta’ innovazzjoni permezz tal-analiżi tal-kriterji tal-għażla u l-istudji ta’ każijiet; </w:t>
                            </w:r>
                          </w:p>
                          <w:p w:rsidR="005570DA" w:rsidRPr="001954EB" w:rsidRDefault="005570DA" w:rsidP="008C0B17">
                            <w:pPr>
                              <w:numPr>
                                <w:ilvl w:val="0"/>
                                <w:numId w:val="58"/>
                              </w:numPr>
                              <w:rPr>
                                <w:rFonts w:cs="Arial"/>
                                <w:sz w:val="18"/>
                                <w:szCs w:val="18"/>
                              </w:rPr>
                            </w:pPr>
                            <w:r>
                              <w:rPr>
                                <w:sz w:val="18"/>
                                <w:szCs w:val="18"/>
                              </w:rPr>
                              <w:t>Analiżi tar-riżultati miksuba u t-tixrid tagħhom (stħarriġ u awtovalutazzjoni tal-GO).</w:t>
                            </w:r>
                          </w:p>
                          <w:p w:rsidR="005570DA" w:rsidRPr="00547012" w:rsidRDefault="005570DA" w:rsidP="00E05D08">
                            <w:pPr>
                              <w:rPr>
                                <w:rFonts w:cs="Arial"/>
                                <w:sz w:val="18"/>
                                <w:szCs w:val="18"/>
                              </w:rPr>
                            </w:pPr>
                            <w:r>
                              <w:rPr>
                                <w:sz w:val="18"/>
                                <w:szCs w:val="18"/>
                              </w:rPr>
                              <w:t xml:space="preserve">Is-sorsi ta’ data u informazzjoni jinkludu data ta’ monitoraġġ, formoli ta’ applikazzjoni, dokumentazzjoni tal-proġetti, data statistika primarja miġbura permezz ta’ stħarriġ, data statistika sekondarja minn sorsi varji. </w:t>
                            </w:r>
                          </w:p>
                          <w:p w:rsidR="005570DA" w:rsidRPr="00547012" w:rsidRDefault="005570DA" w:rsidP="00E05D08">
                            <w:pPr>
                              <w:rPr>
                                <w:rFonts w:cs="Arial"/>
                                <w:sz w:val="18"/>
                                <w:szCs w:val="18"/>
                              </w:rPr>
                            </w:pPr>
                            <w:r>
                              <w:rPr>
                                <w:sz w:val="18"/>
                                <w:szCs w:val="18"/>
                              </w:rPr>
                              <w:t xml:space="preserve">L-istħarriġ mal-benefiċjarji (GO tal-EIP) jitwettaq qabel u wara l-intervent. </w:t>
                            </w:r>
                          </w:p>
                          <w:p w:rsidR="005570DA" w:rsidRPr="001954EB" w:rsidRDefault="005570DA" w:rsidP="00E05D08">
                            <w:pPr>
                              <w:pStyle w:val="HStandard"/>
                              <w:rPr>
                                <w:sz w:val="18"/>
                                <w:szCs w:val="18"/>
                              </w:rPr>
                            </w:pPr>
                            <w:r>
                              <w:rPr>
                                <w:b/>
                                <w:sz w:val="18"/>
                                <w:szCs w:val="18"/>
                              </w:rPr>
                              <w:t xml:space="preserve">Ir-Repubblika Ċeka - </w:t>
                            </w:r>
                            <w:r>
                              <w:rPr>
                                <w:sz w:val="18"/>
                                <w:szCs w:val="18"/>
                              </w:rPr>
                              <w:t>tissuġġerixxi li jintuża approċċ ibbażat fuq studju ta’ każ sabiex tinġabar informazzjoni minn GO u proġetti ta’ kooperazzjoni relatati mal-innovazzjoni.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735868" id="Rectangle: Diagonal Corners Rounded 26" o:spid="_x0000_s1048" style="width:449.4pt;height:347.1pt;visibility:visible;mso-wrap-style:square;mso-left-percent:-10001;mso-top-percent:-10001;mso-position-horizontal:absolute;mso-position-horizontal-relative:char;mso-position-vertical:absolute;mso-position-vertical-relative:line;mso-left-percent:-10001;mso-top-percent:-10001;v-text-anchor:middle" coordsize="5707380,44082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" adj="-11796480,,5400" path="m321756,l5707380,r,l5707380,4086471v,177701,-144055,321756,-321756,321756l,4408227r,l,321756c,144055,144055,,321756,xe" filled="f" strokecolor="#f07e31" strokeweight="2pt">
                <v:stroke joinstyle="miter"/>
                <v:formulas/>
                <v:path arrowok="t" o:connecttype="custom" o:connectlocs="321756,0;5707380,0;5707380,0;5707380,4086471;5385624,4408227;0,4408227;0,4408227;0,321756;321756,0" o:connectangles="0,0,0,0,0,0,0,0,0" textboxrect="0,0,5707380,4408227"/>
                <v:textbox>
                  <w:txbxContent>
                    <w:p w:rsidR="005570DA" w:rsidRPr="001954EB" w:rsidRDefault="005570DA" w:rsidP="00E05D08">
                      <w:pPr>
                        <w:pStyle w:val="HStandard"/>
                        <w:rPr>
                          <w:b/>
                          <w:color w:val="F07E31"/>
                          <w:sz w:val="18"/>
                          <w:szCs w:val="18"/>
                        </w:rPr>
                      </w:pPr>
                      <w:r>
                        <w:rPr>
                          <w:noProof/>
                          <w:sz w:val="18"/>
                          <w:szCs w:val="18"/>
                          <w:lang w:val="en-GB" w:eastAsia="en-GB"/>
                        </w:rPr>
                        <w:drawing>
                          <wp:inline distT="0" distB="0" distL="0" distR="0" wp14:anchorId="5EA380B1" wp14:editId="418CEFBA">
                            <wp:extent cx="353060" cy="359410"/>
                            <wp:effectExtent l="0" t="0" r="8890" b="2540"/>
                            <wp:docPr id="74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Eżempji mill-AIRs sottomessi fl-2017</w:t>
                      </w:r>
                    </w:p>
                    <w:p w:rsidR="005570DA" w:rsidRPr="00547012" w:rsidRDefault="005570DA" w:rsidP="00E05D08">
                      <w:pPr>
                        <w:rPr>
                          <w:rFonts w:cs="Arial"/>
                          <w:sz w:val="18"/>
                          <w:szCs w:val="18"/>
                        </w:rPr>
                      </w:pPr>
                      <w:r>
                        <w:rPr>
                          <w:b/>
                          <w:sz w:val="18"/>
                          <w:szCs w:val="18"/>
                        </w:rPr>
                        <w:t>Mecklenburg-Vorpommern (DE) -</w:t>
                      </w:r>
                      <w:r>
                        <w:rPr>
                          <w:sz w:val="18"/>
                          <w:szCs w:val="18"/>
                        </w:rPr>
                        <w:t xml:space="preserve"> juża tliet kriterji tal-ġudizzju fir-rigward tal-innovazzjoni:</w:t>
                      </w:r>
                    </w:p>
                    <w:p w:rsidR="005570DA" w:rsidRPr="001954EB" w:rsidRDefault="005570DA" w:rsidP="008C0B17">
                      <w:pPr>
                        <w:numPr>
                          <w:ilvl w:val="0"/>
                          <w:numId w:val="57"/>
                        </w:numPr>
                        <w:rPr>
                          <w:rFonts w:cs="Arial"/>
                          <w:sz w:val="18"/>
                          <w:szCs w:val="18"/>
                        </w:rPr>
                      </w:pPr>
                      <w:r>
                        <w:rPr>
                          <w:sz w:val="18"/>
                          <w:szCs w:val="18"/>
                        </w:rPr>
                        <w:t xml:space="preserve">Il-proċessi appoġġati mill-PŻR huma innovattivi u bbażati fuq l-għarfien miksub, </w:t>
                      </w:r>
                    </w:p>
                    <w:p w:rsidR="005570DA" w:rsidRPr="001954EB" w:rsidRDefault="005570DA" w:rsidP="008C0B17">
                      <w:pPr>
                        <w:numPr>
                          <w:ilvl w:val="0"/>
                          <w:numId w:val="57"/>
                        </w:numPr>
                        <w:rPr>
                          <w:rFonts w:cs="Arial"/>
                          <w:sz w:val="18"/>
                          <w:szCs w:val="18"/>
                        </w:rPr>
                      </w:pPr>
                      <w:r>
                        <w:rPr>
                          <w:sz w:val="18"/>
                          <w:szCs w:val="18"/>
                        </w:rPr>
                        <w:t>L-azzjonijiet innovattivi jiġu implimentati u mxerrda permezz tal-GO,</w:t>
                      </w:r>
                    </w:p>
                    <w:p w:rsidR="005570DA" w:rsidRPr="001954EB" w:rsidRDefault="005570DA" w:rsidP="008C0B17">
                      <w:pPr>
                        <w:numPr>
                          <w:ilvl w:val="0"/>
                          <w:numId w:val="57"/>
                        </w:numPr>
                        <w:rPr>
                          <w:rFonts w:cs="Arial"/>
                          <w:sz w:val="18"/>
                          <w:szCs w:val="18"/>
                        </w:rPr>
                      </w:pPr>
                      <w:r>
                        <w:rPr>
                          <w:sz w:val="18"/>
                          <w:szCs w:val="18"/>
                        </w:rPr>
                        <w:t>Ir-riżultati miksuba jwasslu għal pożizzjoni mtejba fis-suq tal-imsieħba involuti permezz tal-innovazzjoni.</w:t>
                      </w:r>
                    </w:p>
                    <w:p w:rsidR="005570DA" w:rsidRPr="00547012" w:rsidRDefault="005570DA" w:rsidP="00E05D08">
                      <w:pPr>
                        <w:rPr>
                          <w:rFonts w:cs="Arial"/>
                          <w:sz w:val="18"/>
                          <w:szCs w:val="18"/>
                        </w:rPr>
                      </w:pPr>
                      <w:r>
                        <w:rPr>
                          <w:sz w:val="18"/>
                          <w:szCs w:val="18"/>
                        </w:rPr>
                        <w:t>Jintużaw diversi metodi sabiex tinġabar l-informazzjoni mingħand il-GO tal-EIP. Dawn ikopru dimensjonijiet differenti tal-innovazzjonijiet u għandhom l-għan li jiġġudikaw il-kwalità u l-effetti tal-GO:</w:t>
                      </w:r>
                    </w:p>
                    <w:p w:rsidR="005570DA" w:rsidRPr="001954EB" w:rsidRDefault="005570DA" w:rsidP="008C0B17">
                      <w:pPr>
                        <w:numPr>
                          <w:ilvl w:val="0"/>
                          <w:numId w:val="58"/>
                        </w:numPr>
                        <w:rPr>
                          <w:rFonts w:cs="Arial"/>
                          <w:sz w:val="18"/>
                          <w:szCs w:val="18"/>
                        </w:rPr>
                      </w:pPr>
                      <w:r>
                        <w:rPr>
                          <w:sz w:val="18"/>
                          <w:szCs w:val="18"/>
                        </w:rPr>
                        <w:t>Analiżi bażi (valutazzjoni tal-kundizzjonijiet ta’ qafas, intervisti mal-atturi, eċċ.);</w:t>
                      </w:r>
                    </w:p>
                    <w:p w:rsidR="005570DA" w:rsidRPr="001954EB" w:rsidRDefault="005570DA" w:rsidP="008C0B17">
                      <w:pPr>
                        <w:numPr>
                          <w:ilvl w:val="0"/>
                          <w:numId w:val="58"/>
                        </w:numPr>
                        <w:rPr>
                          <w:rFonts w:cs="Arial"/>
                          <w:sz w:val="18"/>
                          <w:szCs w:val="18"/>
                        </w:rPr>
                      </w:pPr>
                      <w:r>
                        <w:rPr>
                          <w:sz w:val="18"/>
                          <w:szCs w:val="18"/>
                        </w:rPr>
                        <w:t xml:space="preserve">Valutazzjoni tal-karatteristiċi u t-tipi ta’ innovazzjoni permezz tal-analiżi tal-kriterji tal-għażla u l-istudji ta’ każijiet; </w:t>
                      </w:r>
                    </w:p>
                    <w:p w:rsidR="005570DA" w:rsidRPr="001954EB" w:rsidRDefault="005570DA" w:rsidP="008C0B17">
                      <w:pPr>
                        <w:numPr>
                          <w:ilvl w:val="0"/>
                          <w:numId w:val="58"/>
                        </w:numPr>
                        <w:rPr>
                          <w:rFonts w:cs="Arial"/>
                          <w:sz w:val="18"/>
                          <w:szCs w:val="18"/>
                        </w:rPr>
                      </w:pPr>
                      <w:r>
                        <w:rPr>
                          <w:sz w:val="18"/>
                          <w:szCs w:val="18"/>
                        </w:rPr>
                        <w:t>Analiżi tar-riżultati miksuba u t-tixrid tagħhom (stħarriġ u awtovalutazzjoni tal-GO).</w:t>
                      </w:r>
                    </w:p>
                    <w:p w:rsidR="005570DA" w:rsidRPr="00547012" w:rsidRDefault="005570DA" w:rsidP="00E05D08">
                      <w:pPr>
                        <w:rPr>
                          <w:rFonts w:cs="Arial"/>
                          <w:sz w:val="18"/>
                          <w:szCs w:val="18"/>
                        </w:rPr>
                      </w:pPr>
                      <w:r>
                        <w:rPr>
                          <w:sz w:val="18"/>
                          <w:szCs w:val="18"/>
                        </w:rPr>
                        <w:t xml:space="preserve">Is-sorsi ta’ data u informazzjoni jinkludu data ta’ monitoraġġ, formoli ta’ applikazzjoni, dokumentazzjoni tal-proġetti, data statistika primarja miġbura permezz ta’ stħarriġ, data statistika sekondarja minn sorsi varji. </w:t>
                      </w:r>
                    </w:p>
                    <w:p w:rsidR="005570DA" w:rsidRPr="00547012" w:rsidRDefault="005570DA" w:rsidP="00E05D08">
                      <w:pPr>
                        <w:rPr>
                          <w:rFonts w:cs="Arial"/>
                          <w:sz w:val="18"/>
                          <w:szCs w:val="18"/>
                        </w:rPr>
                      </w:pPr>
                      <w:r>
                        <w:rPr>
                          <w:sz w:val="18"/>
                          <w:szCs w:val="18"/>
                        </w:rPr>
                        <w:t xml:space="preserve">L-istħarriġ mal-benefiċjarji (GO tal-EIP) jitwettaq qabel u wara l-intervent. </w:t>
                      </w:r>
                    </w:p>
                    <w:p w:rsidR="005570DA" w:rsidRPr="001954EB" w:rsidRDefault="005570DA" w:rsidP="00E05D08">
                      <w:pPr>
                        <w:pStyle w:val="HStandard"/>
                        <w:rPr>
                          <w:sz w:val="18"/>
                          <w:szCs w:val="18"/>
                        </w:rPr>
                      </w:pPr>
                      <w:r>
                        <w:rPr>
                          <w:b/>
                          <w:sz w:val="18"/>
                          <w:szCs w:val="18"/>
                        </w:rPr>
                        <w:t xml:space="preserve">Ir-Repubblika Ċeka - </w:t>
                      </w:r>
                      <w:r>
                        <w:rPr>
                          <w:sz w:val="18"/>
                          <w:szCs w:val="18"/>
                        </w:rPr>
                        <w:t>tissuġġerixxi li jintuża approċċ ibbażat fuq studju ta’ każ sabiex tinġabar informazzjoni minn GO u proġetti ta’ kooperazzjoni relatati mal-innovazzjoni.</w:t>
                      </w:r>
                    </w:p>
                  </w:txbxContent>
                </v:textbox>
                <w10:anchorlock/>
              </v:shape>
            </w:pict>
          </mc:Fallback>
        </mc:AlternateContent>
      </w:r>
    </w:p>
    <w:p w:rsidR="00A45935" w:rsidRPr="002B5B92" w:rsidRDefault="00A45935" w:rsidP="00647766">
      <w:pPr>
        <w:numPr>
          <w:ilvl w:val="0"/>
          <w:numId w:val="56"/>
        </w:numPr>
        <w:spacing w:before="120" w:after="120" w:line="280" w:lineRule="atLeast"/>
        <w:ind w:left="567" w:hanging="567"/>
        <w:mirrorIndents/>
        <w:rPr>
          <w:rFonts w:eastAsia="Times New Roman" w:cs="Times New Roman"/>
          <w:b/>
          <w:szCs w:val="20"/>
        </w:rPr>
      </w:pPr>
      <w:r w:rsidRPr="002B5B92">
        <w:rPr>
          <w:b/>
          <w:szCs w:val="20"/>
        </w:rPr>
        <w:t xml:space="preserve">Riskji u soluzzjonijiet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44"/>
        <w:gridCol w:w="5387"/>
      </w:tblGrid>
      <w:tr w:rsidR="00A45935" w:rsidRPr="002B5B92" w:rsidTr="00E05D08">
        <w:tc>
          <w:tcPr>
            <w:tcW w:w="3544" w:type="dxa"/>
            <w:shd w:val="clear" w:color="auto" w:fill="F07E31"/>
            <w:hideMark/>
          </w:tcPr>
          <w:p w:rsidR="00A45935" w:rsidRPr="002B5B92" w:rsidRDefault="00A45935" w:rsidP="00E05D08">
            <w:pPr>
              <w:spacing w:after="120" w:line="280" w:lineRule="atLeast"/>
              <w:mirrorIndents/>
              <w:jc w:val="center"/>
              <w:rPr>
                <w:b/>
                <w:color w:val="FFFFFF"/>
                <w:sz w:val="18"/>
                <w:szCs w:val="18"/>
              </w:rPr>
            </w:pPr>
            <w:r w:rsidRPr="002B5B92">
              <w:rPr>
                <w:b/>
                <w:color w:val="FFFFFF"/>
                <w:sz w:val="18"/>
                <w:szCs w:val="18"/>
              </w:rPr>
              <w:t>Riskji</w:t>
            </w:r>
          </w:p>
        </w:tc>
        <w:tc>
          <w:tcPr>
            <w:tcW w:w="5387" w:type="dxa"/>
            <w:shd w:val="clear" w:color="auto" w:fill="F07E31"/>
            <w:hideMark/>
          </w:tcPr>
          <w:p w:rsidR="00A45935" w:rsidRPr="002B5B92" w:rsidRDefault="00A45935" w:rsidP="00E05D08">
            <w:pPr>
              <w:spacing w:after="120" w:line="280" w:lineRule="atLeast"/>
              <w:mirrorIndents/>
              <w:jc w:val="center"/>
              <w:rPr>
                <w:b/>
                <w:color w:val="FFFFFF"/>
                <w:sz w:val="18"/>
                <w:szCs w:val="18"/>
              </w:rPr>
            </w:pPr>
            <w:r w:rsidRPr="002B5B92">
              <w:rPr>
                <w:b/>
                <w:color w:val="FFFFFF"/>
                <w:sz w:val="18"/>
                <w:szCs w:val="18"/>
              </w:rPr>
              <w:t>Soluzzjonijiet</w:t>
            </w:r>
          </w:p>
        </w:tc>
      </w:tr>
      <w:tr w:rsidR="00A45935" w:rsidRPr="002B5B92" w:rsidTr="00E05D08">
        <w:tc>
          <w:tcPr>
            <w:tcW w:w="3544" w:type="dxa"/>
            <w:hideMark/>
          </w:tcPr>
          <w:p w:rsidR="00A45935" w:rsidRPr="002B5B92" w:rsidRDefault="00A45935" w:rsidP="00E05D08">
            <w:pPr>
              <w:spacing w:after="120" w:line="280" w:lineRule="atLeast"/>
              <w:ind w:left="22" w:right="33"/>
              <w:mirrorIndents/>
              <w:rPr>
                <w:sz w:val="18"/>
                <w:szCs w:val="18"/>
              </w:rPr>
            </w:pPr>
            <w:r w:rsidRPr="002B5B92">
              <w:rPr>
                <w:sz w:val="18"/>
                <w:szCs w:val="18"/>
              </w:rPr>
              <w:t>Għal xi indikaturi, id-data tista’ ma tkunx disponibbli sa wara t-tmiem tal-perjodu ta’ programmazzjoni (eż. in-numru ta’ operazzjonijiet ta’ kooperazzjoni li jkomplu wara l-appoġġ mill-PŻR).</w:t>
            </w:r>
          </w:p>
        </w:tc>
        <w:tc>
          <w:tcPr>
            <w:tcW w:w="5387" w:type="dxa"/>
            <w:hideMark/>
          </w:tcPr>
          <w:p w:rsidR="00A45935" w:rsidRPr="002B5B92" w:rsidRDefault="00A45935" w:rsidP="00E05D08">
            <w:pPr>
              <w:spacing w:after="120" w:line="280" w:lineRule="atLeast"/>
              <w:ind w:left="27" w:right="47"/>
              <w:mirrorIndents/>
              <w:rPr>
                <w:sz w:val="18"/>
                <w:szCs w:val="18"/>
              </w:rPr>
            </w:pPr>
            <w:r w:rsidRPr="002B5B92">
              <w:rPr>
                <w:sz w:val="18"/>
                <w:szCs w:val="18"/>
              </w:rPr>
              <w:t xml:space="preserve">It-tipi ta’ strutturi ta’ kooperazzjoni maħluqa (struttura legali, kompożizzjoni, dikjarazzjoni tal-impenn tal-imsieħba, eċċ.) jistgħu jiġu analizzati b’valutazzjoni kwalitattiva (eż. billi jintużaw gruppi fokus jew intervisti mal-imsieħba tal-GO). </w:t>
            </w:r>
          </w:p>
        </w:tc>
      </w:tr>
      <w:tr w:rsidR="00A45935" w:rsidRPr="002B5B92" w:rsidTr="00E05D08">
        <w:tc>
          <w:tcPr>
            <w:tcW w:w="3544" w:type="dxa"/>
          </w:tcPr>
          <w:p w:rsidR="00A45935" w:rsidRPr="002B5B92" w:rsidRDefault="00A45935" w:rsidP="00E05D08">
            <w:pPr>
              <w:spacing w:after="120" w:line="280" w:lineRule="atLeast"/>
              <w:ind w:left="22" w:right="33"/>
              <w:mirrorIndents/>
              <w:rPr>
                <w:sz w:val="18"/>
                <w:szCs w:val="18"/>
              </w:rPr>
            </w:pPr>
            <w:r w:rsidRPr="002B5B92">
              <w:rPr>
                <w:sz w:val="18"/>
                <w:szCs w:val="18"/>
              </w:rPr>
              <w:t xml:space="preserve">Sabiex tinġabar informazzjoni għal xi indikaturi, li setgħu ma ġewx inklużi fis-sistema ta’ monitoraġġ tal-PŻR (eż. indikaturi addizzjonali). </w:t>
            </w:r>
          </w:p>
        </w:tc>
        <w:tc>
          <w:tcPr>
            <w:tcW w:w="5387" w:type="dxa"/>
          </w:tcPr>
          <w:p w:rsidR="00A45935" w:rsidRPr="002B5B92" w:rsidRDefault="00A45935" w:rsidP="00E05D08">
            <w:pPr>
              <w:spacing w:after="120" w:line="280" w:lineRule="atLeast"/>
              <w:ind w:left="27" w:right="47"/>
              <w:mirrorIndents/>
              <w:rPr>
                <w:sz w:val="18"/>
                <w:szCs w:val="18"/>
              </w:rPr>
            </w:pPr>
            <w:r w:rsidRPr="002B5B92">
              <w:rPr>
                <w:sz w:val="18"/>
                <w:szCs w:val="18"/>
              </w:rPr>
              <w:t xml:space="preserve">Il-ġbir ta’ informazzjoni jista’ jsir permezz ta’ stħarriġ u intervisti. </w:t>
            </w:r>
          </w:p>
          <w:p w:rsidR="00A45935" w:rsidRPr="002B5B92" w:rsidRDefault="00A45935" w:rsidP="00E05D08">
            <w:pPr>
              <w:spacing w:after="120" w:line="280" w:lineRule="atLeast"/>
              <w:ind w:left="27" w:right="47"/>
              <w:mirrorIndents/>
              <w:rPr>
                <w:sz w:val="18"/>
                <w:szCs w:val="18"/>
              </w:rPr>
            </w:pPr>
            <w:r w:rsidRPr="002B5B92">
              <w:rPr>
                <w:sz w:val="18"/>
                <w:szCs w:val="18"/>
              </w:rPr>
              <w:t xml:space="preserve">B’mod alternattiv, l-Awtoritajiet Maniġerjali jistgħu jikkunsidraw li jinkludu l-ġbir ta’ data għal indikaturi addizzjonali permezz tal-bażi ta’ data tal-operazzjonijiet. </w:t>
            </w:r>
          </w:p>
        </w:tc>
      </w:tr>
    </w:tbl>
    <w:p w:rsidR="00A45935" w:rsidRPr="002B5B92" w:rsidRDefault="00A45935" w:rsidP="008C0B17">
      <w:pPr>
        <w:numPr>
          <w:ilvl w:val="0"/>
          <w:numId w:val="56"/>
        </w:numPr>
        <w:spacing w:before="120" w:after="120" w:line="280" w:lineRule="atLeast"/>
        <w:ind w:left="567" w:hanging="567"/>
        <w:mirrorIndents/>
        <w:rPr>
          <w:rFonts w:eastAsia="Times New Roman" w:cs="Times New Roman"/>
          <w:b/>
          <w:szCs w:val="20"/>
        </w:rPr>
      </w:pPr>
      <w:r w:rsidRPr="002B5B92">
        <w:rPr>
          <w:b/>
          <w:szCs w:val="20"/>
        </w:rPr>
        <w:t>Konklużjonijiet u rakkomandazzjonijiet</w:t>
      </w:r>
    </w:p>
    <w:p w:rsidR="00A45935" w:rsidRPr="002B5B92" w:rsidRDefault="00A45935" w:rsidP="00E05D08">
      <w:pPr>
        <w:spacing w:after="120" w:line="280" w:lineRule="atLeast"/>
        <w:mirrorIndents/>
        <w:rPr>
          <w:rFonts w:eastAsia="Calibri" w:cs="Times New Roman"/>
          <w:szCs w:val="20"/>
          <w:shd w:val="clear" w:color="auto" w:fill="FFFFFF"/>
        </w:rPr>
      </w:pPr>
      <w:r w:rsidRPr="002B5B92">
        <w:rPr>
          <w:szCs w:val="20"/>
          <w:shd w:val="clear" w:color="auto" w:fill="FFFFFF"/>
        </w:rPr>
        <w:t>Il-konklużjonijiet u r-rakkomandazzjonijiet ewlenin għandhom jindirizzaw mill-inqas il-kwistjonijiet ta’ politika li ġejjin:</w:t>
      </w:r>
    </w:p>
    <w:p w:rsidR="00A45935" w:rsidRPr="002B5B92" w:rsidRDefault="00A45935" w:rsidP="00547012">
      <w:pPr>
        <w:pStyle w:val="Hlistbullet"/>
        <w:rPr>
          <w:rFonts w:eastAsia="Calibri"/>
          <w:shd w:val="clear" w:color="auto" w:fill="FFFFFF"/>
        </w:rPr>
      </w:pPr>
      <w:r w:rsidRPr="002B5B92">
        <w:rPr>
          <w:b/>
          <w:shd w:val="clear" w:color="auto" w:fill="FFFFFF"/>
        </w:rPr>
        <w:t>It-tendenza tal-PŻR li juża l-miżura ta’ kooperazzjoni sabiex jidentifika l-innovazzjoni fiż-żoni rurali.</w:t>
      </w:r>
      <w:r w:rsidRPr="002B5B92">
        <w:rPr>
          <w:shd w:val="clear" w:color="auto" w:fill="FFFFFF"/>
        </w:rPr>
        <w:t xml:space="preserve"> Il-ħolqien ta’ grupp operazzjonali, pereżempju, juri li ġiet identifikata idea innovattiva u li din tista’ tiġi implimentata permezz ta’ rabta bejn ir-riċerka u l-prattika. Il-kamp ta’ </w:t>
      </w:r>
      <w:r w:rsidRPr="002B5B92">
        <w:rPr>
          <w:shd w:val="clear" w:color="auto" w:fill="FFFFFF"/>
        </w:rPr>
        <w:lastRenderedPageBreak/>
        <w:t>applikazzjoni, il-kontenut u t-tul ta’ żmien tal-proġett imħejji u implimentat mill-GO jipprovdu informazzjoni utli sabiex ikunu jistgħu jinsiltu aktar konklużjonijiet f’dan ir-rigward.</w:t>
      </w:r>
    </w:p>
    <w:p w:rsidR="00A45935" w:rsidRPr="002B5B92" w:rsidRDefault="00A45935" w:rsidP="00547012">
      <w:pPr>
        <w:pStyle w:val="Hlistbullet"/>
        <w:rPr>
          <w:rFonts w:eastAsia="Calibri"/>
          <w:shd w:val="clear" w:color="auto" w:fill="FFFFFF"/>
        </w:rPr>
      </w:pPr>
      <w:r w:rsidRPr="002B5B92">
        <w:rPr>
          <w:b/>
          <w:shd w:val="clear" w:color="auto" w:fill="FFFFFF"/>
        </w:rPr>
        <w:t>L-effetti tal-proġetti ta’ kooperazzjoni fuq il-kapaċità għall-innovazzjoni.</w:t>
      </w:r>
      <w:r w:rsidRPr="002B5B92">
        <w:rPr>
          <w:shd w:val="clear" w:color="auto" w:fill="FFFFFF"/>
        </w:rPr>
        <w:t xml:space="preserve"> L-analiżi tan-numru u t-tip ta’ proġetti ta’ kooperazzjoni, kif ukoll l-involviment tal-partijiet ikkonċernati tal-innovazzjoni jistgħu jippermettu li jsiru konklużjonijiet dwar il-kisbiet tal-miżura ta’ kooperazzjoni fir-rigward tal-kapaċità ta’ innovazzjoni fiż-żoni rurali.</w:t>
      </w:r>
    </w:p>
    <w:p w:rsidR="00A45935" w:rsidRPr="002B5B92" w:rsidRDefault="00A45935" w:rsidP="00547012">
      <w:pPr>
        <w:pStyle w:val="Hlistbullet"/>
        <w:rPr>
          <w:rFonts w:eastAsia="Calibri"/>
          <w:shd w:val="clear" w:color="auto" w:fill="FFFFFF"/>
        </w:rPr>
      </w:pPr>
      <w:r w:rsidRPr="002B5B92">
        <w:rPr>
          <w:b/>
          <w:shd w:val="clear" w:color="auto" w:fill="FFFFFF"/>
        </w:rPr>
        <w:t>L-effetti tal-proġetti ta’ kooperazzjoni fuq il-bini ta’ ambjent favorevoli għall-innovazzjoni</w:t>
      </w:r>
      <w:r w:rsidRPr="002B5B92">
        <w:rPr>
          <w:shd w:val="clear" w:color="auto" w:fill="FFFFFF"/>
        </w:rPr>
        <w:t xml:space="preserve"> (jiġifieri l-punt safejn il-proġetti ta’ kooperazzjoni ppermettew il-ħolqien ta’ strutturi u proċeduri li jiffaċilitaw il-produzzjoni ta’ ideat innovattivi). Dan jinkludi, pereżempju, strutturi u metodi ta’ senserija tal-innovazzjoni, l-istabbiliment ta’ rabtiet permanenti bejn SMEs, servizzi ta’ innovazzjoni u korpi ta’ finanzjament, eċċ.</w:t>
      </w:r>
    </w:p>
    <w:p w:rsidR="00A45935" w:rsidRPr="002B5B92"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2B5B92">
        <w:rPr>
          <w:b/>
          <w:color w:val="57825E"/>
          <w:szCs w:val="20"/>
          <w:shd w:val="clear" w:color="auto" w:fill="FFFFFF"/>
        </w:rPr>
        <w:t>Aktar qari</w:t>
      </w:r>
    </w:p>
    <w:p w:rsidR="009D0C0A" w:rsidRPr="002B5B92" w:rsidRDefault="00A45935" w:rsidP="00547012">
      <w:pPr>
        <w:spacing w:after="120" w:line="280" w:lineRule="atLeast"/>
        <w:mirrorIndents/>
      </w:pPr>
      <w:r w:rsidRPr="002B5B92">
        <w:rPr>
          <w:rFonts w:eastAsia="Times New Roman" w:cs="Times New Roman"/>
          <w:noProof/>
          <w:sz w:val="18"/>
          <w:szCs w:val="24"/>
          <w:lang w:val="en-GB" w:eastAsia="en-GB"/>
        </w:rPr>
        <mc:AlternateContent>
          <mc:Choice Requires="wps">
            <w:drawing>
              <wp:inline distT="0" distB="0" distL="0" distR="0" wp14:anchorId="53560922" wp14:editId="26A94AAC">
                <wp:extent cx="5633451" cy="2060812"/>
                <wp:effectExtent l="0" t="0" r="24765" b="15875"/>
                <wp:docPr id="27" name="Rectangle: Diagonal Corners Rounded 27"/>
                <wp:cNvGraphicFramePr/>
                <a:graphic xmlns:a="http://schemas.openxmlformats.org/drawingml/2006/main">
                  <a:graphicData uri="http://schemas.microsoft.com/office/word/2010/wordprocessingShape">
                    <wps:wsp>
                      <wps:cNvSpPr/>
                      <wps:spPr>
                        <a:xfrm>
                          <a:off x="0" y="0"/>
                          <a:ext cx="5633451" cy="2060812"/>
                        </a:xfrm>
                        <a:prstGeom prst="round2DiagRect">
                          <a:avLst>
                            <a:gd name="adj1" fmla="val 11556"/>
                            <a:gd name="adj2" fmla="val 0"/>
                          </a:avLst>
                        </a:prstGeom>
                        <a:noFill/>
                        <a:ln w="25400" cap="flat" cmpd="sng" algn="ctr">
                          <a:solidFill>
                            <a:srgbClr val="59638E"/>
                          </a:solidFill>
                          <a:prstDash val="solid"/>
                        </a:ln>
                        <a:effectLst/>
                      </wps:spPr>
                      <wps:txbx>
                        <w:txbxContent>
                          <w:p w:rsidR="005570DA" w:rsidRDefault="005570DA" w:rsidP="00E05D08">
                            <w:pPr>
                              <w:pStyle w:val="HStandard"/>
                              <w:rPr>
                                <w:color w:val="000000"/>
                                <w:sz w:val="18"/>
                              </w:rPr>
                            </w:pPr>
                            <w:r>
                              <w:rPr>
                                <w:noProof/>
                                <w:lang w:val="en-GB" w:eastAsia="en-GB"/>
                              </w:rPr>
                              <w:drawing>
                                <wp:inline distT="0" distB="0" distL="0" distR="0" wp14:anchorId="2C424BE4" wp14:editId="06662C5E">
                                  <wp:extent cx="360465" cy="360000"/>
                                  <wp:effectExtent l="0" t="0" r="1905" b="2540"/>
                                  <wp:docPr id="748"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570DA" w:rsidRPr="000041C9" w:rsidRDefault="005570DA" w:rsidP="00E05D08">
                            <w:pPr>
                              <w:pStyle w:val="HStandard"/>
                              <w:rPr>
                                <w:sz w:val="18"/>
                                <w:szCs w:val="18"/>
                              </w:rPr>
                            </w:pPr>
                            <w:r>
                              <w:t>Linji Gwida</w:t>
                            </w:r>
                            <w:r>
                              <w:rPr>
                                <w:sz w:val="18"/>
                                <w:szCs w:val="18"/>
                              </w:rPr>
                              <w:t xml:space="preserve"> “</w:t>
                            </w:r>
                            <w:hyperlink r:id="rId53" w:history="1">
                              <w:r>
                                <w:rPr>
                                  <w:rStyle w:val="Hyperlink"/>
                                  <w:sz w:val="18"/>
                                  <w:szCs w:val="18"/>
                                </w:rPr>
                                <w:t>Assessment of RDP results:</w:t>
                              </w:r>
                            </w:hyperlink>
                            <w:hyperlink r:id="rId54" w:history="1">
                              <w:r>
                                <w:rPr>
                                  <w:rStyle w:val="Hyperlink"/>
                                  <w:sz w:val="18"/>
                                  <w:szCs w:val="18"/>
                                </w:rPr>
                                <w:t>How to prepare for reporting on evaluation in 2017</w:t>
                              </w:r>
                            </w:hyperlink>
                            <w:r>
                              <w:rPr>
                                <w:sz w:val="18"/>
                                <w:szCs w:val="18"/>
                              </w:rPr>
                              <w:t xml:space="preserve">” (Valutazzjoni tar-Riżultati tal-PŻR: Kif tħejji għar-rapportar dwar l-evalwazzjoni fl-2017) Anness 11 </w:t>
                            </w:r>
                          </w:p>
                          <w:p w:rsidR="005570DA" w:rsidRDefault="005570DA" w:rsidP="00E05D08">
                            <w:pPr>
                              <w:pStyle w:val="HStandard"/>
                              <w:rPr>
                                <w:sz w:val="18"/>
                                <w:szCs w:val="18"/>
                              </w:rPr>
                            </w:pPr>
                            <w:r>
                              <w:t xml:space="preserve">Dokument ta’ gwida </w:t>
                            </w:r>
                            <w:r>
                              <w:rPr>
                                <w:sz w:val="18"/>
                                <w:szCs w:val="18"/>
                              </w:rPr>
                              <w:t>“</w:t>
                            </w:r>
                            <w:hyperlink r:id="rId55" w:history="1">
                              <w:r>
                                <w:rPr>
                                  <w:rStyle w:val="Hyperlink"/>
                                  <w:sz w:val="18"/>
                                </w:rPr>
                                <w:t>Cooperation measure</w:t>
                              </w:r>
                            </w:hyperlink>
                            <w:r>
                              <w:rPr>
                                <w:sz w:val="18"/>
                                <w:szCs w:val="18"/>
                              </w:rPr>
                              <w:t>”, L-Art. 35 tar-Regolament (UE) Nru 1305/2013, Novembru 2014;</w:t>
                            </w:r>
                          </w:p>
                          <w:p w:rsidR="005570DA" w:rsidRPr="000041C9" w:rsidRDefault="005570DA" w:rsidP="00E05D08">
                            <w:pPr>
                              <w:pStyle w:val="HStandard"/>
                              <w:rPr>
                                <w:sz w:val="18"/>
                                <w:szCs w:val="18"/>
                              </w:rPr>
                            </w:pPr>
                            <w:r>
                              <w:rPr>
                                <w:sz w:val="18"/>
                                <w:szCs w:val="18"/>
                              </w:rPr>
                              <w:t xml:space="preserve">Dokumenti mill-workshop tal-ENRD dwar M 16 “Kooperazzjoni”, Ġunju 2016, Brussell: </w:t>
                            </w:r>
                            <w:hyperlink r:id="rId56" w:history="1">
                              <w:r>
                                <w:rPr>
                                  <w:rStyle w:val="Hyperlink"/>
                                  <w:sz w:val="18"/>
                                  <w:szCs w:val="18"/>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560922" id="Rectangle: Diagonal Corners Rounded 27" o:spid="_x0000_s1049" style="width:443.6pt;height:162.25pt;visibility:visible;mso-wrap-style:square;mso-left-percent:-10001;mso-top-percent:-10001;mso-position-horizontal:absolute;mso-position-horizontal-relative:char;mso-position-vertical:absolute;mso-position-vertical-relative:line;mso-left-percent:-10001;mso-top-percent:-10001;v-text-anchor:middle" coordsize="5633451,20608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" adj="-11796480,,5400" path="m238147,l5633451,r,l5633451,1822665v,131525,-106622,238147,-238147,238147l,2060812r,l,238147c,106622,106622,,238147,xe" filled="f" strokecolor="#59638e" strokeweight="2pt">
                <v:stroke joinstyle="miter"/>
                <v:formulas/>
                <v:path arrowok="t" o:connecttype="custom" o:connectlocs="238147,0;5633451,0;5633451,0;5633451,1822665;5395304,2060812;0,2060812;0,2060812;0,238147;238147,0" o:connectangles="0,0,0,0,0,0,0,0,0" textboxrect="0,0,5633451,2060812"/>
                <v:textbox>
                  <w:txbxContent>
                    <w:p w:rsidR="005570DA" w:rsidRDefault="005570DA" w:rsidP="00E05D08">
                      <w:pPr>
                        <w:pStyle w:val="HStandard"/>
                        <w:rPr>
                          <w:color w:val="000000"/>
                          <w:sz w:val="18"/>
                        </w:rPr>
                      </w:pPr>
                      <w:r>
                        <w:rPr>
                          <w:noProof/>
                          <w:lang w:val="en-GB" w:eastAsia="en-GB"/>
                        </w:rPr>
                        <w:drawing>
                          <wp:inline distT="0" distB="0" distL="0" distR="0" wp14:anchorId="2C424BE4" wp14:editId="06662C5E">
                            <wp:extent cx="360465" cy="360000"/>
                            <wp:effectExtent l="0" t="0" r="1905" b="2540"/>
                            <wp:docPr id="748"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570DA" w:rsidRPr="000041C9" w:rsidRDefault="005570DA" w:rsidP="00E05D08">
                      <w:pPr>
                        <w:pStyle w:val="HStandard"/>
                        <w:rPr>
                          <w:sz w:val="18"/>
                          <w:szCs w:val="18"/>
                        </w:rPr>
                      </w:pPr>
                      <w:r>
                        <w:t>Linji Gwida</w:t>
                      </w:r>
                      <w:r>
                        <w:rPr>
                          <w:sz w:val="18"/>
                          <w:szCs w:val="18"/>
                        </w:rPr>
                        <w:t xml:space="preserve"> “</w:t>
                      </w:r>
                      <w:hyperlink r:id="rId57" w:history="1">
                        <w:r>
                          <w:rPr>
                            <w:rStyle w:val="Hyperlink"/>
                            <w:sz w:val="18"/>
                            <w:szCs w:val="18"/>
                          </w:rPr>
                          <w:t>Assessment of RDP results:</w:t>
                        </w:r>
                      </w:hyperlink>
                      <w:hyperlink r:id="rId58" w:history="1">
                        <w:r>
                          <w:rPr>
                            <w:rStyle w:val="Hyperlink"/>
                            <w:sz w:val="18"/>
                            <w:szCs w:val="18"/>
                          </w:rPr>
                          <w:t>How to prepare for reporting on evaluation in 2017</w:t>
                        </w:r>
                      </w:hyperlink>
                      <w:r>
                        <w:rPr>
                          <w:sz w:val="18"/>
                          <w:szCs w:val="18"/>
                        </w:rPr>
                        <w:t xml:space="preserve">” (Valutazzjoni tar-Riżultati tal-PŻR: Kif tħejji għar-rapportar dwar l-evalwazzjoni fl-2017) Anness 11 </w:t>
                      </w:r>
                    </w:p>
                    <w:p w:rsidR="005570DA" w:rsidRDefault="005570DA" w:rsidP="00E05D08">
                      <w:pPr>
                        <w:pStyle w:val="HStandard"/>
                        <w:rPr>
                          <w:sz w:val="18"/>
                          <w:szCs w:val="18"/>
                        </w:rPr>
                      </w:pPr>
                      <w:r>
                        <w:t xml:space="preserve">Dokument ta’ gwida </w:t>
                      </w:r>
                      <w:r>
                        <w:rPr>
                          <w:sz w:val="18"/>
                          <w:szCs w:val="18"/>
                        </w:rPr>
                        <w:t>“</w:t>
                      </w:r>
                      <w:hyperlink r:id="rId59" w:history="1">
                        <w:r>
                          <w:rPr>
                            <w:rStyle w:val="Hyperlink"/>
                            <w:sz w:val="18"/>
                          </w:rPr>
                          <w:t>Cooperation measure</w:t>
                        </w:r>
                      </w:hyperlink>
                      <w:r>
                        <w:rPr>
                          <w:sz w:val="18"/>
                          <w:szCs w:val="18"/>
                        </w:rPr>
                        <w:t>”, L-Art. 35 tar-Regolament (UE) Nru 1305/2013, Novembru 2014;</w:t>
                      </w:r>
                    </w:p>
                    <w:p w:rsidR="005570DA" w:rsidRPr="000041C9" w:rsidRDefault="005570DA" w:rsidP="00E05D08">
                      <w:pPr>
                        <w:pStyle w:val="HStandard"/>
                        <w:rPr>
                          <w:sz w:val="18"/>
                          <w:szCs w:val="18"/>
                        </w:rPr>
                      </w:pPr>
                      <w:r>
                        <w:rPr>
                          <w:sz w:val="18"/>
                          <w:szCs w:val="18"/>
                        </w:rPr>
                        <w:t xml:space="preserve">Dokumenti mill-workshop tal-ENRD dwar M 16 “Kooperazzjoni”, Ġunju 2016, Brussell: </w:t>
                      </w:r>
                      <w:hyperlink r:id="rId60" w:history="1">
                        <w:r>
                          <w:rPr>
                            <w:rStyle w:val="Hyperlink"/>
                            <w:sz w:val="18"/>
                            <w:szCs w:val="18"/>
                          </w:rPr>
                          <w:t>http://enrd.ec.europa.eu/news-events/events/enrd-workshop-measure-16-cooperation_en</w:t>
                        </w:r>
                      </w:hyperlink>
                    </w:p>
                  </w:txbxContent>
                </v:textbox>
                <w10:anchorlock/>
              </v:shape>
            </w:pict>
          </mc:Fallback>
        </mc:AlternateContent>
      </w:r>
      <w:bookmarkStart w:id="116" w:name="_Toc501382133"/>
    </w:p>
    <w:p w:rsidR="00D50380" w:rsidRPr="002B5B92" w:rsidRDefault="00D50380" w:rsidP="0079071D">
      <w:pPr>
        <w:pStyle w:val="HHeading3"/>
        <w:numPr>
          <w:ilvl w:val="2"/>
          <w:numId w:val="119"/>
        </w:numPr>
        <w:tabs>
          <w:tab w:val="clear" w:pos="567"/>
        </w:tabs>
        <w:spacing w:before="480" w:line="280" w:lineRule="exact"/>
        <w:ind w:left="567" w:hanging="567"/>
      </w:pPr>
      <w:bookmarkStart w:id="117" w:name="CEQ_NRN"/>
      <w:bookmarkStart w:id="118" w:name="_Toc508960923"/>
      <w:bookmarkEnd w:id="117"/>
      <w:r w:rsidRPr="002B5B92">
        <w:t>CEQ nru. 21: “Sa liema punt in-netwerk rurali nazzjonali kkontribwixxa sabiex jintlaħqu l-objettivi stipulati fl-Artikolu 54(2) tar-Regolament (UE) Nru 1305/2013?</w:t>
      </w:r>
      <w:bookmarkEnd w:id="118"/>
    </w:p>
    <w:bookmarkEnd w:id="116"/>
    <w:p w:rsidR="00A45935" w:rsidRPr="002B5B92"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2B5B92">
        <w:rPr>
          <w:b/>
          <w:color w:val="57825E"/>
          <w:szCs w:val="20"/>
          <w:shd w:val="clear" w:color="auto" w:fill="FFFFFF"/>
        </w:rPr>
        <w:t>Il-fehim tas-CEQ</w:t>
      </w:r>
    </w:p>
    <w:p w:rsidR="00A45935" w:rsidRPr="002B5B92" w:rsidRDefault="00A45935" w:rsidP="00E05D08">
      <w:pPr>
        <w:spacing w:after="120" w:line="280" w:lineRule="atLeast"/>
        <w:mirrorIndents/>
        <w:rPr>
          <w:rFonts w:eastAsia="Calibri" w:cs="Times New Roman"/>
          <w:szCs w:val="20"/>
        </w:rPr>
      </w:pPr>
      <w:r w:rsidRPr="002B5B92">
        <w:t>Din il-mistoqsija tirreferi għall-ilħuq tal-erba’ objettivi tan-NRN</w:t>
      </w:r>
      <w:r w:rsidRPr="002B5B92">
        <w:rPr>
          <w:rFonts w:eastAsia="Times New Roman" w:cs="Times New Roman"/>
          <w:szCs w:val="20"/>
          <w:vertAlign w:val="superscript"/>
          <w:lang w:eastAsia="de-DE"/>
        </w:rPr>
        <w:footnoteReference w:id="57"/>
      </w:r>
      <w:r w:rsidRPr="002B5B92">
        <w:t>. Dawn il-linji gwida</w:t>
      </w:r>
      <w:r w:rsidRPr="002B5B92">
        <w:rPr>
          <w:rFonts w:eastAsia="Times New Roman" w:cs="Times New Roman"/>
          <w:szCs w:val="20"/>
          <w:vertAlign w:val="superscript"/>
          <w:lang w:eastAsia="de-DE"/>
        </w:rPr>
        <w:footnoteReference w:id="58"/>
      </w:r>
      <w:r w:rsidRPr="002B5B92">
        <w:t xml:space="preserve"> jiddiskutu s-CEQ nru. 21 fir-rigward tal-objettiv tan-NRN li “titrawwem l-innovazzjoni fl-agrikoltura, fil-produzzjoni tal-ikel, fil-forestrija u fiż-żoni rurali” għall-finijiet tal-evalwazzjoni tal-innovazzjoni, kif imrawma min-NRN mill-2019 ’il quddiem. </w:t>
      </w:r>
    </w:p>
    <w:p w:rsidR="00A45935" w:rsidRPr="002B5B92" w:rsidRDefault="00A45935" w:rsidP="00E05D08">
      <w:pPr>
        <w:spacing w:after="120" w:line="280" w:lineRule="atLeast"/>
        <w:mirrorIndents/>
        <w:rPr>
          <w:rFonts w:eastAsia="Calibri" w:cs="Times New Roman"/>
          <w:szCs w:val="20"/>
        </w:rPr>
      </w:pPr>
      <w:r w:rsidRPr="002B5B92">
        <w:t>In-NRN jiffunzjona permezz ta’ diversi gruppi ta’ azzjonijiet stabbiliti fil-pjan ta’ azzjoni tan-NRN u jinkludi diversi tipi ta’ partijiet ikkonċernati, fosthom ukoll atturi tal-innovazzjoni. Għalhekk, huwa importanti li jiġi rikonoxxut liema gruppi ta’ azzjonijiet</w:t>
      </w:r>
      <w:r w:rsidRPr="002B5B92">
        <w:rPr>
          <w:rFonts w:eastAsia="Calibri" w:cs="Times New Roman"/>
          <w:szCs w:val="20"/>
          <w:vertAlign w:val="superscript"/>
        </w:rPr>
        <w:footnoteReference w:id="59"/>
      </w:r>
      <w:r w:rsidRPr="002B5B92">
        <w:t xml:space="preserve"> għandhom il-potenzjal li jrawmu l-innovazzjoni permezz tat-tliet perkorsi (ara </w:t>
      </w:r>
      <w:hyperlink w:anchor="Innovation_RD" w:history="1">
        <w:r w:rsidRPr="002B5B92">
          <w:rPr>
            <w:rStyle w:val="Hyperlink"/>
            <w:sz w:val="20"/>
            <w:szCs w:val="20"/>
          </w:rPr>
          <w:t>l-Kapitolu 1.1</w:t>
        </w:r>
      </w:hyperlink>
      <w:r w:rsidRPr="002B5B92">
        <w:t xml:space="preserve">) u liema tipi ta’ partijiet ikkonċernati tas-sistema tal-innovazzjoni huma involuti u jistgħu jiġu affettwati minn dawn l-azzjonijiet f’termini tat-trawwim tal-innovazzjoni. </w:t>
      </w:r>
    </w:p>
    <w:p w:rsidR="001327F5" w:rsidRPr="002B5B92" w:rsidRDefault="00A45935" w:rsidP="00E05D08">
      <w:pPr>
        <w:spacing w:after="120" w:line="280" w:lineRule="atLeast"/>
        <w:mirrorIndents/>
        <w:rPr>
          <w:rFonts w:eastAsia="Calibri" w:cs="Times New Roman"/>
          <w:szCs w:val="20"/>
        </w:rPr>
      </w:pPr>
      <w:r w:rsidRPr="002B5B92">
        <w:lastRenderedPageBreak/>
        <w:t>L-azzjonijiet inklużi fil-pjan ta’ azzjoni tan-NRN jaqgħu taħt seba’ gruppi ta’ attivitajiet kif stipulati fir-Regolament</w:t>
      </w:r>
      <w:r w:rsidRPr="002B5B92">
        <w:rPr>
          <w:rFonts w:eastAsia="Calibri" w:cs="Times New Roman"/>
          <w:szCs w:val="20"/>
          <w:vertAlign w:val="superscript"/>
        </w:rPr>
        <w:footnoteReference w:id="60"/>
      </w:r>
      <w:r w:rsidRPr="002B5B92">
        <w:t>. Eżempji ta’ kif dawn l-attivitajiet jistgħu jkunu relatati mat-trawwim tal-innovazzjoni huma mogħtija fil-kaxxi ta’ hawn taħt.</w:t>
      </w:r>
    </w:p>
    <w:p w:rsidR="001327F5" w:rsidRPr="002B5B92" w:rsidRDefault="001327F5" w:rsidP="001327F5">
      <w:pPr>
        <w:spacing w:after="120" w:line="280" w:lineRule="atLeast"/>
        <w:mirrorIndents/>
        <w:rPr>
          <w:rFonts w:eastAsia="Calibri" w:cs="Times New Roman"/>
          <w:szCs w:val="20"/>
        </w:rPr>
      </w:pPr>
      <w:r w:rsidRPr="002B5B92">
        <w:t>In-NRN, bħala parti mill-assistenza teknika, huma ddedikati sabiex jakkumpanjaw u jappoġġaw l-implimentazzjoni tal-PŻR u jikkontribwixxu direttament għat-trawwim tal-innovazzjoni bħala objettiv trażversali. Madankollu, in-NRN jistgħu wkoll jaħdmu f’sinerġija ma’ atturi oħrajn tal-innovazzjoni fl-iżvilupp rurali, bħall-GAL ta’ LEADER jew l-EIP-AGRI (ara l-eżempju fil-kaxxa).</w:t>
      </w:r>
    </w:p>
    <w:p w:rsidR="00A45935" w:rsidRPr="002B5B92" w:rsidRDefault="00547012" w:rsidP="00E05D08">
      <w:pPr>
        <w:spacing w:after="120" w:line="280" w:lineRule="atLeast"/>
        <w:mirrorIndents/>
        <w:rPr>
          <w:rFonts w:eastAsia="Times New Roman" w:cs="Times New Roman"/>
          <w:szCs w:val="20"/>
        </w:rPr>
      </w:pPr>
      <w:r w:rsidRPr="002B5B92">
        <w:rPr>
          <w:rFonts w:eastAsia="Times New Roman" w:cs="Times New Roman"/>
          <w:noProof/>
          <w:sz w:val="18"/>
          <w:szCs w:val="24"/>
          <w:lang w:val="en-GB" w:eastAsia="en-GB"/>
        </w:rPr>
        <mc:AlternateContent>
          <mc:Choice Requires="wps">
            <w:drawing>
              <wp:anchor distT="0" distB="0" distL="114300" distR="114300" simplePos="0" relativeHeight="251734016" behindDoc="1" locked="0" layoutInCell="1" allowOverlap="1" wp14:anchorId="47A282D9" wp14:editId="40829AEB">
                <wp:simplePos x="0" y="0"/>
                <wp:positionH relativeFrom="column">
                  <wp:posOffset>0</wp:posOffset>
                </wp:positionH>
                <wp:positionV relativeFrom="paragraph">
                  <wp:posOffset>296545</wp:posOffset>
                </wp:positionV>
                <wp:extent cx="5780405" cy="6577965"/>
                <wp:effectExtent l="0" t="0" r="10795" b="13335"/>
                <wp:wrapTight wrapText="bothSides">
                  <wp:wrapPolygon edited="0">
                    <wp:start x="854" y="0"/>
                    <wp:lineTo x="0" y="375"/>
                    <wp:lineTo x="0" y="21581"/>
                    <wp:lineTo x="20786" y="21581"/>
                    <wp:lineTo x="20928" y="21581"/>
                    <wp:lineTo x="21569" y="21143"/>
                    <wp:lineTo x="21569" y="0"/>
                    <wp:lineTo x="854" y="0"/>
                  </wp:wrapPolygon>
                </wp:wrapTight>
                <wp:docPr id="28" name="Rectangle: Diagonal Corners Rounded 28"/>
                <wp:cNvGraphicFramePr/>
                <a:graphic xmlns:a="http://schemas.openxmlformats.org/drawingml/2006/main">
                  <a:graphicData uri="http://schemas.microsoft.com/office/word/2010/wordprocessingShape">
                    <wps:wsp>
                      <wps:cNvSpPr/>
                      <wps:spPr>
                        <a:xfrm>
                          <a:off x="0" y="0"/>
                          <a:ext cx="5780405" cy="6577965"/>
                        </a:xfrm>
                        <a:prstGeom prst="round2DiagRect">
                          <a:avLst>
                            <a:gd name="adj1" fmla="val 6054"/>
                            <a:gd name="adj2" fmla="val 0"/>
                          </a:avLst>
                        </a:prstGeom>
                        <a:noFill/>
                        <a:ln w="25400" cap="flat" cmpd="sng" algn="ctr">
                          <a:solidFill>
                            <a:srgbClr val="F07E31"/>
                          </a:solidFill>
                          <a:prstDash val="solid"/>
                        </a:ln>
                        <a:effectLst/>
                      </wps:spPr>
                      <wps:txbx>
                        <w:txbxContent>
                          <w:p w:rsidR="005570DA" w:rsidRPr="0079762F" w:rsidRDefault="005570DA" w:rsidP="00E05D08">
                            <w:pPr>
                              <w:pStyle w:val="HStandard"/>
                              <w:ind w:left="567" w:hanging="567"/>
                              <w:rPr>
                                <w:i/>
                                <w:sz w:val="18"/>
                                <w:szCs w:val="18"/>
                              </w:rPr>
                            </w:pPr>
                            <w:r>
                              <w:rPr>
                                <w:noProof/>
                                <w:sz w:val="18"/>
                                <w:szCs w:val="18"/>
                                <w:lang w:val="en-GB" w:eastAsia="en-GB"/>
                              </w:rPr>
                              <w:drawing>
                                <wp:inline distT="0" distB="0" distL="0" distR="0" wp14:anchorId="22768BB4" wp14:editId="38DA3828">
                                  <wp:extent cx="353060" cy="359410"/>
                                  <wp:effectExtent l="0" t="0" r="8890" b="2540"/>
                                  <wp:docPr id="74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It-trawwim ta’ ideat ġodda u l-kondiviżjoni tal-innovazzjonijiet:</w:t>
                            </w:r>
                          </w:p>
                          <w:p w:rsidR="005570DA" w:rsidRPr="0079762F" w:rsidRDefault="005570DA" w:rsidP="008C0B17">
                            <w:pPr>
                              <w:pStyle w:val="HStandard"/>
                              <w:numPr>
                                <w:ilvl w:val="0"/>
                                <w:numId w:val="26"/>
                              </w:numPr>
                              <w:ind w:left="567" w:hanging="567"/>
                              <w:rPr>
                                <w:sz w:val="18"/>
                                <w:szCs w:val="18"/>
                              </w:rPr>
                            </w:pPr>
                            <w:r>
                              <w:rPr>
                                <w:sz w:val="18"/>
                                <w:szCs w:val="18"/>
                              </w:rPr>
                              <w:t>Il-ġabra ta’ eżempji ta’ proġetti li jkopru l-prijoritajiet kollha tal-PŻR: dawn jistgħu jiffokaw, pereżempju, fuq proġetti innovattivi jew il-ħolqien ta’ bażijiet ta’ data ta’ proġetti innovattivi u b’hekk jikkontribwixxu għall-identifikazzjoni u l-kondiviżjoni tal-innovazzjonijiet.</w:t>
                            </w:r>
                          </w:p>
                          <w:p w:rsidR="005570DA" w:rsidRPr="0079762F" w:rsidRDefault="005570DA" w:rsidP="008C0B17">
                            <w:pPr>
                              <w:pStyle w:val="HStandard"/>
                              <w:numPr>
                                <w:ilvl w:val="0"/>
                                <w:numId w:val="26"/>
                              </w:numPr>
                              <w:ind w:left="567" w:hanging="567"/>
                              <w:rPr>
                                <w:sz w:val="18"/>
                                <w:szCs w:val="18"/>
                              </w:rPr>
                            </w:pPr>
                            <w:r>
                              <w:rPr>
                                <w:sz w:val="18"/>
                                <w:szCs w:val="18"/>
                              </w:rPr>
                              <w:t>Il-faċilitazzjoni ta’ skambji tematiċi u analitiċi bejn il-partijiet ikkonċernati tal-iżvilupp rurali, il-kondiviżjoni u t-tixrid tas-sejbiet. Dawn l-iskambji jistgħu wkoll irawmu l-innovazzjoni billi jrawmu u jikkondividu ideat ġodda u joħolqu l-kundizzjonijiet għall-iżvilupp ta’ għarfien ġdid.</w:t>
                            </w:r>
                          </w:p>
                          <w:p w:rsidR="005570DA" w:rsidRDefault="005570DA" w:rsidP="008C0B17">
                            <w:pPr>
                              <w:pStyle w:val="HStandard"/>
                              <w:numPr>
                                <w:ilvl w:val="0"/>
                                <w:numId w:val="26"/>
                              </w:numPr>
                              <w:ind w:left="567" w:hanging="567"/>
                              <w:rPr>
                                <w:sz w:val="18"/>
                                <w:szCs w:val="18"/>
                              </w:rPr>
                            </w:pPr>
                            <w:r>
                              <w:rPr>
                                <w:sz w:val="18"/>
                                <w:szCs w:val="18"/>
                              </w:rPr>
                              <w:t xml:space="preserve">Pubbliċità u informazzjoni dwar il-PŻR u attivitajiet ta’ informazzjoni u komunikazzjoni mmirati lejn il-pubbliku ġenerali. Dawn jistgħu jinkludu, </w:t>
                            </w:r>
                            <w:r>
                              <w:rPr>
                                <w:i/>
                                <w:sz w:val="18"/>
                                <w:szCs w:val="18"/>
                              </w:rPr>
                              <w:t>inter alia</w:t>
                            </w:r>
                            <w:r>
                              <w:rPr>
                                <w:sz w:val="18"/>
                                <w:szCs w:val="18"/>
                              </w:rPr>
                              <w:t>, informazzjoni dwar il-kisbiet relatati mal-innovazzjoni tal-PŻR, il-kisbiet tal-GO tal-EIP, kif l-istrateġiji u s-sħubiji ta’ CLLD irawmu l-innovazzjoni u eżempji ta’ sħubiji bħal dawn u proġetti innovattivi ta’ LEADER/CLLD, eċċ.</w:t>
                            </w:r>
                          </w:p>
                          <w:p w:rsidR="005570DA" w:rsidRPr="00E05D08" w:rsidRDefault="005570DA" w:rsidP="008A0CFF">
                            <w:pPr>
                              <w:pStyle w:val="HStandard"/>
                              <w:rPr>
                                <w:b/>
                                <w:color w:val="F07E31"/>
                                <w:sz w:val="18"/>
                                <w:szCs w:val="18"/>
                              </w:rPr>
                            </w:pPr>
                            <w:r>
                              <w:rPr>
                                <w:b/>
                                <w:color w:val="F07E31"/>
                                <w:sz w:val="18"/>
                                <w:szCs w:val="18"/>
                              </w:rPr>
                              <w:t>Il-bini tal-kapaċità għall-innovazzjoni:</w:t>
                            </w:r>
                          </w:p>
                          <w:p w:rsidR="005570DA" w:rsidRPr="0079762F" w:rsidRDefault="005570DA" w:rsidP="008A0CFF">
                            <w:pPr>
                              <w:pStyle w:val="HStandard"/>
                              <w:numPr>
                                <w:ilvl w:val="0"/>
                                <w:numId w:val="26"/>
                              </w:numPr>
                              <w:rPr>
                                <w:sz w:val="18"/>
                                <w:szCs w:val="18"/>
                              </w:rPr>
                            </w:pPr>
                            <w:r>
                              <w:rPr>
                                <w:sz w:val="18"/>
                                <w:szCs w:val="18"/>
                              </w:rPr>
                              <w:t>Il-forniment ta’ attivitajiet ta’ taħriġ u netwerking għal konsulenti u servizzi ta’ appoġġ għall-innovazzjoni, iffokati fuq l-innovazzjoni fl-agrikoltura, fil-forestrija u f’setturi oħrajn li għandhom x’jaqsmu mal-PŻR. It-taħriġ ta’ konsulenti u servizzi ta’ appoġġ għall-innovazzjoni jista’, pereżempju, jiffaċilita l-ħolqien ta’ GO tal-EIP u, għalhekk, jikkontribwixxi sabiex tinbena l-kapaċità għall-innovazzjoni fiż-żoni rurali, billi l-GO huma mistennija li jiżviluppaw proġetti innovattivi.</w:t>
                            </w:r>
                          </w:p>
                          <w:p w:rsidR="005570DA" w:rsidRPr="00ED3BAD" w:rsidRDefault="005570DA" w:rsidP="008A0CFF">
                            <w:pPr>
                              <w:pStyle w:val="HStandard"/>
                              <w:numPr>
                                <w:ilvl w:val="0"/>
                                <w:numId w:val="26"/>
                              </w:numPr>
                              <w:rPr>
                                <w:sz w:val="18"/>
                                <w:szCs w:val="18"/>
                              </w:rPr>
                            </w:pPr>
                            <w:r>
                              <w:rPr>
                                <w:sz w:val="18"/>
                                <w:szCs w:val="18"/>
                              </w:rPr>
                              <w:t>Il-forniment ta’ attivitajiet ta’ taħriġ u netwerking għall-GAL u, b’mod partikolari, assistenza teknika għal kooperazzjoni inter-reġjonali u transnazzjonali, faċilitazzjoni tal-kooperazzjoni fost il-GAL u t-tfittxija għal imsieħba taħt M16 (kooperazzjoni). In-NRN jista’, pereżempju, jiffaċilita sforzi kooperattivi li jappoġġaw l-esperimentazzjoni u l-innovazzjoni.</w:t>
                            </w:r>
                          </w:p>
                          <w:p w:rsidR="005570DA" w:rsidRPr="0079762F" w:rsidRDefault="005570DA" w:rsidP="008A0CFF">
                            <w:pPr>
                              <w:pStyle w:val="HStandard"/>
                              <w:ind w:left="567" w:hanging="567"/>
                              <w:rPr>
                                <w:i/>
                                <w:sz w:val="18"/>
                                <w:szCs w:val="18"/>
                              </w:rPr>
                            </w:pPr>
                            <w:r>
                              <w:rPr>
                                <w:b/>
                                <w:color w:val="F07E31"/>
                                <w:sz w:val="18"/>
                                <w:szCs w:val="18"/>
                              </w:rPr>
                              <w:t>Il-bini ta’ ambjent favorevoli għall-innovazzjoni:</w:t>
                            </w:r>
                          </w:p>
                          <w:p w:rsidR="005570DA" w:rsidRPr="00ED3BAD" w:rsidRDefault="005570DA" w:rsidP="008A0CFF">
                            <w:pPr>
                              <w:pStyle w:val="HStandard"/>
                              <w:numPr>
                                <w:ilvl w:val="0"/>
                                <w:numId w:val="29"/>
                              </w:numPr>
                              <w:ind w:left="567" w:hanging="567"/>
                              <w:rPr>
                                <w:sz w:val="18"/>
                                <w:szCs w:val="18"/>
                              </w:rPr>
                            </w:pPr>
                            <w:r>
                              <w:rPr>
                                <w:sz w:val="18"/>
                                <w:szCs w:val="18"/>
                              </w:rPr>
                              <w:t>Il-parteċipazzjoni u l-kontribut għall-attivitajiet tan-Netwerks Ewropej, notevolment l-ENRD u l-EIP-AGRI, jistgħu joffru l-possibbiltà li jitrawwem ambjent favorevoli għall-innovazzjoni permezz ta’ dawn in-netwerks.</w:t>
                            </w:r>
                          </w:p>
                          <w:p w:rsidR="005570DA" w:rsidRPr="00547012" w:rsidRDefault="005570DA" w:rsidP="00547012">
                            <w:pPr>
                              <w:pStyle w:val="HStandard"/>
                              <w:numPr>
                                <w:ilvl w:val="0"/>
                                <w:numId w:val="29"/>
                              </w:numPr>
                              <w:ind w:left="567" w:hanging="567"/>
                              <w:rPr>
                                <w:sz w:val="18"/>
                                <w:szCs w:val="18"/>
                              </w:rPr>
                            </w:pPr>
                            <w:r>
                              <w:rPr>
                                <w:sz w:val="18"/>
                                <w:szCs w:val="18"/>
                              </w:rPr>
                              <w:t>In-NRN jistgħu jrawmu l-innovazzjoni billi jgħaqqdu l-atturi tal-innovazzjoni (bdiewa, riċerkaturi, NGOs, GAL, eċċ.), jiġbru informazzjoni, janimaw inizjattivi minn isfel għal fuq, jgħinu biex jirfinaw ideat innovattivi u jipprovdu appoġġ sabiex jinstabu l-imsieħba u l-finanzjament, li kollha jikkontribwixxu għal ambjent favorevoli għall-innovazzjoni.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282D9" id="Rectangle: Diagonal Corners Rounded 28" o:spid="_x0000_s1050" style="position:absolute;left:0;text-align:left;margin-left:0;margin-top:23.35pt;width:455.15pt;height:517.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0405,65779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" adj="-11796480,,5400" path="m349946,l5780405,r,l5780405,6228019v,193270,-156676,349946,-349946,349946l,6577965r,l,349946c,156676,156676,,349946,xe" filled="f" strokecolor="#f07e31" strokeweight="2pt">
                <v:stroke joinstyle="miter"/>
                <v:formulas/>
                <v:path arrowok="t" o:connecttype="custom" o:connectlocs="349946,0;5780405,0;5780405,0;5780405,6228019;5430459,6577965;0,6577965;0,6577965;0,349946;349946,0" o:connectangles="0,0,0,0,0,0,0,0,0" textboxrect="0,0,5780405,6577965"/>
                <v:textbox>
                  <w:txbxContent>
                    <w:p w:rsidR="005570DA" w:rsidRPr="0079762F" w:rsidRDefault="005570DA" w:rsidP="00E05D08">
                      <w:pPr>
                        <w:pStyle w:val="HStandard"/>
                        <w:ind w:left="567" w:hanging="567"/>
                        <w:rPr>
                          <w:i/>
                          <w:sz w:val="18"/>
                          <w:szCs w:val="18"/>
                        </w:rPr>
                      </w:pPr>
                      <w:r>
                        <w:rPr>
                          <w:noProof/>
                          <w:sz w:val="18"/>
                          <w:szCs w:val="18"/>
                          <w:lang w:val="en-GB" w:eastAsia="en-GB"/>
                        </w:rPr>
                        <w:drawing>
                          <wp:inline distT="0" distB="0" distL="0" distR="0" wp14:anchorId="22768BB4" wp14:editId="38DA3828">
                            <wp:extent cx="353060" cy="359410"/>
                            <wp:effectExtent l="0" t="0" r="8890" b="2540"/>
                            <wp:docPr id="74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It-trawwim ta’ ideat ġodda u l-kondiviżjoni tal-innovazzjonijiet:</w:t>
                      </w:r>
                    </w:p>
                    <w:p w:rsidR="005570DA" w:rsidRPr="0079762F" w:rsidRDefault="005570DA" w:rsidP="008C0B17">
                      <w:pPr>
                        <w:pStyle w:val="HStandard"/>
                        <w:numPr>
                          <w:ilvl w:val="0"/>
                          <w:numId w:val="26"/>
                        </w:numPr>
                        <w:ind w:left="567" w:hanging="567"/>
                        <w:rPr>
                          <w:sz w:val="18"/>
                          <w:szCs w:val="18"/>
                        </w:rPr>
                      </w:pPr>
                      <w:r>
                        <w:rPr>
                          <w:sz w:val="18"/>
                          <w:szCs w:val="18"/>
                        </w:rPr>
                        <w:t>Il-ġabra ta’ eżempji ta’ proġetti li jkopru l-prijoritajiet kollha tal-PŻR: dawn jistgħu jiffokaw, pereżempju, fuq proġetti innovattivi jew il-ħolqien ta’ bażijiet ta’ data ta’ proġetti innovattivi u b’hekk jikkontribwixxu għall-identifikazzjoni u l-kondiviżjoni tal-innovazzjonijiet.</w:t>
                      </w:r>
                    </w:p>
                    <w:p w:rsidR="005570DA" w:rsidRPr="0079762F" w:rsidRDefault="005570DA" w:rsidP="008C0B17">
                      <w:pPr>
                        <w:pStyle w:val="HStandard"/>
                        <w:numPr>
                          <w:ilvl w:val="0"/>
                          <w:numId w:val="26"/>
                        </w:numPr>
                        <w:ind w:left="567" w:hanging="567"/>
                        <w:rPr>
                          <w:sz w:val="18"/>
                          <w:szCs w:val="18"/>
                        </w:rPr>
                      </w:pPr>
                      <w:r>
                        <w:rPr>
                          <w:sz w:val="18"/>
                          <w:szCs w:val="18"/>
                        </w:rPr>
                        <w:t>Il-faċilitazzjoni ta’ skambji tematiċi u analitiċi bejn il-partijiet ikkonċernati tal-iżvilupp rurali, il-kondiviżjoni u t-tixrid tas-sejbiet. Dawn l-iskambji jistgħu wkoll irawmu l-innovazzjoni billi jrawmu u jikkondividu ideat ġodda u joħolqu l-kundizzjonijiet għall-iżvilupp ta’ għarfien ġdid.</w:t>
                      </w:r>
                    </w:p>
                    <w:p w:rsidR="005570DA" w:rsidRDefault="005570DA" w:rsidP="008C0B17">
                      <w:pPr>
                        <w:pStyle w:val="HStandard"/>
                        <w:numPr>
                          <w:ilvl w:val="0"/>
                          <w:numId w:val="26"/>
                        </w:numPr>
                        <w:ind w:left="567" w:hanging="567"/>
                        <w:rPr>
                          <w:sz w:val="18"/>
                          <w:szCs w:val="18"/>
                        </w:rPr>
                      </w:pPr>
                      <w:r>
                        <w:rPr>
                          <w:sz w:val="18"/>
                          <w:szCs w:val="18"/>
                        </w:rPr>
                        <w:t xml:space="preserve">Pubbliċità u informazzjoni dwar il-PŻR u attivitajiet ta’ informazzjoni u komunikazzjoni mmirati lejn il-pubbliku ġenerali. Dawn jistgħu jinkludu, </w:t>
                      </w:r>
                      <w:r>
                        <w:rPr>
                          <w:i/>
                          <w:sz w:val="18"/>
                          <w:szCs w:val="18"/>
                        </w:rPr>
                        <w:t>inter alia</w:t>
                      </w:r>
                      <w:r>
                        <w:rPr>
                          <w:sz w:val="18"/>
                          <w:szCs w:val="18"/>
                        </w:rPr>
                        <w:t>, informazzjoni dwar il-kisbiet relatati mal-innovazzjoni tal-PŻR, il-kisbiet tal-GO tal-EIP, kif l-istrateġiji u s-sħubiji ta’ CLLD irawmu l-innovazzjoni u eżempji ta’ sħubiji bħal dawn u proġetti innovattivi ta’ LEADER/CLLD, eċċ.</w:t>
                      </w:r>
                    </w:p>
                    <w:p w:rsidR="005570DA" w:rsidRPr="00E05D08" w:rsidRDefault="005570DA" w:rsidP="008A0CFF">
                      <w:pPr>
                        <w:pStyle w:val="HStandard"/>
                        <w:rPr>
                          <w:b/>
                          <w:color w:val="F07E31"/>
                          <w:sz w:val="18"/>
                          <w:szCs w:val="18"/>
                        </w:rPr>
                      </w:pPr>
                      <w:r>
                        <w:rPr>
                          <w:b/>
                          <w:color w:val="F07E31"/>
                          <w:sz w:val="18"/>
                          <w:szCs w:val="18"/>
                        </w:rPr>
                        <w:t>Il-bini tal-kapaċità għall-innovazzjoni:</w:t>
                      </w:r>
                    </w:p>
                    <w:p w:rsidR="005570DA" w:rsidRPr="0079762F" w:rsidRDefault="005570DA" w:rsidP="008A0CFF">
                      <w:pPr>
                        <w:pStyle w:val="HStandard"/>
                        <w:numPr>
                          <w:ilvl w:val="0"/>
                          <w:numId w:val="26"/>
                        </w:numPr>
                        <w:rPr>
                          <w:sz w:val="18"/>
                          <w:szCs w:val="18"/>
                        </w:rPr>
                      </w:pPr>
                      <w:r>
                        <w:rPr>
                          <w:sz w:val="18"/>
                          <w:szCs w:val="18"/>
                        </w:rPr>
                        <w:t>Il-forniment ta’ attivitajiet ta’ taħriġ u netwerking għal konsulenti u servizzi ta’ appoġġ għall-innovazzjoni, iffokati fuq l-innovazzjoni fl-agrikoltura, fil-forestrija u f’setturi oħrajn li għandhom x’jaqsmu mal-PŻR. It-taħriġ ta’ konsulenti u servizzi ta’ appoġġ għall-innovazzjoni jista’, pereżempju, jiffaċilita l-ħolqien ta’ GO tal-EIP u, għalhekk, jikkontribwixxi sabiex tinbena l-kapaċità għall-innovazzjoni fiż-żoni rurali, billi l-GO huma mistennija li jiżviluppaw proġetti innovattivi.</w:t>
                      </w:r>
                    </w:p>
                    <w:p w:rsidR="005570DA" w:rsidRPr="00ED3BAD" w:rsidRDefault="005570DA" w:rsidP="008A0CFF">
                      <w:pPr>
                        <w:pStyle w:val="HStandard"/>
                        <w:numPr>
                          <w:ilvl w:val="0"/>
                          <w:numId w:val="26"/>
                        </w:numPr>
                        <w:rPr>
                          <w:sz w:val="18"/>
                          <w:szCs w:val="18"/>
                        </w:rPr>
                      </w:pPr>
                      <w:r>
                        <w:rPr>
                          <w:sz w:val="18"/>
                          <w:szCs w:val="18"/>
                        </w:rPr>
                        <w:t>Il-forniment ta’ attivitajiet ta’ taħriġ u netwerking għall-GAL u, b’mod partikolari, assistenza teknika għal kooperazzjoni inter-reġjonali u transnazzjonali, faċilitazzjoni tal-kooperazzjoni fost il-GAL u t-tfittxija għal imsieħba taħt M16 (kooperazzjoni). In-NRN jista’, pereżempju, jiffaċilita sforzi kooperattivi li jappoġġaw l-esperimentazzjoni u l-innovazzjoni.</w:t>
                      </w:r>
                    </w:p>
                    <w:p w:rsidR="005570DA" w:rsidRPr="0079762F" w:rsidRDefault="005570DA" w:rsidP="008A0CFF">
                      <w:pPr>
                        <w:pStyle w:val="HStandard"/>
                        <w:ind w:left="567" w:hanging="567"/>
                        <w:rPr>
                          <w:i/>
                          <w:sz w:val="18"/>
                          <w:szCs w:val="18"/>
                        </w:rPr>
                      </w:pPr>
                      <w:r>
                        <w:rPr>
                          <w:b/>
                          <w:color w:val="F07E31"/>
                          <w:sz w:val="18"/>
                          <w:szCs w:val="18"/>
                        </w:rPr>
                        <w:t>Il-bini ta’ ambjent favorevoli għall-innovazzjoni:</w:t>
                      </w:r>
                    </w:p>
                    <w:p w:rsidR="005570DA" w:rsidRPr="00ED3BAD" w:rsidRDefault="005570DA" w:rsidP="008A0CFF">
                      <w:pPr>
                        <w:pStyle w:val="HStandard"/>
                        <w:numPr>
                          <w:ilvl w:val="0"/>
                          <w:numId w:val="29"/>
                        </w:numPr>
                        <w:ind w:left="567" w:hanging="567"/>
                        <w:rPr>
                          <w:sz w:val="18"/>
                          <w:szCs w:val="18"/>
                        </w:rPr>
                      </w:pPr>
                      <w:r>
                        <w:rPr>
                          <w:sz w:val="18"/>
                          <w:szCs w:val="18"/>
                        </w:rPr>
                        <w:t>Il-parteċipazzjoni u l-kontribut għall-attivitajiet tan-Netwerks Ewropej, notevolment l-ENRD u l-EIP-AGRI, jistgħu joffru l-possibbiltà li jitrawwem ambjent favorevoli għall-innovazzjoni permezz ta’ dawn in-netwerks.</w:t>
                      </w:r>
                    </w:p>
                    <w:p w:rsidR="005570DA" w:rsidRPr="00547012" w:rsidRDefault="005570DA" w:rsidP="00547012">
                      <w:pPr>
                        <w:pStyle w:val="HStandard"/>
                        <w:numPr>
                          <w:ilvl w:val="0"/>
                          <w:numId w:val="29"/>
                        </w:numPr>
                        <w:ind w:left="567" w:hanging="567"/>
                        <w:rPr>
                          <w:sz w:val="18"/>
                          <w:szCs w:val="18"/>
                        </w:rPr>
                      </w:pPr>
                      <w:r>
                        <w:rPr>
                          <w:sz w:val="18"/>
                          <w:szCs w:val="18"/>
                        </w:rPr>
                        <w:t>In-NRN jistgħu jrawmu l-innovazzjoni billi jgħaqqdu l-atturi tal-innovazzjoni (bdiewa, riċerkaturi, NGOs, GAL, eċċ.), jiġbru informazzjoni, janimaw inizjattivi minn isfel għal fuq, jgħinu biex jirfinaw ideat innovattivi u jipprovdu appoġġ sabiex jinstabu l-imsieħba u l-finanzjament, li kollha jikkontribwixxu għal ambjent favorevoli għall-innovazzjoni.</w:t>
                      </w:r>
                    </w:p>
                  </w:txbxContent>
                </v:textbox>
                <w10:wrap type="tight"/>
              </v:shape>
            </w:pict>
          </mc:Fallback>
        </mc:AlternateContent>
      </w:r>
    </w:p>
    <w:p w:rsidR="00A45935" w:rsidRPr="002B5B92" w:rsidRDefault="00A45935" w:rsidP="00E05D08">
      <w:pPr>
        <w:spacing w:before="120" w:after="120" w:line="280" w:lineRule="atLeast"/>
        <w:mirrorIndents/>
        <w:rPr>
          <w:rFonts w:eastAsia="Times New Roman" w:cs="Times New Roman"/>
          <w:szCs w:val="20"/>
          <w:lang w:eastAsia="de-DE"/>
        </w:rPr>
        <w:sectPr w:rsidR="00A45935" w:rsidRPr="002B5B92"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2B5B92" w:rsidRDefault="00A45935" w:rsidP="00E05D08">
      <w:pPr>
        <w:spacing w:before="120" w:after="120" w:line="280" w:lineRule="atLeast"/>
        <w:mirrorIndents/>
        <w:rPr>
          <w:rFonts w:eastAsia="Times New Roman" w:cs="Times New Roman"/>
          <w:szCs w:val="20"/>
        </w:rPr>
      </w:pPr>
      <w:r w:rsidRPr="002B5B92">
        <w:lastRenderedPageBreak/>
        <w:t>Għandu jiġi nnotat li din il-mistoqsija tal-evalwazzjoni tirreferi għan-NRN li jrawmu l-innovazzjoni mhux biss fl-agrikoltura, iżda tinkludi żoni rurali fl-intier tagħhom. In-NRN jistgħu jkunu attivi b’ħafna modi sabiex irawmu l-innovazzjoni u jġibu “xi ħaġa ġdida” għall-komunitajiet rurali, billi:</w:t>
      </w:r>
    </w:p>
    <w:p w:rsidR="00A45935" w:rsidRPr="002B5B92" w:rsidRDefault="00A45935" w:rsidP="008C0B17">
      <w:pPr>
        <w:numPr>
          <w:ilvl w:val="0"/>
          <w:numId w:val="27"/>
        </w:numPr>
        <w:spacing w:before="60" w:after="120" w:line="280" w:lineRule="atLeast"/>
        <w:ind w:left="567" w:hanging="567"/>
        <w:rPr>
          <w:rFonts w:eastAsia="Times New Roman" w:cs="Times New Roman"/>
          <w:szCs w:val="20"/>
        </w:rPr>
      </w:pPr>
      <w:r w:rsidRPr="002B5B92">
        <w:t>jaħdmu ma’ organizzazzjonijiet u negozji rurali sabiex jiġġeneraw ideat u approċċi ġodda bil-għan li jindirizzaw il-ħtiġijiet komuni;</w:t>
      </w:r>
    </w:p>
    <w:p w:rsidR="00A45935" w:rsidRPr="002B5B92" w:rsidRDefault="00A45935" w:rsidP="008C0B17">
      <w:pPr>
        <w:numPr>
          <w:ilvl w:val="0"/>
          <w:numId w:val="27"/>
        </w:numPr>
        <w:spacing w:before="60" w:after="120" w:line="280" w:lineRule="atLeast"/>
        <w:ind w:left="567" w:hanging="567"/>
        <w:rPr>
          <w:rFonts w:eastAsia="Times New Roman" w:cs="Times New Roman"/>
          <w:szCs w:val="20"/>
        </w:rPr>
      </w:pPr>
      <w:r w:rsidRPr="002B5B92">
        <w:t>jikkapitalizzaw fuq prattiki tajbin billi jgħaqqdu lill-prattikanti tal-iżvilupp rurali ma’ esperti, akkademiċi u istituti tar-riċerka rilevanti;</w:t>
      </w:r>
    </w:p>
    <w:p w:rsidR="00A45935" w:rsidRPr="002B5B92" w:rsidRDefault="00A45935" w:rsidP="008C0B17">
      <w:pPr>
        <w:numPr>
          <w:ilvl w:val="0"/>
          <w:numId w:val="27"/>
        </w:numPr>
        <w:spacing w:before="60" w:after="120" w:line="280" w:lineRule="atLeast"/>
        <w:ind w:left="567" w:hanging="567"/>
        <w:rPr>
          <w:rFonts w:eastAsia="Times New Roman" w:cs="Times New Roman"/>
          <w:szCs w:val="20"/>
        </w:rPr>
      </w:pPr>
      <w:r w:rsidRPr="002B5B92">
        <w:t>jipprovdu taħriġ dwar suġġetti speċifiċi relatati mal-innovazzjoni;</w:t>
      </w:r>
    </w:p>
    <w:p w:rsidR="00A45935" w:rsidRPr="002B5B92" w:rsidRDefault="00A45935" w:rsidP="008C0B17">
      <w:pPr>
        <w:numPr>
          <w:ilvl w:val="0"/>
          <w:numId w:val="27"/>
        </w:numPr>
        <w:spacing w:before="60" w:after="120" w:line="280" w:lineRule="atLeast"/>
        <w:ind w:left="567" w:hanging="567"/>
        <w:rPr>
          <w:rFonts w:eastAsia="Times New Roman" w:cs="Times New Roman"/>
          <w:szCs w:val="20"/>
        </w:rPr>
      </w:pPr>
      <w:r w:rsidRPr="002B5B92">
        <w:t xml:space="preserve">jgħinu lill-GAL u lill-partijiet ikkonċernati ta’ LEADER sabiex jappoġġaw l-innovazzjoni bħala prinċipju ewlieni tal-istrateġiji ta’ żvilupp lokali tagħhom u “jinkubaw” ideat u approċċi ġodda. </w:t>
      </w:r>
    </w:p>
    <w:p w:rsidR="00A45935" w:rsidRPr="002B5B92" w:rsidRDefault="00A45935" w:rsidP="00E05D08">
      <w:pPr>
        <w:spacing w:after="120" w:line="280" w:lineRule="atLeast"/>
        <w:mirrorIndents/>
        <w:rPr>
          <w:rFonts w:eastAsia="Times New Roman" w:cs="Times New Roman"/>
          <w:szCs w:val="20"/>
        </w:rPr>
      </w:pPr>
      <w:r w:rsidRPr="002B5B92">
        <w:t>Qabel ma toqrob is-CEQ nru. 21, huwa għalhekk importanti li jiġu ċċarati dawn l-aspetti u li jinkiseb għarfien tajjeb dwar kif NRN partikolari jista’ jrawwem l-innovazzjoni permezz tal-attivitajiet tiegħu.</w:t>
      </w:r>
    </w:p>
    <w:p w:rsidR="00A45935" w:rsidRPr="002B5B92"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2B5B92">
        <w:rPr>
          <w:b/>
          <w:color w:val="57825E"/>
          <w:szCs w:val="20"/>
          <w:shd w:val="clear" w:color="auto" w:fill="FFFFFF"/>
        </w:rPr>
        <w:t xml:space="preserve">Sfidi speċifiċi </w:t>
      </w:r>
    </w:p>
    <w:p w:rsidR="00A45935" w:rsidRPr="002B5B92" w:rsidRDefault="00A45935" w:rsidP="00547012">
      <w:pPr>
        <w:pStyle w:val="Hlistbullet"/>
      </w:pPr>
      <w:r w:rsidRPr="002B5B92">
        <w:rPr>
          <w:b/>
          <w:shd w:val="clear" w:color="auto" w:fill="FFFFFF"/>
        </w:rPr>
        <w:t>L-iżvilupp ta’ elementi tal-evalwazzjoni speċifiċi għall-programmi u addizzjonali għall-evalwazzjoni tal-innovazzjoni fir-rigward tan-NRN</w:t>
      </w:r>
      <w:r w:rsidRPr="002B5B92">
        <w:rPr>
          <w:shd w:val="clear" w:color="auto" w:fill="FFFFFF"/>
        </w:rPr>
        <w:t>. Kif jista’ wieħed</w:t>
      </w:r>
      <w:r w:rsidRPr="002B5B92">
        <w:t xml:space="preserve"> ifassal u juża indikaturi (tar-riżultat u l-impatt) addizzjonali minbarra l-indikaturi tal-output diġà pprovduti mis-CMES sabiex </w:t>
      </w:r>
      <w:r w:rsidRPr="002B5B92">
        <w:rPr>
          <w:shd w:val="clear" w:color="auto" w:fill="FFFFFF"/>
        </w:rPr>
        <w:t>i</w:t>
      </w:r>
      <w:r w:rsidRPr="002B5B92">
        <w:t xml:space="preserve">wieġeb is-CEQ nru. 21, mill-perspettiva tat-trawwim tal-innovazzjoni? </w:t>
      </w:r>
    </w:p>
    <w:p w:rsidR="00A45935" w:rsidRPr="002B5B92" w:rsidRDefault="00A45935" w:rsidP="00547012">
      <w:pPr>
        <w:pStyle w:val="Hlistbullet"/>
      </w:pPr>
      <w:r w:rsidRPr="002B5B92">
        <w:rPr>
          <w:b/>
          <w:shd w:val="clear" w:color="auto" w:fill="FFFFFF"/>
        </w:rPr>
        <w:t xml:space="preserve">L-attribuzzjoni tal-proċessi tal-innovazzjoni għall-interventi tan-NRN. </w:t>
      </w:r>
      <w:r w:rsidRPr="002B5B92">
        <w:rPr>
          <w:shd w:val="clear" w:color="auto" w:fill="FFFFFF"/>
        </w:rPr>
        <w:t>Kif jista’ wieħed ikejjel il-punt safejn il-proċessi tal-innovazzjoni ġġenerati fiż-żoni rurali jistgħu jiġu attribwiti direttament jew</w:t>
      </w:r>
      <w:r w:rsidRPr="002B5B92">
        <w:t xml:space="preserve"> indirettament </w:t>
      </w:r>
      <w:r w:rsidRPr="002B5B92">
        <w:rPr>
          <w:shd w:val="clear" w:color="auto" w:fill="FFFFFF"/>
        </w:rPr>
        <w:t>għall-attivitajiet tan-NRN?</w:t>
      </w:r>
    </w:p>
    <w:p w:rsidR="00A45935" w:rsidRPr="002B5B92" w:rsidRDefault="00A45935" w:rsidP="00547012">
      <w:pPr>
        <w:pStyle w:val="Hlistbullet"/>
      </w:pPr>
      <w:r w:rsidRPr="002B5B92">
        <w:rPr>
          <w:b/>
        </w:rPr>
        <w:t>L-attribuzzjoni tal-innovazzjoni mrawma permezz tal-PŻR lin-NRN</w:t>
      </w:r>
      <w:r w:rsidRPr="002B5B92">
        <w:t xml:space="preserve">, notevolment, permezz tal-valutazzjoni tal-punt safejn l-innovazzjoni mrawma permezz tal-PŻR tista’ tkun marbuta mal-attivitajiet tan-NRN. Dan ifisser li l-effetti tal-attivitajiet tan-NRN fuq it-trawwim tal-innovazzjoni għandhom ikunu iżolati mill-effetti ta’ interventi oħrajn tal-PŻR (miżuri oħrajn, eċċ.). </w:t>
      </w:r>
    </w:p>
    <w:p w:rsidR="00A45935" w:rsidRPr="002B5B92"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2B5B92">
        <w:rPr>
          <w:b/>
          <w:color w:val="57825E"/>
          <w:szCs w:val="20"/>
          <w:shd w:val="clear" w:color="auto" w:fill="FFFFFF"/>
        </w:rPr>
        <w:t>Approċċ issuġġerit sabiex tiġi mwieġba s-CEQ nru. 21</w:t>
      </w:r>
    </w:p>
    <w:p w:rsidR="00A45935" w:rsidRPr="002B5B92" w:rsidRDefault="00A45935" w:rsidP="008C0B17">
      <w:pPr>
        <w:numPr>
          <w:ilvl w:val="0"/>
          <w:numId w:val="60"/>
        </w:numPr>
        <w:spacing w:before="120" w:after="120" w:line="280" w:lineRule="atLeast"/>
        <w:ind w:left="567" w:hanging="567"/>
        <w:mirrorIndents/>
        <w:rPr>
          <w:rFonts w:eastAsia="Times New Roman" w:cs="Times New Roman"/>
          <w:b/>
          <w:szCs w:val="20"/>
        </w:rPr>
      </w:pPr>
      <w:r w:rsidRPr="002B5B92">
        <w:rPr>
          <w:b/>
          <w:szCs w:val="20"/>
        </w:rPr>
        <w:t xml:space="preserve">Il-loġika tal-intervent </w:t>
      </w:r>
    </w:p>
    <w:p w:rsidR="00A45935" w:rsidRPr="002B5B92" w:rsidRDefault="00A45935" w:rsidP="00E05D08">
      <w:pPr>
        <w:spacing w:after="120" w:line="280" w:lineRule="atLeast"/>
        <w:mirrorIndents/>
        <w:rPr>
          <w:rFonts w:eastAsia="Times New Roman" w:cs="Times New Roman"/>
          <w:szCs w:val="20"/>
        </w:rPr>
      </w:pPr>
      <w:r w:rsidRPr="002B5B92">
        <w:t>L-approċċ tal-PŻR lejn l-innovazzjoni kif stabbilit matul it-tfassil tal-programm</w:t>
      </w:r>
      <w:r w:rsidRPr="002B5B92">
        <w:rPr>
          <w:rFonts w:eastAsia="Times New Roman" w:cs="Times New Roman"/>
          <w:szCs w:val="20"/>
          <w:vertAlign w:val="superscript"/>
          <w:lang w:eastAsia="de-DE"/>
        </w:rPr>
        <w:footnoteReference w:id="61"/>
      </w:r>
      <w:r w:rsidRPr="002B5B92">
        <w:t xml:space="preserve"> jinkludi wkoll in-NRN. Fit-tħejjija tal-evalwazzjoni li għandha tiġi rrapportata fl-AIR sottomessa fl-2019, il-grupp ta’ azzjonijiet tan-NRN inklużi fil-pjan ta’ azzjoni tan-NRN jiġu skrinjati għall-potenzjal tagħhom li jrawmu l-innovazzjoni bl-istess mod bħall-miżuri tal-PŻR. Dan jirreferi għall-potenzjal tan-NRN li: a) jidentifika u jikkondividi ideat ġodda, b) jibni l-kapaċità għall-innovazzjoni, ċ) joħloq ambjent favorevoli għall-innovazzjoni. Konsegwentement, l-attivitajiet kollha implimentati taħt il-grupp ta’ azzjonijiet tan-NRN, li wrew potenzjal ta’ innovazzjoni, jitqiesu bħala parti mil-loġika tal-intervent sottostanti relatata mal-innovazzjoni tan-NRN.</w:t>
      </w:r>
    </w:p>
    <w:p w:rsidR="00A45935" w:rsidRPr="002B5B92" w:rsidRDefault="00A45935" w:rsidP="006E2A31">
      <w:pPr>
        <w:pStyle w:val="HStandard"/>
        <w:rPr>
          <w:b/>
          <w:sz w:val="16"/>
        </w:rPr>
      </w:pPr>
      <w:r w:rsidRPr="002B5B92">
        <w:t xml:space="preserve">Il-figura ta’ hawn taħt tispjega l-loġika tal-intervent relatata mal-innovazzjoni tan-NRN u kif tista’ tiġi rikostruwita mil-loġika tal-intervent eżistenti tan-NRN jew mill-pjan ta’ azzjoni tan-NRN. </w:t>
      </w:r>
      <w:r w:rsidRPr="002B5B92">
        <w:br w:type="page"/>
      </w:r>
    </w:p>
    <w:p w:rsidR="00A45935" w:rsidRPr="002B5B92" w:rsidRDefault="00A45935" w:rsidP="00676B41">
      <w:pPr>
        <w:pStyle w:val="HHeadingfigures"/>
      </w:pPr>
      <w:bookmarkStart w:id="119" w:name="_Toc508964970"/>
      <w:r w:rsidRPr="002B5B92">
        <w:lastRenderedPageBreak/>
        <w:t>Il-loġika tal-intervent tan-NRN fir-rigward tal-innovazzjoni</w:t>
      </w:r>
      <w:bookmarkEnd w:id="119"/>
    </w:p>
    <w:p w:rsidR="00A45935" w:rsidRPr="002B5B92" w:rsidRDefault="0035138C" w:rsidP="00E05D08">
      <w:pPr>
        <w:spacing w:before="240" w:after="120" w:line="280" w:lineRule="atLeast"/>
        <w:ind w:left="-142"/>
        <w:mirrorIndents/>
        <w:jc w:val="center"/>
        <w:rPr>
          <w:rFonts w:eastAsia="Times New Roman" w:cs="Times New Roman"/>
          <w:b/>
          <w:szCs w:val="20"/>
        </w:rPr>
      </w:pPr>
      <w:r>
        <w:rPr>
          <w:noProof/>
          <w:lang w:val="en-GB" w:eastAsia="en-GB"/>
        </w:rPr>
        <w:drawing>
          <wp:inline distT="0" distB="0" distL="0" distR="0" wp14:anchorId="6D7E0C46" wp14:editId="17A9D0A5">
            <wp:extent cx="5731510" cy="3241722"/>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3241722"/>
                    </a:xfrm>
                    <a:prstGeom prst="rect">
                      <a:avLst/>
                    </a:prstGeom>
                  </pic:spPr>
                </pic:pic>
              </a:graphicData>
            </a:graphic>
          </wp:inline>
        </w:drawing>
      </w:r>
    </w:p>
    <w:p w:rsidR="00A45935" w:rsidRPr="002B5B92" w:rsidRDefault="00A45935" w:rsidP="00177C4F">
      <w:pPr>
        <w:suppressAutoHyphens/>
        <w:spacing w:before="60" w:after="140" w:line="240" w:lineRule="auto"/>
        <w:mirrorIndents/>
        <w:jc w:val="center"/>
        <w:rPr>
          <w:rFonts w:eastAsia="Times New Roman" w:cs="Times New Roman"/>
          <w:i/>
          <w:sz w:val="16"/>
          <w:szCs w:val="20"/>
        </w:rPr>
      </w:pPr>
      <w:r w:rsidRPr="002B5B92">
        <w:rPr>
          <w:i/>
          <w:sz w:val="16"/>
          <w:szCs w:val="20"/>
        </w:rPr>
        <w:t>Sors: Helpdesk Ewropew ta’ Evalwazzjoni għall-Iżvilupp Rurali, 2017</w:t>
      </w:r>
    </w:p>
    <w:p w:rsidR="00A45935" w:rsidRPr="002B5B92" w:rsidRDefault="00A45935" w:rsidP="00E05D08">
      <w:pPr>
        <w:spacing w:before="120" w:after="120" w:line="280" w:lineRule="atLeast"/>
        <w:mirrorIndents/>
        <w:rPr>
          <w:rFonts w:eastAsia="Times New Roman" w:cs="Times New Roman"/>
          <w:szCs w:val="20"/>
        </w:rPr>
      </w:pPr>
      <w:r w:rsidRPr="002B5B92">
        <w:t>Abbażi tal-figura, loġika tal-intervent tan-NRN relatata mal-innovazzjoni tista’ tiġi rikostruwita bil-mod li ġej:</w:t>
      </w:r>
    </w:p>
    <w:p w:rsidR="00A45935" w:rsidRPr="002B5B92" w:rsidRDefault="00A45935" w:rsidP="00676B41">
      <w:pPr>
        <w:pStyle w:val="Hlistbullet"/>
      </w:pPr>
      <w:r w:rsidRPr="002B5B92">
        <w:rPr>
          <w:b/>
        </w:rPr>
        <w:t>PASS 1:</w:t>
      </w:r>
      <w:r w:rsidRPr="002B5B92">
        <w:t xml:space="preserve"> Identifika l-ħtiġijiet tal-innovazzjoni tat-territorju tal-PŻR li jistgħu jiġu indirizzati permezz ta’ netwerks rurali. </w:t>
      </w:r>
    </w:p>
    <w:p w:rsidR="00A45935" w:rsidRPr="002B5B92" w:rsidRDefault="00A45935" w:rsidP="00676B41">
      <w:pPr>
        <w:pStyle w:val="Hlistbullet"/>
      </w:pPr>
      <w:r w:rsidRPr="002B5B92">
        <w:rPr>
          <w:b/>
        </w:rPr>
        <w:t>PASS 2:</w:t>
      </w:r>
      <w:r w:rsidRPr="002B5B92">
        <w:t xml:space="preserve"> Għaqqad l-attivitajiet kif elenkati fil-pjan ta’ azzjoni tan-NRN (u predefiniti fil-qafas regolatorju tal-perjodu ta’ programmazzjoni 2014-2020</w:t>
      </w:r>
      <w:r w:rsidRPr="002B5B92">
        <w:rPr>
          <w:rFonts w:cs="Arial"/>
          <w:vertAlign w:val="superscript"/>
        </w:rPr>
        <w:footnoteReference w:id="62"/>
      </w:r>
      <w:r w:rsidRPr="002B5B92">
        <w:t xml:space="preserve">) mat-tliet perkorsi u, konsegwentement, mal-objettiv ġenerali li titrawwem l-innovazzjoni permezz tan-NRN (abbażi tal-analiżi tal-potenzjal tal-innovazzjoni tal-miżuri – ara </w:t>
      </w:r>
      <w:hyperlink w:anchor="Screening_Potential" w:history="1">
        <w:r w:rsidRPr="002B5B92">
          <w:rPr>
            <w:rStyle w:val="Hyperlink"/>
            <w:sz w:val="20"/>
          </w:rPr>
          <w:t>l-Kapitolu 2.2</w:t>
        </w:r>
      </w:hyperlink>
      <w:r w:rsidRPr="002B5B92">
        <w:t>)</w:t>
      </w:r>
    </w:p>
    <w:p w:rsidR="00A45935" w:rsidRPr="002B5B92" w:rsidRDefault="00A45935" w:rsidP="00676B41">
      <w:pPr>
        <w:pStyle w:val="Hlistbullet"/>
      </w:pPr>
      <w:r w:rsidRPr="002B5B92">
        <w:rPr>
          <w:b/>
        </w:rPr>
        <w:t>PASS 3:</w:t>
      </w:r>
      <w:r w:rsidRPr="002B5B92">
        <w:t xml:space="preserve"> Uża t-teorija tal-bidla sabiex tiddefinixxi l-outputs mistennija kif iġġenerati permezz tal-attivitajiet, li jwasslu għar-riżultati mistennija kif marbuta mat-tliet perkorsi. Impatti kif marbuta mal-objettivi komuni tan-NRN u mal-objettivi tal-PŻR. </w:t>
      </w:r>
    </w:p>
    <w:p w:rsidR="00A45935" w:rsidRPr="002B5B92" w:rsidRDefault="00A45935" w:rsidP="008C0B17">
      <w:pPr>
        <w:numPr>
          <w:ilvl w:val="0"/>
          <w:numId w:val="60"/>
        </w:numPr>
        <w:spacing w:before="120" w:after="120" w:line="280" w:lineRule="atLeast"/>
        <w:ind w:left="567" w:hanging="567"/>
        <w:mirrorIndents/>
        <w:rPr>
          <w:rFonts w:eastAsia="Times New Roman" w:cs="Times New Roman"/>
          <w:b/>
          <w:szCs w:val="20"/>
        </w:rPr>
      </w:pPr>
      <w:r w:rsidRPr="002B5B92">
        <w:rPr>
          <w:b/>
          <w:szCs w:val="20"/>
        </w:rPr>
        <w:t xml:space="preserve">Elementi tal-evalwazzjoni </w:t>
      </w:r>
    </w:p>
    <w:p w:rsidR="00A45935" w:rsidRPr="002B5B92" w:rsidRDefault="00A45935" w:rsidP="00676B41">
      <w:pPr>
        <w:spacing w:after="120" w:line="280" w:lineRule="atLeast"/>
        <w:ind w:left="142"/>
        <w:mirrorIndents/>
        <w:rPr>
          <w:rFonts w:eastAsia="Times New Roman" w:cs="Times New Roman"/>
          <w:szCs w:val="20"/>
        </w:rPr>
      </w:pPr>
      <w:r w:rsidRPr="002B5B92">
        <w:t>Hemm kriterju tal-ġudizzju wieħed sabiex tiġi mwieġba s-CEQ nru. 21, b’mod partikolari, “L-innovazzjoni fl-agrikoltura, fil-produzzjoni tal-ikel, fil-forestrija u fiż-żoni rurali ġiet imrawma min-NRN”</w:t>
      </w:r>
      <w:r w:rsidRPr="002B5B92">
        <w:rPr>
          <w:rFonts w:eastAsia="Times New Roman" w:cs="Times New Roman"/>
          <w:szCs w:val="20"/>
          <w:vertAlign w:val="superscript"/>
          <w:lang w:eastAsia="de-DE"/>
        </w:rPr>
        <w:footnoteReference w:id="63"/>
      </w:r>
      <w:r w:rsidRPr="002B5B92">
        <w:t>. Dan huwa appoġġat minn żewġ indikaturi komuni tal-output</w:t>
      </w:r>
      <w:r w:rsidRPr="002B5B92">
        <w:rPr>
          <w:rFonts w:eastAsia="Times New Roman" w:cs="Times New Roman"/>
          <w:szCs w:val="20"/>
          <w:vertAlign w:val="superscript"/>
          <w:lang w:eastAsia="de-DE"/>
        </w:rPr>
        <w:footnoteReference w:id="64"/>
      </w:r>
      <w:r w:rsidRPr="002B5B92">
        <w:t>:</w:t>
      </w:r>
    </w:p>
    <w:p w:rsidR="00A45935" w:rsidRPr="002B5B92" w:rsidRDefault="00A45935" w:rsidP="008C0B17">
      <w:pPr>
        <w:numPr>
          <w:ilvl w:val="0"/>
          <w:numId w:val="95"/>
        </w:numPr>
        <w:tabs>
          <w:tab w:val="left" w:pos="426"/>
        </w:tabs>
        <w:ind w:left="426" w:hanging="284"/>
        <w:mirrorIndents/>
        <w:rPr>
          <w:szCs w:val="20"/>
        </w:rPr>
      </w:pPr>
      <w:r w:rsidRPr="002B5B92">
        <w:t>In-numru ta’ skambji tematiċi u analitiċi stabbiliti bl-appoġġ tan-NRN (O24)</w:t>
      </w:r>
    </w:p>
    <w:p w:rsidR="00A45935" w:rsidRPr="002B5B92" w:rsidRDefault="00A45935" w:rsidP="008C0B17">
      <w:pPr>
        <w:numPr>
          <w:ilvl w:val="0"/>
          <w:numId w:val="95"/>
        </w:numPr>
        <w:tabs>
          <w:tab w:val="left" w:pos="426"/>
        </w:tabs>
        <w:ind w:left="426" w:hanging="284"/>
        <w:mirrorIndents/>
        <w:rPr>
          <w:szCs w:val="20"/>
        </w:rPr>
      </w:pPr>
      <w:r w:rsidRPr="002B5B92">
        <w:t>In-numru ta’ attivitajiet tal-ENRD li fihom ipparteċipa n-NRN (O26)</w:t>
      </w:r>
    </w:p>
    <w:p w:rsidR="00A45935" w:rsidRPr="002B5B92" w:rsidRDefault="00A45935" w:rsidP="00E05D08">
      <w:pPr>
        <w:spacing w:after="120" w:line="280" w:lineRule="atLeast"/>
        <w:mirrorIndents/>
        <w:rPr>
          <w:rFonts w:eastAsia="Times New Roman" w:cs="Times New Roman"/>
          <w:szCs w:val="20"/>
        </w:rPr>
      </w:pPr>
      <w:r w:rsidRPr="002B5B92">
        <w:t>Kriterji u indikaturi addizzjonali tal-ġudizzju huma proposti fit-Tabella 5. Għal dan il-għan, il-kriterju tal-ġudizzju eżistenti nqasam f’diversi oħrajn, tul it-tliet perkorsi tal-innovazzjoni.</w:t>
      </w:r>
    </w:p>
    <w:p w:rsidR="00A45935" w:rsidRPr="002B5B92" w:rsidRDefault="00A45935" w:rsidP="00E05D08">
      <w:pPr>
        <w:spacing w:after="120" w:line="280" w:lineRule="atLeast"/>
        <w:mirrorIndents/>
        <w:rPr>
          <w:rFonts w:eastAsia="Times New Roman" w:cs="Times New Roman"/>
          <w:szCs w:val="20"/>
          <w:lang w:eastAsia="de-DE"/>
        </w:rPr>
        <w:sectPr w:rsidR="00A45935" w:rsidRPr="002B5B92"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2B5B92" w:rsidRDefault="00A45935" w:rsidP="00E05D08">
      <w:pPr>
        <w:spacing w:after="120" w:line="280" w:lineRule="atLeast"/>
        <w:mirrorIndents/>
        <w:rPr>
          <w:rFonts w:eastAsia="Times New Roman" w:cs="Times New Roman"/>
          <w:szCs w:val="20"/>
          <w:lang w:eastAsia="de-DE"/>
        </w:rPr>
        <w:sectPr w:rsidR="00A45935" w:rsidRPr="002B5B92"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2B5B92" w:rsidRDefault="00A45935" w:rsidP="00412D26">
      <w:pPr>
        <w:pStyle w:val="HHeadingtables"/>
        <w:rPr>
          <w:color w:val="6F6F6F"/>
          <w:sz w:val="18"/>
          <w:szCs w:val="18"/>
        </w:rPr>
      </w:pPr>
      <w:bookmarkStart w:id="120" w:name="_Toc508964836"/>
      <w:r w:rsidRPr="002B5B92">
        <w:rPr>
          <w:color w:val="6F6F6F"/>
          <w:sz w:val="18"/>
          <w:szCs w:val="18"/>
        </w:rPr>
        <w:lastRenderedPageBreak/>
        <w:t>Kriterji, indikaturi u data addizzjonali tal-ġudizzju proposti sabiex tiġi mwieġba s-CEQ nru. 21</w:t>
      </w:r>
      <w:bookmarkEnd w:id="120"/>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A45935" w:rsidRPr="002B5B92" w:rsidTr="00E05D08">
        <w:trPr>
          <w:tblHeader/>
        </w:trPr>
        <w:tc>
          <w:tcPr>
            <w:tcW w:w="3508" w:type="dxa"/>
            <w:shd w:val="clear" w:color="auto" w:fill="F07E31"/>
          </w:tcPr>
          <w:p w:rsidR="00A45935" w:rsidRPr="002B5B92" w:rsidRDefault="00A45935" w:rsidP="00E05D08">
            <w:pPr>
              <w:spacing w:after="120" w:line="280" w:lineRule="atLeast"/>
              <w:mirrorIndents/>
              <w:jc w:val="center"/>
              <w:rPr>
                <w:rFonts w:cs="Arial"/>
                <w:b/>
                <w:color w:val="FFFFFF"/>
                <w:sz w:val="18"/>
                <w:szCs w:val="18"/>
              </w:rPr>
            </w:pPr>
            <w:r w:rsidRPr="002B5B92">
              <w:rPr>
                <w:b/>
                <w:color w:val="FFFFFF"/>
                <w:sz w:val="18"/>
                <w:szCs w:val="18"/>
              </w:rPr>
              <w:t>Kriterji tal-ġudizzju</w:t>
            </w:r>
          </w:p>
        </w:tc>
        <w:tc>
          <w:tcPr>
            <w:tcW w:w="3508" w:type="dxa"/>
            <w:shd w:val="clear" w:color="auto" w:fill="F07E31"/>
          </w:tcPr>
          <w:p w:rsidR="00A45935" w:rsidRPr="002B5B92" w:rsidRDefault="00A45935" w:rsidP="00E05D08">
            <w:pPr>
              <w:spacing w:after="120" w:line="280" w:lineRule="atLeast"/>
              <w:mirrorIndents/>
              <w:jc w:val="center"/>
              <w:rPr>
                <w:rFonts w:cs="Arial"/>
                <w:b/>
                <w:color w:val="FFFFFF"/>
                <w:sz w:val="18"/>
                <w:szCs w:val="18"/>
              </w:rPr>
            </w:pPr>
            <w:r w:rsidRPr="002B5B92">
              <w:rPr>
                <w:b/>
                <w:color w:val="FFFFFF"/>
                <w:sz w:val="18"/>
                <w:szCs w:val="18"/>
              </w:rPr>
              <w:t>Indikaturi</w:t>
            </w:r>
          </w:p>
        </w:tc>
        <w:tc>
          <w:tcPr>
            <w:tcW w:w="3508" w:type="dxa"/>
            <w:shd w:val="clear" w:color="auto" w:fill="F07E31"/>
          </w:tcPr>
          <w:p w:rsidR="00A45935" w:rsidRPr="002B5B92" w:rsidRDefault="00A45935" w:rsidP="00E05D08">
            <w:pPr>
              <w:spacing w:after="120" w:line="280" w:lineRule="atLeast"/>
              <w:mirrorIndents/>
              <w:jc w:val="center"/>
              <w:rPr>
                <w:rFonts w:cs="Arial"/>
                <w:b/>
                <w:color w:val="FFFFFF"/>
                <w:sz w:val="18"/>
                <w:szCs w:val="18"/>
              </w:rPr>
            </w:pPr>
            <w:r w:rsidRPr="002B5B92">
              <w:rPr>
                <w:b/>
                <w:color w:val="FFFFFF"/>
                <w:sz w:val="18"/>
                <w:szCs w:val="18"/>
              </w:rPr>
              <w:t>Data meħtieġa</w:t>
            </w:r>
          </w:p>
        </w:tc>
        <w:tc>
          <w:tcPr>
            <w:tcW w:w="3508" w:type="dxa"/>
            <w:shd w:val="clear" w:color="auto" w:fill="F07E31"/>
          </w:tcPr>
          <w:p w:rsidR="00A45935" w:rsidRPr="002B5B92" w:rsidRDefault="00A45935" w:rsidP="00E05D08">
            <w:pPr>
              <w:spacing w:after="120" w:line="280" w:lineRule="atLeast"/>
              <w:mirrorIndents/>
              <w:jc w:val="center"/>
              <w:rPr>
                <w:rFonts w:cs="Arial"/>
                <w:b/>
                <w:color w:val="FFFFFF"/>
                <w:sz w:val="18"/>
                <w:szCs w:val="18"/>
              </w:rPr>
            </w:pPr>
            <w:r w:rsidRPr="002B5B92">
              <w:rPr>
                <w:b/>
                <w:color w:val="FFFFFF"/>
                <w:sz w:val="18"/>
                <w:szCs w:val="18"/>
              </w:rPr>
              <w:t>Sorsi tad-data</w:t>
            </w:r>
          </w:p>
        </w:tc>
      </w:tr>
      <w:tr w:rsidR="00A45935" w:rsidRPr="002B5B92" w:rsidTr="00E05D08">
        <w:trPr>
          <w:trHeight w:val="290"/>
        </w:trPr>
        <w:tc>
          <w:tcPr>
            <w:tcW w:w="14032" w:type="dxa"/>
            <w:gridSpan w:val="4"/>
            <w:shd w:val="clear" w:color="auto" w:fill="8BAB80"/>
          </w:tcPr>
          <w:p w:rsidR="00A45935" w:rsidRPr="002B5B92" w:rsidRDefault="00A45935" w:rsidP="00E05D08">
            <w:pPr>
              <w:spacing w:after="120" w:line="280" w:lineRule="atLeast"/>
              <w:mirrorIndents/>
              <w:rPr>
                <w:rFonts w:cs="Arial"/>
                <w:b/>
                <w:color w:val="FFFFFF"/>
                <w:sz w:val="18"/>
                <w:szCs w:val="18"/>
              </w:rPr>
            </w:pPr>
            <w:r w:rsidRPr="002B5B92">
              <w:rPr>
                <w:b/>
                <w:color w:val="FFFFFF"/>
                <w:sz w:val="18"/>
                <w:szCs w:val="18"/>
              </w:rPr>
              <w:t>Elementi komuni tal-evalwazzjoni (CMES u proposti fid-Dokument ta’ Ħidma “</w:t>
            </w:r>
            <w:r w:rsidRPr="002B5B92">
              <w:rPr>
                <w:b/>
                <w:i/>
                <w:color w:val="FFFFFF"/>
                <w:sz w:val="18"/>
                <w:szCs w:val="18"/>
              </w:rPr>
              <w:t>Mistoqsijiet komuni tal-evalwazzjoni</w:t>
            </w:r>
            <w:r w:rsidRPr="002B5B92">
              <w:rPr>
                <w:b/>
                <w:color w:val="FFFFFF"/>
                <w:sz w:val="18"/>
                <w:szCs w:val="18"/>
              </w:rPr>
              <w:t xml:space="preserve"> </w:t>
            </w:r>
            <w:r w:rsidRPr="002B5B92">
              <w:rPr>
                <w:b/>
                <w:i/>
                <w:color w:val="FFFFFF"/>
                <w:sz w:val="18"/>
                <w:szCs w:val="18"/>
              </w:rPr>
              <w:t>2014-2020</w:t>
            </w:r>
            <w:r w:rsidRPr="002B5B92">
              <w:rPr>
                <w:b/>
                <w:color w:val="FFFFFF"/>
                <w:sz w:val="18"/>
                <w:szCs w:val="18"/>
              </w:rPr>
              <w:t>”)</w:t>
            </w:r>
          </w:p>
        </w:tc>
      </w:tr>
      <w:tr w:rsidR="00A45935" w:rsidRPr="002B5B92" w:rsidTr="00E05D08">
        <w:trPr>
          <w:trHeight w:val="500"/>
        </w:trPr>
        <w:tc>
          <w:tcPr>
            <w:tcW w:w="3508" w:type="dxa"/>
            <w:shd w:val="clear" w:color="auto" w:fill="auto"/>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L-innovazzjoni fl-agrikoltura, fil-produzzjoni tal-ikel, fil-forestrija u fiż-żoni rurali ġiet imrawma min-NRN.</w:t>
            </w:r>
          </w:p>
        </w:tc>
        <w:tc>
          <w:tcPr>
            <w:tcW w:w="3508" w:type="dxa"/>
            <w:shd w:val="clear" w:color="auto" w:fill="auto"/>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O.24 – In-numru ta’ skambji tematiċi u analitiċi stabbiliti bl-appoġġ tan-NRN (dawk relatati mal-innovazzjoni).</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O.25 – In-numru ta’ għodod ta’ komunikazzjoni tan-NRN (dawk relatati mal-innovazzjoni).</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 xml:space="preserve">O.26 – In-numru ta’ attivitajiet tal-ENRD li fihom ipparteċipa n-NRN (dawk relatati mal-innovazzjoni). </w:t>
            </w:r>
          </w:p>
          <w:p w:rsidR="00A45935" w:rsidRPr="002B5B92" w:rsidRDefault="00A45935" w:rsidP="007E63EF">
            <w:pPr>
              <w:spacing w:after="120" w:line="280" w:lineRule="atLeast"/>
              <w:jc w:val="left"/>
              <w:rPr>
                <w:rFonts w:eastAsia="Calibri" w:cs="Arial"/>
                <w:color w:val="57825E"/>
                <w:sz w:val="18"/>
                <w:szCs w:val="18"/>
                <w:u w:val="single"/>
                <w14:textFill>
                  <w14:solidFill>
                    <w14:srgbClr w14:val="57825E">
                      <w14:lumMod w14:val="75000"/>
                      <w14:lumMod w14:val="75000"/>
                    </w14:srgbClr>
                  </w14:solidFill>
                </w14:textFill>
              </w:rPr>
            </w:pPr>
            <w:r w:rsidRPr="002B5B92">
              <w:rPr>
                <w:color w:val="57825E"/>
                <w:sz w:val="18"/>
                <w:szCs w:val="18"/>
                <w:u w:val="single"/>
                <w14:textFill>
                  <w14:solidFill>
                    <w14:srgbClr w14:val="57825E">
                      <w14:lumMod w14:val="75000"/>
                      <w14:lumMod w14:val="75000"/>
                    </w14:srgbClr>
                  </w14:solidFill>
                </w14:textFill>
              </w:rPr>
              <w:t>Indikatur addizzjonali:</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color w:val="57825E"/>
                <w:sz w:val="18"/>
                <w:szCs w:val="18"/>
                <w14:textFill>
                  <w14:solidFill>
                    <w14:srgbClr w14:val="57825E">
                      <w14:lumMod w14:val="75000"/>
                      <w14:lumMod w14:val="75000"/>
                    </w14:srgbClr>
                  </w14:solidFill>
                </w14:textFill>
              </w:rPr>
              <w:t>% tal-proġetti innovattivi inkoraġġiti min-NRN minn fost in-numru totali ta’ proġetti innovattivi appoġġati mill-PŻR.</w:t>
            </w:r>
            <w:r w:rsidRPr="002B5B92">
              <w:rPr>
                <w:sz w:val="18"/>
                <w:szCs w:val="18"/>
                <w14:textFill>
                  <w14:solidFill>
                    <w14:srgbClr w14:val="373737">
                      <w14:lumMod w14:val="75000"/>
                    </w14:srgbClr>
                  </w14:solidFill>
                </w14:textFill>
              </w:rPr>
              <w:t xml:space="preserve"> </w:t>
            </w:r>
          </w:p>
        </w:tc>
        <w:tc>
          <w:tcPr>
            <w:tcW w:w="3508" w:type="dxa"/>
            <w:shd w:val="clear" w:color="auto" w:fill="auto"/>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Data dwar l-iskambji tematiċi u analitiċi innovattivi stabbiliti min-NRN.</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Data dwar l-għodod ta’ komunikazzjoni relatati mal-innovazzjoni stabbiliti min-NRN.</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 xml:space="preserve">Informazzjoni dwar l-attivitajiet tal-ENRD fir-rigward tal-innovazzjoni li fihom ipparteċipa n-NRN. </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 xml:space="preserve">Data dwar il-proġetti ta’ innovazzjoni tal-PŻR mibdija/appoġġati min-NRN. </w:t>
            </w:r>
          </w:p>
        </w:tc>
        <w:tc>
          <w:tcPr>
            <w:tcW w:w="3508" w:type="dxa"/>
            <w:shd w:val="clear" w:color="auto" w:fill="auto"/>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Sistema ta’ monitoraġġ tal-PŻR.</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Monitoraġġ u awtovalutazzjoni tan-NRN;</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Monitoraġġ tal-ENRD (statistika tan-netwerk).</w:t>
            </w:r>
          </w:p>
        </w:tc>
      </w:tr>
      <w:tr w:rsidR="00A45935" w:rsidRPr="002B5B92" w:rsidTr="00E05D08">
        <w:trPr>
          <w:trHeight w:val="461"/>
        </w:trPr>
        <w:tc>
          <w:tcPr>
            <w:tcW w:w="14032" w:type="dxa"/>
            <w:gridSpan w:val="4"/>
            <w:shd w:val="clear" w:color="auto" w:fill="8BAB80"/>
          </w:tcPr>
          <w:p w:rsidR="00A45935" w:rsidRPr="002B5B92" w:rsidRDefault="00A45935" w:rsidP="00E05D08">
            <w:pPr>
              <w:spacing w:after="120" w:line="280" w:lineRule="atLeast"/>
              <w:mirrorIndents/>
              <w:rPr>
                <w:rFonts w:cs="Arial"/>
                <w:b/>
                <w:color w:val="FFFFFF"/>
                <w:sz w:val="18"/>
                <w:szCs w:val="18"/>
              </w:rPr>
            </w:pPr>
            <w:r w:rsidRPr="002B5B92">
              <w:rPr>
                <w:b/>
                <w:color w:val="FFFFFF"/>
                <w:sz w:val="18"/>
                <w:szCs w:val="18"/>
              </w:rPr>
              <w:t>Elementi addizzjonali tal-evalwazzjoni marbuta mal-kontribut tan-NRN għall-identifikazzjoni u l-kondiviżjoni tal-innovazzjoni (mhux obbligatorji)</w:t>
            </w:r>
          </w:p>
        </w:tc>
      </w:tr>
      <w:tr w:rsidR="00A45935" w:rsidRPr="002B5B92" w:rsidTr="00E05D08">
        <w:tc>
          <w:tcPr>
            <w:tcW w:w="350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Żdiedu l-attivitajiet ta’ pubbliċità, informazzjoni u komunikazzjoni mwettqa min-NRN rigward l-innovazzjoni fil-PŻR.</w:t>
            </w:r>
          </w:p>
        </w:tc>
        <w:tc>
          <w:tcPr>
            <w:tcW w:w="350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In-numru ta’ attivitajiet ta’ pubbliċità, informazzjoni u komunikazzjoni rigward l-innovazzjoni mwettqa min-NRN.</w:t>
            </w:r>
          </w:p>
        </w:tc>
        <w:tc>
          <w:tcPr>
            <w:tcW w:w="350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In-numru ta’ attivitajiet ta’ pubbliċità, informazzjoni u komunikazzjoni, skont is-suġġett.</w:t>
            </w:r>
          </w:p>
        </w:tc>
        <w:tc>
          <w:tcPr>
            <w:tcW w:w="350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Monitoraġġ u awtovalutazzjoni tan-NRN.</w:t>
            </w:r>
          </w:p>
          <w:p w:rsidR="00A45935" w:rsidRPr="002B5B92" w:rsidRDefault="00E54013"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Intervisti.</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Pubblikazzjonijiet tan-NRN.</w:t>
            </w:r>
          </w:p>
        </w:tc>
      </w:tr>
    </w:tbl>
    <w:p w:rsidR="00E54013" w:rsidRPr="002B5B92" w:rsidRDefault="00E54013">
      <w:r w:rsidRPr="002B5B92">
        <w:br w:type="page"/>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E54013" w:rsidRPr="002B5B92" w:rsidTr="009F1589">
        <w:trPr>
          <w:tblHeader/>
        </w:trPr>
        <w:tc>
          <w:tcPr>
            <w:tcW w:w="3508" w:type="dxa"/>
            <w:shd w:val="clear" w:color="auto" w:fill="F07E31"/>
          </w:tcPr>
          <w:p w:rsidR="00E54013" w:rsidRPr="002B5B92" w:rsidRDefault="00E54013" w:rsidP="00E54013">
            <w:pPr>
              <w:spacing w:after="120" w:line="280" w:lineRule="atLeast"/>
              <w:mirrorIndents/>
              <w:jc w:val="center"/>
              <w:rPr>
                <w:rFonts w:cs="Arial"/>
                <w:b/>
                <w:color w:val="FFFFFF"/>
                <w:sz w:val="18"/>
                <w:szCs w:val="18"/>
              </w:rPr>
            </w:pPr>
            <w:r w:rsidRPr="002B5B92">
              <w:rPr>
                <w:b/>
                <w:color w:val="FFFFFF"/>
                <w:sz w:val="18"/>
                <w:szCs w:val="18"/>
              </w:rPr>
              <w:lastRenderedPageBreak/>
              <w:t>Kriterji tal-ġudizzju</w:t>
            </w:r>
          </w:p>
        </w:tc>
        <w:tc>
          <w:tcPr>
            <w:tcW w:w="3508" w:type="dxa"/>
            <w:shd w:val="clear" w:color="auto" w:fill="F07E31"/>
          </w:tcPr>
          <w:p w:rsidR="00E54013" w:rsidRPr="002B5B92" w:rsidRDefault="00E54013" w:rsidP="00E54013">
            <w:pPr>
              <w:spacing w:after="120" w:line="280" w:lineRule="atLeast"/>
              <w:mirrorIndents/>
              <w:jc w:val="center"/>
              <w:rPr>
                <w:rFonts w:cs="Arial"/>
                <w:b/>
                <w:color w:val="FFFFFF"/>
                <w:sz w:val="18"/>
                <w:szCs w:val="18"/>
              </w:rPr>
            </w:pPr>
            <w:r w:rsidRPr="002B5B92">
              <w:rPr>
                <w:b/>
                <w:color w:val="FFFFFF"/>
                <w:sz w:val="18"/>
                <w:szCs w:val="18"/>
              </w:rPr>
              <w:t>Indikaturi</w:t>
            </w:r>
          </w:p>
        </w:tc>
        <w:tc>
          <w:tcPr>
            <w:tcW w:w="3508" w:type="dxa"/>
            <w:shd w:val="clear" w:color="auto" w:fill="F07E31"/>
          </w:tcPr>
          <w:p w:rsidR="00E54013" w:rsidRPr="002B5B92" w:rsidRDefault="00E54013" w:rsidP="00E54013">
            <w:pPr>
              <w:spacing w:after="120" w:line="280" w:lineRule="atLeast"/>
              <w:mirrorIndents/>
              <w:jc w:val="center"/>
              <w:rPr>
                <w:rFonts w:cs="Arial"/>
                <w:b/>
                <w:color w:val="FFFFFF"/>
                <w:sz w:val="18"/>
                <w:szCs w:val="18"/>
              </w:rPr>
            </w:pPr>
            <w:r w:rsidRPr="002B5B92">
              <w:rPr>
                <w:b/>
                <w:color w:val="FFFFFF"/>
                <w:sz w:val="18"/>
                <w:szCs w:val="18"/>
              </w:rPr>
              <w:t>Data meħtieġa</w:t>
            </w:r>
          </w:p>
        </w:tc>
        <w:tc>
          <w:tcPr>
            <w:tcW w:w="3508" w:type="dxa"/>
            <w:shd w:val="clear" w:color="auto" w:fill="F07E31"/>
          </w:tcPr>
          <w:p w:rsidR="00E54013" w:rsidRPr="002B5B92" w:rsidRDefault="00E54013" w:rsidP="00E54013">
            <w:pPr>
              <w:spacing w:after="120" w:line="280" w:lineRule="atLeast"/>
              <w:mirrorIndents/>
              <w:jc w:val="center"/>
              <w:rPr>
                <w:rFonts w:cs="Arial"/>
                <w:b/>
                <w:color w:val="FFFFFF"/>
                <w:sz w:val="18"/>
                <w:szCs w:val="18"/>
              </w:rPr>
            </w:pPr>
            <w:r w:rsidRPr="002B5B92">
              <w:rPr>
                <w:b/>
                <w:color w:val="FFFFFF"/>
                <w:sz w:val="18"/>
                <w:szCs w:val="18"/>
              </w:rPr>
              <w:t>Sorsi tad-data</w:t>
            </w:r>
          </w:p>
        </w:tc>
      </w:tr>
      <w:tr w:rsidR="00A45935" w:rsidRPr="002B5B92" w:rsidTr="00E05D08">
        <w:tc>
          <w:tcPr>
            <w:tcW w:w="14032" w:type="dxa"/>
            <w:gridSpan w:val="4"/>
            <w:shd w:val="clear" w:color="auto" w:fill="8BAB80"/>
          </w:tcPr>
          <w:p w:rsidR="00A45935" w:rsidRPr="002B5B92" w:rsidRDefault="00A45935" w:rsidP="00E05D08">
            <w:pPr>
              <w:spacing w:after="120" w:line="280" w:lineRule="atLeast"/>
              <w:mirrorIndents/>
              <w:rPr>
                <w:rFonts w:cs="Arial"/>
                <w:b/>
                <w:color w:val="FFFFFF"/>
                <w:sz w:val="18"/>
                <w:szCs w:val="18"/>
              </w:rPr>
            </w:pPr>
            <w:r w:rsidRPr="002B5B92">
              <w:rPr>
                <w:b/>
                <w:color w:val="FFFFFF"/>
                <w:sz w:val="18"/>
                <w:szCs w:val="18"/>
              </w:rPr>
              <w:t>Elementi addizzjonali tal-evalwazzjoni marbuta mal-kontribut tan-NRN għall-kapaċità għall-innovazzjoni (mhux obbligatorji)</w:t>
            </w:r>
          </w:p>
        </w:tc>
      </w:tr>
      <w:tr w:rsidR="00A45935" w:rsidRPr="002B5B92" w:rsidTr="00E05D08">
        <w:tc>
          <w:tcPr>
            <w:tcW w:w="350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L-attivitajiet tan-NRN li jikkonċernaw it-taħriġ u n-netwerking żdiedu għal: a) konsulenti u servizzi ta’ appoġġ għall-innovazzjoni u/jew b) GAL.</w:t>
            </w:r>
          </w:p>
        </w:tc>
        <w:tc>
          <w:tcPr>
            <w:tcW w:w="350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In-numru ta’ attivitajiet ta’ taħriġ u netwerking tan-NRN għal: a) konsulenti u servizzi ta’ appoġġ għall-innovazzjoni u/jew b) GAL.</w:t>
            </w:r>
          </w:p>
        </w:tc>
        <w:tc>
          <w:tcPr>
            <w:tcW w:w="350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In-numru ta’ attivitajiet ta’ taħriġ u netwerking, skont il-grupp fil-mira.</w:t>
            </w:r>
          </w:p>
        </w:tc>
        <w:tc>
          <w:tcPr>
            <w:tcW w:w="350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NRN (monitoraġġ, awtovalutazzjoni, intervisti, pubblikazzjonijiet).</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GAL (intervisti, stħarriġ, gruppi fokus).</w:t>
            </w:r>
          </w:p>
        </w:tc>
      </w:tr>
      <w:tr w:rsidR="00A45935" w:rsidRPr="002B5B92" w:rsidTr="00E05D08">
        <w:tc>
          <w:tcPr>
            <w:tcW w:w="350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 xml:space="preserve">Il-kapaċità tal-konsulenti u tas-servizzi ta’ appoġġ għall-innovazzjoni li jiffaċilitaw l-istabbiliment ta’ GO tjiebet minħabba l-attivitajiet tan-NRN. </w:t>
            </w:r>
          </w:p>
        </w:tc>
        <w:tc>
          <w:tcPr>
            <w:tcW w:w="350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In-numru ta’ GO li twaqqfu bl-appoġġ tal-konsulenti jew tas-servizzi ta’ appoġġ għall-innovazzjoni li rċevew attivitajiet ta’ taħriġ/netwerking min-NRN.</w:t>
            </w:r>
          </w:p>
        </w:tc>
        <w:tc>
          <w:tcPr>
            <w:tcW w:w="3508" w:type="dxa"/>
          </w:tcPr>
          <w:p w:rsidR="00A45935" w:rsidRPr="002B5B92"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In-numru ta’ GO li twaqqfu bl-appoġġ tal-konsulenti jew tas-servizzi ta’ appoġġ għall-innovazzjoni.</w:t>
            </w:r>
          </w:p>
          <w:p w:rsidR="00A45935" w:rsidRPr="002B5B92"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In-numru ta’ GO li twaqqfu bl-appoġġ tal-konsulenti jew tas-servizzi ta’ appoġġ għall-innovazzjoni li rċevew attivitajiet ta’ taħriġ/netwerking min-NRN.</w:t>
            </w:r>
          </w:p>
        </w:tc>
        <w:tc>
          <w:tcPr>
            <w:tcW w:w="350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NRN (monitoraġġ, awtovalutazzjoni, intervisti, pubblikazzjonijiet).</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Stħarriġ/gruppi fokus ma’ GO.</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Stħarriġ/gruppi fokus lil konsulenti (servizzi ta’ appoġġ għall-innovazzjoni.</w:t>
            </w:r>
          </w:p>
        </w:tc>
      </w:tr>
      <w:tr w:rsidR="00A45935" w:rsidRPr="002B5B92" w:rsidTr="00E05D08">
        <w:tc>
          <w:tcPr>
            <w:tcW w:w="14032" w:type="dxa"/>
            <w:gridSpan w:val="4"/>
            <w:shd w:val="clear" w:color="auto" w:fill="8BAB80"/>
          </w:tcPr>
          <w:p w:rsidR="00A45935" w:rsidRPr="002B5B92" w:rsidRDefault="00A45935" w:rsidP="00E05D08">
            <w:pPr>
              <w:spacing w:after="120" w:line="280" w:lineRule="atLeast"/>
              <w:mirrorIndents/>
              <w:rPr>
                <w:rFonts w:cs="Arial"/>
                <w:b/>
                <w:color w:val="FFFFFF"/>
                <w:sz w:val="18"/>
                <w:szCs w:val="18"/>
              </w:rPr>
            </w:pPr>
            <w:r w:rsidRPr="002B5B92">
              <w:rPr>
                <w:b/>
                <w:color w:val="FFFFFF"/>
                <w:sz w:val="18"/>
                <w:szCs w:val="18"/>
              </w:rPr>
              <w:t xml:space="preserve">Elementi addizzjonali tal-evalwazzjoni marbuta mal-kontribut tan-NRN għall-bini ta’ ambjent favorevoli għall-innovazzjoni </w:t>
            </w:r>
          </w:p>
        </w:tc>
      </w:tr>
      <w:tr w:rsidR="00A45935" w:rsidRPr="002B5B92" w:rsidTr="00E05D08">
        <w:tc>
          <w:tcPr>
            <w:tcW w:w="350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Il-parteċipazzjoni tan-NRN f’attivitajiet tal-ENRD relatati mal-innovazzjoni żdiedet.</w:t>
            </w:r>
          </w:p>
        </w:tc>
        <w:tc>
          <w:tcPr>
            <w:tcW w:w="350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 xml:space="preserve">In-numru ta’ attivitajiet tal-ENRD li fihom ipparteċipa n-NRN (O.26), fosthom fuq suġġetti relatati mal-innovazzjoni. </w:t>
            </w:r>
          </w:p>
        </w:tc>
        <w:tc>
          <w:tcPr>
            <w:tcW w:w="350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In-numru ta’ attivitajiet tal-ENRD li fihom ipparteċipa n-NRN (oġġett O.26), skont is-suġġett.</w:t>
            </w:r>
          </w:p>
        </w:tc>
        <w:tc>
          <w:tcPr>
            <w:tcW w:w="350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Tabelli tal-monitoraġġ.</w:t>
            </w:r>
          </w:p>
          <w:p w:rsidR="00A45935" w:rsidRPr="002B5B92" w:rsidRDefault="00A45935" w:rsidP="009F1589">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NRN (monitoraġġ, awtovalutazzjoni, intervisti, pubblikazzjonijiet).</w:t>
            </w:r>
          </w:p>
        </w:tc>
      </w:tr>
      <w:tr w:rsidR="00A45935" w:rsidRPr="002B5B92" w:rsidTr="00E05D08">
        <w:tc>
          <w:tcPr>
            <w:tcW w:w="350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Il-parteċipazzjoni tan-NRN f’attivitajiet tal-EIP żdiedet.</w:t>
            </w:r>
          </w:p>
        </w:tc>
        <w:tc>
          <w:tcPr>
            <w:tcW w:w="350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In-numru u t-tip ta’ kontribuzzjonijiet tan-NRN għall-EIP-AGRI, fosthom:</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 xml:space="preserve">L-għoti ta’ eżempji ta’ proġetti/prattika tajba li jimmiraw għall-innovazzjoni; </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L-organizzazzjoni ta’ laqgħat dwar l-innovazzjoni;</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Avvenimenti ta’ netwerking bejn il-partijiet ikkonċernati tal-innovazzjoni, jiġifieri l-GAL u l-GO;</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lastRenderedPageBreak/>
              <w:t>Skambji transkonfinali ta’ informazzjoni dwar proġetti, inizjattivi ta’ riċerka, netwerks tematiċi u possibbiltajiet ta’ finanzjament taħt Orizzont 2020;</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Attivitajiet ta’ appoġġ għal Servizzi ta’ Appoġġ għall-Innovazzjoni għall-animazzjoni ta’ azzjonijiet innovattivi u l-istabbiliment ta’ GO;</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Appoġġ għat-tfittxija tal-imsieħba.</w:t>
            </w:r>
          </w:p>
        </w:tc>
        <w:tc>
          <w:tcPr>
            <w:tcW w:w="350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lastRenderedPageBreak/>
              <w:t>In-numru ta’ kontribuzzjonijiet tan-NRN għall-EIP, skont it-tip, kif stipulat mill-Artikolu 35.2 (a) - (f) tar-Regolament (UE) Nru 1305/2013.</w:t>
            </w:r>
          </w:p>
        </w:tc>
        <w:tc>
          <w:tcPr>
            <w:tcW w:w="350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NRN (monitoraġġ, awtovalutazzjoni, intervisti, pubblikazzjonijiet).</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Struttura ta’ netwerking fil-livell tal-Istati Membri għal servizzi ta’ appoġġ għall-innovazzjoni (jekk separati min-NRN).</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Il-Punt ta’ Servizz tal-EIP.</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Stħarriġ/gruppi fokus ma’ proġetti tal-GO.</w:t>
            </w:r>
          </w:p>
        </w:tc>
      </w:tr>
      <w:tr w:rsidR="00A45935" w:rsidRPr="002B5B92" w:rsidTr="00E05D08">
        <w:tc>
          <w:tcPr>
            <w:tcW w:w="350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Kollaborazzjoni, skambji u netwerking miżjuda fost l-imsieħba tal-proġett ta’ innovazzjoni.</w:t>
            </w:r>
          </w:p>
        </w:tc>
        <w:tc>
          <w:tcPr>
            <w:tcW w:w="350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 xml:space="preserve">In-numru ta’ netwerks / sħubiji / gruppi ta’ kooperazzjoni addizzjonali fost l-imsieħba tal-proġett ta’ innovazzjoni mħeġġa min-NRN. </w:t>
            </w:r>
          </w:p>
        </w:tc>
        <w:tc>
          <w:tcPr>
            <w:tcW w:w="350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In-numru ta’ netwerks, sħubiji u/jew gruppi ta’ kooperazzjoni fost l-imsieħba tal-proġett ta’ innovazzjoni li kienu appoġġati min-NRN.</w:t>
            </w:r>
          </w:p>
        </w:tc>
        <w:tc>
          <w:tcPr>
            <w:tcW w:w="3508" w:type="dxa"/>
          </w:tcPr>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Bażi ta’ data tan-NRN.</w:t>
            </w:r>
          </w:p>
          <w:p w:rsidR="00A45935" w:rsidRPr="002B5B92"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sidRPr="002B5B92">
              <w:rPr>
                <w:sz w:val="18"/>
                <w:szCs w:val="18"/>
                <w14:textFill>
                  <w14:solidFill>
                    <w14:srgbClr w14:val="373737">
                      <w14:lumMod w14:val="75000"/>
                    </w14:srgbClr>
                  </w14:solidFill>
                </w14:textFill>
              </w:rPr>
              <w:t>Stħarriġ/gruppi fokus.</w:t>
            </w:r>
          </w:p>
        </w:tc>
      </w:tr>
    </w:tbl>
    <w:p w:rsidR="00A45935" w:rsidRPr="002B5B92" w:rsidRDefault="00A45935" w:rsidP="00E05D08">
      <w:pPr>
        <w:spacing w:after="120" w:line="280" w:lineRule="atLeast"/>
        <w:mirrorIndents/>
        <w:rPr>
          <w:rFonts w:eastAsia="Times New Roman" w:cs="Times New Roman"/>
          <w:sz w:val="18"/>
          <w:szCs w:val="18"/>
          <w:lang w:eastAsia="de-DE"/>
        </w:rPr>
        <w:sectPr w:rsidR="00A45935" w:rsidRPr="002B5B92" w:rsidSect="001F6F07">
          <w:endnotePr>
            <w:numFmt w:val="decimal"/>
          </w:endnotePr>
          <w:pgSz w:w="16840" w:h="11907" w:orient="landscape" w:code="9"/>
          <w:pgMar w:top="1440" w:right="1440" w:bottom="1440" w:left="1134" w:header="567" w:footer="1020" w:gutter="0"/>
          <w:cols w:space="708"/>
          <w:noEndnote/>
          <w:docGrid w:linePitch="435"/>
        </w:sectPr>
      </w:pPr>
    </w:p>
    <w:p w:rsidR="00A45935" w:rsidRPr="002B5B92" w:rsidRDefault="00A45935" w:rsidP="001120E4">
      <w:pPr>
        <w:numPr>
          <w:ilvl w:val="0"/>
          <w:numId w:val="60"/>
        </w:numPr>
        <w:spacing w:before="120" w:after="120" w:line="280" w:lineRule="atLeast"/>
        <w:ind w:left="567" w:hanging="567"/>
        <w:mirrorIndents/>
        <w:rPr>
          <w:rFonts w:eastAsia="Times New Roman" w:cs="Times New Roman"/>
          <w:b/>
          <w:szCs w:val="20"/>
        </w:rPr>
      </w:pPr>
      <w:r w:rsidRPr="002B5B92">
        <w:rPr>
          <w:b/>
          <w:szCs w:val="20"/>
        </w:rPr>
        <w:lastRenderedPageBreak/>
        <w:t xml:space="preserve">Il-metodoloġija tal-evalwazzjoni proposta </w:t>
      </w:r>
    </w:p>
    <w:p w:rsidR="00A45935" w:rsidRPr="002B5B92" w:rsidRDefault="00A45935" w:rsidP="00E05D08">
      <w:pPr>
        <w:spacing w:after="120" w:line="280" w:lineRule="atLeast"/>
        <w:mirrorIndents/>
        <w:rPr>
          <w:rFonts w:eastAsia="Times New Roman" w:cs="Arial"/>
          <w:szCs w:val="20"/>
        </w:rPr>
      </w:pPr>
      <w:r w:rsidRPr="002B5B92">
        <w:t>Aħna nirrakkomandaw li jittieħdu l-passi li ġejjin sabiex tiġi mwieġba s-CEQ nru. 21:</w:t>
      </w:r>
    </w:p>
    <w:p w:rsidR="00A45935" w:rsidRPr="002B5B92" w:rsidRDefault="00A45935" w:rsidP="00676B41">
      <w:pPr>
        <w:pStyle w:val="Hlistbullet"/>
      </w:pPr>
      <w:r w:rsidRPr="002B5B92">
        <w:rPr>
          <w:b/>
        </w:rPr>
        <w:t xml:space="preserve">PASS 1: Iġbor informazzjoni biex tidentifika l-kontribut tan-NRN għat-trawwim tal-innovazzjoni </w:t>
      </w:r>
      <w:r w:rsidRPr="002B5B92">
        <w:t>mill-partijiet ikkonċernati involuti fl-azzjonijiet tan-NRN li għandhom potenzjal ta’ innovazzjoni. Dan jista’ jsir permezz tal-użu tal-kriterji u l-indikaturi tal-ġudizzju u l-implimentazzjoni tal-metodi inklużi fit-Tabella 6 ta’ hawn taħt.</w:t>
      </w:r>
    </w:p>
    <w:p w:rsidR="00A45935" w:rsidRPr="002B5B92" w:rsidRDefault="00A45935" w:rsidP="00676B41">
      <w:pPr>
        <w:pStyle w:val="Hlistbullet"/>
      </w:pPr>
      <w:r w:rsidRPr="002B5B92">
        <w:rPr>
          <w:b/>
        </w:rPr>
        <w:t>PASS 2: Ikkwantifika l-indikaturi tal-output u l-indikaturi speċifiċi għan-NRN marbuta mal-innovazzjoni</w:t>
      </w:r>
      <w:r w:rsidRPr="002B5B92">
        <w:t xml:space="preserve"> billi tuża d-data ta’ monitoraġġ dwar l-attivitajiet tan-NRN mill-bażi ta’ data tal-operazzjonijiet tal-PŻR u mis-sistema ta’ monitoraġġ tan-NRN. </w:t>
      </w:r>
    </w:p>
    <w:p w:rsidR="00A45935" w:rsidRPr="002B5B92" w:rsidRDefault="00A45935" w:rsidP="00676B41">
      <w:pPr>
        <w:pStyle w:val="Hlistbullet"/>
      </w:pPr>
      <w:r w:rsidRPr="002B5B92">
        <w:rPr>
          <w:b/>
        </w:rPr>
        <w:t>PASS 3: Applika t-teorija tal-bidla biex tqabbel is-sejbiet mal-potenzjal ta’ innovazzjoni</w:t>
      </w:r>
      <w:r w:rsidRPr="002B5B92">
        <w:t xml:space="preserve"> tal-attivitajiet tan-NRN identifikati fil-bidu tal-proċess tal-evalwazzjoni mal-attivitajiet tan-NRN implimentati. Dan jinkludi l-iżvilupp ta’ skeda ta’ żmien kawżali u narrattiva li tiddeskrivi l-eżiti tal-attivitajiet tan-NRN fir-rigward tal-perkorsi tal-innovazzjoni u kif inħolqu (bl-użu wkoll tal-informazzjoni mis-sistema ta’ monitoraġġ).</w:t>
      </w:r>
      <w:r w:rsidRPr="002B5B92">
        <w:rPr>
          <w:b/>
        </w:rPr>
        <w:t xml:space="preserve"> Ivvalida</w:t>
      </w:r>
      <w:r w:rsidRPr="002B5B92">
        <w:t xml:space="preserve"> dawn ta’ hawn fuq bl-użu tat-tekniki ta’ triangulazzjoni.</w:t>
      </w:r>
    </w:p>
    <w:p w:rsidR="00A45935" w:rsidRPr="002B5B92" w:rsidRDefault="00A45935" w:rsidP="00676B41">
      <w:pPr>
        <w:pStyle w:val="Hlistbullet"/>
      </w:pPr>
      <w:r w:rsidRPr="002B5B92">
        <w:rPr>
          <w:b/>
        </w:rPr>
        <w:t xml:space="preserve">PASS 4: Wieġeb is-CEQ billi tiġġudika kemm in-NRN ikkontribwixxa għat-trawwim tal-innovazzjoni </w:t>
      </w:r>
      <w:r w:rsidRPr="002B5B92">
        <w:t>permezz ta’ gruppi differenti ta’ attivitajiet bl-użu ta’ skala Likert</w:t>
      </w:r>
      <w:r w:rsidRPr="002B5B92">
        <w:rPr>
          <w:rFonts w:cs="Arial"/>
          <w:vertAlign w:val="superscript"/>
        </w:rPr>
        <w:footnoteReference w:id="65"/>
      </w:r>
      <w:r w:rsidRPr="002B5B92">
        <w:t>. L-evalwatur għandu jikklassifika wkoll il-livell ta’ fiduċja li l-parti kkonċernata mistħarrġa/intervistata għandha fis-sejbiet fuq skala simili ta’ ħames punti. Il-klassifikazzjonijiet mogħtija għandhom jiġu ġġustifikati.</w:t>
      </w:r>
    </w:p>
    <w:p w:rsidR="00A45935" w:rsidRPr="002B5B92" w:rsidRDefault="00A45935" w:rsidP="00E05D08">
      <w:pPr>
        <w:spacing w:after="120" w:line="280" w:lineRule="atLeast"/>
        <w:mirrorIndents/>
        <w:rPr>
          <w:rFonts w:eastAsia="Times New Roman" w:cs="Times New Roman"/>
          <w:szCs w:val="20"/>
        </w:rPr>
      </w:pPr>
      <w:r w:rsidRPr="002B5B92">
        <w:rPr>
          <w:rFonts w:eastAsia="Times New Roman" w:cs="Times New Roman"/>
          <w:noProof/>
          <w:sz w:val="18"/>
          <w:szCs w:val="24"/>
          <w:lang w:val="en-GB" w:eastAsia="en-GB"/>
        </w:rPr>
        <mc:AlternateContent>
          <mc:Choice Requires="wps">
            <w:drawing>
              <wp:inline distT="0" distB="0" distL="0" distR="0" wp14:anchorId="68B5FD1E" wp14:editId="28BC4410">
                <wp:extent cx="5828030" cy="3370997"/>
                <wp:effectExtent l="0" t="0" r="20320" b="20320"/>
                <wp:docPr id="550" name="Rectangle: Diagonal Corners Rounded 550"/>
                <wp:cNvGraphicFramePr/>
                <a:graphic xmlns:a="http://schemas.openxmlformats.org/drawingml/2006/main">
                  <a:graphicData uri="http://schemas.microsoft.com/office/word/2010/wordprocessingShape">
                    <wps:wsp>
                      <wps:cNvSpPr/>
                      <wps:spPr>
                        <a:xfrm>
                          <a:off x="0" y="0"/>
                          <a:ext cx="5828030" cy="3370997"/>
                        </a:xfrm>
                        <a:prstGeom prst="round2DiagRect">
                          <a:avLst>
                            <a:gd name="adj1" fmla="val 6942"/>
                            <a:gd name="adj2" fmla="val 0"/>
                          </a:avLst>
                        </a:prstGeom>
                        <a:noFill/>
                        <a:ln w="25400" cap="flat" cmpd="sng" algn="ctr">
                          <a:solidFill>
                            <a:srgbClr val="F07E31"/>
                          </a:solidFill>
                          <a:prstDash val="solid"/>
                        </a:ln>
                        <a:effectLst/>
                      </wps:spPr>
                      <wps:txbx>
                        <w:txbxContent>
                          <w:p w:rsidR="005570DA" w:rsidRPr="00E05D08" w:rsidRDefault="005570DA" w:rsidP="00E05D08">
                            <w:pPr>
                              <w:pStyle w:val="HStandard"/>
                              <w:ind w:left="567" w:hanging="567"/>
                              <w:rPr>
                                <w:b/>
                                <w:color w:val="F07E31"/>
                                <w:sz w:val="18"/>
                                <w:szCs w:val="18"/>
                              </w:rPr>
                            </w:pPr>
                            <w:r>
                              <w:rPr>
                                <w:noProof/>
                                <w:sz w:val="18"/>
                                <w:szCs w:val="18"/>
                                <w:lang w:val="en-GB" w:eastAsia="en-GB"/>
                              </w:rPr>
                              <w:drawing>
                                <wp:inline distT="0" distB="0" distL="0" distR="0" wp14:anchorId="01F4E1E4" wp14:editId="2A8A8E0B">
                                  <wp:extent cx="353060" cy="359410"/>
                                  <wp:effectExtent l="0" t="0" r="8890" b="2540"/>
                                  <wp:docPr id="75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Eżempji mill-AIRs sottomessi fl-2017</w:t>
                            </w:r>
                          </w:p>
                          <w:p w:rsidR="005570DA" w:rsidRPr="00EF653F" w:rsidRDefault="005570DA" w:rsidP="00E05D08">
                            <w:pPr>
                              <w:pStyle w:val="HStandard"/>
                              <w:rPr>
                                <w:sz w:val="18"/>
                                <w:szCs w:val="18"/>
                              </w:rPr>
                            </w:pPr>
                            <w:r>
                              <w:rPr>
                                <w:b/>
                                <w:sz w:val="18"/>
                                <w:szCs w:val="18"/>
                              </w:rPr>
                              <w:t>Ir-Repubblika Ċeka</w:t>
                            </w:r>
                            <w:r>
                              <w:rPr>
                                <w:sz w:val="18"/>
                                <w:szCs w:val="18"/>
                              </w:rPr>
                              <w:t xml:space="preserve"> - issemmi studji ta’ każijiet ibbażati fuq l-informazzjoni miġbura mingħand il-benefiċjarji ta’ proġetti innovattivi. Hija tipproponi r-rintraċċar tad-data dwar proġetti innovattivi għall-indikaturi tal-output O.24 u O.25 permezz tal-bażi ta’ data tal-operazzjonijiet u l-użu tagħhom fl-evalwazzjoni fl-2019:</w:t>
                            </w:r>
                          </w:p>
                          <w:p w:rsidR="005570DA" w:rsidRPr="00EF653F" w:rsidRDefault="005570DA" w:rsidP="008C0B17">
                            <w:pPr>
                              <w:pStyle w:val="HStandard"/>
                              <w:numPr>
                                <w:ilvl w:val="0"/>
                                <w:numId w:val="49"/>
                              </w:numPr>
                              <w:tabs>
                                <w:tab w:val="left" w:pos="5702"/>
                              </w:tabs>
                              <w:ind w:left="567" w:hanging="567"/>
                              <w:rPr>
                                <w:sz w:val="18"/>
                                <w:szCs w:val="18"/>
                              </w:rPr>
                            </w:pPr>
                            <w:r>
                              <w:rPr>
                                <w:sz w:val="18"/>
                                <w:szCs w:val="18"/>
                              </w:rPr>
                              <w:t xml:space="preserve">O.24 - In-numru ta’ skambji tematiċi u analitiċi bejn partijiet ikkonċernati tal-iżvilupp rurali mwaqqfa bl-appoġġ tan-NRN - skambji ffokati fuq konsulenti u servizzi li jappoġġaw l-innovazzjonijiet. </w:t>
                            </w:r>
                          </w:p>
                          <w:p w:rsidR="005570DA" w:rsidRPr="00EF653F" w:rsidRDefault="005570DA" w:rsidP="008C0B17">
                            <w:pPr>
                              <w:pStyle w:val="HStandard"/>
                              <w:numPr>
                                <w:ilvl w:val="0"/>
                                <w:numId w:val="49"/>
                              </w:numPr>
                              <w:tabs>
                                <w:tab w:val="left" w:pos="5702"/>
                              </w:tabs>
                              <w:ind w:left="567" w:hanging="567"/>
                              <w:rPr>
                                <w:sz w:val="18"/>
                                <w:szCs w:val="18"/>
                              </w:rPr>
                            </w:pPr>
                            <w:r>
                              <w:rPr>
                                <w:sz w:val="18"/>
                                <w:szCs w:val="18"/>
                              </w:rPr>
                              <w:t>O.25 - In-numru ta’ għodod ta’ komunikazzjoni tan-NRN iffokati fuq konsulenti u servizzi li jappoġġaw l-innovazzjonijiet.</w:t>
                            </w:r>
                          </w:p>
                          <w:p w:rsidR="005570DA" w:rsidRDefault="005570DA" w:rsidP="00E05D08">
                            <w:pPr>
                              <w:pStyle w:val="HStandard"/>
                              <w:rPr>
                                <w:sz w:val="18"/>
                                <w:szCs w:val="18"/>
                              </w:rPr>
                            </w:pPr>
                            <w:r>
                              <w:rPr>
                                <w:b/>
                                <w:sz w:val="18"/>
                                <w:szCs w:val="18"/>
                              </w:rPr>
                              <w:t>Is-Slovakkja</w:t>
                            </w:r>
                            <w:r>
                              <w:rPr>
                                <w:sz w:val="18"/>
                                <w:szCs w:val="18"/>
                              </w:rPr>
                              <w:t xml:space="preserve"> - tiddeskrivi l-intervisti mal-atturi involuti (in-NRN u l-parteċipanti tal-attivitajiet tan-NRN) sabiex tinġabar data għal indikaturi addizzjonali: Is-sehem (%) ta’ proġetti innovattivi appoġġati min-NRN fuq in-numru totali ta’ proġetti innovattivi appoġġati mill-PŻR. </w:t>
                            </w:r>
                          </w:p>
                          <w:p w:rsidR="005570DA" w:rsidRPr="00ED3BAD" w:rsidRDefault="005570DA" w:rsidP="00E05D08">
                            <w:pPr>
                              <w:pStyle w:val="HStandard"/>
                              <w:rPr>
                                <w:sz w:val="18"/>
                                <w:szCs w:val="18"/>
                              </w:rPr>
                            </w:pPr>
                            <w:r>
                              <w:rPr>
                                <w:b/>
                                <w:sz w:val="18"/>
                                <w:szCs w:val="18"/>
                              </w:rPr>
                              <w:t>Castilla y León</w:t>
                            </w:r>
                            <w:r>
                              <w:rPr>
                                <w:sz w:val="18"/>
                                <w:szCs w:val="18"/>
                              </w:rPr>
                              <w:t xml:space="preserve"> </w:t>
                            </w:r>
                            <w:r>
                              <w:rPr>
                                <w:b/>
                                <w:sz w:val="18"/>
                                <w:szCs w:val="18"/>
                              </w:rPr>
                              <w:t>(ES) -</w:t>
                            </w:r>
                            <w:r>
                              <w:rPr>
                                <w:sz w:val="18"/>
                                <w:szCs w:val="18"/>
                              </w:rPr>
                              <w:t xml:space="preserve"> tirrakkomanda l-introduzzjoni fis-sistema ta’ monitoraġġ ta’ indikatur li jkejjel in-numru ta’ parteċipanti fil-proġetti ta’ M16.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B5FD1E" id="Rectangle: Diagonal Corners Rounded 550" o:spid="_x0000_s1051" style="width:458.9pt;height:265.45pt;visibility:visible;mso-wrap-style:square;mso-left-percent:-10001;mso-top-percent:-10001;mso-position-horizontal:absolute;mso-position-horizontal-relative:char;mso-position-vertical:absolute;mso-position-vertical-relative:line;mso-left-percent:-10001;mso-top-percent:-10001;v-text-anchor:middle" coordsize="5828030,33709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" adj="-11796480,,5400" path="m234015,l5828030,r,l5828030,3136982v,129243,-104772,234015,-234015,234015l,3370997r,l,234015c,104772,104772,,234015,xe" filled="f" strokecolor="#f07e31" strokeweight="2pt">
                <v:stroke joinstyle="miter"/>
                <v:formulas/>
                <v:path arrowok="t" o:connecttype="custom" o:connectlocs="234015,0;5828030,0;5828030,0;5828030,3136982;5594015,3370997;0,3370997;0,3370997;0,234015;234015,0" o:connectangles="0,0,0,0,0,0,0,0,0" textboxrect="0,0,5828030,3370997"/>
                <v:textbox>
                  <w:txbxContent>
                    <w:p w:rsidR="005570DA" w:rsidRPr="00E05D08" w:rsidRDefault="005570DA" w:rsidP="00E05D08">
                      <w:pPr>
                        <w:pStyle w:val="HStandard"/>
                        <w:ind w:left="567" w:hanging="567"/>
                        <w:rPr>
                          <w:b/>
                          <w:color w:val="F07E31"/>
                          <w:sz w:val="18"/>
                          <w:szCs w:val="18"/>
                        </w:rPr>
                      </w:pPr>
                      <w:r>
                        <w:rPr>
                          <w:noProof/>
                          <w:sz w:val="18"/>
                          <w:szCs w:val="18"/>
                          <w:lang w:val="en-GB" w:eastAsia="en-GB"/>
                        </w:rPr>
                        <w:drawing>
                          <wp:inline distT="0" distB="0" distL="0" distR="0" wp14:anchorId="01F4E1E4" wp14:editId="2A8A8E0B">
                            <wp:extent cx="353060" cy="359410"/>
                            <wp:effectExtent l="0" t="0" r="8890" b="2540"/>
                            <wp:docPr id="75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Eżempji mill-AIRs sottomessi fl-2017</w:t>
                      </w:r>
                    </w:p>
                    <w:p w:rsidR="005570DA" w:rsidRPr="00EF653F" w:rsidRDefault="005570DA" w:rsidP="00E05D08">
                      <w:pPr>
                        <w:pStyle w:val="HStandard"/>
                        <w:rPr>
                          <w:sz w:val="18"/>
                          <w:szCs w:val="18"/>
                        </w:rPr>
                      </w:pPr>
                      <w:r>
                        <w:rPr>
                          <w:b/>
                          <w:sz w:val="18"/>
                          <w:szCs w:val="18"/>
                        </w:rPr>
                        <w:t>Ir-Repubblika Ċeka</w:t>
                      </w:r>
                      <w:r>
                        <w:rPr>
                          <w:sz w:val="18"/>
                          <w:szCs w:val="18"/>
                        </w:rPr>
                        <w:t xml:space="preserve"> - issemmi studji ta’ każijiet ibbażati fuq l-informazzjoni miġbura mingħand il-benefiċjarji ta’ proġetti innovattivi. Hija tipproponi r-rintraċċar tad-data dwar proġetti innovattivi għall-indikaturi tal-output O.24 u O.25 permezz tal-bażi ta’ data tal-operazzjonijiet u l-użu tagħhom fl-evalwazzjoni fl-2019:</w:t>
                      </w:r>
                    </w:p>
                    <w:p w:rsidR="005570DA" w:rsidRPr="00EF653F" w:rsidRDefault="005570DA" w:rsidP="008C0B17">
                      <w:pPr>
                        <w:pStyle w:val="HStandard"/>
                        <w:numPr>
                          <w:ilvl w:val="0"/>
                          <w:numId w:val="49"/>
                        </w:numPr>
                        <w:tabs>
                          <w:tab w:val="left" w:pos="5702"/>
                        </w:tabs>
                        <w:ind w:left="567" w:hanging="567"/>
                        <w:rPr>
                          <w:sz w:val="18"/>
                          <w:szCs w:val="18"/>
                        </w:rPr>
                      </w:pPr>
                      <w:r>
                        <w:rPr>
                          <w:sz w:val="18"/>
                          <w:szCs w:val="18"/>
                        </w:rPr>
                        <w:t xml:space="preserve">O.24 - In-numru ta’ skambji tematiċi u analitiċi bejn partijiet ikkonċernati tal-iżvilupp rurali mwaqqfa bl-appoġġ tan-NRN - skambji ffokati fuq konsulenti u servizzi li jappoġġaw l-innovazzjonijiet. </w:t>
                      </w:r>
                    </w:p>
                    <w:p w:rsidR="005570DA" w:rsidRPr="00EF653F" w:rsidRDefault="005570DA" w:rsidP="008C0B17">
                      <w:pPr>
                        <w:pStyle w:val="HStandard"/>
                        <w:numPr>
                          <w:ilvl w:val="0"/>
                          <w:numId w:val="49"/>
                        </w:numPr>
                        <w:tabs>
                          <w:tab w:val="left" w:pos="5702"/>
                        </w:tabs>
                        <w:ind w:left="567" w:hanging="567"/>
                        <w:rPr>
                          <w:sz w:val="18"/>
                          <w:szCs w:val="18"/>
                        </w:rPr>
                      </w:pPr>
                      <w:r>
                        <w:rPr>
                          <w:sz w:val="18"/>
                          <w:szCs w:val="18"/>
                        </w:rPr>
                        <w:t>O.25 - In-numru ta’ għodod ta’ komunikazzjoni tan-NRN iffokati fuq konsulenti u servizzi li jappoġġaw l-innovazzjonijiet.</w:t>
                      </w:r>
                    </w:p>
                    <w:p w:rsidR="005570DA" w:rsidRDefault="005570DA" w:rsidP="00E05D08">
                      <w:pPr>
                        <w:pStyle w:val="HStandard"/>
                        <w:rPr>
                          <w:sz w:val="18"/>
                          <w:szCs w:val="18"/>
                        </w:rPr>
                      </w:pPr>
                      <w:r>
                        <w:rPr>
                          <w:b/>
                          <w:sz w:val="18"/>
                          <w:szCs w:val="18"/>
                        </w:rPr>
                        <w:t>Is-Slovakkja</w:t>
                      </w:r>
                      <w:r>
                        <w:rPr>
                          <w:sz w:val="18"/>
                          <w:szCs w:val="18"/>
                        </w:rPr>
                        <w:t xml:space="preserve"> - tiddeskrivi l-intervisti mal-atturi involuti (in-NRN u l-parteċipanti tal-attivitajiet tan-NRN) sabiex tinġabar data għal indikaturi addizzjonali: Is-sehem (%) ta’ proġetti innovattivi appoġġati min-NRN fuq in-numru totali ta’ proġetti innovattivi appoġġati mill-PŻR. </w:t>
                      </w:r>
                    </w:p>
                    <w:p w:rsidR="005570DA" w:rsidRPr="00ED3BAD" w:rsidRDefault="005570DA" w:rsidP="00E05D08">
                      <w:pPr>
                        <w:pStyle w:val="HStandard"/>
                        <w:rPr>
                          <w:sz w:val="18"/>
                          <w:szCs w:val="18"/>
                        </w:rPr>
                      </w:pPr>
                      <w:r>
                        <w:rPr>
                          <w:b/>
                          <w:sz w:val="18"/>
                          <w:szCs w:val="18"/>
                        </w:rPr>
                        <w:t>Castilla y León</w:t>
                      </w:r>
                      <w:r>
                        <w:rPr>
                          <w:sz w:val="18"/>
                          <w:szCs w:val="18"/>
                        </w:rPr>
                        <w:t xml:space="preserve"> </w:t>
                      </w:r>
                      <w:r>
                        <w:rPr>
                          <w:b/>
                          <w:sz w:val="18"/>
                          <w:szCs w:val="18"/>
                        </w:rPr>
                        <w:t>(ES) -</w:t>
                      </w:r>
                      <w:r>
                        <w:rPr>
                          <w:sz w:val="18"/>
                          <w:szCs w:val="18"/>
                        </w:rPr>
                        <w:t xml:space="preserve"> tirrakkomanda l-introduzzjoni fis-sistema ta’ monitoraġġ ta’ indikatur li jkejjel in-numru ta’ parteċipanti fil-proġetti ta’ M16.</w:t>
                      </w:r>
                    </w:p>
                  </w:txbxContent>
                </v:textbox>
                <w10:anchorlock/>
              </v:shape>
            </w:pict>
          </mc:Fallback>
        </mc:AlternateContent>
      </w:r>
    </w:p>
    <w:p w:rsidR="00A45935" w:rsidRPr="002B5B92" w:rsidRDefault="00A45935" w:rsidP="00E05D08">
      <w:pPr>
        <w:spacing w:after="120" w:line="280" w:lineRule="atLeast"/>
        <w:mirrorIndents/>
        <w:rPr>
          <w:rFonts w:eastAsia="Times New Roman" w:cs="Times New Roman"/>
          <w:szCs w:val="20"/>
        </w:rPr>
      </w:pPr>
      <w:r w:rsidRPr="002B5B92">
        <w:t>Il-linji gwida</w:t>
      </w:r>
      <w:r w:rsidRPr="002B5B92">
        <w:rPr>
          <w:i/>
          <w:szCs w:val="20"/>
        </w:rPr>
        <w:t xml:space="preserve"> </w:t>
      </w:r>
      <w:hyperlink r:id="rId62" w:history="1">
        <w:r w:rsidRPr="002B5B92">
          <w:rPr>
            <w:rStyle w:val="Hyperlink"/>
            <w:sz w:val="20"/>
            <w:szCs w:val="20"/>
          </w:rPr>
          <w:t>Evalwazzjoni tan-NRN 2014-2020</w:t>
        </w:r>
      </w:hyperlink>
      <w:r w:rsidRPr="002B5B92">
        <w:rPr>
          <w:rFonts w:eastAsia="Times New Roman" w:cs="Times New Roman"/>
          <w:szCs w:val="20"/>
          <w:vertAlign w:val="superscript"/>
          <w:lang w:eastAsia="de-DE"/>
        </w:rPr>
        <w:footnoteReference w:id="66"/>
      </w:r>
      <w:r w:rsidRPr="002B5B92">
        <w:t xml:space="preserve"> jipprovdu deskrizzjoni dettaljata tal-metodi u l-għodod għall-evalwazzjoni tan-NRN. Huma jipproponu approċċ imħallat li jikkombina metodi kwalitattivi u kwantitattivi. Min-naħa tagħhom, dawn jinkludu stħarriġ, metodi bbażati fuq id-djalogu, metodi analitiċi u metodi dijanjostiċi. </w:t>
      </w:r>
    </w:p>
    <w:p w:rsidR="00A45935" w:rsidRPr="002B5B92" w:rsidRDefault="00A45935" w:rsidP="00E05D08">
      <w:pPr>
        <w:spacing w:after="120" w:line="280" w:lineRule="atLeast"/>
        <w:mirrorIndents/>
        <w:rPr>
          <w:rFonts w:eastAsia="Times New Roman" w:cs="Times New Roman"/>
          <w:szCs w:val="20"/>
        </w:rPr>
      </w:pPr>
      <w:r w:rsidRPr="002B5B92">
        <w:lastRenderedPageBreak/>
        <w:t>It-tabella li ġejja tipprovdi ħarsa ġenerali lejn il-metodi li jintużaw sabiex tiġi mwieġba s-CEQ nru. 21, fir-rigward tal-objettiv tal-innovazzjoni (d) tan-NRN. Deskrizzjoni sħiħa ta’ dawn il-metodi tista’ tinstab fil-linji gwida</w:t>
      </w:r>
      <w:r w:rsidRPr="002B5B92">
        <w:rPr>
          <w:i/>
          <w:szCs w:val="20"/>
        </w:rPr>
        <w:t xml:space="preserve"> </w:t>
      </w:r>
      <w:hyperlink r:id="rId63" w:history="1">
        <w:r w:rsidRPr="002B5B92">
          <w:rPr>
            <w:rStyle w:val="Hyperlink"/>
            <w:sz w:val="20"/>
            <w:szCs w:val="20"/>
          </w:rPr>
          <w:t>Evalwazzjoni tan-NRN 2014-2020</w:t>
        </w:r>
      </w:hyperlink>
      <w:r w:rsidRPr="002B5B92">
        <w:t>.</w:t>
      </w:r>
    </w:p>
    <w:p w:rsidR="00A45935" w:rsidRPr="002B5B92" w:rsidRDefault="00A45935" w:rsidP="00B421B9">
      <w:pPr>
        <w:pStyle w:val="HHeading1"/>
        <w:rPr>
          <w:b w:val="0"/>
          <w:color w:val="373737"/>
          <w:sz w:val="16"/>
        </w:rPr>
        <w:sectPr w:rsidR="00A45935" w:rsidRPr="002B5B92" w:rsidSect="001F6F07">
          <w:headerReference w:type="first" r:id="rId64"/>
          <w:endnotePr>
            <w:numFmt w:val="decimal"/>
          </w:endnotePr>
          <w:pgSz w:w="11907" w:h="16840" w:code="9"/>
          <w:pgMar w:top="1440" w:right="1440" w:bottom="1134" w:left="1440" w:header="567" w:footer="1020" w:gutter="0"/>
          <w:cols w:space="708"/>
          <w:noEndnote/>
          <w:docGrid w:linePitch="435"/>
        </w:sectPr>
      </w:pPr>
    </w:p>
    <w:p w:rsidR="00A45935" w:rsidRPr="002B5B92" w:rsidRDefault="00A45935" w:rsidP="00E05D08">
      <w:pPr>
        <w:spacing w:after="0" w:line="240" w:lineRule="auto"/>
        <w:rPr>
          <w:rFonts w:eastAsia="Times New Roman" w:cs="Times New Roman"/>
          <w:b/>
          <w:sz w:val="16"/>
          <w:szCs w:val="20"/>
        </w:rPr>
      </w:pPr>
    </w:p>
    <w:p w:rsidR="00A45935" w:rsidRPr="002B5B92" w:rsidRDefault="00A45935" w:rsidP="00D57D0A">
      <w:pPr>
        <w:pStyle w:val="HHeadingtables"/>
        <w:rPr>
          <w:color w:val="6F6F6F"/>
          <w:sz w:val="18"/>
          <w:szCs w:val="18"/>
        </w:rPr>
      </w:pPr>
      <w:bookmarkStart w:id="121" w:name="_Toc508964837"/>
      <w:r w:rsidRPr="002B5B92">
        <w:rPr>
          <w:color w:val="6F6F6F"/>
          <w:sz w:val="18"/>
          <w:szCs w:val="18"/>
        </w:rPr>
        <w:t>Metodi rrakkomandati għas-CEQ nru. 21</w:t>
      </w:r>
      <w:bookmarkEnd w:id="121"/>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2B5B92" w:rsidTr="00E05D08">
        <w:trPr>
          <w:tblHeader/>
        </w:trPr>
        <w:tc>
          <w:tcPr>
            <w:tcW w:w="2405" w:type="dxa"/>
            <w:shd w:val="clear" w:color="auto" w:fill="F07E31"/>
          </w:tcPr>
          <w:p w:rsidR="00A45935" w:rsidRPr="002B5B92" w:rsidRDefault="00A45935" w:rsidP="00E05D08">
            <w:pPr>
              <w:spacing w:after="120" w:line="280" w:lineRule="atLeast"/>
              <w:mirrorIndents/>
              <w:jc w:val="center"/>
              <w:rPr>
                <w:rFonts w:cs="Arial"/>
                <w:b/>
                <w:color w:val="FFFFFF"/>
                <w:sz w:val="18"/>
              </w:rPr>
            </w:pPr>
            <w:r w:rsidRPr="002B5B92">
              <w:rPr>
                <w:b/>
                <w:color w:val="FFFFFF"/>
                <w:sz w:val="18"/>
              </w:rPr>
              <w:t>Metodu</w:t>
            </w:r>
          </w:p>
        </w:tc>
        <w:tc>
          <w:tcPr>
            <w:tcW w:w="6612" w:type="dxa"/>
            <w:shd w:val="clear" w:color="auto" w:fill="F07E31"/>
          </w:tcPr>
          <w:p w:rsidR="00A45935" w:rsidRPr="002B5B92" w:rsidRDefault="00A45935" w:rsidP="00E05D08">
            <w:pPr>
              <w:spacing w:after="120" w:line="280" w:lineRule="atLeast"/>
              <w:mirrorIndents/>
              <w:jc w:val="center"/>
              <w:rPr>
                <w:rFonts w:cs="Arial"/>
                <w:b/>
                <w:color w:val="FFFFFF"/>
                <w:sz w:val="18"/>
              </w:rPr>
            </w:pPr>
            <w:r w:rsidRPr="002B5B92">
              <w:rPr>
                <w:b/>
                <w:color w:val="FFFFFF"/>
                <w:sz w:val="18"/>
              </w:rPr>
              <w:t>Suġġerimenti għall-użu ta’ kull metodu sabiex tiġi mwieġba s-CEQ21</w:t>
            </w:r>
          </w:p>
        </w:tc>
      </w:tr>
      <w:tr w:rsidR="00A45935" w:rsidRPr="002B5B92" w:rsidTr="00E05D08">
        <w:tc>
          <w:tcPr>
            <w:tcW w:w="2405" w:type="dxa"/>
            <w:vAlign w:val="center"/>
          </w:tcPr>
          <w:p w:rsidR="00A45935" w:rsidRPr="002B5B92" w:rsidRDefault="00A45935" w:rsidP="00BC211C">
            <w:pPr>
              <w:spacing w:after="120" w:line="280" w:lineRule="atLeast"/>
              <w:jc w:val="left"/>
              <w:rPr>
                <w:rFonts w:eastAsia="Calibri" w:cs="Arial"/>
                <w:b/>
                <w:sz w:val="18"/>
                <w:szCs w:val="18"/>
              </w:rPr>
            </w:pPr>
            <w:r w:rsidRPr="002B5B92">
              <w:rPr>
                <w:b/>
                <w:sz w:val="18"/>
                <w:szCs w:val="18"/>
              </w:rPr>
              <w:t>Stħarriġ</w:t>
            </w:r>
          </w:p>
        </w:tc>
        <w:tc>
          <w:tcPr>
            <w:tcW w:w="6612" w:type="dxa"/>
          </w:tcPr>
          <w:p w:rsidR="00A45935" w:rsidRPr="002B5B92" w:rsidRDefault="00A45935" w:rsidP="00E05D08">
            <w:pPr>
              <w:spacing w:after="120" w:line="280" w:lineRule="atLeast"/>
              <w:rPr>
                <w:rFonts w:eastAsia="Calibri" w:cs="Arial"/>
                <w:sz w:val="18"/>
                <w:szCs w:val="18"/>
              </w:rPr>
            </w:pPr>
            <w:r w:rsidRPr="002B5B92">
              <w:rPr>
                <w:sz w:val="18"/>
                <w:szCs w:val="18"/>
              </w:rPr>
              <w:t>Jista’ jintuża sabiex tinġabar data u informazzjoni dwar l-innovazzjoni li mhijiex fil-bażijiet ta’ data ta’ monitoraġġ, b’mod partikolari fir-rigward tal-indikaturi addizzjonali.</w:t>
            </w:r>
          </w:p>
          <w:p w:rsidR="00A45935" w:rsidRPr="002B5B92" w:rsidRDefault="00A45935" w:rsidP="00E05D08">
            <w:pPr>
              <w:spacing w:after="120" w:line="280" w:lineRule="atLeast"/>
              <w:rPr>
                <w:rFonts w:eastAsia="Calibri" w:cs="Arial"/>
                <w:sz w:val="18"/>
                <w:szCs w:val="18"/>
              </w:rPr>
            </w:pPr>
            <w:r w:rsidRPr="002B5B92">
              <w:rPr>
                <w:sz w:val="18"/>
                <w:szCs w:val="18"/>
              </w:rPr>
              <w:t>L-istħarriġ jista’ jiġi indirizzat lin-NRN, lill-GO tal-EIP, lill-benefiċjarji tal-proġetti u lil partijiet ikkonċernati oħrajn tal-innovazzjoni.</w:t>
            </w:r>
          </w:p>
        </w:tc>
      </w:tr>
      <w:tr w:rsidR="00A45935" w:rsidRPr="002B5B92" w:rsidTr="00E05D08">
        <w:tc>
          <w:tcPr>
            <w:tcW w:w="2405" w:type="dxa"/>
            <w:vAlign w:val="center"/>
          </w:tcPr>
          <w:p w:rsidR="00A45935" w:rsidRPr="002B5B92" w:rsidRDefault="00A45935" w:rsidP="00BC211C">
            <w:pPr>
              <w:spacing w:after="120" w:line="280" w:lineRule="atLeast"/>
              <w:jc w:val="left"/>
              <w:rPr>
                <w:rFonts w:eastAsia="Calibri" w:cs="Arial"/>
                <w:b/>
                <w:sz w:val="18"/>
                <w:szCs w:val="18"/>
              </w:rPr>
            </w:pPr>
            <w:r w:rsidRPr="002B5B92">
              <w:rPr>
                <w:b/>
                <w:sz w:val="18"/>
                <w:szCs w:val="18"/>
              </w:rPr>
              <w:t>Gruppi fokus (metodu bbażat fuq id-djalogu)</w:t>
            </w:r>
          </w:p>
        </w:tc>
        <w:tc>
          <w:tcPr>
            <w:tcW w:w="6612" w:type="dxa"/>
          </w:tcPr>
          <w:p w:rsidR="00A45935" w:rsidRPr="002B5B92" w:rsidRDefault="00A45935" w:rsidP="00E05D08">
            <w:pPr>
              <w:spacing w:after="120" w:line="280" w:lineRule="atLeast"/>
              <w:rPr>
                <w:rFonts w:eastAsia="Calibri" w:cs="Arial"/>
                <w:sz w:val="18"/>
                <w:szCs w:val="18"/>
              </w:rPr>
            </w:pPr>
            <w:r w:rsidRPr="002B5B92">
              <w:rPr>
                <w:sz w:val="18"/>
                <w:szCs w:val="18"/>
              </w:rPr>
              <w:t>Jintużaw bħala mezz għal metodi ta’ evalwazzjoni bbażati fuq id-djalogu u jistgħu jiġu kklassifikati kif ġej għal CEQ21:</w:t>
            </w:r>
          </w:p>
          <w:p w:rsidR="00A45935" w:rsidRPr="002B5B92" w:rsidRDefault="00A45935" w:rsidP="008C0B17">
            <w:pPr>
              <w:numPr>
                <w:ilvl w:val="0"/>
                <w:numId w:val="40"/>
              </w:numPr>
              <w:spacing w:before="60" w:after="120" w:line="280" w:lineRule="atLeast"/>
              <w:ind w:left="317"/>
              <w:rPr>
                <w:rFonts w:cs="Arial"/>
                <w:sz w:val="18"/>
              </w:rPr>
            </w:pPr>
            <w:r w:rsidRPr="002B5B92">
              <w:rPr>
                <w:sz w:val="18"/>
              </w:rPr>
              <w:t xml:space="preserve">Fi struttura ta’ żewġ livelli, il-ħolqien ta’ gruppi fokus f’livelli differenti (jiġifieri konsulenti/servizzi ta’ appoġġ għall-innovazzjoni u GAL). Iż-żewġ livelli jistgħu jirċievu attivitajiet ta’ taħriġ u netwerking mingħand in-NRN. </w:t>
            </w:r>
          </w:p>
          <w:p w:rsidR="00A45935" w:rsidRPr="002B5B92" w:rsidRDefault="00A45935" w:rsidP="008C0B17">
            <w:pPr>
              <w:numPr>
                <w:ilvl w:val="0"/>
                <w:numId w:val="40"/>
              </w:numPr>
              <w:spacing w:before="60" w:after="120" w:line="280" w:lineRule="atLeast"/>
              <w:ind w:left="317"/>
              <w:rPr>
                <w:rFonts w:cs="Arial"/>
                <w:sz w:val="18"/>
              </w:rPr>
            </w:pPr>
            <w:r w:rsidRPr="002B5B92">
              <w:rPr>
                <w:sz w:val="18"/>
              </w:rPr>
              <w:t>Iffokati fuq il-qasam tematiku tal-innovazzjoni (eż. it-twaqqif ta’ gruppi ta’ nies b’diversità ta’ perspettivi sabiex jiġu vvalidati l-attivitajiet tan-NRN immirati lejn it-trawwim tal-innovazzjoni).</w:t>
            </w:r>
          </w:p>
        </w:tc>
      </w:tr>
      <w:tr w:rsidR="00A45935" w:rsidRPr="002B5B92" w:rsidTr="00E05D08">
        <w:tc>
          <w:tcPr>
            <w:tcW w:w="2405" w:type="dxa"/>
            <w:vAlign w:val="center"/>
          </w:tcPr>
          <w:p w:rsidR="00A45935" w:rsidRPr="002B5B92" w:rsidRDefault="00A45935" w:rsidP="00BC211C">
            <w:pPr>
              <w:spacing w:after="120" w:line="280" w:lineRule="atLeast"/>
              <w:jc w:val="left"/>
              <w:rPr>
                <w:rFonts w:eastAsia="Calibri" w:cs="Arial"/>
                <w:b/>
                <w:sz w:val="18"/>
                <w:szCs w:val="18"/>
              </w:rPr>
            </w:pPr>
            <w:r w:rsidRPr="002B5B92">
              <w:rPr>
                <w:b/>
                <w:sz w:val="18"/>
                <w:szCs w:val="18"/>
              </w:rPr>
              <w:t>Analiżi funzjonali tan-netwerks (metodu dijanjostiku)</w:t>
            </w:r>
          </w:p>
        </w:tc>
        <w:tc>
          <w:tcPr>
            <w:tcW w:w="6612" w:type="dxa"/>
          </w:tcPr>
          <w:p w:rsidR="00A45935" w:rsidRPr="002B5B92" w:rsidRDefault="00A45935" w:rsidP="00E05D08">
            <w:pPr>
              <w:spacing w:after="120" w:line="280" w:lineRule="atLeast"/>
              <w:rPr>
                <w:rFonts w:eastAsia="Calibri" w:cs="Arial"/>
                <w:sz w:val="18"/>
                <w:szCs w:val="18"/>
              </w:rPr>
            </w:pPr>
            <w:r w:rsidRPr="002B5B92">
              <w:rPr>
                <w:sz w:val="18"/>
                <w:szCs w:val="18"/>
              </w:rPr>
              <w:t>Ikkombina stħarriġ online lill-GO (billi tiddistingwi bejn dawk li rċevew xi tip ta’ appoġġ - funzjoni ta’ senserija, taħriġ, eċċ. - min-NRN u dawk li ma rċevewx tali appoġġ) ma’ serje ta’ intervisti fil-fond ma’ GO magħżula. B’mod alternattiv, jista’ jiġi organizzat grupp fokus sabiex jirrifletti fuq ir-riżultati preliminari tal-istħarriġ online.</w:t>
            </w:r>
          </w:p>
        </w:tc>
      </w:tr>
      <w:tr w:rsidR="00A45935" w:rsidRPr="002B5B92" w:rsidTr="00E05D08">
        <w:tc>
          <w:tcPr>
            <w:tcW w:w="2405" w:type="dxa"/>
            <w:vAlign w:val="center"/>
          </w:tcPr>
          <w:p w:rsidR="00A45935" w:rsidRPr="002B5B92" w:rsidRDefault="00A45935" w:rsidP="00BC211C">
            <w:pPr>
              <w:spacing w:after="120" w:line="280" w:lineRule="atLeast"/>
              <w:jc w:val="left"/>
              <w:rPr>
                <w:rFonts w:eastAsia="Calibri" w:cs="Arial"/>
                <w:b/>
                <w:sz w:val="18"/>
                <w:szCs w:val="18"/>
              </w:rPr>
            </w:pPr>
            <w:r w:rsidRPr="002B5B92">
              <w:rPr>
                <w:b/>
                <w:sz w:val="18"/>
                <w:szCs w:val="18"/>
              </w:rPr>
              <w:t>Analiżi tal-partijiet ikkonċernati (metodu dijanjostiku)</w:t>
            </w:r>
          </w:p>
        </w:tc>
        <w:tc>
          <w:tcPr>
            <w:tcW w:w="6612" w:type="dxa"/>
          </w:tcPr>
          <w:p w:rsidR="00A45935" w:rsidRPr="002B5B92" w:rsidRDefault="00A45935" w:rsidP="00E05D08">
            <w:pPr>
              <w:spacing w:after="120" w:line="280" w:lineRule="atLeast"/>
              <w:rPr>
                <w:rFonts w:eastAsia="Calibri" w:cs="Arial"/>
                <w:sz w:val="18"/>
                <w:szCs w:val="18"/>
              </w:rPr>
            </w:pPr>
            <w:r w:rsidRPr="002B5B92">
              <w:rPr>
                <w:sz w:val="18"/>
                <w:szCs w:val="18"/>
              </w:rPr>
              <w:t xml:space="preserve">Tista’ tiġi indirizzata lill-partijiet ikkonċernati tal-innovazzjoni f’livelli differenti: in-NRN jew l-istruttura tan-netwerking fil-livell tal-Istati Membri għal servizzi ta’ appoġġ għall-innovazzjoni (jekk separati min-NRN); il-koordinaturi tan-netwerks tematiċi, il-koordinaturi tal-GO u anki l-Punt tas-Servizz tal-EIP. </w:t>
            </w:r>
          </w:p>
          <w:p w:rsidR="00A45935" w:rsidRPr="002B5B92" w:rsidRDefault="00A45935" w:rsidP="00E05D08">
            <w:pPr>
              <w:spacing w:after="120" w:line="280" w:lineRule="atLeast"/>
              <w:rPr>
                <w:rFonts w:eastAsia="Calibri" w:cs="Arial"/>
                <w:sz w:val="18"/>
                <w:szCs w:val="18"/>
              </w:rPr>
            </w:pPr>
            <w:r w:rsidRPr="002B5B92">
              <w:rPr>
                <w:sz w:val="18"/>
                <w:szCs w:val="18"/>
              </w:rPr>
              <w:t>L-analiżi tal-partijiet ikkonċernati se tgħin sabiex tinġabar informazzjoni dwar dawk l-indikaturi fejn id-data ma tinġabarx permezz tal-bażi ta’ data ta’ monitoraġġ. Fil-każ tas-CEQ nru. 21, tliet indikaturi tal-output biss jistgħu jiġu kkwantifikati bl-għajnuna ta’ data ta’ monitoraġġ u anki hemm, id-data tista’ tkun ġenerika wisq u ma tindirizzax l-elementi tal-innovazzjoni. Pereżempju, in-numru ta’ skambji tematiċi u analitiċi mwaqqfa bl-appoġġ tan-NRN (O.24) jistgħu jiġu rreġistrati fil-bażi ta’ data ta’ monitoraġġ, iżda mingħajr referenza għal liema minn dawn l-iskambji ffokaw fuq suġġetti relatati mal-innovazzjoni.</w:t>
            </w:r>
          </w:p>
        </w:tc>
      </w:tr>
      <w:tr w:rsidR="00A45935" w:rsidRPr="002B5B92" w:rsidTr="00E05D08">
        <w:tc>
          <w:tcPr>
            <w:tcW w:w="2405" w:type="dxa"/>
            <w:vAlign w:val="center"/>
          </w:tcPr>
          <w:p w:rsidR="00A45935" w:rsidRPr="002B5B92" w:rsidRDefault="00A45935" w:rsidP="00BC211C">
            <w:pPr>
              <w:spacing w:after="120" w:line="280" w:lineRule="atLeast"/>
              <w:jc w:val="left"/>
              <w:rPr>
                <w:rFonts w:eastAsia="Calibri" w:cs="Arial"/>
                <w:sz w:val="18"/>
                <w:szCs w:val="18"/>
              </w:rPr>
            </w:pPr>
            <w:r w:rsidRPr="002B5B92">
              <w:rPr>
                <w:b/>
                <w:sz w:val="18"/>
                <w:szCs w:val="18"/>
              </w:rPr>
              <w:t xml:space="preserve">Analiżi tan-Netwerk Soċjali (SNA) </w:t>
            </w:r>
            <w:r w:rsidRPr="002B5B92">
              <w:rPr>
                <w:sz w:val="18"/>
                <w:szCs w:val="18"/>
              </w:rPr>
              <w:t>(metodu dijanjostiku)</w:t>
            </w:r>
          </w:p>
        </w:tc>
        <w:tc>
          <w:tcPr>
            <w:tcW w:w="6612" w:type="dxa"/>
          </w:tcPr>
          <w:p w:rsidR="00A45935" w:rsidRPr="002B5B92" w:rsidRDefault="00A45935" w:rsidP="00E05D08">
            <w:pPr>
              <w:spacing w:after="120" w:line="280" w:lineRule="atLeast"/>
              <w:rPr>
                <w:rFonts w:eastAsia="Calibri" w:cs="Arial"/>
                <w:sz w:val="18"/>
                <w:szCs w:val="18"/>
              </w:rPr>
            </w:pPr>
            <w:r w:rsidRPr="002B5B92">
              <w:rPr>
                <w:sz w:val="18"/>
                <w:szCs w:val="18"/>
              </w:rPr>
              <w:t>L-SNA tista’ titmexxa fuq aspett tematiku, notevolment it-trawwim tal-objettivi ta’ innovazzjoni tan-NRN, billi tħares lejn plottijiet tan-netwerk tal-innovazzjoni (eż. l-identifikazzjoni tal-atturi ewlenin tal-innovazzjoni fi ħdan in-netwerk), billi tivvaluta l-karatteristiċi strutturali tagħhom (eż. iċ-ċentralità jew il-periferalità tal-partijiet ikkonċernati tal-innovazzjoni) u fuq is-sovrapożizzjonijiet bejniethom (eż. għall-identifikazzjoni tal-konnetturi ewlenin) u d-diskussjoni dwarhom fi grupp fokus.</w:t>
            </w:r>
          </w:p>
          <w:p w:rsidR="00A45935" w:rsidRPr="002B5B92" w:rsidRDefault="00A45935" w:rsidP="00E05D08">
            <w:pPr>
              <w:spacing w:after="120" w:line="280" w:lineRule="atLeast"/>
              <w:rPr>
                <w:rFonts w:eastAsia="Calibri" w:cs="Arial"/>
                <w:sz w:val="18"/>
                <w:szCs w:val="18"/>
              </w:rPr>
            </w:pPr>
            <w:r w:rsidRPr="002B5B92">
              <w:rPr>
                <w:sz w:val="18"/>
                <w:szCs w:val="18"/>
              </w:rPr>
              <w:t xml:space="preserve">L-SNA tista’ tgħin sabiex tkejjel l-involviment tal-partijiet ikkonċernati tal-innovazzjoni fin-NRN u tivvaluta l-effettività tal-outputs relatati mal-innovazzjoni </w:t>
            </w:r>
            <w:r w:rsidRPr="002B5B92">
              <w:rPr>
                <w:sz w:val="18"/>
                <w:szCs w:val="18"/>
              </w:rPr>
              <w:lastRenderedPageBreak/>
              <w:t>(eż. skambji tematiċi u analitiċi dwar l-innovazzjoni, l-attivitajiet ta’ taħriġ u netwerking dwar l-innovazzjoni u l-ġabra ta’ eżempji ta’ proġetti fir-rigward tal-innovazzjoni).</w:t>
            </w:r>
          </w:p>
        </w:tc>
      </w:tr>
      <w:tr w:rsidR="00A45935" w:rsidRPr="002B5B92" w:rsidTr="00E05D08">
        <w:tc>
          <w:tcPr>
            <w:tcW w:w="2405" w:type="dxa"/>
            <w:vAlign w:val="center"/>
          </w:tcPr>
          <w:p w:rsidR="00A45935" w:rsidRPr="002B5B92" w:rsidRDefault="00A45935" w:rsidP="00BC211C">
            <w:pPr>
              <w:spacing w:after="120" w:line="280" w:lineRule="atLeast"/>
              <w:jc w:val="left"/>
              <w:rPr>
                <w:rFonts w:eastAsia="Calibri" w:cs="Arial"/>
                <w:b/>
                <w:sz w:val="18"/>
                <w:szCs w:val="18"/>
              </w:rPr>
            </w:pPr>
            <w:r w:rsidRPr="002B5B92">
              <w:rPr>
                <w:b/>
                <w:sz w:val="18"/>
                <w:szCs w:val="18"/>
              </w:rPr>
              <w:lastRenderedPageBreak/>
              <w:t>Studji ta’ każijiet</w:t>
            </w:r>
          </w:p>
        </w:tc>
        <w:tc>
          <w:tcPr>
            <w:tcW w:w="6612" w:type="dxa"/>
          </w:tcPr>
          <w:p w:rsidR="00A45935" w:rsidRPr="002B5B92" w:rsidRDefault="00A45935" w:rsidP="00E05D08">
            <w:pPr>
              <w:spacing w:after="120" w:line="280" w:lineRule="atLeast"/>
              <w:rPr>
                <w:rFonts w:eastAsia="Calibri" w:cs="Arial"/>
                <w:sz w:val="18"/>
                <w:szCs w:val="18"/>
              </w:rPr>
            </w:pPr>
            <w:r w:rsidRPr="002B5B92">
              <w:rPr>
                <w:sz w:val="18"/>
                <w:szCs w:val="18"/>
              </w:rPr>
              <w:t>L-istudji ta’ każijiet jistgħu jiġu adatti u jintużaw fi kwalunkwe evalwazzjoni. Huma joffru l-possibbiltà li jitħalltu diversi metodi u huma flessibbli ħafna fit-tfassil tagħhom. Fil-każ tas-CEQ nru. 21, huwa propost li wieħed għandu jibni studji ta’ każijiet dwar il-kwistjonijiet/kriterji li ġejjin marbuta mal-innovazzjoni:</w:t>
            </w:r>
          </w:p>
          <w:p w:rsidR="00A45935" w:rsidRPr="002B5B92" w:rsidRDefault="00A45935" w:rsidP="008C0B17">
            <w:pPr>
              <w:numPr>
                <w:ilvl w:val="0"/>
                <w:numId w:val="41"/>
              </w:numPr>
              <w:spacing w:before="60" w:after="120" w:line="280" w:lineRule="atLeast"/>
              <w:ind w:left="360"/>
              <w:rPr>
                <w:sz w:val="18"/>
              </w:rPr>
            </w:pPr>
            <w:r w:rsidRPr="002B5B92">
              <w:rPr>
                <w:sz w:val="18"/>
              </w:rPr>
              <w:t>Analizza r-rwol tan-NRN fit-twaqqif ta’ gruppi operazzjonali u b’hekk trawwem l-innovazzjoni fl-agrikoltura, fil-forestrija u fiż-żoni rurali.</w:t>
            </w:r>
          </w:p>
          <w:p w:rsidR="00A45935" w:rsidRPr="002B5B92" w:rsidRDefault="00A45935" w:rsidP="008C0B17">
            <w:pPr>
              <w:numPr>
                <w:ilvl w:val="0"/>
                <w:numId w:val="41"/>
              </w:numPr>
              <w:spacing w:before="60" w:after="120" w:line="280" w:lineRule="atLeast"/>
              <w:ind w:left="360"/>
              <w:rPr>
                <w:sz w:val="18"/>
              </w:rPr>
            </w:pPr>
            <w:r w:rsidRPr="002B5B92">
              <w:rPr>
                <w:sz w:val="18"/>
              </w:rPr>
              <w:t>Analizza l-kontribuzzjonijiet tan-NRN sabiex tippromwovi l-konsulenti u s-servizzi ta’ appoġġ għall-innovazzjoni bħala kowċis fil-proċessi ta’ innovazzjoni interattivi (eż. ikopru l-ideat ta’ prattika, dawk li jaġixxu bħala sensara, faċilitaturi u li jxerrdu għarfien ġdid).</w:t>
            </w:r>
          </w:p>
          <w:p w:rsidR="00A45935" w:rsidRPr="002B5B92" w:rsidRDefault="00A45935" w:rsidP="008C0B17">
            <w:pPr>
              <w:numPr>
                <w:ilvl w:val="0"/>
                <w:numId w:val="41"/>
              </w:numPr>
              <w:spacing w:before="60" w:after="120" w:line="280" w:lineRule="atLeast"/>
              <w:ind w:left="360"/>
              <w:rPr>
                <w:sz w:val="18"/>
              </w:rPr>
            </w:pPr>
            <w:r w:rsidRPr="002B5B92">
              <w:rPr>
                <w:sz w:val="18"/>
              </w:rPr>
              <w:t>Analizza r-rwol tan-NRN f’netwerks tematiċi, li jgħaqqdu l-gruppi operazzjonali u, għalhekk, jivvalutaw ir-rabtiet ma’ Orizzont 2020.</w:t>
            </w:r>
          </w:p>
        </w:tc>
      </w:tr>
    </w:tbl>
    <w:p w:rsidR="00A45935" w:rsidRPr="002B5B92" w:rsidRDefault="00A45935" w:rsidP="00676B41">
      <w:pPr>
        <w:numPr>
          <w:ilvl w:val="0"/>
          <w:numId w:val="60"/>
        </w:numPr>
        <w:spacing w:before="120" w:after="120" w:line="280" w:lineRule="atLeast"/>
        <w:ind w:left="567" w:hanging="567"/>
        <w:mirrorIndents/>
        <w:rPr>
          <w:rFonts w:eastAsia="Times New Roman" w:cs="Times New Roman"/>
          <w:b/>
          <w:szCs w:val="20"/>
        </w:rPr>
      </w:pPr>
      <w:r w:rsidRPr="002B5B92">
        <w:rPr>
          <w:b/>
          <w:szCs w:val="20"/>
        </w:rPr>
        <w:t>Riskji u soluzzjonijiet</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9"/>
      </w:tblGrid>
      <w:tr w:rsidR="00A45935" w:rsidRPr="002B5B92" w:rsidTr="00E05D08">
        <w:tc>
          <w:tcPr>
            <w:tcW w:w="4508" w:type="dxa"/>
            <w:shd w:val="clear" w:color="auto" w:fill="F07E31"/>
          </w:tcPr>
          <w:p w:rsidR="00A45935" w:rsidRPr="002B5B92" w:rsidRDefault="00A45935" w:rsidP="00E05D08">
            <w:pPr>
              <w:spacing w:after="120" w:line="280" w:lineRule="atLeast"/>
              <w:mirrorIndents/>
              <w:jc w:val="center"/>
              <w:rPr>
                <w:b/>
                <w:color w:val="FFFFFF"/>
                <w:sz w:val="18"/>
                <w:szCs w:val="18"/>
              </w:rPr>
            </w:pPr>
            <w:r w:rsidRPr="002B5B92">
              <w:rPr>
                <w:b/>
                <w:color w:val="FFFFFF"/>
                <w:sz w:val="18"/>
                <w:szCs w:val="18"/>
              </w:rPr>
              <w:t>Riskji</w:t>
            </w:r>
          </w:p>
        </w:tc>
        <w:tc>
          <w:tcPr>
            <w:tcW w:w="4509" w:type="dxa"/>
            <w:shd w:val="clear" w:color="auto" w:fill="F07E31"/>
          </w:tcPr>
          <w:p w:rsidR="00A45935" w:rsidRPr="002B5B92" w:rsidRDefault="00A45935" w:rsidP="00E05D08">
            <w:pPr>
              <w:spacing w:after="120" w:line="280" w:lineRule="atLeast"/>
              <w:mirrorIndents/>
              <w:jc w:val="center"/>
              <w:rPr>
                <w:b/>
                <w:color w:val="FFFFFF"/>
                <w:sz w:val="18"/>
                <w:szCs w:val="18"/>
              </w:rPr>
            </w:pPr>
            <w:r w:rsidRPr="002B5B92">
              <w:rPr>
                <w:b/>
                <w:color w:val="FFFFFF"/>
                <w:sz w:val="18"/>
                <w:szCs w:val="18"/>
              </w:rPr>
              <w:t>Soluzzjonijiet</w:t>
            </w:r>
          </w:p>
        </w:tc>
      </w:tr>
      <w:tr w:rsidR="00A45935" w:rsidRPr="002B5B92" w:rsidTr="00E05D08">
        <w:trPr>
          <w:trHeight w:val="699"/>
        </w:trPr>
        <w:tc>
          <w:tcPr>
            <w:tcW w:w="4508" w:type="dxa"/>
          </w:tcPr>
          <w:p w:rsidR="00A45935" w:rsidRPr="002B5B92" w:rsidRDefault="00A45935" w:rsidP="00E05D08">
            <w:pPr>
              <w:spacing w:after="120" w:line="280" w:lineRule="atLeast"/>
              <w:rPr>
                <w:rFonts w:eastAsia="Calibri" w:cs="Arial"/>
                <w:sz w:val="18"/>
                <w:szCs w:val="18"/>
              </w:rPr>
            </w:pPr>
            <w:r w:rsidRPr="002B5B92">
              <w:rPr>
                <w:sz w:val="18"/>
                <w:szCs w:val="18"/>
              </w:rPr>
              <w:t>Id-data għat-tliet indikaturi komuni tal-output għandha tkun disponibbli, iżda x’aktarx ma tkunx iffokata fuq l-innovazzjoni. Pereżempju, id-data dwar l-iskambji tematiċi u analitiċi ma tistax tinġabar skont is-suġġett, b’mod aktar speċifiku s-suġġett tal-innovazzjoni. Bl-istess mod, id-data dwar l-għodod ta’ komunikazzjoni ma tistax tiġi diżaggregata skont is-suġġett (eż. il-komunikazzjoni tar-riżultati tal-innovazzjoni).</w:t>
            </w:r>
          </w:p>
        </w:tc>
        <w:tc>
          <w:tcPr>
            <w:tcW w:w="4509" w:type="dxa"/>
          </w:tcPr>
          <w:p w:rsidR="00A45935" w:rsidRPr="002B5B92" w:rsidRDefault="00A45935" w:rsidP="007E63EF">
            <w:pPr>
              <w:spacing w:after="120" w:line="280" w:lineRule="atLeast"/>
              <w:rPr>
                <w:sz w:val="18"/>
                <w:szCs w:val="18"/>
              </w:rPr>
            </w:pPr>
            <w:r w:rsidRPr="002B5B92">
              <w:rPr>
                <w:sz w:val="18"/>
                <w:szCs w:val="18"/>
              </w:rPr>
              <w:t>L-MA jistgħu jinkludu l-komponent tal-innovazzjoni għat-tliet indikaturi komuni tal-output fil-bażijiet ta’ data ta’ monitoraġġ</w:t>
            </w:r>
            <w:r w:rsidRPr="002B5B92">
              <w:rPr>
                <w:rFonts w:eastAsia="Calibri" w:cs="Arial"/>
                <w:sz w:val="18"/>
                <w:szCs w:val="18"/>
                <w:vertAlign w:val="superscript"/>
              </w:rPr>
              <w:footnoteReference w:id="67"/>
            </w:r>
            <w:r w:rsidRPr="002B5B92">
              <w:rPr>
                <w:sz w:val="18"/>
                <w:szCs w:val="18"/>
              </w:rPr>
              <w:t>.</w:t>
            </w:r>
          </w:p>
        </w:tc>
      </w:tr>
      <w:tr w:rsidR="00A45935" w:rsidRPr="002B5B92" w:rsidTr="00E05D08">
        <w:tc>
          <w:tcPr>
            <w:tcW w:w="4508" w:type="dxa"/>
          </w:tcPr>
          <w:p w:rsidR="00A45935" w:rsidRPr="002B5B92" w:rsidRDefault="00A45935" w:rsidP="00E05D08">
            <w:pPr>
              <w:spacing w:after="120" w:line="280" w:lineRule="atLeast"/>
              <w:rPr>
                <w:rFonts w:eastAsia="Calibri" w:cs="Arial"/>
                <w:sz w:val="18"/>
                <w:szCs w:val="18"/>
              </w:rPr>
            </w:pPr>
            <w:r w:rsidRPr="002B5B92">
              <w:rPr>
                <w:sz w:val="18"/>
                <w:szCs w:val="18"/>
              </w:rPr>
              <w:t>Għall-indikaturi l-oħrajn kollha proposti, id-data ma tinġabarx għal finijiet ta’ monitoraġġ, sakemm MA/NRN ma jkunux iddeċidew li jagħmlu hekk flimkien mal-oġġetti komuni.</w:t>
            </w:r>
          </w:p>
        </w:tc>
        <w:tc>
          <w:tcPr>
            <w:tcW w:w="4509" w:type="dxa"/>
          </w:tcPr>
          <w:p w:rsidR="00A45935" w:rsidRPr="002B5B92" w:rsidRDefault="00A45935" w:rsidP="00E05D08">
            <w:pPr>
              <w:spacing w:after="120" w:line="280" w:lineRule="atLeast"/>
              <w:rPr>
                <w:rFonts w:eastAsia="Calibri" w:cs="Arial"/>
                <w:sz w:val="18"/>
                <w:szCs w:val="18"/>
              </w:rPr>
            </w:pPr>
            <w:r w:rsidRPr="002B5B92">
              <w:rPr>
                <w:sz w:val="18"/>
                <w:szCs w:val="18"/>
              </w:rPr>
              <w:t>Fi stadju bikri ta’ implimentazzjoni, in-NRN għandhom jimmarkaw l-attivitajiet tagħhom li huma mmirati lejn it-trawwim tal-innovazzjoni (eż. it-taħriġ tal-partijiet ikkonċernati tal-innovazzjoni, skambji tematiċi dwar l-innovazzjoni, il-ġbir ta’ prattiki tajbin dwar l-innovazzjoni, l-appoġġ għat-twaqqif tal-GO, eċċ.).</w:t>
            </w:r>
          </w:p>
        </w:tc>
      </w:tr>
      <w:tr w:rsidR="00A45935" w:rsidRPr="002B5B92" w:rsidTr="00E05D08">
        <w:tc>
          <w:tcPr>
            <w:tcW w:w="4508" w:type="dxa"/>
          </w:tcPr>
          <w:p w:rsidR="00A45935" w:rsidRPr="002B5B92" w:rsidRDefault="00A45935" w:rsidP="00E05D08">
            <w:pPr>
              <w:spacing w:after="120" w:line="280" w:lineRule="atLeast"/>
              <w:rPr>
                <w:rFonts w:eastAsia="Calibri" w:cs="Arial"/>
                <w:sz w:val="18"/>
                <w:szCs w:val="18"/>
              </w:rPr>
            </w:pPr>
            <w:r w:rsidRPr="002B5B92">
              <w:rPr>
                <w:sz w:val="18"/>
                <w:szCs w:val="18"/>
              </w:rPr>
              <w:t>Analiżi tad-data li tistrieħ fuq metodu wieħed biss (kwalitattiv jew kwantitattiv) tista’ ma tagħtix sejbiet affidabbli.</w:t>
            </w:r>
          </w:p>
        </w:tc>
        <w:tc>
          <w:tcPr>
            <w:tcW w:w="4509" w:type="dxa"/>
          </w:tcPr>
          <w:p w:rsidR="00A45935" w:rsidRPr="002B5B92" w:rsidRDefault="00A45935" w:rsidP="00E05D08">
            <w:pPr>
              <w:spacing w:after="120" w:line="280" w:lineRule="atLeast"/>
              <w:rPr>
                <w:rFonts w:eastAsia="Calibri" w:cs="Arial"/>
                <w:sz w:val="18"/>
                <w:szCs w:val="18"/>
              </w:rPr>
            </w:pPr>
            <w:r w:rsidRPr="002B5B92">
              <w:rPr>
                <w:sz w:val="18"/>
                <w:szCs w:val="18"/>
              </w:rPr>
              <w:t>Uża taħlita ta’ metodi ta’ evalwazzjoni, li jiġbru l-informazzjoni fuq bażi kontinwa jew ‘ex post’, bħal dawk issuġġeriti hawn fuq (stħarriġ, gruppi fokus, metodi dijanjostiċi, studji ta’ każijiet) u li jippermettu li ssir triangolazzjoni u li jinkisbu sejbiet aktar robusti.</w:t>
            </w:r>
          </w:p>
        </w:tc>
      </w:tr>
    </w:tbl>
    <w:p w:rsidR="004C2E9B" w:rsidRDefault="004C2E9B">
      <w:pPr>
        <w:jc w:val="left"/>
        <w:rPr>
          <w:b/>
          <w:szCs w:val="20"/>
        </w:rPr>
      </w:pPr>
      <w:r>
        <w:rPr>
          <w:b/>
          <w:szCs w:val="20"/>
        </w:rPr>
        <w:br w:type="page"/>
      </w:r>
    </w:p>
    <w:p w:rsidR="00A45935" w:rsidRPr="002B5B92" w:rsidRDefault="00A45935" w:rsidP="00676B41">
      <w:pPr>
        <w:numPr>
          <w:ilvl w:val="0"/>
          <w:numId w:val="60"/>
        </w:numPr>
        <w:spacing w:before="120" w:after="120" w:line="280" w:lineRule="atLeast"/>
        <w:ind w:left="567" w:hanging="567"/>
        <w:mirrorIndents/>
        <w:rPr>
          <w:rFonts w:eastAsia="Times New Roman" w:cs="Times New Roman"/>
          <w:b/>
          <w:szCs w:val="20"/>
        </w:rPr>
      </w:pPr>
      <w:r w:rsidRPr="002B5B92">
        <w:rPr>
          <w:b/>
          <w:szCs w:val="20"/>
        </w:rPr>
        <w:lastRenderedPageBreak/>
        <w:t>Konklużjonijiet u rakkomandazzjonijiet</w:t>
      </w:r>
    </w:p>
    <w:p w:rsidR="00A45935" w:rsidRPr="002B5B92" w:rsidRDefault="00A45935" w:rsidP="00E05D08">
      <w:pPr>
        <w:spacing w:after="120" w:line="280" w:lineRule="atLeast"/>
        <w:mirrorIndents/>
        <w:rPr>
          <w:rFonts w:eastAsia="Calibri" w:cs="Times New Roman"/>
          <w:szCs w:val="20"/>
          <w:shd w:val="clear" w:color="auto" w:fill="FFFFFF"/>
        </w:rPr>
      </w:pPr>
      <w:r w:rsidRPr="002B5B92">
        <w:rPr>
          <w:szCs w:val="20"/>
          <w:shd w:val="clear" w:color="auto" w:fill="FFFFFF"/>
        </w:rPr>
        <w:t>Il-konklużjonijiet u r-rakkomandazzjonijiet għandhom jirrigwardjaw:</w:t>
      </w:r>
    </w:p>
    <w:p w:rsidR="00A45935" w:rsidRPr="002B5B92" w:rsidRDefault="00A45935" w:rsidP="00676B41">
      <w:pPr>
        <w:pStyle w:val="Hlistbullet"/>
        <w:rPr>
          <w:rFonts w:eastAsia="Calibri"/>
          <w:shd w:val="clear" w:color="auto" w:fill="FFFFFF"/>
        </w:rPr>
      </w:pPr>
      <w:r w:rsidRPr="002B5B92">
        <w:rPr>
          <w:b/>
          <w:shd w:val="clear" w:color="auto" w:fill="FFFFFF"/>
        </w:rPr>
        <w:t>Il-kontribut tan-NRN għat-trawwim tal-innovazzjoni</w:t>
      </w:r>
      <w:r w:rsidRPr="002B5B92">
        <w:rPr>
          <w:shd w:val="clear" w:color="auto" w:fill="FFFFFF"/>
        </w:rPr>
        <w:t xml:space="preserve"> fl-agrikoltura, fil-produzzjoni tal-ikel, fil-forestrija u fiż-żoni rurali;</w:t>
      </w:r>
    </w:p>
    <w:p w:rsidR="00A45935" w:rsidRPr="002B5B92" w:rsidRDefault="00A45935" w:rsidP="00676B41">
      <w:pPr>
        <w:pStyle w:val="Hlistbullet"/>
        <w:rPr>
          <w:rFonts w:eastAsia="Calibri"/>
          <w:shd w:val="clear" w:color="auto" w:fill="FFFFFF"/>
        </w:rPr>
      </w:pPr>
      <w:r w:rsidRPr="002B5B92">
        <w:rPr>
          <w:b/>
          <w:shd w:val="clear" w:color="auto" w:fill="FFFFFF"/>
        </w:rPr>
        <w:t>Il-fatturi u l-kundizzjonijiet ewlenin</w:t>
      </w:r>
      <w:r w:rsidRPr="002B5B92">
        <w:rPr>
          <w:shd w:val="clear" w:color="auto" w:fill="FFFFFF"/>
        </w:rPr>
        <w:t xml:space="preserve"> li jagħmlu lin-NRN atturi ewlenin fil-proċessi tal-innovazzjoni interattivi;</w:t>
      </w:r>
    </w:p>
    <w:p w:rsidR="00A45935" w:rsidRPr="002B5B92" w:rsidRDefault="00A45935" w:rsidP="00676B41">
      <w:pPr>
        <w:pStyle w:val="Hlistbullet"/>
        <w:rPr>
          <w:rFonts w:eastAsia="Calibri"/>
          <w:shd w:val="clear" w:color="auto" w:fill="FFFFFF"/>
        </w:rPr>
      </w:pPr>
      <w:r w:rsidRPr="002B5B92">
        <w:rPr>
          <w:b/>
          <w:shd w:val="clear" w:color="auto" w:fill="FFFFFF"/>
        </w:rPr>
        <w:t>Ir-rwol tan-NRN fis-sistema tal-innovazzjoni</w:t>
      </w:r>
      <w:r w:rsidRPr="002B5B92">
        <w:rPr>
          <w:shd w:val="clear" w:color="auto" w:fill="FFFFFF"/>
        </w:rPr>
        <w:t>: 1) l-identifikazzjoni tal-innovazzjoni permezz tal-ġbir u t-tixrid ta’ prattika tajba, 2) il-bini ta’ kapaċità għall-innovazzjoni permezz ta’ taħriġ, netwerking, skambji tematiċi u analitiċi, 3) il-bini ta’ ambjent favorevoli għall-innovazzjoni permezz tal-appoġġ u l-animazzjoni tal-GO tal-EIP.</w:t>
      </w:r>
    </w:p>
    <w:p w:rsidR="00A45935" w:rsidRPr="002B5B92"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2B5B92">
        <w:rPr>
          <w:b/>
          <w:color w:val="57825E"/>
          <w:szCs w:val="20"/>
          <w:shd w:val="clear" w:color="auto" w:fill="FFFFFF"/>
        </w:rPr>
        <w:t>Aktar qari</w:t>
      </w:r>
    </w:p>
    <w:p w:rsidR="00A45935" w:rsidRPr="002B5B92" w:rsidRDefault="00A45935" w:rsidP="00E05D08">
      <w:pPr>
        <w:spacing w:after="120" w:line="280" w:lineRule="atLeast"/>
        <w:mirrorIndents/>
        <w:rPr>
          <w:rFonts w:eastAsia="Calibri" w:cs="Times New Roman"/>
          <w:szCs w:val="20"/>
        </w:rPr>
      </w:pPr>
      <w:r w:rsidRPr="002B5B92">
        <w:rPr>
          <w:rFonts w:eastAsia="Times New Roman" w:cs="Times New Roman"/>
          <w:noProof/>
          <w:sz w:val="18"/>
          <w:szCs w:val="24"/>
          <w:lang w:val="en-GB" w:eastAsia="en-GB"/>
        </w:rPr>
        <mc:AlternateContent>
          <mc:Choice Requires="wps">
            <w:drawing>
              <wp:inline distT="0" distB="0" distL="0" distR="0" wp14:anchorId="598BDD52" wp14:editId="65B685E0">
                <wp:extent cx="5625465" cy="2811439"/>
                <wp:effectExtent l="0" t="0" r="13335" b="27305"/>
                <wp:docPr id="552" name="Rectangle: Diagonal Corners Rounded 552"/>
                <wp:cNvGraphicFramePr/>
                <a:graphic xmlns:a="http://schemas.openxmlformats.org/drawingml/2006/main">
                  <a:graphicData uri="http://schemas.microsoft.com/office/word/2010/wordprocessingShape">
                    <wps:wsp>
                      <wps:cNvSpPr/>
                      <wps:spPr>
                        <a:xfrm>
                          <a:off x="0" y="0"/>
                          <a:ext cx="5625465" cy="2811439"/>
                        </a:xfrm>
                        <a:prstGeom prst="round2DiagRect">
                          <a:avLst>
                            <a:gd name="adj1" fmla="val 9900"/>
                            <a:gd name="adj2" fmla="val 0"/>
                          </a:avLst>
                        </a:prstGeom>
                        <a:noFill/>
                        <a:ln w="25400" cap="flat" cmpd="sng" algn="ctr">
                          <a:solidFill>
                            <a:srgbClr val="59638E"/>
                          </a:solidFill>
                          <a:prstDash val="solid"/>
                        </a:ln>
                        <a:effectLst/>
                      </wps:spPr>
                      <wps:txbx>
                        <w:txbxContent>
                          <w:p w:rsidR="005570DA" w:rsidRDefault="005570DA" w:rsidP="00E05D08">
                            <w:pPr>
                              <w:pStyle w:val="HStandard"/>
                              <w:rPr>
                                <w:color w:val="000000"/>
                                <w:sz w:val="18"/>
                              </w:rPr>
                            </w:pPr>
                            <w:r>
                              <w:rPr>
                                <w:noProof/>
                                <w:lang w:val="en-GB" w:eastAsia="en-GB"/>
                              </w:rPr>
                              <w:drawing>
                                <wp:inline distT="0" distB="0" distL="0" distR="0" wp14:anchorId="5405CDAE" wp14:editId="7DB07901">
                                  <wp:extent cx="360465" cy="360000"/>
                                  <wp:effectExtent l="0" t="0" r="1905" b="2540"/>
                                  <wp:docPr id="751"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570DA" w:rsidRPr="006F1763" w:rsidRDefault="005570DA" w:rsidP="00E05D08">
                            <w:pPr>
                              <w:pStyle w:val="HStandard"/>
                              <w:rPr>
                                <w:sz w:val="18"/>
                                <w:szCs w:val="18"/>
                              </w:rPr>
                            </w:pPr>
                            <w:r>
                              <w:rPr>
                                <w:sz w:val="18"/>
                                <w:szCs w:val="18"/>
                              </w:rPr>
                              <w:t xml:space="preserve">Helpdesk Ewropew ta’ Evalwazzjoni (2016). </w:t>
                            </w:r>
                            <w:r>
                              <w:t>Linji Gwida</w:t>
                            </w:r>
                            <w:r>
                              <w:rPr>
                                <w:sz w:val="18"/>
                                <w:szCs w:val="18"/>
                              </w:rPr>
                              <w:t xml:space="preserve"> “</w:t>
                            </w:r>
                            <w:hyperlink r:id="rId65" w:history="1">
                              <w:r>
                                <w:rPr>
                                  <w:color w:val="F07E31"/>
                                  <w:sz w:val="18"/>
                                  <w:szCs w:val="18"/>
                                  <w:u w:val="single"/>
                                </w:rPr>
                                <w:t>Assessment of RDP results:</w:t>
                              </w:r>
                            </w:hyperlink>
                            <w:hyperlink r:id="rId66" w:history="1">
                              <w:r>
                                <w:rPr>
                                  <w:color w:val="F07E31"/>
                                  <w:sz w:val="18"/>
                                  <w:szCs w:val="18"/>
                                  <w:u w:val="single"/>
                                </w:rPr>
                                <w:t>How to prepare for reporting on evaluation in 2017</w:t>
                              </w:r>
                            </w:hyperlink>
                            <w:r>
                              <w:rPr>
                                <w:sz w:val="18"/>
                                <w:szCs w:val="18"/>
                              </w:rPr>
                              <w:t xml:space="preserve">” (Valutazzjoni tar-Riżultati tal-PŻR: Kif tħejji għar-rapportar dwar l-evalwazzjoni fl-2017) Anness 11 </w:t>
                            </w:r>
                          </w:p>
                          <w:p w:rsidR="005570DA" w:rsidRPr="006F1763" w:rsidRDefault="005570DA" w:rsidP="00E05D08">
                            <w:pPr>
                              <w:pStyle w:val="HStandard"/>
                              <w:rPr>
                                <w:sz w:val="18"/>
                                <w:szCs w:val="18"/>
                              </w:rPr>
                            </w:pPr>
                            <w:r>
                              <w:rPr>
                                <w:sz w:val="18"/>
                                <w:szCs w:val="18"/>
                              </w:rPr>
                              <w:t>ENRD (2014).</w:t>
                            </w:r>
                            <w:hyperlink r:id="rId67" w:history="1">
                              <w:r>
                                <w:rPr>
                                  <w:rStyle w:val="Hyperlink"/>
                                  <w:sz w:val="18"/>
                                  <w:szCs w:val="18"/>
                                </w:rPr>
                                <w:t>NRN Guidebook</w:t>
                              </w:r>
                            </w:hyperlink>
                            <w:r>
                              <w:rPr>
                                <w:sz w:val="18"/>
                                <w:szCs w:val="18"/>
                              </w:rPr>
                              <w:t>. L-Uffiċċju għall-Pubblikazzjonijiet tal-Lussemburgu</w:t>
                            </w:r>
                          </w:p>
                          <w:p w:rsidR="005570DA" w:rsidRPr="006F1763" w:rsidRDefault="005570DA" w:rsidP="00E05D08">
                            <w:pPr>
                              <w:pStyle w:val="HStandard"/>
                              <w:rPr>
                                <w:sz w:val="18"/>
                                <w:szCs w:val="18"/>
                              </w:rPr>
                            </w:pPr>
                            <w:r>
                              <w:rPr>
                                <w:sz w:val="18"/>
                                <w:szCs w:val="18"/>
                              </w:rPr>
                              <w:t xml:space="preserve">Helpdesk Ewropew ta’ Evalwazzjoni (2016), Linji Gwida </w:t>
                            </w:r>
                            <w:hyperlink r:id="rId68" w:history="1">
                              <w:r>
                                <w:rPr>
                                  <w:rStyle w:val="Hyperlink"/>
                                  <w:sz w:val="18"/>
                                  <w:szCs w:val="18"/>
                                </w:rPr>
                                <w:t>Evaluation of National Rural Networks 2014-2020 (Evalwazzjoni tan-Netwerks Rurali Nazzjonali 2014-2020)</w:t>
                              </w:r>
                            </w:hyperlink>
                          </w:p>
                          <w:p w:rsidR="005570DA" w:rsidRPr="006F1763" w:rsidRDefault="005570DA" w:rsidP="00E05D08">
                            <w:pPr>
                              <w:pStyle w:val="HStandard"/>
                              <w:rPr>
                                <w:sz w:val="18"/>
                                <w:szCs w:val="18"/>
                              </w:rPr>
                            </w:pPr>
                            <w:r>
                              <w:rPr>
                                <w:sz w:val="18"/>
                                <w:szCs w:val="18"/>
                              </w:rPr>
                              <w:t xml:space="preserve">Il-Kummissjoni Ewropea, DĠ AGRI (2014). </w:t>
                            </w:r>
                            <w:hyperlink r:id="rId69" w:history="1">
                              <w:r>
                                <w:rPr>
                                  <w:rStyle w:val="Hyperlink"/>
                                  <w:sz w:val="18"/>
                                  <w:szCs w:val="18"/>
                                </w:rPr>
                                <w:t>Guidelines on programming for innovation and the implementation of the EIP for agricultural productivity and sustainability</w:t>
                              </w:r>
                            </w:hyperlink>
                            <w:r>
                              <w:t xml:space="preserve"> (Linji gwida dwar il-programmazzjoni għall-innovazzjoni u l-implimentazzjoni tal-EIP għall-produttività u s-sostenibbiltà fil-qasam agrikolu)</w:t>
                            </w:r>
                          </w:p>
                          <w:p w:rsidR="005570DA" w:rsidRPr="006F1763" w:rsidRDefault="005570DA" w:rsidP="00E05D08">
                            <w:pPr>
                              <w:pStyle w:val="HStandard"/>
                              <w:rPr>
                                <w:sz w:val="18"/>
                                <w:szCs w:val="18"/>
                              </w:rPr>
                            </w:pPr>
                            <w:r>
                              <w:rPr>
                                <w:sz w:val="18"/>
                                <w:szCs w:val="18"/>
                              </w:rPr>
                              <w:t xml:space="preserve">Helpdesk Ewropew ta’ Evalwazzjoni (2014). Il-loġika tal-intervent u l-qafas ta’ evalwazzjoni għan-Netwerks Rurali Nazzjonali 2014-2020. </w:t>
                            </w:r>
                            <w:r>
                              <w:t xml:space="preserve">Dokument ta’ sfond </w:t>
                            </w:r>
                            <w:r>
                              <w:rPr>
                                <w:sz w:val="18"/>
                                <w:szCs w:val="18"/>
                              </w:rPr>
                              <w:t xml:space="preserve">ippreżentat waqt </w:t>
                            </w:r>
                            <w:hyperlink r:id="rId70" w:history="1">
                              <w:r>
                                <w:rPr>
                                  <w:rStyle w:val="Hyperlink"/>
                                  <w:sz w:val="18"/>
                                  <w:szCs w:val="18"/>
                                </w:rPr>
                                <w:t>Good Practice Workshop “National Rural Networks:</w:t>
                              </w:r>
                            </w:hyperlink>
                            <w:hyperlink r:id="rId71" w:history="1">
                              <w:r>
                                <w:rPr>
                                  <w:rStyle w:val="Hyperlink"/>
                                  <w:sz w:val="18"/>
                                  <w:szCs w:val="18"/>
                                </w:rPr>
                                <w:t>How to show their benefits</w:t>
                              </w:r>
                            </w:hyperlink>
                            <w:r>
                              <w:rPr>
                                <w:color w:val="F07E31"/>
                              </w:rPr>
                              <w:t>”</w:t>
                            </w:r>
                            <w:r>
                              <w:rPr>
                                <w:sz w:val="18"/>
                                <w:szCs w:val="18"/>
                              </w:rPr>
                              <w:t xml:space="preserve"> (Il-Workshop ta’ Prattika Tajba “Netwerks Rurali Nazzjonali: Kif jintwerew il-benefiċċji tagħhom), Ruma (l-Italja), l-10 u l-11 ta’ April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8BDD52" id="Rectangle: Diagonal Corners Rounded 552" o:spid="_x0000_s1052" style="width:442.95pt;height:221.35pt;visibility:visible;mso-wrap-style:square;mso-left-percent:-10001;mso-top-percent:-10001;mso-position-horizontal:absolute;mso-position-horizontal-relative:char;mso-position-vertical:absolute;mso-position-vertical-relative:line;mso-left-percent:-10001;mso-top-percent:-10001;v-text-anchor:middle" coordsize="5625465,28114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" adj="-11796480,,5400" path="m278332,l5625465,r,l5625465,2533107v,153719,-124613,278332,-278332,278332l,2811439r,l,278332c,124613,124613,,278332,xe" filled="f" strokecolor="#59638e" strokeweight="2pt">
                <v:stroke joinstyle="miter"/>
                <v:formulas/>
                <v:path arrowok="t" o:connecttype="custom" o:connectlocs="278332,0;5625465,0;5625465,0;5625465,2533107;5347133,2811439;0,2811439;0,2811439;0,278332;278332,0" o:connectangles="0,0,0,0,0,0,0,0,0" textboxrect="0,0,5625465,2811439"/>
                <v:textbox>
                  <w:txbxContent>
                    <w:p w:rsidR="005570DA" w:rsidRDefault="005570DA" w:rsidP="00E05D08">
                      <w:pPr>
                        <w:pStyle w:val="HStandard"/>
                        <w:rPr>
                          <w:color w:val="000000"/>
                          <w:sz w:val="18"/>
                        </w:rPr>
                      </w:pPr>
                      <w:r>
                        <w:rPr>
                          <w:noProof/>
                          <w:lang w:val="en-GB" w:eastAsia="en-GB"/>
                        </w:rPr>
                        <w:drawing>
                          <wp:inline distT="0" distB="0" distL="0" distR="0" wp14:anchorId="5405CDAE" wp14:editId="7DB07901">
                            <wp:extent cx="360465" cy="360000"/>
                            <wp:effectExtent l="0" t="0" r="1905" b="2540"/>
                            <wp:docPr id="751"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570DA" w:rsidRPr="006F1763" w:rsidRDefault="005570DA" w:rsidP="00E05D08">
                      <w:pPr>
                        <w:pStyle w:val="HStandard"/>
                        <w:rPr>
                          <w:sz w:val="18"/>
                          <w:szCs w:val="18"/>
                        </w:rPr>
                      </w:pPr>
                      <w:r>
                        <w:rPr>
                          <w:sz w:val="18"/>
                          <w:szCs w:val="18"/>
                        </w:rPr>
                        <w:t xml:space="preserve">Helpdesk Ewropew ta’ Evalwazzjoni (2016). </w:t>
                      </w:r>
                      <w:r>
                        <w:t>Linji Gwida</w:t>
                      </w:r>
                      <w:r>
                        <w:rPr>
                          <w:sz w:val="18"/>
                          <w:szCs w:val="18"/>
                        </w:rPr>
                        <w:t xml:space="preserve"> “</w:t>
                      </w:r>
                      <w:hyperlink r:id="rId72" w:history="1">
                        <w:r>
                          <w:rPr>
                            <w:color w:val="F07E31"/>
                            <w:sz w:val="18"/>
                            <w:szCs w:val="18"/>
                            <w:u w:val="single"/>
                          </w:rPr>
                          <w:t>Assessment of RDP results:</w:t>
                        </w:r>
                      </w:hyperlink>
                      <w:hyperlink r:id="rId73" w:history="1">
                        <w:r>
                          <w:rPr>
                            <w:color w:val="F07E31"/>
                            <w:sz w:val="18"/>
                            <w:szCs w:val="18"/>
                            <w:u w:val="single"/>
                          </w:rPr>
                          <w:t>How to prepare for reporting on evaluation in 2017</w:t>
                        </w:r>
                      </w:hyperlink>
                      <w:r>
                        <w:rPr>
                          <w:sz w:val="18"/>
                          <w:szCs w:val="18"/>
                        </w:rPr>
                        <w:t xml:space="preserve">” (Valutazzjoni tar-Riżultati tal-PŻR: Kif tħejji għar-rapportar dwar l-evalwazzjoni fl-2017) Anness 11 </w:t>
                      </w:r>
                    </w:p>
                    <w:p w:rsidR="005570DA" w:rsidRPr="006F1763" w:rsidRDefault="005570DA" w:rsidP="00E05D08">
                      <w:pPr>
                        <w:pStyle w:val="HStandard"/>
                        <w:rPr>
                          <w:sz w:val="18"/>
                          <w:szCs w:val="18"/>
                        </w:rPr>
                      </w:pPr>
                      <w:r>
                        <w:rPr>
                          <w:sz w:val="18"/>
                          <w:szCs w:val="18"/>
                        </w:rPr>
                        <w:t>ENRD (2014).</w:t>
                      </w:r>
                      <w:hyperlink r:id="rId74" w:history="1">
                        <w:r>
                          <w:rPr>
                            <w:rStyle w:val="Hyperlink"/>
                            <w:sz w:val="18"/>
                            <w:szCs w:val="18"/>
                          </w:rPr>
                          <w:t>NRN Guidebook</w:t>
                        </w:r>
                      </w:hyperlink>
                      <w:r>
                        <w:rPr>
                          <w:sz w:val="18"/>
                          <w:szCs w:val="18"/>
                        </w:rPr>
                        <w:t>. L-Uffiċċju għall-Pubblikazzjonijiet tal-Lussemburgu</w:t>
                      </w:r>
                    </w:p>
                    <w:p w:rsidR="005570DA" w:rsidRPr="006F1763" w:rsidRDefault="005570DA" w:rsidP="00E05D08">
                      <w:pPr>
                        <w:pStyle w:val="HStandard"/>
                        <w:rPr>
                          <w:sz w:val="18"/>
                          <w:szCs w:val="18"/>
                        </w:rPr>
                      </w:pPr>
                      <w:r>
                        <w:rPr>
                          <w:sz w:val="18"/>
                          <w:szCs w:val="18"/>
                        </w:rPr>
                        <w:t xml:space="preserve">Helpdesk Ewropew ta’ Evalwazzjoni (2016), Linji Gwida </w:t>
                      </w:r>
                      <w:hyperlink r:id="rId75" w:history="1">
                        <w:r>
                          <w:rPr>
                            <w:rStyle w:val="Hyperlink"/>
                            <w:sz w:val="18"/>
                            <w:szCs w:val="18"/>
                          </w:rPr>
                          <w:t>Evaluation of National Rural Networks 2014-2020 (Evalwazzjoni tan-Netwerks Rurali Nazzjonali 2014-2020)</w:t>
                        </w:r>
                      </w:hyperlink>
                    </w:p>
                    <w:p w:rsidR="005570DA" w:rsidRPr="006F1763" w:rsidRDefault="005570DA" w:rsidP="00E05D08">
                      <w:pPr>
                        <w:pStyle w:val="HStandard"/>
                        <w:rPr>
                          <w:sz w:val="18"/>
                          <w:szCs w:val="18"/>
                        </w:rPr>
                      </w:pPr>
                      <w:r>
                        <w:rPr>
                          <w:sz w:val="18"/>
                          <w:szCs w:val="18"/>
                        </w:rPr>
                        <w:t xml:space="preserve">Il-Kummissjoni Ewropea, DĠ AGRI (2014). </w:t>
                      </w:r>
                      <w:hyperlink r:id="rId76" w:history="1">
                        <w:r>
                          <w:rPr>
                            <w:rStyle w:val="Hyperlink"/>
                            <w:sz w:val="18"/>
                            <w:szCs w:val="18"/>
                          </w:rPr>
                          <w:t>Guidelines on programming for innovation and the implementation of the EIP for agricultural productivity and sustainability</w:t>
                        </w:r>
                      </w:hyperlink>
                      <w:r>
                        <w:t xml:space="preserve"> (Linji gwida dwar il-programmazzjoni għall-innovazzjoni u l-implimentazzjoni tal-EIP għall-produttività u s-sostenibbiltà fil-qasam agrikolu)</w:t>
                      </w:r>
                    </w:p>
                    <w:p w:rsidR="005570DA" w:rsidRPr="006F1763" w:rsidRDefault="005570DA" w:rsidP="00E05D08">
                      <w:pPr>
                        <w:pStyle w:val="HStandard"/>
                        <w:rPr>
                          <w:sz w:val="18"/>
                          <w:szCs w:val="18"/>
                        </w:rPr>
                      </w:pPr>
                      <w:r>
                        <w:rPr>
                          <w:sz w:val="18"/>
                          <w:szCs w:val="18"/>
                        </w:rPr>
                        <w:t xml:space="preserve">Helpdesk Ewropew ta’ Evalwazzjoni (2014). Il-loġika tal-intervent u l-qafas ta’ evalwazzjoni għan-Netwerks Rurali Nazzjonali 2014-2020. </w:t>
                      </w:r>
                      <w:r>
                        <w:t xml:space="preserve">Dokument ta’ sfond </w:t>
                      </w:r>
                      <w:r>
                        <w:rPr>
                          <w:sz w:val="18"/>
                          <w:szCs w:val="18"/>
                        </w:rPr>
                        <w:t xml:space="preserve">ippreżentat waqt </w:t>
                      </w:r>
                      <w:hyperlink r:id="rId77" w:history="1">
                        <w:r>
                          <w:rPr>
                            <w:rStyle w:val="Hyperlink"/>
                            <w:sz w:val="18"/>
                            <w:szCs w:val="18"/>
                          </w:rPr>
                          <w:t>Good Practice Workshop “National Rural Networks:</w:t>
                        </w:r>
                      </w:hyperlink>
                      <w:hyperlink r:id="rId78" w:history="1">
                        <w:r>
                          <w:rPr>
                            <w:rStyle w:val="Hyperlink"/>
                            <w:sz w:val="18"/>
                            <w:szCs w:val="18"/>
                          </w:rPr>
                          <w:t>How to show their benefits</w:t>
                        </w:r>
                      </w:hyperlink>
                      <w:r>
                        <w:rPr>
                          <w:color w:val="F07E31"/>
                        </w:rPr>
                        <w:t>”</w:t>
                      </w:r>
                      <w:r>
                        <w:rPr>
                          <w:sz w:val="18"/>
                          <w:szCs w:val="18"/>
                        </w:rPr>
                        <w:t xml:space="preserve"> (Il-Workshop ta’ Prattika Tajba “Netwerks Rurali Nazzjonali: Kif jintwerew il-benefiċċji tagħhom), Ruma (l-Italja), l-10 u l-11 ta’ April 2014</w:t>
                      </w:r>
                    </w:p>
                  </w:txbxContent>
                </v:textbox>
                <w10:anchorlock/>
              </v:shape>
            </w:pict>
          </mc:Fallback>
        </mc:AlternateContent>
      </w:r>
    </w:p>
    <w:p w:rsidR="00A45935" w:rsidRPr="002B5B92" w:rsidRDefault="00A45935" w:rsidP="00F66623">
      <w:pPr>
        <w:pStyle w:val="HHeading3"/>
        <w:numPr>
          <w:ilvl w:val="2"/>
          <w:numId w:val="124"/>
        </w:numPr>
        <w:tabs>
          <w:tab w:val="clear" w:pos="567"/>
        </w:tabs>
        <w:spacing w:before="480" w:line="280" w:lineRule="exact"/>
        <w:ind w:left="567" w:hanging="567"/>
      </w:pPr>
      <w:bookmarkStart w:id="122" w:name="_Toc501382134"/>
      <w:bookmarkStart w:id="123" w:name="_Toc508960924"/>
      <w:r w:rsidRPr="002B5B92">
        <w:t>CEQ nru. 23: “Sa liema punt il-PŻR ikkontribwixxa għall-kisba tal-mira ewlenija tal-UE 2020 li jiġi investit 3 % tal-PDG tal-UE fir-riċerka u l-iżvilupp u fl-innovazzjoni?”</w:t>
      </w:r>
      <w:bookmarkEnd w:id="122"/>
      <w:bookmarkEnd w:id="123"/>
      <w:r w:rsidRPr="002B5B92">
        <w:t xml:space="preserve"> </w:t>
      </w:r>
    </w:p>
    <w:p w:rsidR="00A45935" w:rsidRPr="002B5B92"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sidRPr="002B5B92">
        <w:rPr>
          <w:b/>
          <w:color w:val="57825E"/>
          <w:szCs w:val="20"/>
        </w:rPr>
        <w:t>Il-fehim tas-CEQ</w:t>
      </w:r>
    </w:p>
    <w:p w:rsidR="00A45935" w:rsidRPr="002B5B92" w:rsidRDefault="00A45935" w:rsidP="00E05D08">
      <w:pPr>
        <w:spacing w:after="120" w:line="280" w:lineRule="atLeast"/>
        <w:mirrorIndents/>
        <w:rPr>
          <w:rFonts w:eastAsia="Times New Roman" w:cs="Times New Roman"/>
          <w:szCs w:val="20"/>
        </w:rPr>
      </w:pPr>
      <w:r w:rsidRPr="002B5B92">
        <w:t xml:space="preserve">Din is-CEQ tirrigwardja waħda mill-ħames miri ewlenin tal-istrateġija UE 2020: “3 % tal-PDG tal-UE għandu jiġi investit fir-riċerka u l-iżvilupp jew fl-innovazzjoni”. Sabiex tinftiehem il-mistoqsija, għandhom jiġu rikonoxxuti l-kuntest u l-kejl tal-mira ewlenija u, l-aktar importanti, l-għan tagħha li jittejbu l-kundizzjonijiet għall-innovazzjoni, ir-riċerka u l-iżvilupp, filwaqt li tintuża t-taħlita ta’ fondi pubbliċi u privati. </w:t>
      </w:r>
    </w:p>
    <w:p w:rsidR="00A45935" w:rsidRPr="002B5B92" w:rsidRDefault="00A45935" w:rsidP="00E05D08">
      <w:pPr>
        <w:spacing w:after="120" w:line="280" w:lineRule="atLeast"/>
        <w:mirrorIndents/>
        <w:rPr>
          <w:rFonts w:eastAsia="Times New Roman" w:cs="Times New Roman"/>
          <w:szCs w:val="20"/>
        </w:rPr>
      </w:pPr>
      <w:r w:rsidRPr="002B5B92">
        <w:t xml:space="preserve">Il-mira ewlenija hija marbuta mal-prijoritajiet tal-istrateġija UE 2020 għal tkabbir intelliġenti, sostenibbli u inklużiv ibbażat fuq l-għarfien u l-innovazzjoni. L-attenzjoni hija ffokata fuq il-ħtieġa li kemm is-settur pubbliku kif ukoll dak privat jinvestu fir-riċerka u l-iżvilupp, iżda hija tiffoka </w:t>
      </w:r>
      <w:r w:rsidRPr="002B5B92">
        <w:rPr>
          <w:b/>
        </w:rPr>
        <w:t>fuq l-input aktar milli l-impatt</w:t>
      </w:r>
      <w:r w:rsidRPr="002B5B92">
        <w:rPr>
          <w:rFonts w:eastAsia="Times New Roman" w:cs="Times New Roman"/>
          <w:szCs w:val="20"/>
          <w:vertAlign w:val="superscript"/>
          <w:lang w:eastAsia="de-DE"/>
        </w:rPr>
        <w:footnoteReference w:id="68"/>
      </w:r>
      <w:r w:rsidRPr="002B5B92">
        <w:t>. Hemm il-ħtieġa ċara li jittejbu l-kundizzjonijiet tar-riċerka u l-iżvilupp privati fl-UE u ħafna mill-miżuri proposti f’din l-istrateġija se jagħmlu dan. Jidher b’mod ċar ukoll li jekk inħarsu lejn ir-riċerka u l-</w:t>
      </w:r>
      <w:r w:rsidRPr="002B5B92">
        <w:lastRenderedPageBreak/>
        <w:t xml:space="preserve">iżvilupp u l-innovazzjoni flimkien inkunu nistgħu niksbu firxa usa’ ta’ nfiq, li jkun aktar rilevanti għall-operazzjonijiet kummerċjali u għall-fatturi li jixprunaw il-produttività. Il-Kummissjoni tipproponi li tinżamm il-mira ta’ 3 %, filwaqt li jiġi żviluppat indikatur li jkun jirrefletti l-intensità tar-riċerka u l-iżvilupp u tal-innovazzjoni. </w:t>
      </w:r>
    </w:p>
    <w:p w:rsidR="00A45935" w:rsidRPr="002B5B92" w:rsidRDefault="00A45935" w:rsidP="00E05D08">
      <w:pPr>
        <w:spacing w:after="120" w:line="280" w:lineRule="atLeast"/>
        <w:mirrorIndents/>
        <w:rPr>
          <w:rFonts w:eastAsia="Times New Roman" w:cs="Times New Roman"/>
          <w:szCs w:val="20"/>
        </w:rPr>
      </w:pPr>
      <w:r w:rsidRPr="002B5B92">
        <w:t>Din il-mira ewlenija ġiet tradotta fl-Istati Membri tal-UE f’miri nazzjonali li jirriflettu sitwazzjonijiet u ċirkostanzi differenti sabiex kull Stat Membru jkun jista’ jiċċekkja l-progress tiegħu lejn il-miri tal-UE 2020</w:t>
      </w:r>
      <w:r w:rsidRPr="002B5B92">
        <w:rPr>
          <w:rFonts w:eastAsia="Times New Roman" w:cs="Times New Roman"/>
          <w:szCs w:val="20"/>
          <w:vertAlign w:val="superscript"/>
          <w:lang w:eastAsia="de-DE"/>
        </w:rPr>
        <w:footnoteReference w:id="69"/>
      </w:r>
      <w:r w:rsidRPr="002B5B92">
        <w:t xml:space="preserve">. </w:t>
      </w:r>
    </w:p>
    <w:p w:rsidR="00A45935" w:rsidRPr="002B5B92"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sidRPr="002B5B92">
        <w:rPr>
          <w:b/>
          <w:color w:val="57825E"/>
          <w:szCs w:val="20"/>
        </w:rPr>
        <w:t xml:space="preserve">Sfidi speċifiċi </w:t>
      </w:r>
    </w:p>
    <w:p w:rsidR="00A45935" w:rsidRPr="002B5B92" w:rsidRDefault="00A45935" w:rsidP="00676B41">
      <w:pPr>
        <w:pStyle w:val="Hlistbullet"/>
      </w:pPr>
      <w:r w:rsidRPr="002B5B92">
        <w:rPr>
          <w:b/>
        </w:rPr>
        <w:t xml:space="preserve">Il-ġestjoni tad-data sabiex tinkiseb kwalità għolja ta’ data dwar ir-riċerka u l-iżvilupp u l-innovazzjoni: </w:t>
      </w:r>
      <w:r w:rsidRPr="002B5B92">
        <w:t>L-Eurostat jippubblika regolarment rapport ta’ progress komprensiv għall-indikatur tal-mira ewlenija</w:t>
      </w:r>
      <w:r w:rsidRPr="002B5B92">
        <w:rPr>
          <w:vertAlign w:val="superscript"/>
        </w:rPr>
        <w:footnoteReference w:id="70"/>
      </w:r>
      <w:r w:rsidRPr="002B5B92">
        <w:t>. Il-ġbir tad-data huwa ggwidat mill-Manwal Frascati (OECD)</w:t>
      </w:r>
      <w:r w:rsidRPr="002B5B92">
        <w:rPr>
          <w:vertAlign w:val="superscript"/>
        </w:rPr>
        <w:footnoteReference w:id="71"/>
      </w:r>
      <w:r w:rsidRPr="002B5B92">
        <w:t xml:space="preserve"> u minn regolamenti speċifiċi tal-UE</w:t>
      </w:r>
      <w:r w:rsidRPr="002B5B92">
        <w:rPr>
          <w:vertAlign w:val="superscript"/>
        </w:rPr>
        <w:footnoteReference w:id="72"/>
      </w:r>
      <w:r w:rsidRPr="002B5B92">
        <w:t>. Il-Manwal Frascati huwa wkoll il-bażi għall-ġbir ta’ data għall-indikatur tal-prokura tal-indikatur tal-mira ewlenija “nefqa domestika gross fuq ir-riċerka u l-iżvilupp (GERD)”, li tinġabar mill-Eurostat</w:t>
      </w:r>
      <w:r w:rsidRPr="002B5B92">
        <w:rPr>
          <w:vertAlign w:val="superscript"/>
        </w:rPr>
        <w:footnoteReference w:id="73"/>
      </w:r>
      <w:r w:rsidRPr="002B5B92">
        <w:t xml:space="preserve">. Din tinkludi l-infiq </w:t>
      </w:r>
      <w:r w:rsidRPr="002B5B92">
        <w:rPr>
          <w:color w:val="333333"/>
          <w:shd w:val="clear" w:color="auto" w:fill="FFFFFF"/>
        </w:rPr>
        <w:t>fuq ir-riċerka u l-iżvilupp minn intrapriżi tan-negozju, istituzzjonijiet tal-edukazzjoni għolja, kif ukoll minn organizzazzjonijiet privati u governattivi mingħajr skop ta’ qligħ.</w:t>
      </w:r>
      <w:r w:rsidRPr="002B5B92">
        <w:t xml:space="preserve"> Il-GERD hija pprovduta mill-Eurostat għal-livelli NUTS 1 u NUTS 2. L-indikatur “% tal-GERD totali” juri </w:t>
      </w:r>
      <w:r w:rsidRPr="002B5B92">
        <w:rPr>
          <w:color w:val="333333"/>
          <w:shd w:val="clear" w:color="auto" w:fill="FFFFFF"/>
        </w:rPr>
        <w:t>l-ishma relattivi tas-sorsi differenti ta’ fondi fir-riċerka u l-iżvilupp: l-industrija, il-gvern, l-edukazzjoni għolja u s-settur privat mingħajr skop ta’ qligħ. Il-ħames sors ta’ fondi muri huwa l-GERD iffinanzjata minn barra l-pajjiż. “</w:t>
      </w:r>
      <w:r w:rsidRPr="002B5B92">
        <w:t>% tal-GERD totali”</w:t>
      </w:r>
      <w:r w:rsidRPr="002B5B92">
        <w:rPr>
          <w:color w:val="333333"/>
          <w:shd w:val="clear" w:color="auto" w:fill="FFFFFF"/>
        </w:rPr>
        <w:t xml:space="preserve"> huwa pprovdut għal-livell NUTS 1. Għalkemm l-Eurostat jippubblika l-aktar data riċenti, hemm intervall ta’ żmien ta’ bejn sentejn u 3 snin. </w:t>
      </w:r>
      <w:r w:rsidRPr="002B5B92">
        <w:t xml:space="preserve">L-Eurostat ma jipprovdix data għall-GERD u l-% tal-GERD totali għal kull settur ekonomiku (eż. l-industrija tal-ikel, l-agrikoltura). Għalkemm l-istatistika tirreferi għall-infiq fuq ir-riċerka u l-iżvilupp b’mod espliċitu, fil-fatt din tinkludi wkoll </w:t>
      </w:r>
      <w:r w:rsidRPr="002B5B92">
        <w:rPr>
          <w:b/>
        </w:rPr>
        <w:t>l-infiq fuq l-innovazzjoni</w:t>
      </w:r>
      <w:r w:rsidRPr="002B5B92">
        <w:t xml:space="preserve"> sa ċertu punt kif stipulat mill-Istrateġija Ewropa 2020. Għall-programmi ta’ finanzjament </w:t>
      </w:r>
      <w:r w:rsidRPr="002B5B92">
        <w:rPr>
          <w:color w:val="333333"/>
          <w:shd w:val="clear" w:color="auto" w:fill="FFFFFF"/>
        </w:rPr>
        <w:t>li</w:t>
      </w:r>
      <w:r w:rsidRPr="002B5B92">
        <w:t xml:space="preserve"> jippromwovu l-innovazzjoni, punt ta’ referenza huwa l-Manwal Frascati. Dan ikejjel l-attivitajiet xjentifiċi, teknoloġiċi u ta’ innovazzjoni, madankollu, il-linja bejn ir-riċerka u l-iżvilupp u l-attivitajiet ta’ innovazzjoni mhux dejjem tkun kompletament ċara. </w:t>
      </w:r>
    </w:p>
    <w:p w:rsidR="00A45935" w:rsidRPr="002B5B92" w:rsidRDefault="00A45935" w:rsidP="00676B41">
      <w:pPr>
        <w:pStyle w:val="Hlistbullet"/>
      </w:pPr>
      <w:r w:rsidRPr="002B5B92">
        <w:rPr>
          <w:b/>
        </w:rPr>
        <w:t xml:space="preserve">Ivvaluta l-kontribut tal-PŻR għall-mira ewlenija: </w:t>
      </w:r>
      <w:r w:rsidRPr="002B5B92">
        <w:t>L-isfida hija li tirrifletti b’mod adegwat u realistiku fuq il-kontribuzzjonijiet tal-PŻR għall-mira ewlenija, filwaqt li żżomm f’moħħok l-orjentazzjoni tal-programmi lejn l-Istrateġija Ewropa 2020. F’dan il-kompitu ta’ evalwazzjoni, jeħtieġ ukoll li jiġu kkunsidrati l-karatteristiċi tal-interventi tal-FAEŻR u l-ispeċifiċitajiet taż-żoni rurali u s-setturi li fihom jiffunzjonaw. Billi ż-żoni rurali ġeneralment ikunu strutturalment aktar dgħajfa miż-żoni urbani u l-istrateġija UE 2020 hija bbażata fuq investimenti f’żoni u setturi ta’ tkabbir, jista’ jkun mistenni kontribut relattivament aktar baxx tal-PŻR meta mqabbel ma’ programmi operazzjonali oħrajn</w:t>
      </w:r>
      <w:r w:rsidRPr="002B5B92">
        <w:rPr>
          <w:vertAlign w:val="superscript"/>
        </w:rPr>
        <w:footnoteReference w:id="74"/>
      </w:r>
      <w:r w:rsidRPr="002B5B92">
        <w:t xml:space="preserve">. Madankollu, dak li jista’ jidher inqas importanti għall-ekonomiji nazzjonali jista’ jkun ta’ valur għoli għall-PDG fiż-żoni rurali u għall-iżvilupp tagħhom fil-ġejjieni. Għalhekk, għandha tiġi kkalkolata l-mira ewlenija għall-kontribuzzjonijiet tal-PŻR u għandha tiġi mwieġba s-CEQ. </w:t>
      </w:r>
    </w:p>
    <w:p w:rsidR="00A45935" w:rsidRPr="002B5B92"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2B5B92">
        <w:rPr>
          <w:b/>
          <w:color w:val="57825E"/>
          <w:szCs w:val="20"/>
          <w:shd w:val="clear" w:color="auto" w:fill="FFFFFF"/>
        </w:rPr>
        <w:lastRenderedPageBreak/>
        <w:t>Approċċ issuġġerit sabiex tiġi mwieġba s-CEQ nru. 23</w:t>
      </w:r>
    </w:p>
    <w:p w:rsidR="00A45935" w:rsidRPr="002B5B92" w:rsidRDefault="00A45935" w:rsidP="008C0B17">
      <w:pPr>
        <w:numPr>
          <w:ilvl w:val="0"/>
          <w:numId w:val="61"/>
        </w:numPr>
        <w:spacing w:before="120" w:after="120" w:line="280" w:lineRule="atLeast"/>
        <w:ind w:left="567" w:hanging="567"/>
        <w:mirrorIndents/>
        <w:rPr>
          <w:rFonts w:eastAsia="Times New Roman" w:cs="Times New Roman"/>
          <w:b/>
          <w:szCs w:val="20"/>
        </w:rPr>
      </w:pPr>
      <w:r w:rsidRPr="002B5B92">
        <w:rPr>
          <w:b/>
          <w:szCs w:val="20"/>
        </w:rPr>
        <w:t xml:space="preserve">Il-loġika tal-intervent </w:t>
      </w:r>
    </w:p>
    <w:p w:rsidR="00697455" w:rsidRPr="002B5B92" w:rsidRDefault="00A45935" w:rsidP="00E05D08">
      <w:pPr>
        <w:spacing w:after="120" w:line="280" w:lineRule="atLeast"/>
        <w:mirrorIndents/>
        <w:rPr>
          <w:rFonts w:eastAsia="Times New Roman" w:cs="Times New Roman"/>
          <w:szCs w:val="20"/>
        </w:rPr>
      </w:pPr>
      <w:r w:rsidRPr="002B5B92">
        <w:t xml:space="preserve">Il-miżuri/submiżuri kollha tal-PŻR li jikkontribwixxu għat-trawwim tal-innovazzjoni permezz tat-tliet perkorsi f’żoni rurali kif identifikati fl-iskrinjar tal-potenzjal tal-innovazzjoni tagħhom (ara </w:t>
      </w:r>
      <w:hyperlink w:anchor="Screening_Potential" w:history="1">
        <w:r w:rsidRPr="002B5B92">
          <w:rPr>
            <w:rStyle w:val="Hyperlink"/>
            <w:sz w:val="20"/>
            <w:szCs w:val="20"/>
          </w:rPr>
          <w:t>l-Kapitolu 2.2</w:t>
        </w:r>
      </w:hyperlink>
      <w:r w:rsidRPr="002B5B92">
        <w:t xml:space="preserve">) għandhom jitqiesu bħala parti mil-loġika tal-intervent marbuta mas-CEQ nru. 23. Dan imur lil hinn mill-miżuri li primarjament jitqiesu bħala miżuri għat-trawwim tal-innovazzjoni - M1, M2 u M16 u jistgħu jkopru wkoll miżuri oħrajn ta’ investiment, kummerċjalizzazzjoni u dawk ibbażati fuq il-qasam, li l-implimentazzjoni tagħhom tista’ tappoġġa l-innovazzjoni (eż. permezz ta’ kriterji tal-għażla tal-proġett relatati mal-innovazzjoni). L-operazzjonijiet implimentati taħt dawn il-miżuri u s-submiżuri jiġu kkunsidrati sabiex jingħadd l-infiq għar-riċerka u l-iżvilupp u l-innovazzjoni, filwaqt li l-valutazzjoni tal-mira ewlenija jew il-prokura tagħha (GERD) u indikaturi addizzjonali jiġu applikati sabiex tiġi mwieġba s-CEQ nru. 23 (kif identifikati fl-iskrinjar tal-potenzjal tal-innovazzjoni - ara  </w:t>
      </w:r>
      <w:hyperlink w:anchor="Screening_Potential" w:history="1">
        <w:r w:rsidRPr="002B5B92">
          <w:rPr>
            <w:rStyle w:val="Hyperlink"/>
            <w:sz w:val="20"/>
            <w:szCs w:val="20"/>
          </w:rPr>
          <w:t>l-Kapitolu 2.2</w:t>
        </w:r>
      </w:hyperlink>
      <w:r w:rsidRPr="002B5B92">
        <w:t xml:space="preserve">). </w:t>
      </w:r>
    </w:p>
    <w:p w:rsidR="00A45935" w:rsidRPr="002B5B92" w:rsidRDefault="00A45935" w:rsidP="008C0B17">
      <w:pPr>
        <w:numPr>
          <w:ilvl w:val="0"/>
          <w:numId w:val="61"/>
        </w:numPr>
        <w:spacing w:before="120" w:after="120" w:line="280" w:lineRule="atLeast"/>
        <w:ind w:left="567" w:hanging="567"/>
        <w:mirrorIndents/>
        <w:rPr>
          <w:rFonts w:eastAsia="Times New Roman" w:cs="Times New Roman"/>
          <w:b/>
          <w:szCs w:val="20"/>
        </w:rPr>
      </w:pPr>
      <w:r w:rsidRPr="002B5B92">
        <w:rPr>
          <w:b/>
          <w:szCs w:val="20"/>
        </w:rPr>
        <w:t>Elementi tal-evalwazzjoni marbuta mas-CEQ nru. 23</w:t>
      </w:r>
    </w:p>
    <w:p w:rsidR="00A45935" w:rsidRPr="002B5B92" w:rsidRDefault="00A45935" w:rsidP="00E05D08">
      <w:pPr>
        <w:spacing w:after="120" w:line="280" w:lineRule="atLeast"/>
        <w:mirrorIndents/>
        <w:rPr>
          <w:rFonts w:eastAsia="Times New Roman" w:cs="Times New Roman"/>
          <w:szCs w:val="20"/>
        </w:rPr>
      </w:pPr>
      <w:r w:rsidRPr="002B5B92">
        <w:t xml:space="preserve">Id-Dokument ta’ Ħidma, </w:t>
      </w:r>
      <w:hyperlink r:id="rId79" w:history="1">
        <w:r w:rsidRPr="002B5B92">
          <w:rPr>
            <w:rStyle w:val="Hyperlink"/>
            <w:sz w:val="20"/>
            <w:szCs w:val="20"/>
          </w:rPr>
          <w:t>Mistoqsijiet Komuni tal-Evalwazzjoni għall-PŻR 2014-2020</w:t>
        </w:r>
      </w:hyperlink>
      <w:r w:rsidRPr="002B5B92">
        <w:t xml:space="preserve">, jissuġġerixxi żewġ kriterji ta’ ġudizzju (l-investimenti fir-riċerka u l-iżvilupp żdiedu u trawmet l-innovazzjoni), żewġ indikaturi komuni tas-CMES (T1 - infiq relatat mal-Artikoli 14 u 35 u T2 - In-numru totali ta’ operazzjonijiet ta’ kooperazzjoni appoġġati taħt il-miżura ta’ kooperazzjoni) u indikatur addizzjonali wieħed (in-nefqa tal-PŻR fir-riċerka u l-iżvilupp bħala % tal-PDG) sabiex tiġi mwieġba s-CEQ nru. 23. Madankollu, dawn l-elementi ma jistgħux ikopru b’mod sħiħ il-kontribuzzjonijiet tal-PŻR lejn il-mira ewlenija. </w:t>
      </w:r>
    </w:p>
    <w:p w:rsidR="00A45935" w:rsidRPr="002B5B92" w:rsidRDefault="00A45935" w:rsidP="00E05D08">
      <w:pPr>
        <w:spacing w:after="120" w:line="280" w:lineRule="atLeast"/>
        <w:mirrorIndents/>
        <w:rPr>
          <w:rFonts w:eastAsia="Times New Roman" w:cs="Times New Roman"/>
          <w:szCs w:val="20"/>
        </w:rPr>
      </w:pPr>
      <w:r w:rsidRPr="002B5B92">
        <w:t xml:space="preserve">Għalhekk, dawn il-linji gwida jipproponu elementi addizzjonali tal-evalwazzjoni sabiex tiġi mwieġba s-CEQ nru. 23 (ara </w:t>
      </w:r>
      <w:hyperlink w:anchor="JC_Indic_data" w:history="1">
        <w:r w:rsidRPr="002B5B92">
          <w:rPr>
            <w:rStyle w:val="Hyperlink"/>
            <w:sz w:val="20"/>
            <w:szCs w:val="20"/>
          </w:rPr>
          <w:t>t-Tabella 7</w:t>
        </w:r>
      </w:hyperlink>
      <w:r w:rsidRPr="002B5B92">
        <w:t>).</w:t>
      </w:r>
    </w:p>
    <w:p w:rsidR="00A45935" w:rsidRPr="002B5B92" w:rsidRDefault="00A45935" w:rsidP="00E05D08">
      <w:pPr>
        <w:spacing w:after="120" w:line="280" w:lineRule="atLeast"/>
        <w:mirrorIndents/>
        <w:rPr>
          <w:rFonts w:eastAsia="Times New Roman" w:cs="Times New Roman"/>
          <w:szCs w:val="20"/>
          <w:lang w:eastAsia="de-DE"/>
        </w:rPr>
        <w:sectPr w:rsidR="00A45935" w:rsidRPr="002B5B92" w:rsidSect="001F6F07">
          <w:endnotePr>
            <w:numFmt w:val="decimal"/>
          </w:endnotePr>
          <w:type w:val="continuous"/>
          <w:pgSz w:w="11907" w:h="16840" w:code="9"/>
          <w:pgMar w:top="1440" w:right="1440" w:bottom="1134" w:left="1440" w:header="567" w:footer="1020" w:gutter="0"/>
          <w:cols w:space="708"/>
          <w:noEndnote/>
          <w:titlePg/>
          <w:docGrid w:linePitch="435"/>
        </w:sectPr>
      </w:pPr>
    </w:p>
    <w:p w:rsidR="00A45935" w:rsidRPr="002B5B92" w:rsidRDefault="00A45935" w:rsidP="00A90171">
      <w:pPr>
        <w:pStyle w:val="HHeadingtables"/>
        <w:rPr>
          <w:color w:val="6F6F6F"/>
          <w:sz w:val="18"/>
          <w:szCs w:val="18"/>
        </w:rPr>
      </w:pPr>
      <w:bookmarkStart w:id="125" w:name="JC_Indic_data"/>
      <w:bookmarkStart w:id="126" w:name="_Toc508964838"/>
      <w:bookmarkEnd w:id="125"/>
      <w:r w:rsidRPr="002B5B92">
        <w:rPr>
          <w:color w:val="6F6F6F"/>
          <w:sz w:val="18"/>
          <w:szCs w:val="18"/>
        </w:rPr>
        <w:lastRenderedPageBreak/>
        <w:t>Kriterji tal-ġudizzju, indikaturi u data meħtieġa sabiex tiġi mwieġba s-CEQ nru. 23</w:t>
      </w:r>
      <w:bookmarkEnd w:id="126"/>
    </w:p>
    <w:tbl>
      <w:tblPr>
        <w:tblW w:w="147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84"/>
        <w:gridCol w:w="3684"/>
        <w:gridCol w:w="3684"/>
        <w:gridCol w:w="3685"/>
      </w:tblGrid>
      <w:tr w:rsidR="00A45935" w:rsidRPr="002B5B92" w:rsidTr="004C2E9B">
        <w:trPr>
          <w:trHeight w:val="294"/>
          <w:tblHeader/>
        </w:trPr>
        <w:tc>
          <w:tcPr>
            <w:tcW w:w="3684" w:type="dxa"/>
            <w:shd w:val="clear" w:color="auto" w:fill="F07E31"/>
            <w:vAlign w:val="center"/>
            <w:hideMark/>
          </w:tcPr>
          <w:p w:rsidR="00A45935" w:rsidRPr="002B5B92" w:rsidRDefault="00734B11" w:rsidP="00E05D08">
            <w:pPr>
              <w:spacing w:before="60" w:after="0" w:line="240" w:lineRule="auto"/>
              <w:jc w:val="center"/>
              <w:rPr>
                <w:rFonts w:eastAsia="Times New Roman" w:cs="Arial"/>
                <w:b/>
                <w:bCs/>
                <w:color w:val="FFFFFF"/>
                <w:sz w:val="18"/>
                <w:szCs w:val="18"/>
              </w:rPr>
            </w:pPr>
            <w:r w:rsidRPr="002B5B92">
              <w:rPr>
                <w:b/>
                <w:bCs/>
                <w:color w:val="FFFFFF"/>
                <w:sz w:val="18"/>
                <w:szCs w:val="18"/>
              </w:rPr>
              <w:t xml:space="preserve">Kriterji tal-ġudizzju </w:t>
            </w:r>
          </w:p>
        </w:tc>
        <w:tc>
          <w:tcPr>
            <w:tcW w:w="3684" w:type="dxa"/>
            <w:shd w:val="clear" w:color="auto" w:fill="F07E31"/>
            <w:vAlign w:val="center"/>
            <w:hideMark/>
          </w:tcPr>
          <w:p w:rsidR="00A45935" w:rsidRPr="002B5B92" w:rsidRDefault="00A45935" w:rsidP="00E05D08">
            <w:pPr>
              <w:spacing w:before="60" w:after="0" w:line="240" w:lineRule="auto"/>
              <w:jc w:val="center"/>
              <w:rPr>
                <w:rFonts w:eastAsia="Times New Roman" w:cs="Arial"/>
                <w:color w:val="FFFFFF"/>
                <w:sz w:val="18"/>
                <w:szCs w:val="18"/>
              </w:rPr>
            </w:pPr>
            <w:r w:rsidRPr="002B5B92">
              <w:rPr>
                <w:b/>
                <w:bCs/>
                <w:color w:val="FFFFFF"/>
                <w:sz w:val="18"/>
                <w:szCs w:val="18"/>
              </w:rPr>
              <w:t>Indikaturi</w:t>
            </w:r>
          </w:p>
        </w:tc>
        <w:tc>
          <w:tcPr>
            <w:tcW w:w="3684" w:type="dxa"/>
            <w:shd w:val="clear" w:color="auto" w:fill="F07E31"/>
            <w:vAlign w:val="center"/>
          </w:tcPr>
          <w:p w:rsidR="00A45935" w:rsidRPr="002B5B92" w:rsidRDefault="00A45935" w:rsidP="00E05D08">
            <w:pPr>
              <w:spacing w:before="60" w:after="0" w:line="240" w:lineRule="auto"/>
              <w:jc w:val="center"/>
              <w:rPr>
                <w:rFonts w:eastAsia="Times New Roman" w:cs="Arial"/>
                <w:b/>
                <w:bCs/>
                <w:color w:val="FFFFFF"/>
                <w:sz w:val="18"/>
                <w:szCs w:val="18"/>
              </w:rPr>
            </w:pPr>
            <w:r w:rsidRPr="002B5B92">
              <w:rPr>
                <w:b/>
                <w:bCs/>
                <w:color w:val="FFFFFF"/>
                <w:sz w:val="18"/>
                <w:szCs w:val="18"/>
              </w:rPr>
              <w:t>Ħtiġijiet ta’ data</w:t>
            </w:r>
          </w:p>
        </w:tc>
        <w:tc>
          <w:tcPr>
            <w:tcW w:w="3685" w:type="dxa"/>
            <w:shd w:val="clear" w:color="auto" w:fill="F07E31"/>
            <w:vAlign w:val="center"/>
          </w:tcPr>
          <w:p w:rsidR="00A45935" w:rsidRPr="002B5B92" w:rsidRDefault="00A45935" w:rsidP="00E05D08">
            <w:pPr>
              <w:spacing w:before="60" w:after="0" w:line="240" w:lineRule="auto"/>
              <w:jc w:val="center"/>
              <w:rPr>
                <w:rFonts w:eastAsia="Times New Roman" w:cs="Arial"/>
                <w:b/>
                <w:bCs/>
                <w:color w:val="FFFFFF"/>
                <w:sz w:val="18"/>
                <w:szCs w:val="18"/>
              </w:rPr>
            </w:pPr>
            <w:r w:rsidRPr="002B5B92">
              <w:rPr>
                <w:b/>
                <w:bCs/>
                <w:color w:val="FFFFFF"/>
                <w:sz w:val="18"/>
                <w:szCs w:val="18"/>
              </w:rPr>
              <w:t>Sorsi tad-data</w:t>
            </w:r>
          </w:p>
        </w:tc>
      </w:tr>
      <w:tr w:rsidR="00A45935" w:rsidRPr="002B5B92" w:rsidTr="00E05D08">
        <w:trPr>
          <w:trHeight w:val="418"/>
        </w:trPr>
        <w:tc>
          <w:tcPr>
            <w:tcW w:w="14737" w:type="dxa"/>
            <w:gridSpan w:val="4"/>
            <w:shd w:val="clear" w:color="auto" w:fill="8BAB80"/>
            <w:vAlign w:val="center"/>
          </w:tcPr>
          <w:p w:rsidR="00A45935" w:rsidRPr="002B5B92" w:rsidRDefault="00A45935" w:rsidP="00E05D08">
            <w:pPr>
              <w:spacing w:after="120" w:line="280" w:lineRule="atLeast"/>
              <w:mirrorIndents/>
              <w:rPr>
                <w:rFonts w:eastAsia="Times New Roman" w:cs="Arial"/>
                <w:b/>
                <w:color w:val="FFFFFF"/>
                <w:sz w:val="18"/>
                <w:szCs w:val="18"/>
              </w:rPr>
            </w:pPr>
            <w:r w:rsidRPr="002B5B92">
              <w:rPr>
                <w:b/>
                <w:color w:val="FFFFFF"/>
                <w:sz w:val="18"/>
                <w:szCs w:val="18"/>
              </w:rPr>
              <w:t>Elementi komuni tal-evalwazzjoni (CMES u proposti fid-Dokument ta’ ħidma “Mistoqsijiet komuni tal-evalwazzjoni 2014-2020”)</w:t>
            </w:r>
          </w:p>
        </w:tc>
      </w:tr>
      <w:tr w:rsidR="00A45935" w:rsidRPr="002B5B92" w:rsidTr="00E05D08">
        <w:trPr>
          <w:trHeight w:val="1928"/>
        </w:trPr>
        <w:tc>
          <w:tcPr>
            <w:tcW w:w="3684" w:type="dxa"/>
            <w:shd w:val="clear" w:color="auto" w:fill="auto"/>
            <w:vAlign w:val="center"/>
          </w:tcPr>
          <w:p w:rsidR="00A45935" w:rsidRPr="002B5B92" w:rsidRDefault="00A45935" w:rsidP="00BA4FCD">
            <w:pPr>
              <w:spacing w:after="120" w:line="280" w:lineRule="atLeast"/>
              <w:jc w:val="left"/>
              <w:rPr>
                <w:rFonts w:eastAsia="Times New Roman" w:cs="Arial"/>
                <w:sz w:val="18"/>
                <w:szCs w:val="18"/>
              </w:rPr>
            </w:pPr>
            <w:r w:rsidRPr="002B5B92">
              <w:rPr>
                <w:sz w:val="18"/>
                <w:szCs w:val="18"/>
              </w:rPr>
              <w:t>L-investiment għar-riċerka u l-iżvilupp u għall-innovazzjoni żdied</w:t>
            </w:r>
            <w:r w:rsidRPr="002B5B92">
              <w:rPr>
                <w:rFonts w:eastAsia="Times New Roman" w:cs="Arial"/>
                <w:sz w:val="18"/>
                <w:szCs w:val="18"/>
                <w:vertAlign w:val="superscript"/>
                <w:lang w:eastAsia="de-AT"/>
              </w:rPr>
              <w:footnoteReference w:id="75"/>
            </w:r>
            <w:r w:rsidRPr="002B5B92">
              <w:rPr>
                <w:sz w:val="18"/>
                <w:szCs w:val="18"/>
              </w:rPr>
              <w:t>.</w:t>
            </w:r>
          </w:p>
          <w:p w:rsidR="00A45935" w:rsidRPr="002B5B92" w:rsidRDefault="00A45935" w:rsidP="00697455">
            <w:pPr>
              <w:spacing w:after="120" w:line="280" w:lineRule="atLeast"/>
              <w:jc w:val="left"/>
              <w:rPr>
                <w:rFonts w:eastAsia="Times New Roman" w:cs="Arial"/>
                <w:sz w:val="18"/>
                <w:szCs w:val="18"/>
              </w:rPr>
            </w:pPr>
            <w:r w:rsidRPr="002B5B92">
              <w:rPr>
                <w:sz w:val="18"/>
                <w:szCs w:val="18"/>
              </w:rPr>
              <w:t xml:space="preserve">Trawmet l-innovazzjoni. </w:t>
            </w:r>
          </w:p>
        </w:tc>
        <w:tc>
          <w:tcPr>
            <w:tcW w:w="3684" w:type="dxa"/>
            <w:shd w:val="clear" w:color="auto" w:fill="auto"/>
            <w:vAlign w:val="center"/>
            <w:hideMark/>
          </w:tcPr>
          <w:p w:rsidR="00A45935" w:rsidRPr="002B5B92" w:rsidRDefault="00A45935" w:rsidP="00BA4FCD">
            <w:pPr>
              <w:spacing w:after="120" w:line="280" w:lineRule="atLeast"/>
              <w:jc w:val="left"/>
              <w:rPr>
                <w:rFonts w:eastAsia="Times New Roman" w:cs="Arial"/>
                <w:sz w:val="18"/>
                <w:szCs w:val="18"/>
              </w:rPr>
            </w:pPr>
            <w:r w:rsidRPr="002B5B92">
              <w:rPr>
                <w:sz w:val="18"/>
                <w:szCs w:val="18"/>
              </w:rPr>
              <w:t xml:space="preserve">T1: % tan-nefqa skont l-Art. 14, 15 u 35 tar-Regolament (UE) Nru. 1305/2013 fir-rigward tan-nefqa totali għall-PŻR. </w:t>
            </w:r>
          </w:p>
          <w:p w:rsidR="00A45935" w:rsidRPr="002B5B92" w:rsidRDefault="00A45935" w:rsidP="00BA4FCD">
            <w:pPr>
              <w:spacing w:after="120" w:line="280" w:lineRule="atLeast"/>
              <w:jc w:val="left"/>
              <w:rPr>
                <w:rFonts w:eastAsia="Times New Roman" w:cs="Arial"/>
                <w:sz w:val="18"/>
                <w:szCs w:val="18"/>
              </w:rPr>
            </w:pPr>
            <w:r w:rsidRPr="002B5B92">
              <w:rPr>
                <w:sz w:val="18"/>
                <w:szCs w:val="18"/>
              </w:rPr>
              <w:t xml:space="preserve">T2: In-numru totali ta’ proġetti ta’ kooperazzjoni appoġġati taħt il-miżura ta’ kooperazzjoni (l-Art. 35 tar-Regolament (UE) Nru. 1305/2013) (gruppi, netwerks/raggruppamenti, proġetti pilota). </w:t>
            </w:r>
          </w:p>
          <w:p w:rsidR="001120E4" w:rsidRPr="002B5B92" w:rsidRDefault="001120E4" w:rsidP="00BA4FCD">
            <w:pPr>
              <w:spacing w:after="120" w:line="280" w:lineRule="atLeast"/>
              <w:jc w:val="left"/>
              <w:rPr>
                <w:rFonts w:eastAsia="Times New Roman" w:cs="Arial"/>
                <w:color w:val="57825E"/>
                <w:sz w:val="18"/>
                <w:szCs w:val="18"/>
              </w:rPr>
            </w:pPr>
            <w:r w:rsidRPr="002B5B92">
              <w:rPr>
                <w:color w:val="57825E"/>
                <w:sz w:val="18"/>
                <w:szCs w:val="18"/>
                <w:u w:val="single"/>
              </w:rPr>
              <w:t>Indikatur addizzjonali:</w:t>
            </w:r>
            <w:r w:rsidRPr="002B5B92">
              <w:rPr>
                <w:color w:val="57825E"/>
                <w:sz w:val="18"/>
                <w:szCs w:val="18"/>
              </w:rPr>
              <w:t xml:space="preserve"> </w:t>
            </w:r>
          </w:p>
          <w:p w:rsidR="00A45935" w:rsidRPr="002B5B92" w:rsidRDefault="001120E4" w:rsidP="00BA4FCD">
            <w:pPr>
              <w:spacing w:after="120" w:line="280" w:lineRule="atLeast"/>
              <w:jc w:val="left"/>
              <w:rPr>
                <w:rFonts w:eastAsia="Times New Roman" w:cs="Arial"/>
                <w:sz w:val="18"/>
                <w:szCs w:val="18"/>
              </w:rPr>
            </w:pPr>
            <w:r w:rsidRPr="002B5B92">
              <w:rPr>
                <w:color w:val="57825E"/>
                <w:sz w:val="18"/>
                <w:szCs w:val="18"/>
              </w:rPr>
              <w:t>In-nefqa tal-PŻR fir-riċerka u l-iżvilupp bħala % tal-PDG (GERD “żvilupp rurali”).</w:t>
            </w:r>
            <w:r w:rsidRPr="002B5B92">
              <w:rPr>
                <w:sz w:val="18"/>
                <w:szCs w:val="18"/>
              </w:rPr>
              <w:t xml:space="preserve"> </w:t>
            </w:r>
          </w:p>
        </w:tc>
        <w:tc>
          <w:tcPr>
            <w:tcW w:w="3684" w:type="dxa"/>
          </w:tcPr>
          <w:p w:rsidR="00A45935" w:rsidRPr="002B5B92" w:rsidRDefault="00A45935" w:rsidP="00BA4FCD">
            <w:pPr>
              <w:spacing w:after="120" w:line="280" w:lineRule="atLeast"/>
              <w:jc w:val="left"/>
              <w:rPr>
                <w:rFonts w:eastAsia="Times New Roman" w:cs="Arial"/>
                <w:sz w:val="18"/>
                <w:szCs w:val="18"/>
              </w:rPr>
            </w:pPr>
            <w:r w:rsidRPr="002B5B92">
              <w:rPr>
                <w:sz w:val="18"/>
                <w:szCs w:val="18"/>
              </w:rPr>
              <w:t>Data dwar l-infiq fuq ir-riċerka u l-iżvilupp u l-innovazzjoni tal-PŻR.</w:t>
            </w:r>
          </w:p>
          <w:p w:rsidR="00A45935" w:rsidRPr="002B5B92" w:rsidRDefault="00A45935" w:rsidP="00BA4FCD">
            <w:pPr>
              <w:spacing w:after="120" w:line="280" w:lineRule="atLeast"/>
              <w:jc w:val="left"/>
              <w:rPr>
                <w:rFonts w:eastAsia="Times New Roman" w:cs="Arial"/>
                <w:sz w:val="18"/>
                <w:szCs w:val="18"/>
              </w:rPr>
            </w:pPr>
            <w:r w:rsidRPr="002B5B92">
              <w:rPr>
                <w:sz w:val="18"/>
                <w:szCs w:val="18"/>
              </w:rPr>
              <w:t xml:space="preserve">Data dwar l-infiq totali tal-PŻR. </w:t>
            </w:r>
          </w:p>
          <w:p w:rsidR="00A45935" w:rsidRPr="002B5B92" w:rsidRDefault="00A45935" w:rsidP="00BA4FCD">
            <w:pPr>
              <w:spacing w:after="120" w:line="280" w:lineRule="atLeast"/>
              <w:jc w:val="left"/>
              <w:rPr>
                <w:rFonts w:eastAsia="Times New Roman" w:cs="Arial"/>
                <w:sz w:val="18"/>
                <w:szCs w:val="18"/>
              </w:rPr>
            </w:pPr>
            <w:r w:rsidRPr="002B5B92">
              <w:rPr>
                <w:sz w:val="18"/>
                <w:szCs w:val="18"/>
              </w:rPr>
              <w:t>Data dwar l-infiq fuq ir-riċerka u l-iżvilupp u l-innovazzjoni għal kull SM/reġjun.</w:t>
            </w:r>
          </w:p>
          <w:p w:rsidR="00A45935" w:rsidRPr="002B5B92" w:rsidRDefault="00A45935" w:rsidP="00BA4FCD">
            <w:pPr>
              <w:spacing w:after="120" w:line="280" w:lineRule="atLeast"/>
              <w:jc w:val="left"/>
              <w:rPr>
                <w:rFonts w:eastAsia="Times New Roman" w:cs="Arial"/>
                <w:sz w:val="18"/>
                <w:szCs w:val="18"/>
              </w:rPr>
            </w:pPr>
            <w:r w:rsidRPr="002B5B92">
              <w:rPr>
                <w:sz w:val="18"/>
                <w:szCs w:val="18"/>
              </w:rPr>
              <w:t>Data dwar il-PDG għal kull Stat Membru/reġjun.</w:t>
            </w:r>
          </w:p>
        </w:tc>
        <w:tc>
          <w:tcPr>
            <w:tcW w:w="3685" w:type="dxa"/>
          </w:tcPr>
          <w:p w:rsidR="00A45935" w:rsidRPr="002B5B92" w:rsidRDefault="00A45935" w:rsidP="00BA4FCD">
            <w:pPr>
              <w:spacing w:after="120" w:line="280" w:lineRule="atLeast"/>
              <w:jc w:val="left"/>
              <w:rPr>
                <w:rFonts w:eastAsia="Times New Roman" w:cs="Arial"/>
                <w:sz w:val="18"/>
                <w:szCs w:val="18"/>
              </w:rPr>
            </w:pPr>
            <w:r w:rsidRPr="002B5B92">
              <w:rPr>
                <w:sz w:val="18"/>
                <w:szCs w:val="18"/>
              </w:rPr>
              <w:t>Sistema ta’ monitoraġġ tal-PŻR.</w:t>
            </w:r>
          </w:p>
          <w:p w:rsidR="00A45935" w:rsidRPr="002B5B92" w:rsidRDefault="00A45935" w:rsidP="00BA4FCD">
            <w:pPr>
              <w:spacing w:after="120" w:line="280" w:lineRule="atLeast"/>
              <w:jc w:val="left"/>
              <w:rPr>
                <w:rFonts w:eastAsia="Times New Roman" w:cs="Arial"/>
                <w:sz w:val="18"/>
                <w:szCs w:val="18"/>
              </w:rPr>
            </w:pPr>
            <w:r w:rsidRPr="002B5B92">
              <w:rPr>
                <w:sz w:val="18"/>
                <w:szCs w:val="18"/>
              </w:rPr>
              <w:t xml:space="preserve">Eurostat. </w:t>
            </w:r>
          </w:p>
          <w:p w:rsidR="00A45935" w:rsidRPr="002B5B92" w:rsidRDefault="00A45935" w:rsidP="00BA4FCD">
            <w:pPr>
              <w:spacing w:after="120" w:line="280" w:lineRule="atLeast"/>
              <w:jc w:val="left"/>
              <w:rPr>
                <w:rFonts w:eastAsia="Times New Roman" w:cs="Arial"/>
                <w:sz w:val="18"/>
                <w:szCs w:val="18"/>
              </w:rPr>
            </w:pPr>
            <w:r w:rsidRPr="002B5B92">
              <w:rPr>
                <w:sz w:val="18"/>
                <w:szCs w:val="18"/>
              </w:rPr>
              <w:t xml:space="preserve">Statistika reġjonali/nazzjonali. </w:t>
            </w:r>
          </w:p>
        </w:tc>
      </w:tr>
      <w:tr w:rsidR="00A45935" w:rsidRPr="002B5B92" w:rsidTr="00E05D08">
        <w:trPr>
          <w:trHeight w:val="404"/>
        </w:trPr>
        <w:tc>
          <w:tcPr>
            <w:tcW w:w="14737" w:type="dxa"/>
            <w:gridSpan w:val="4"/>
            <w:shd w:val="clear" w:color="auto" w:fill="8BAB80"/>
            <w:vAlign w:val="center"/>
          </w:tcPr>
          <w:p w:rsidR="00A45935" w:rsidRPr="002B5B92" w:rsidRDefault="00A45935" w:rsidP="00E05D08">
            <w:pPr>
              <w:spacing w:after="120" w:line="280" w:lineRule="atLeast"/>
              <w:rPr>
                <w:rFonts w:eastAsia="Times New Roman" w:cs="Arial"/>
                <w:b/>
                <w:color w:val="FFFFFF"/>
                <w:sz w:val="18"/>
                <w:szCs w:val="18"/>
              </w:rPr>
            </w:pPr>
            <w:r w:rsidRPr="002B5B92">
              <w:rPr>
                <w:b/>
                <w:color w:val="FFFFFF"/>
                <w:sz w:val="18"/>
                <w:szCs w:val="18"/>
              </w:rPr>
              <w:t>Elementi addizzjonali tal-evalwazzjoni (mhux obbligatorji)</w:t>
            </w:r>
          </w:p>
        </w:tc>
      </w:tr>
      <w:tr w:rsidR="00A45935" w:rsidRPr="002B5B92" w:rsidTr="00E05D08">
        <w:trPr>
          <w:trHeight w:val="1928"/>
        </w:trPr>
        <w:tc>
          <w:tcPr>
            <w:tcW w:w="3684" w:type="dxa"/>
            <w:shd w:val="clear" w:color="auto" w:fill="auto"/>
            <w:vAlign w:val="center"/>
          </w:tcPr>
          <w:p w:rsidR="00A45935" w:rsidRPr="002B5B92" w:rsidRDefault="00A45935" w:rsidP="00697455">
            <w:pPr>
              <w:spacing w:after="120" w:line="280" w:lineRule="atLeast"/>
              <w:jc w:val="left"/>
              <w:rPr>
                <w:rFonts w:eastAsia="Times New Roman" w:cs="Arial"/>
                <w:sz w:val="18"/>
                <w:szCs w:val="18"/>
              </w:rPr>
            </w:pPr>
            <w:r w:rsidRPr="002B5B92">
              <w:rPr>
                <w:sz w:val="18"/>
                <w:szCs w:val="18"/>
              </w:rPr>
              <w:t>L-investiment għar-riċerka u l-iżvilupp u għall-innovazzjoni żdied.</w:t>
            </w:r>
          </w:p>
        </w:tc>
        <w:tc>
          <w:tcPr>
            <w:tcW w:w="3684" w:type="dxa"/>
            <w:shd w:val="clear" w:color="auto" w:fill="auto"/>
            <w:vAlign w:val="center"/>
          </w:tcPr>
          <w:p w:rsidR="001120E4" w:rsidRPr="002B5B92" w:rsidRDefault="001120E4" w:rsidP="00BA4FCD">
            <w:pPr>
              <w:spacing w:after="120" w:line="280" w:lineRule="atLeast"/>
              <w:jc w:val="left"/>
              <w:rPr>
                <w:rFonts w:eastAsia="Times New Roman" w:cs="Arial"/>
                <w:color w:val="57825E"/>
                <w:sz w:val="18"/>
                <w:szCs w:val="18"/>
                <w:u w:val="single"/>
              </w:rPr>
            </w:pPr>
            <w:r w:rsidRPr="002B5B92">
              <w:rPr>
                <w:color w:val="57825E"/>
                <w:sz w:val="18"/>
                <w:szCs w:val="18"/>
                <w:u w:val="single"/>
              </w:rPr>
              <w:t xml:space="preserve">Indikaturi addizzjonali: </w:t>
            </w:r>
          </w:p>
          <w:p w:rsidR="001120E4" w:rsidRPr="002B5B92" w:rsidRDefault="001120E4" w:rsidP="00BA4FCD">
            <w:pPr>
              <w:spacing w:after="120" w:line="280" w:lineRule="atLeast"/>
              <w:jc w:val="left"/>
              <w:rPr>
                <w:rFonts w:eastAsia="Times New Roman" w:cs="Arial"/>
                <w:color w:val="57825E"/>
                <w:sz w:val="18"/>
                <w:szCs w:val="18"/>
              </w:rPr>
            </w:pPr>
            <w:r w:rsidRPr="002B5B92">
              <w:rPr>
                <w:color w:val="57825E"/>
                <w:sz w:val="18"/>
                <w:szCs w:val="18"/>
              </w:rPr>
              <w:t>In-nefqa domestika gross fuq ir-riċerka u l-iżvilupp (GERD) relattiva għall-prodott domestiku gross (PDG).</w:t>
            </w:r>
          </w:p>
          <w:p w:rsidR="001120E4" w:rsidRPr="002B5B92" w:rsidRDefault="001120E4" w:rsidP="00BA4FCD">
            <w:pPr>
              <w:spacing w:after="120" w:line="280" w:lineRule="atLeast"/>
              <w:jc w:val="left"/>
              <w:rPr>
                <w:rFonts w:eastAsia="Times New Roman" w:cs="Arial"/>
                <w:color w:val="57825E"/>
                <w:sz w:val="18"/>
                <w:szCs w:val="18"/>
              </w:rPr>
            </w:pPr>
            <w:r w:rsidRPr="002B5B92">
              <w:rPr>
                <w:color w:val="57825E"/>
                <w:sz w:val="18"/>
                <w:szCs w:val="18"/>
              </w:rPr>
              <w:t xml:space="preserve">L-infiq tal-PŻR fir-riċerka u l-iżvilupp u l-innovazzjoni bħala % tal-infiq totali tal-PŻR. </w:t>
            </w:r>
          </w:p>
          <w:p w:rsidR="00A45935" w:rsidRPr="002B5B92" w:rsidRDefault="00942585" w:rsidP="00BA4FCD">
            <w:pPr>
              <w:spacing w:after="120" w:line="280" w:lineRule="atLeast"/>
              <w:jc w:val="left"/>
              <w:rPr>
                <w:rFonts w:eastAsia="Times New Roman" w:cs="Arial"/>
                <w:sz w:val="18"/>
                <w:szCs w:val="18"/>
              </w:rPr>
            </w:pPr>
            <w:r w:rsidRPr="002B5B92">
              <w:rPr>
                <w:color w:val="57825E"/>
                <w:sz w:val="18"/>
                <w:szCs w:val="18"/>
              </w:rPr>
              <w:t>L-infiq tal-PŻR fir-riċerka u l-iżvilupp u l-innovazzjoni bħala % tal-infiq domestiku gross fir-riċerka u l-iżvilupp u l-innovazzjoni.</w:t>
            </w:r>
          </w:p>
        </w:tc>
        <w:tc>
          <w:tcPr>
            <w:tcW w:w="3684" w:type="dxa"/>
          </w:tcPr>
          <w:p w:rsidR="001120E4" w:rsidRPr="002B5B92" w:rsidRDefault="001120E4" w:rsidP="00BA4FCD">
            <w:pPr>
              <w:spacing w:after="120" w:line="280" w:lineRule="atLeast"/>
              <w:jc w:val="left"/>
              <w:rPr>
                <w:rFonts w:eastAsia="Times New Roman" w:cs="Arial"/>
                <w:sz w:val="18"/>
                <w:szCs w:val="18"/>
              </w:rPr>
            </w:pPr>
            <w:r w:rsidRPr="002B5B92">
              <w:rPr>
                <w:sz w:val="18"/>
                <w:szCs w:val="18"/>
              </w:rPr>
              <w:t>Data dwar ir-riċerka u l-iżvilupp u l-innovazzjoni f’konformità mal-Manwal Frascati.</w:t>
            </w:r>
          </w:p>
          <w:p w:rsidR="00A45935" w:rsidRPr="002B5B92" w:rsidRDefault="00A45935" w:rsidP="00BA4FCD">
            <w:pPr>
              <w:spacing w:after="120" w:line="280" w:lineRule="atLeast"/>
              <w:jc w:val="left"/>
              <w:rPr>
                <w:rFonts w:eastAsia="Times New Roman" w:cs="Arial"/>
                <w:sz w:val="18"/>
                <w:szCs w:val="18"/>
              </w:rPr>
            </w:pPr>
            <w:r w:rsidRPr="002B5B92">
              <w:rPr>
                <w:sz w:val="18"/>
                <w:szCs w:val="18"/>
              </w:rPr>
              <w:t xml:space="preserve">Data dwar l-infiq fir-riċerka u l-iżvilupp u l-innovazzjoni tal-PŻR, maqsuma skont it-tip ta’ benefiċjarju. </w:t>
            </w:r>
          </w:p>
          <w:p w:rsidR="00A45935" w:rsidRPr="002B5B92" w:rsidRDefault="00A45935" w:rsidP="00BA4FCD">
            <w:pPr>
              <w:spacing w:after="120" w:line="280" w:lineRule="atLeast"/>
              <w:jc w:val="left"/>
              <w:rPr>
                <w:rFonts w:eastAsia="Times New Roman" w:cs="Arial"/>
                <w:sz w:val="18"/>
                <w:szCs w:val="18"/>
              </w:rPr>
            </w:pPr>
            <w:r w:rsidRPr="002B5B92">
              <w:rPr>
                <w:sz w:val="18"/>
                <w:szCs w:val="18"/>
              </w:rPr>
              <w:t xml:space="preserve">Data dwar l-infiq totali tal-PŻR </w:t>
            </w:r>
          </w:p>
          <w:p w:rsidR="00A45935" w:rsidRPr="002B5B92" w:rsidRDefault="00A45935" w:rsidP="00BA4FCD">
            <w:pPr>
              <w:spacing w:after="120" w:line="280" w:lineRule="atLeast"/>
              <w:jc w:val="left"/>
              <w:rPr>
                <w:rFonts w:eastAsia="Times New Roman" w:cs="Arial"/>
                <w:sz w:val="18"/>
                <w:szCs w:val="18"/>
              </w:rPr>
            </w:pPr>
            <w:r w:rsidRPr="002B5B92">
              <w:rPr>
                <w:sz w:val="18"/>
                <w:szCs w:val="18"/>
              </w:rPr>
              <w:t>Data dwar l-infiq fuq ir-riċerka u l-iżvilupp u l-innovazzjoni għal kull Stat Membru/reġjun.</w:t>
            </w:r>
          </w:p>
          <w:p w:rsidR="00A45935" w:rsidRPr="002B5B92" w:rsidRDefault="00A45935" w:rsidP="00BA4FCD">
            <w:pPr>
              <w:spacing w:after="120" w:line="280" w:lineRule="atLeast"/>
              <w:jc w:val="left"/>
              <w:rPr>
                <w:rFonts w:eastAsia="Times New Roman" w:cs="Arial"/>
                <w:sz w:val="18"/>
                <w:szCs w:val="18"/>
              </w:rPr>
            </w:pPr>
            <w:r w:rsidRPr="002B5B92">
              <w:rPr>
                <w:sz w:val="18"/>
                <w:szCs w:val="18"/>
              </w:rPr>
              <w:lastRenderedPageBreak/>
              <w:t>Data dwar il-PDG għal kull Stat Membru/reġjun.</w:t>
            </w:r>
          </w:p>
        </w:tc>
        <w:tc>
          <w:tcPr>
            <w:tcW w:w="3685" w:type="dxa"/>
          </w:tcPr>
          <w:p w:rsidR="00A45935" w:rsidRPr="002B5B92" w:rsidRDefault="00A45935" w:rsidP="00BA4FCD">
            <w:pPr>
              <w:spacing w:after="120" w:line="280" w:lineRule="atLeast"/>
              <w:jc w:val="left"/>
              <w:rPr>
                <w:rFonts w:eastAsia="Times New Roman" w:cs="Arial"/>
                <w:sz w:val="18"/>
                <w:szCs w:val="18"/>
              </w:rPr>
            </w:pPr>
            <w:r w:rsidRPr="002B5B92">
              <w:rPr>
                <w:sz w:val="18"/>
                <w:szCs w:val="18"/>
              </w:rPr>
              <w:lastRenderedPageBreak/>
              <w:t>Sistema ta’ monitoraġġ tal-PŻR.</w:t>
            </w:r>
          </w:p>
          <w:p w:rsidR="00A45935" w:rsidRPr="002B5B92" w:rsidRDefault="00A45935" w:rsidP="00BA4FCD">
            <w:pPr>
              <w:spacing w:after="120" w:line="280" w:lineRule="atLeast"/>
              <w:jc w:val="left"/>
              <w:rPr>
                <w:rFonts w:eastAsia="Times New Roman" w:cs="Arial"/>
                <w:sz w:val="18"/>
                <w:szCs w:val="18"/>
              </w:rPr>
            </w:pPr>
            <w:r w:rsidRPr="002B5B92">
              <w:rPr>
                <w:sz w:val="18"/>
                <w:szCs w:val="18"/>
              </w:rPr>
              <w:t xml:space="preserve">Eurostat. </w:t>
            </w:r>
          </w:p>
          <w:p w:rsidR="00A45935" w:rsidRPr="002B5B92" w:rsidRDefault="00A45935" w:rsidP="00BA4FCD">
            <w:pPr>
              <w:spacing w:after="120" w:line="280" w:lineRule="atLeast"/>
              <w:jc w:val="left"/>
              <w:rPr>
                <w:rFonts w:eastAsia="Times New Roman" w:cs="Arial"/>
                <w:sz w:val="18"/>
                <w:szCs w:val="18"/>
              </w:rPr>
            </w:pPr>
            <w:r w:rsidRPr="002B5B92">
              <w:rPr>
                <w:sz w:val="18"/>
                <w:szCs w:val="18"/>
              </w:rPr>
              <w:t xml:space="preserve">Statistika reġjonali/nazzjonali. </w:t>
            </w:r>
          </w:p>
        </w:tc>
      </w:tr>
    </w:tbl>
    <w:p w:rsidR="00A45935" w:rsidRPr="002B5B92" w:rsidRDefault="00A45935" w:rsidP="008C0B17">
      <w:pPr>
        <w:numPr>
          <w:ilvl w:val="0"/>
          <w:numId w:val="45"/>
        </w:numPr>
        <w:spacing w:before="60" w:after="120" w:line="280" w:lineRule="atLeast"/>
        <w:rPr>
          <w:rFonts w:eastAsia="Times New Roman" w:cs="Times New Roman"/>
          <w:b/>
          <w:szCs w:val="20"/>
          <w:lang w:eastAsia="de-DE"/>
        </w:rPr>
        <w:sectPr w:rsidR="00A45935" w:rsidRPr="002B5B92" w:rsidSect="001F6F07">
          <w:endnotePr>
            <w:numFmt w:val="decimal"/>
          </w:endnotePr>
          <w:pgSz w:w="16840" w:h="11907" w:orient="landscape" w:code="9"/>
          <w:pgMar w:top="1440" w:right="1134" w:bottom="1440" w:left="1440" w:header="567" w:footer="1020" w:gutter="0"/>
          <w:cols w:space="708"/>
          <w:noEndnote/>
          <w:docGrid w:linePitch="360"/>
        </w:sectPr>
      </w:pPr>
    </w:p>
    <w:p w:rsidR="00A45935" w:rsidRPr="002B5B92" w:rsidRDefault="00A45935" w:rsidP="00647766">
      <w:pPr>
        <w:numPr>
          <w:ilvl w:val="0"/>
          <w:numId w:val="61"/>
        </w:numPr>
        <w:spacing w:before="120" w:after="120" w:line="280" w:lineRule="atLeast"/>
        <w:ind w:left="567" w:hanging="567"/>
        <w:mirrorIndents/>
        <w:rPr>
          <w:rFonts w:eastAsia="Times New Roman" w:cs="Times New Roman"/>
          <w:b/>
          <w:szCs w:val="20"/>
        </w:rPr>
      </w:pPr>
      <w:r w:rsidRPr="002B5B92">
        <w:rPr>
          <w:b/>
          <w:szCs w:val="20"/>
        </w:rPr>
        <w:lastRenderedPageBreak/>
        <w:t>Il-metodoloġija tal-evalwazzjoni proposta</w:t>
      </w:r>
    </w:p>
    <w:p w:rsidR="00A45935" w:rsidRPr="002B5B92" w:rsidRDefault="00A45935" w:rsidP="00E05D08">
      <w:pPr>
        <w:spacing w:after="120" w:line="280" w:lineRule="atLeast"/>
        <w:mirrorIndents/>
        <w:rPr>
          <w:rFonts w:eastAsia="Times New Roman" w:cs="Times New Roman"/>
          <w:szCs w:val="20"/>
        </w:rPr>
      </w:pPr>
      <w:r w:rsidRPr="002B5B92">
        <w:t>L-indikatur tal-mira ewlenija huwa miġbur mill-Eurostat u l-istatistika nazzjonali u jirreferi għan-nefqa domestika gross fuq ir-riċerka u l-iżvilupp (GERD), bħala prokura għall-PDG, magħrufa bħala l-intensità tar-riċerka u l-iżvilupp. L-istatistika tikkompila l-infiq fuq ir-riċerka u l-iżvilupp għal erba’ setturi: 1.) is-settur tal-intrapriżi kummerċjali, 2.) is-settur tal-gvern, 3) is-settur tal-edukazzjoni għolja, u 4) is-settur privat mingħajr skop ta’ qligħ. Aktar informazzjoni dettaljata dwar il-kalkolu ta’ kull indikatur hija proposta fit-Tabella 8.</w:t>
      </w:r>
    </w:p>
    <w:p w:rsidR="00F73706" w:rsidRPr="002B5B92" w:rsidRDefault="00F73706" w:rsidP="00F73706">
      <w:pPr>
        <w:pStyle w:val="Hlistbullet"/>
      </w:pPr>
      <w:r w:rsidRPr="002B5B92">
        <w:t xml:space="preserve">Id-data għall-indikaturi komuni T1 u T2 tinġabar direttament mis-sistema ta’ monitoraġġ tal-PŻR (bażi ta’ data tal-operazzjonijiet). </w:t>
      </w:r>
    </w:p>
    <w:p w:rsidR="00F73706" w:rsidRPr="002B5B92" w:rsidRDefault="00F73706" w:rsidP="00F73706">
      <w:pPr>
        <w:pStyle w:val="Hlistbullet"/>
      </w:pPr>
      <w:r w:rsidRPr="002B5B92">
        <w:t>Il-mira ewlenija “</w:t>
      </w:r>
      <w:r w:rsidRPr="002B5B92">
        <w:rPr>
          <w:i/>
        </w:rPr>
        <w:t>Nefqa domestika gross fuq ir-riċerka u l-iżvilupp (GERD) relattiva għall-prodott domestiku gross (PDG)</w:t>
      </w:r>
      <w:r w:rsidRPr="002B5B92">
        <w:t>”, tista’ tinġabar fil-livelli NUTS 1 u NUTS 2 mill-Eurostat.</w:t>
      </w:r>
    </w:p>
    <w:p w:rsidR="00F73706" w:rsidRPr="002B5B92" w:rsidRDefault="00F73706" w:rsidP="00F73706">
      <w:pPr>
        <w:pStyle w:val="Hlistbullet"/>
      </w:pPr>
      <w:r w:rsidRPr="002B5B92">
        <w:t>L-indikatur addizzjonali “</w:t>
      </w:r>
      <w:r w:rsidRPr="002B5B92">
        <w:rPr>
          <w:i/>
        </w:rPr>
        <w:t>Nefqa tal-PŻR fir-riċerka u l-iżvilupp bħala % tal-PDG</w:t>
      </w:r>
      <w:r w:rsidRPr="002B5B92">
        <w:t>” (li fil-GERD li ġejja ssir referenza għalih bħala “żvilupp rurali” tal-GERDᴿᴰ) juri n-nefqa tal-PŻR fuq ir-riċerka u l-iżvilupp permezz ta’ miżuri/submiżuri rilevanti fir-rigward tal-PDG:</w:t>
      </w:r>
    </w:p>
    <w:p w:rsidR="00F73706" w:rsidRPr="002B5B92" w:rsidRDefault="00F73706" w:rsidP="00F73706">
      <w:pPr>
        <w:pStyle w:val="Hlistbullet2"/>
      </w:pPr>
      <w:r w:rsidRPr="002B5B92">
        <w:t xml:space="preserve">Id-data dwar il-PDG tinġabar permezz ta’ statistika nazzjonali u hija disponibbli wkoll minn sorsi tal-UE (Eurostat). </w:t>
      </w:r>
    </w:p>
    <w:p w:rsidR="00F73706" w:rsidRPr="002B5B92" w:rsidRDefault="00F73706" w:rsidP="00F73706">
      <w:pPr>
        <w:pStyle w:val="Hlistbullet2"/>
      </w:pPr>
      <w:r w:rsidRPr="002B5B92">
        <w:t xml:space="preserve">Id-data dwar l-infiq tal-PŻR fuq ir-riċerka, l-iżvilupp u l-innovazzjoni tista’ tinkiseb mis-sistema ta’ monitoraġġ tal-PŻR billi jingħadd l-infiq marbut mal-operazzjonijiet b’potenzjal tal-innovazzjoni (kif identifikat matul l-iskrinjar tal-potenzjal tal-innovazzjoni - ara </w:t>
      </w:r>
      <w:hyperlink w:anchor="Screening_Potential" w:history="1">
        <w:r w:rsidRPr="002B5B92">
          <w:rPr>
            <w:rStyle w:val="Hyperlink"/>
            <w:sz w:val="20"/>
          </w:rPr>
          <w:t>l-Kapitolu 2.2</w:t>
        </w:r>
      </w:hyperlink>
      <w:r w:rsidRPr="002B5B92">
        <w:t xml:space="preserve">) u maqsum skont il-benefiċjarji attribwiti lis-setturi kif stabbilit mill-Manwal Frascati. </w:t>
      </w:r>
    </w:p>
    <w:p w:rsidR="00F73706" w:rsidRPr="002B5B92" w:rsidRDefault="00F73706" w:rsidP="00F73706">
      <w:pPr>
        <w:pStyle w:val="Hlistbullet"/>
      </w:pPr>
      <w:r w:rsidRPr="002B5B92">
        <w:t>L-indikatur addizzjonali “</w:t>
      </w:r>
      <w:r w:rsidRPr="002B5B92">
        <w:rPr>
          <w:i/>
        </w:rPr>
        <w:t>In-nefqa tal-PŻR fir-riċerka u l-iżvilupp u l-innovazzjoni bħala % tal-infiq totali tal-PŻR</w:t>
      </w:r>
      <w:r w:rsidRPr="002B5B92">
        <w:t>” juri d-daqs tal-baġit tal-PŻR iddedikat biex jappoġġa r-riċerka, l-iżvilupp u l-innovazzjoni. Id-data għal dan l-indikatur tista’ tinkiseb ukoll mis-sistema ta’ monitoraġġ tal-PŻR, jekk il-bażi tad-data tal-operazzjonijiet tiġi adattata biex issegwi wkoll l-informazzjoni dwar il-proġetti b’potenzjal għoli ta’ innovazzjoni kif identifikat mill-iskrinjar qabel l-evalwazzjoni.</w:t>
      </w:r>
    </w:p>
    <w:p w:rsidR="00A45935" w:rsidRPr="002B5B92" w:rsidRDefault="00F73706" w:rsidP="00F73706">
      <w:pPr>
        <w:pStyle w:val="Hlistbullet"/>
      </w:pPr>
      <w:r w:rsidRPr="002B5B92">
        <w:t>L-indikatur addizzjonali “</w:t>
      </w:r>
      <w:r w:rsidRPr="002B5B92">
        <w:rPr>
          <w:i/>
        </w:rPr>
        <w:t>Infiq tal-PŻR fir-riċerka u l-iżvilupp u l-innovazzjoni bħala % tal-infiq domestiku gross fuq ir-riċerka u l-iżvilupp u l-innovazzjoni</w:t>
      </w:r>
      <w:r w:rsidRPr="002B5B92">
        <w:t>” juri r-relazzjoni bejn l-investimenti tal-PŻR fir-riċerka, l-iżvilupp u l-innovazzjoni u l-infiq domestiku gross fir-riċerka u l-iżvilupp. Id-data tista’ tinkiseb mis-sistema ta’ monitoraġġ tal-PŻR, mill-istatistika reġjonali u nazzjonali, kif ukoll mill-Eurostat.</w:t>
      </w:r>
    </w:p>
    <w:p w:rsidR="00A45935" w:rsidRPr="002B5B92" w:rsidRDefault="00A45935" w:rsidP="00E05D08">
      <w:pPr>
        <w:spacing w:after="120" w:line="280" w:lineRule="atLeast"/>
        <w:mirrorIndents/>
        <w:rPr>
          <w:rFonts w:eastAsia="Times New Roman" w:cs="Times New Roman"/>
          <w:szCs w:val="20"/>
        </w:rPr>
      </w:pPr>
      <w:r w:rsidRPr="002B5B92">
        <w:t>Il-figuri għall-indikaturi jistgħu jiġu kkalkolati ‘ex ante’ (kontribuzzjonijiet ippjanati) u fil-ħin tal-evalwazzjoni għall-AIR sottomess fl-2019 u evalwazzjoni ‘ex post’ (kontribuzzjonijiet attwali fiż-żmien tal-evalwazzjoni) li mbagħad jistgħu jippermettu li l-kontribuzzjonijiet ippjanati jitqabblu ma’ dawk attwali. L-eżempju fit-Tabella 8 juri l-valuri ppjanati u attwali tal-indikaturi komuni u addizzjonali:</w:t>
      </w:r>
    </w:p>
    <w:p w:rsidR="00A45935" w:rsidRPr="002B5B92" w:rsidRDefault="00A45935" w:rsidP="00E05D08">
      <w:pPr>
        <w:spacing w:after="0" w:line="240" w:lineRule="auto"/>
        <w:rPr>
          <w:rFonts w:eastAsia="Times New Roman" w:cs="Times New Roman"/>
          <w:b/>
          <w:sz w:val="16"/>
          <w:szCs w:val="20"/>
        </w:rPr>
      </w:pPr>
      <w:bookmarkStart w:id="127" w:name="_Hlk501698024"/>
      <w:r w:rsidRPr="002B5B92">
        <w:br w:type="page"/>
      </w:r>
    </w:p>
    <w:p w:rsidR="00A45935" w:rsidRPr="002B5B92" w:rsidRDefault="00A45935" w:rsidP="00D62992">
      <w:pPr>
        <w:pStyle w:val="HHeadingtables"/>
        <w:rPr>
          <w:color w:val="6F6F6F"/>
          <w:sz w:val="18"/>
          <w:szCs w:val="18"/>
        </w:rPr>
      </w:pPr>
      <w:bookmarkStart w:id="128" w:name="_Toc508964839"/>
      <w:r w:rsidRPr="002B5B92">
        <w:rPr>
          <w:color w:val="6F6F6F"/>
          <w:sz w:val="18"/>
          <w:szCs w:val="18"/>
        </w:rPr>
        <w:lastRenderedPageBreak/>
        <w:t>Eżempju tal-valuri ppjanati u attwali tal-indikaturi komuni u addizzjonali</w:t>
      </w:r>
      <w:bookmarkEnd w:id="128"/>
      <w:r w:rsidRPr="002B5B92">
        <w:rPr>
          <w:color w:val="6F6F6F"/>
          <w:sz w:val="18"/>
          <w:szCs w:val="18"/>
        </w:rPr>
        <w:t xml:space="preserve"> </w:t>
      </w:r>
    </w:p>
    <w:tbl>
      <w:tblPr>
        <w:tblW w:w="9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351"/>
        <w:gridCol w:w="4026"/>
        <w:gridCol w:w="1495"/>
        <w:gridCol w:w="1494"/>
        <w:gridCol w:w="762"/>
      </w:tblGrid>
      <w:tr w:rsidR="00F73706" w:rsidRPr="002B5B92" w:rsidTr="00BC211C">
        <w:trPr>
          <w:trHeight w:val="192"/>
        </w:trPr>
        <w:tc>
          <w:tcPr>
            <w:tcW w:w="1202" w:type="dxa"/>
            <w:shd w:val="clear" w:color="auto" w:fill="F07E31"/>
            <w:vAlign w:val="center"/>
            <w:hideMark/>
          </w:tcPr>
          <w:p w:rsidR="00F73706" w:rsidRPr="002B5B92" w:rsidRDefault="00F73706" w:rsidP="00F73706">
            <w:pPr>
              <w:spacing w:before="60" w:after="120" w:line="220" w:lineRule="atLeast"/>
              <w:ind w:right="154"/>
              <w:jc w:val="center"/>
              <w:rPr>
                <w:rFonts w:eastAsia="Times New Roman" w:cs="Arial"/>
                <w:b/>
                <w:bCs/>
                <w:color w:val="FFFFFF"/>
                <w:sz w:val="18"/>
                <w:szCs w:val="20"/>
                <w:lang w:eastAsia="de-DE"/>
              </w:rPr>
            </w:pPr>
          </w:p>
        </w:tc>
        <w:tc>
          <w:tcPr>
            <w:tcW w:w="4175" w:type="dxa"/>
            <w:shd w:val="clear" w:color="auto" w:fill="F07E31"/>
            <w:vAlign w:val="center"/>
            <w:hideMark/>
          </w:tcPr>
          <w:p w:rsidR="00F73706" w:rsidRPr="002B5B92" w:rsidRDefault="00F73706" w:rsidP="00F73706">
            <w:pPr>
              <w:spacing w:before="60" w:after="120" w:line="220" w:lineRule="atLeast"/>
              <w:jc w:val="center"/>
              <w:rPr>
                <w:rFonts w:eastAsia="Times New Roman" w:cs="Arial"/>
                <w:b/>
                <w:bCs/>
                <w:color w:val="FFFFFF"/>
                <w:sz w:val="18"/>
                <w:szCs w:val="20"/>
              </w:rPr>
            </w:pPr>
            <w:r w:rsidRPr="002B5B92">
              <w:rPr>
                <w:b/>
                <w:bCs/>
                <w:color w:val="FFFFFF"/>
                <w:sz w:val="18"/>
                <w:szCs w:val="20"/>
              </w:rPr>
              <w:t>Indikaturi</w:t>
            </w:r>
          </w:p>
        </w:tc>
        <w:tc>
          <w:tcPr>
            <w:tcW w:w="1495" w:type="dxa"/>
            <w:shd w:val="clear" w:color="auto" w:fill="F07E31"/>
            <w:vAlign w:val="center"/>
            <w:hideMark/>
          </w:tcPr>
          <w:p w:rsidR="00F73706" w:rsidRPr="002B5B92" w:rsidRDefault="00F73706" w:rsidP="00F73706">
            <w:pPr>
              <w:spacing w:before="60" w:after="120" w:line="220" w:lineRule="atLeast"/>
              <w:jc w:val="center"/>
              <w:rPr>
                <w:rFonts w:eastAsia="Times New Roman" w:cs="Arial"/>
                <w:b/>
                <w:bCs/>
                <w:color w:val="FFFFFF"/>
                <w:sz w:val="18"/>
                <w:szCs w:val="20"/>
              </w:rPr>
            </w:pPr>
            <w:r w:rsidRPr="002B5B92">
              <w:rPr>
                <w:b/>
                <w:bCs/>
                <w:color w:val="FFFFFF"/>
                <w:sz w:val="18"/>
                <w:szCs w:val="20"/>
              </w:rPr>
              <w:t>Ippjanati</w:t>
            </w:r>
          </w:p>
        </w:tc>
        <w:tc>
          <w:tcPr>
            <w:tcW w:w="1494" w:type="dxa"/>
            <w:shd w:val="clear" w:color="auto" w:fill="F07E31"/>
            <w:vAlign w:val="center"/>
            <w:hideMark/>
          </w:tcPr>
          <w:p w:rsidR="00F73706" w:rsidRPr="002B5B92" w:rsidRDefault="00F73706" w:rsidP="00F73706">
            <w:pPr>
              <w:spacing w:before="60" w:after="120" w:line="220" w:lineRule="atLeast"/>
              <w:jc w:val="center"/>
              <w:rPr>
                <w:rFonts w:eastAsia="Times New Roman" w:cs="Arial"/>
                <w:b/>
                <w:bCs/>
                <w:color w:val="FFFFFF"/>
                <w:sz w:val="18"/>
                <w:szCs w:val="20"/>
              </w:rPr>
            </w:pPr>
            <w:r w:rsidRPr="002B5B92">
              <w:rPr>
                <w:b/>
                <w:bCs/>
                <w:color w:val="FFFFFF"/>
                <w:sz w:val="18"/>
                <w:szCs w:val="20"/>
              </w:rPr>
              <w:t>Attwali</w:t>
            </w:r>
          </w:p>
        </w:tc>
        <w:tc>
          <w:tcPr>
            <w:tcW w:w="762" w:type="dxa"/>
            <w:shd w:val="clear" w:color="auto" w:fill="F07E31"/>
            <w:vAlign w:val="center"/>
          </w:tcPr>
          <w:p w:rsidR="00F73706" w:rsidRPr="002B5B92" w:rsidRDefault="00F73706" w:rsidP="00F73706">
            <w:pPr>
              <w:spacing w:before="60" w:after="120" w:line="220" w:lineRule="atLeast"/>
              <w:jc w:val="center"/>
              <w:rPr>
                <w:rFonts w:eastAsia="Times New Roman" w:cs="Arial"/>
                <w:b/>
                <w:bCs/>
                <w:color w:val="FFFFFF"/>
                <w:sz w:val="18"/>
                <w:szCs w:val="20"/>
              </w:rPr>
            </w:pPr>
            <w:r w:rsidRPr="002B5B92">
              <w:rPr>
                <w:b/>
                <w:bCs/>
                <w:color w:val="FFFFFF"/>
                <w:sz w:val="18"/>
                <w:szCs w:val="20"/>
              </w:rPr>
              <w:t>Kalk.</w:t>
            </w:r>
          </w:p>
        </w:tc>
      </w:tr>
      <w:tr w:rsidR="00F73706" w:rsidRPr="002B5B92" w:rsidTr="00BC211C">
        <w:trPr>
          <w:trHeight w:val="310"/>
        </w:trPr>
        <w:tc>
          <w:tcPr>
            <w:tcW w:w="1202" w:type="dxa"/>
            <w:vMerge w:val="restart"/>
            <w:shd w:val="clear" w:color="auto" w:fill="auto"/>
            <w:vAlign w:val="center"/>
            <w:hideMark/>
          </w:tcPr>
          <w:p w:rsidR="00F73706" w:rsidRPr="002B5B92" w:rsidRDefault="00F73706" w:rsidP="00F73706">
            <w:pPr>
              <w:spacing w:before="60" w:after="120" w:line="220" w:lineRule="atLeast"/>
              <w:jc w:val="left"/>
              <w:rPr>
                <w:rFonts w:eastAsia="Times New Roman" w:cs="Arial"/>
                <w:sz w:val="18"/>
                <w:szCs w:val="20"/>
              </w:rPr>
            </w:pPr>
            <w:r w:rsidRPr="002B5B92">
              <w:rPr>
                <w:sz w:val="18"/>
                <w:szCs w:val="20"/>
              </w:rPr>
              <w:t>Data tad-dħul tal-PŻR (bażi ta’ data tal-operazzjonijiet)</w:t>
            </w:r>
          </w:p>
        </w:tc>
        <w:tc>
          <w:tcPr>
            <w:tcW w:w="4175" w:type="dxa"/>
            <w:shd w:val="clear" w:color="auto" w:fill="auto"/>
            <w:vAlign w:val="center"/>
            <w:hideMark/>
          </w:tcPr>
          <w:p w:rsidR="00F73706" w:rsidRPr="002B5B92" w:rsidRDefault="00F73706" w:rsidP="00F73706">
            <w:pPr>
              <w:spacing w:before="60" w:after="120" w:line="220" w:lineRule="atLeast"/>
              <w:jc w:val="left"/>
              <w:rPr>
                <w:rFonts w:eastAsia="Times New Roman" w:cs="Arial"/>
                <w:sz w:val="18"/>
                <w:szCs w:val="20"/>
              </w:rPr>
            </w:pPr>
            <w:r w:rsidRPr="002B5B92">
              <w:rPr>
                <w:sz w:val="18"/>
                <w:szCs w:val="20"/>
              </w:rPr>
              <w:t>Infiq totali tal-PŻR (aggregat).</w:t>
            </w:r>
          </w:p>
        </w:tc>
        <w:tc>
          <w:tcPr>
            <w:tcW w:w="1495" w:type="dxa"/>
            <w:shd w:val="clear" w:color="auto" w:fill="auto"/>
            <w:vAlign w:val="center"/>
            <w:hideMark/>
          </w:tcPr>
          <w:p w:rsidR="00F73706" w:rsidRPr="002B5B92" w:rsidRDefault="00F73706" w:rsidP="00F73706">
            <w:pPr>
              <w:spacing w:before="60" w:after="120" w:line="220" w:lineRule="atLeast"/>
              <w:jc w:val="right"/>
              <w:rPr>
                <w:rFonts w:eastAsia="Times New Roman" w:cs="Arial"/>
                <w:sz w:val="18"/>
                <w:szCs w:val="20"/>
              </w:rPr>
            </w:pPr>
            <w:r w:rsidRPr="002B5B92">
              <w:rPr>
                <w:sz w:val="18"/>
                <w:szCs w:val="20"/>
              </w:rPr>
              <w:t>800.000.000</w:t>
            </w:r>
          </w:p>
        </w:tc>
        <w:tc>
          <w:tcPr>
            <w:tcW w:w="1494" w:type="dxa"/>
            <w:shd w:val="clear" w:color="auto" w:fill="auto"/>
            <w:vAlign w:val="center"/>
            <w:hideMark/>
          </w:tcPr>
          <w:p w:rsidR="00F73706" w:rsidRPr="002B5B92" w:rsidRDefault="00F73706" w:rsidP="00F73706">
            <w:pPr>
              <w:spacing w:before="60" w:after="120" w:line="220" w:lineRule="atLeast"/>
              <w:jc w:val="right"/>
              <w:rPr>
                <w:rFonts w:eastAsia="Times New Roman" w:cs="Arial"/>
                <w:sz w:val="18"/>
                <w:szCs w:val="20"/>
              </w:rPr>
            </w:pPr>
            <w:r w:rsidRPr="002B5B92">
              <w:rPr>
                <w:sz w:val="18"/>
                <w:szCs w:val="20"/>
              </w:rPr>
              <w:t>790.000.000</w:t>
            </w:r>
          </w:p>
        </w:tc>
        <w:tc>
          <w:tcPr>
            <w:tcW w:w="762" w:type="dxa"/>
            <w:vAlign w:val="center"/>
          </w:tcPr>
          <w:p w:rsidR="00F73706" w:rsidRPr="002B5B92" w:rsidRDefault="00F73706" w:rsidP="00F73706">
            <w:pPr>
              <w:spacing w:before="60" w:after="120" w:line="220" w:lineRule="atLeast"/>
              <w:jc w:val="center"/>
              <w:rPr>
                <w:rFonts w:eastAsia="Times New Roman" w:cs="Arial"/>
                <w:color w:val="F07E31"/>
                <w:sz w:val="18"/>
                <w:szCs w:val="20"/>
              </w:rPr>
            </w:pPr>
            <w:r w:rsidRPr="002B5B92">
              <w:rPr>
                <w:color w:val="F07E31"/>
                <w:sz w:val="18"/>
                <w:szCs w:val="20"/>
              </w:rPr>
              <w:t>a</w:t>
            </w:r>
          </w:p>
        </w:tc>
      </w:tr>
      <w:tr w:rsidR="00F73706" w:rsidRPr="002B5B92" w:rsidTr="00BC211C">
        <w:trPr>
          <w:trHeight w:val="363"/>
        </w:trPr>
        <w:tc>
          <w:tcPr>
            <w:tcW w:w="1202" w:type="dxa"/>
            <w:vMerge/>
            <w:vAlign w:val="center"/>
            <w:hideMark/>
          </w:tcPr>
          <w:p w:rsidR="00F73706" w:rsidRPr="002B5B92"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2B5B92" w:rsidRDefault="00F73706" w:rsidP="00F73706">
            <w:pPr>
              <w:spacing w:before="60" w:after="120" w:line="220" w:lineRule="atLeast"/>
              <w:jc w:val="left"/>
              <w:rPr>
                <w:rFonts w:eastAsia="Times New Roman" w:cs="Arial"/>
                <w:sz w:val="18"/>
                <w:szCs w:val="20"/>
              </w:rPr>
            </w:pPr>
            <w:r w:rsidRPr="002B5B92">
              <w:rPr>
                <w:sz w:val="18"/>
                <w:szCs w:val="20"/>
              </w:rPr>
              <w:t>Infiq tal-PŻR skont l-Art. 14, 15 u 35 tar-Regolament (UE) Nru. 1305/2013 (aggregat).</w:t>
            </w:r>
          </w:p>
        </w:tc>
        <w:tc>
          <w:tcPr>
            <w:tcW w:w="1495" w:type="dxa"/>
            <w:shd w:val="clear" w:color="auto" w:fill="auto"/>
            <w:vAlign w:val="center"/>
            <w:hideMark/>
          </w:tcPr>
          <w:p w:rsidR="00F73706" w:rsidRPr="002B5B92" w:rsidRDefault="00F73706" w:rsidP="00F73706">
            <w:pPr>
              <w:spacing w:before="60" w:after="120" w:line="220" w:lineRule="atLeast"/>
              <w:jc w:val="right"/>
              <w:rPr>
                <w:rFonts w:eastAsia="Times New Roman" w:cs="Arial"/>
                <w:sz w:val="18"/>
                <w:szCs w:val="20"/>
              </w:rPr>
            </w:pPr>
            <w:r w:rsidRPr="002B5B92">
              <w:rPr>
                <w:sz w:val="18"/>
                <w:szCs w:val="20"/>
              </w:rPr>
              <w:t>40.000.000</w:t>
            </w:r>
          </w:p>
        </w:tc>
        <w:tc>
          <w:tcPr>
            <w:tcW w:w="1494" w:type="dxa"/>
            <w:shd w:val="clear" w:color="auto" w:fill="auto"/>
            <w:vAlign w:val="center"/>
            <w:hideMark/>
          </w:tcPr>
          <w:p w:rsidR="00F73706" w:rsidRPr="002B5B92" w:rsidRDefault="00F73706" w:rsidP="00F73706">
            <w:pPr>
              <w:spacing w:before="60" w:after="120" w:line="220" w:lineRule="atLeast"/>
              <w:jc w:val="right"/>
              <w:rPr>
                <w:rFonts w:eastAsia="Times New Roman" w:cs="Arial"/>
                <w:sz w:val="18"/>
                <w:szCs w:val="20"/>
              </w:rPr>
            </w:pPr>
            <w:r w:rsidRPr="002B5B92">
              <w:rPr>
                <w:sz w:val="18"/>
                <w:szCs w:val="20"/>
              </w:rPr>
              <w:t>30.000.000</w:t>
            </w:r>
          </w:p>
        </w:tc>
        <w:tc>
          <w:tcPr>
            <w:tcW w:w="762" w:type="dxa"/>
            <w:vAlign w:val="center"/>
          </w:tcPr>
          <w:p w:rsidR="00F73706" w:rsidRPr="002B5B92" w:rsidRDefault="00F73706" w:rsidP="00F73706">
            <w:pPr>
              <w:spacing w:before="60" w:after="120" w:line="220" w:lineRule="atLeast"/>
              <w:jc w:val="center"/>
              <w:rPr>
                <w:rFonts w:eastAsia="Times New Roman" w:cs="Arial"/>
                <w:color w:val="F07E31"/>
                <w:sz w:val="18"/>
                <w:szCs w:val="20"/>
              </w:rPr>
            </w:pPr>
            <w:r w:rsidRPr="002B5B92">
              <w:rPr>
                <w:color w:val="F07E31"/>
                <w:sz w:val="18"/>
                <w:szCs w:val="20"/>
              </w:rPr>
              <w:t>b</w:t>
            </w:r>
          </w:p>
        </w:tc>
      </w:tr>
      <w:tr w:rsidR="00F73706" w:rsidRPr="002B5B92" w:rsidTr="00BC211C">
        <w:trPr>
          <w:trHeight w:val="631"/>
        </w:trPr>
        <w:tc>
          <w:tcPr>
            <w:tcW w:w="1202" w:type="dxa"/>
            <w:vMerge/>
            <w:vAlign w:val="center"/>
            <w:hideMark/>
          </w:tcPr>
          <w:p w:rsidR="00F73706" w:rsidRPr="002B5B92"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2B5B92" w:rsidRDefault="00F73706" w:rsidP="00F73706">
            <w:pPr>
              <w:spacing w:before="60" w:after="120" w:line="220" w:lineRule="atLeast"/>
              <w:jc w:val="left"/>
              <w:rPr>
                <w:rFonts w:eastAsia="Times New Roman" w:cs="Arial"/>
                <w:sz w:val="18"/>
                <w:szCs w:val="20"/>
              </w:rPr>
            </w:pPr>
            <w:r w:rsidRPr="002B5B92">
              <w:rPr>
                <w:sz w:val="18"/>
                <w:szCs w:val="20"/>
              </w:rPr>
              <w:t>Infiq tal-PŻR għall-miżuri/submiżuri kollha tal-PŻR li jinvestu fir-riċerka u l-iżvilupp u bil-kapaċità li jrawmu l-innovazzjoni (aggregat).</w:t>
            </w:r>
          </w:p>
        </w:tc>
        <w:tc>
          <w:tcPr>
            <w:tcW w:w="1495" w:type="dxa"/>
            <w:shd w:val="clear" w:color="auto" w:fill="auto"/>
            <w:vAlign w:val="center"/>
            <w:hideMark/>
          </w:tcPr>
          <w:p w:rsidR="00F73706" w:rsidRPr="002B5B92" w:rsidRDefault="00F73706" w:rsidP="00F73706">
            <w:pPr>
              <w:spacing w:before="60" w:after="120" w:line="220" w:lineRule="atLeast"/>
              <w:jc w:val="right"/>
              <w:rPr>
                <w:rFonts w:eastAsia="Times New Roman" w:cs="Arial"/>
                <w:sz w:val="18"/>
                <w:szCs w:val="20"/>
              </w:rPr>
            </w:pPr>
            <w:r w:rsidRPr="002B5B92">
              <w:rPr>
                <w:sz w:val="18"/>
                <w:szCs w:val="20"/>
              </w:rPr>
              <w:t>120.000.000</w:t>
            </w:r>
          </w:p>
        </w:tc>
        <w:tc>
          <w:tcPr>
            <w:tcW w:w="1494" w:type="dxa"/>
            <w:shd w:val="clear" w:color="auto" w:fill="auto"/>
            <w:vAlign w:val="center"/>
            <w:hideMark/>
          </w:tcPr>
          <w:p w:rsidR="00F73706" w:rsidRPr="002B5B92" w:rsidRDefault="00F73706" w:rsidP="00F73706">
            <w:pPr>
              <w:spacing w:before="60" w:after="120" w:line="220" w:lineRule="atLeast"/>
              <w:jc w:val="right"/>
              <w:rPr>
                <w:rFonts w:eastAsia="Times New Roman" w:cs="Arial"/>
                <w:sz w:val="18"/>
                <w:szCs w:val="20"/>
              </w:rPr>
            </w:pPr>
            <w:r w:rsidRPr="002B5B92">
              <w:rPr>
                <w:sz w:val="18"/>
                <w:szCs w:val="20"/>
              </w:rPr>
              <w:t>140.000.000</w:t>
            </w:r>
          </w:p>
        </w:tc>
        <w:tc>
          <w:tcPr>
            <w:tcW w:w="762" w:type="dxa"/>
            <w:vAlign w:val="center"/>
          </w:tcPr>
          <w:p w:rsidR="00F73706" w:rsidRPr="002B5B92" w:rsidRDefault="00F73706" w:rsidP="00F73706">
            <w:pPr>
              <w:spacing w:before="60" w:after="120" w:line="220" w:lineRule="atLeast"/>
              <w:jc w:val="center"/>
              <w:rPr>
                <w:rFonts w:eastAsia="Times New Roman" w:cs="Arial"/>
                <w:color w:val="F07E31"/>
                <w:sz w:val="18"/>
                <w:szCs w:val="20"/>
              </w:rPr>
            </w:pPr>
            <w:r w:rsidRPr="002B5B92">
              <w:rPr>
                <w:color w:val="F07E31"/>
                <w:sz w:val="18"/>
                <w:szCs w:val="20"/>
              </w:rPr>
              <w:t>ċ</w:t>
            </w:r>
          </w:p>
        </w:tc>
      </w:tr>
      <w:tr w:rsidR="00F73706" w:rsidRPr="002B5B92" w:rsidTr="00BC211C">
        <w:trPr>
          <w:trHeight w:val="631"/>
        </w:trPr>
        <w:tc>
          <w:tcPr>
            <w:tcW w:w="1202" w:type="dxa"/>
            <w:vMerge w:val="restart"/>
            <w:vAlign w:val="center"/>
          </w:tcPr>
          <w:p w:rsidR="00F73706" w:rsidRPr="002B5B92" w:rsidRDefault="00F73706" w:rsidP="00F73706">
            <w:pPr>
              <w:spacing w:before="60" w:after="120" w:line="220" w:lineRule="atLeast"/>
              <w:jc w:val="left"/>
              <w:rPr>
                <w:rFonts w:eastAsia="Times New Roman" w:cs="Arial"/>
                <w:sz w:val="18"/>
                <w:szCs w:val="20"/>
              </w:rPr>
            </w:pPr>
            <w:r w:rsidRPr="002B5B92">
              <w:rPr>
                <w:sz w:val="18"/>
                <w:szCs w:val="20"/>
              </w:rPr>
              <w:t>Data kuntestwali</w:t>
            </w:r>
          </w:p>
        </w:tc>
        <w:tc>
          <w:tcPr>
            <w:tcW w:w="4175" w:type="dxa"/>
            <w:shd w:val="clear" w:color="auto" w:fill="auto"/>
            <w:vAlign w:val="center"/>
          </w:tcPr>
          <w:p w:rsidR="00F73706" w:rsidRPr="002B5B92" w:rsidRDefault="00F73706" w:rsidP="00F73706">
            <w:pPr>
              <w:spacing w:before="60" w:after="120" w:line="220" w:lineRule="atLeast"/>
              <w:jc w:val="left"/>
              <w:rPr>
                <w:rFonts w:eastAsia="Times New Roman" w:cs="Arial"/>
                <w:sz w:val="18"/>
                <w:szCs w:val="20"/>
              </w:rPr>
            </w:pPr>
            <w:r w:rsidRPr="002B5B92">
              <w:rPr>
                <w:sz w:val="18"/>
                <w:szCs w:val="20"/>
              </w:rPr>
              <w:t>PDG reġjonali/nazzjonali (mis-setturi kollha) (kull sena).</w:t>
            </w:r>
          </w:p>
        </w:tc>
        <w:tc>
          <w:tcPr>
            <w:tcW w:w="1495" w:type="dxa"/>
            <w:shd w:val="clear" w:color="auto" w:fill="auto"/>
            <w:vAlign w:val="center"/>
          </w:tcPr>
          <w:p w:rsidR="00F73706" w:rsidRPr="002B5B92" w:rsidRDefault="00F73706" w:rsidP="00F73706">
            <w:pPr>
              <w:spacing w:before="60" w:after="120" w:line="220" w:lineRule="atLeast"/>
              <w:jc w:val="right"/>
              <w:rPr>
                <w:rFonts w:eastAsia="Times New Roman" w:cs="Arial"/>
                <w:sz w:val="18"/>
                <w:szCs w:val="20"/>
              </w:rPr>
            </w:pPr>
            <w:r w:rsidRPr="002B5B92">
              <w:rPr>
                <w:sz w:val="18"/>
                <w:szCs w:val="20"/>
              </w:rPr>
              <w:t>200.000.000.000</w:t>
            </w:r>
          </w:p>
        </w:tc>
        <w:tc>
          <w:tcPr>
            <w:tcW w:w="1494" w:type="dxa"/>
            <w:shd w:val="clear" w:color="auto" w:fill="auto"/>
            <w:vAlign w:val="center"/>
          </w:tcPr>
          <w:p w:rsidR="00F73706" w:rsidRPr="002B5B92" w:rsidRDefault="00F73706" w:rsidP="00F73706">
            <w:pPr>
              <w:spacing w:before="60" w:after="120" w:line="220" w:lineRule="atLeast"/>
              <w:jc w:val="right"/>
              <w:rPr>
                <w:rFonts w:eastAsia="Times New Roman" w:cs="Arial"/>
                <w:sz w:val="18"/>
                <w:szCs w:val="20"/>
              </w:rPr>
            </w:pPr>
            <w:r w:rsidRPr="002B5B92">
              <w:rPr>
                <w:sz w:val="18"/>
                <w:szCs w:val="20"/>
              </w:rPr>
              <w:t>200.000.000.000</w:t>
            </w:r>
          </w:p>
        </w:tc>
        <w:tc>
          <w:tcPr>
            <w:tcW w:w="762" w:type="dxa"/>
            <w:vAlign w:val="center"/>
          </w:tcPr>
          <w:p w:rsidR="00F73706" w:rsidRPr="002B5B92" w:rsidRDefault="00F73706" w:rsidP="00F73706">
            <w:pPr>
              <w:spacing w:before="60" w:after="120" w:line="220" w:lineRule="atLeast"/>
              <w:jc w:val="center"/>
              <w:rPr>
                <w:rFonts w:eastAsia="Times New Roman" w:cs="Arial"/>
                <w:color w:val="F07E31"/>
                <w:sz w:val="18"/>
                <w:szCs w:val="20"/>
              </w:rPr>
            </w:pPr>
            <w:r w:rsidRPr="002B5B92">
              <w:rPr>
                <w:color w:val="F07E31"/>
                <w:sz w:val="18"/>
                <w:szCs w:val="20"/>
              </w:rPr>
              <w:t>d</w:t>
            </w:r>
          </w:p>
        </w:tc>
      </w:tr>
      <w:tr w:rsidR="00F73706" w:rsidRPr="002B5B92" w:rsidTr="00BC211C">
        <w:trPr>
          <w:trHeight w:val="631"/>
        </w:trPr>
        <w:tc>
          <w:tcPr>
            <w:tcW w:w="1202" w:type="dxa"/>
            <w:vMerge/>
            <w:vAlign w:val="center"/>
          </w:tcPr>
          <w:p w:rsidR="00F73706" w:rsidRPr="002B5B92"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tcPr>
          <w:p w:rsidR="00F73706" w:rsidRPr="002B5B92" w:rsidRDefault="00F31494" w:rsidP="00F73706">
            <w:pPr>
              <w:spacing w:before="60" w:after="120" w:line="220" w:lineRule="atLeast"/>
              <w:jc w:val="left"/>
              <w:rPr>
                <w:rFonts w:eastAsia="Times New Roman" w:cs="Arial"/>
                <w:sz w:val="18"/>
                <w:szCs w:val="20"/>
              </w:rPr>
            </w:pPr>
            <w:r w:rsidRPr="002B5B92">
              <w:rPr>
                <w:sz w:val="18"/>
                <w:szCs w:val="20"/>
              </w:rPr>
              <w:t>Infiq domestiku gross fuq ir-riċerka u l-iżvilupp (GERD) mis-setturi kollha (kull sena).</w:t>
            </w:r>
          </w:p>
        </w:tc>
        <w:tc>
          <w:tcPr>
            <w:tcW w:w="1495" w:type="dxa"/>
            <w:shd w:val="clear" w:color="auto" w:fill="auto"/>
            <w:vAlign w:val="center"/>
          </w:tcPr>
          <w:p w:rsidR="00F73706" w:rsidRPr="002B5B92" w:rsidRDefault="00F73706" w:rsidP="00F73706">
            <w:pPr>
              <w:spacing w:before="60" w:after="120" w:line="220" w:lineRule="atLeast"/>
              <w:jc w:val="right"/>
              <w:rPr>
                <w:rFonts w:eastAsia="Times New Roman" w:cs="Arial"/>
                <w:sz w:val="18"/>
                <w:szCs w:val="20"/>
              </w:rPr>
            </w:pPr>
            <w:r w:rsidRPr="002B5B92">
              <w:rPr>
                <w:sz w:val="18"/>
                <w:szCs w:val="20"/>
              </w:rPr>
              <w:t>3.000.000.000</w:t>
            </w:r>
          </w:p>
        </w:tc>
        <w:tc>
          <w:tcPr>
            <w:tcW w:w="1494" w:type="dxa"/>
            <w:shd w:val="clear" w:color="auto" w:fill="auto"/>
            <w:vAlign w:val="center"/>
          </w:tcPr>
          <w:p w:rsidR="00F73706" w:rsidRPr="002B5B92" w:rsidRDefault="00F73706" w:rsidP="00F73706">
            <w:pPr>
              <w:spacing w:before="60" w:after="120" w:line="220" w:lineRule="atLeast"/>
              <w:jc w:val="right"/>
              <w:rPr>
                <w:rFonts w:eastAsia="Times New Roman" w:cs="Arial"/>
                <w:sz w:val="18"/>
                <w:szCs w:val="20"/>
              </w:rPr>
            </w:pPr>
            <w:r w:rsidRPr="002B5B92">
              <w:rPr>
                <w:sz w:val="18"/>
                <w:szCs w:val="20"/>
              </w:rPr>
              <w:t>3.000.000.000</w:t>
            </w:r>
          </w:p>
        </w:tc>
        <w:tc>
          <w:tcPr>
            <w:tcW w:w="762" w:type="dxa"/>
            <w:vAlign w:val="center"/>
          </w:tcPr>
          <w:p w:rsidR="00F73706" w:rsidRPr="002B5B92" w:rsidRDefault="00F73706" w:rsidP="00F73706">
            <w:pPr>
              <w:spacing w:before="60" w:after="120" w:line="220" w:lineRule="atLeast"/>
              <w:jc w:val="center"/>
              <w:rPr>
                <w:rFonts w:eastAsia="Times New Roman" w:cs="Arial"/>
                <w:color w:val="F07E31"/>
                <w:sz w:val="18"/>
                <w:szCs w:val="20"/>
              </w:rPr>
            </w:pPr>
            <w:r w:rsidRPr="002B5B92">
              <w:rPr>
                <w:color w:val="F07E31"/>
                <w:sz w:val="18"/>
                <w:szCs w:val="20"/>
              </w:rPr>
              <w:t>e</w:t>
            </w:r>
          </w:p>
        </w:tc>
      </w:tr>
      <w:tr w:rsidR="00F73706" w:rsidRPr="002B5B92" w:rsidTr="00BC211C">
        <w:trPr>
          <w:trHeight w:val="542"/>
        </w:trPr>
        <w:tc>
          <w:tcPr>
            <w:tcW w:w="1202" w:type="dxa"/>
            <w:vMerge w:val="restart"/>
            <w:shd w:val="clear" w:color="auto" w:fill="auto"/>
            <w:vAlign w:val="center"/>
            <w:hideMark/>
          </w:tcPr>
          <w:p w:rsidR="00F73706" w:rsidRPr="002B5B92" w:rsidRDefault="00F73706" w:rsidP="00F73706">
            <w:pPr>
              <w:spacing w:before="60" w:after="120" w:line="220" w:lineRule="atLeast"/>
              <w:jc w:val="left"/>
              <w:rPr>
                <w:rFonts w:eastAsia="Times New Roman" w:cs="Arial"/>
                <w:sz w:val="18"/>
                <w:szCs w:val="20"/>
              </w:rPr>
            </w:pPr>
            <w:r w:rsidRPr="002B5B92">
              <w:rPr>
                <w:sz w:val="18"/>
                <w:szCs w:val="20"/>
              </w:rPr>
              <w:t xml:space="preserve">Il-valuri tal-indikaturi komuni fil-mira </w:t>
            </w:r>
          </w:p>
        </w:tc>
        <w:tc>
          <w:tcPr>
            <w:tcW w:w="4175" w:type="dxa"/>
            <w:shd w:val="clear" w:color="auto" w:fill="auto"/>
            <w:vAlign w:val="center"/>
            <w:hideMark/>
          </w:tcPr>
          <w:p w:rsidR="00F73706" w:rsidRPr="002B5B92" w:rsidRDefault="00F73706" w:rsidP="00F73706">
            <w:pPr>
              <w:spacing w:before="60" w:after="120" w:line="220" w:lineRule="atLeast"/>
              <w:jc w:val="left"/>
              <w:rPr>
                <w:rFonts w:eastAsia="Times New Roman" w:cs="Arial"/>
                <w:sz w:val="18"/>
                <w:szCs w:val="20"/>
              </w:rPr>
            </w:pPr>
            <w:r w:rsidRPr="002B5B92">
              <w:rPr>
                <w:sz w:val="18"/>
                <w:szCs w:val="20"/>
              </w:rPr>
              <w:t>T1: % tan-nefqa skont l-Art. 14, 15 u 35 tar-Regolament (UE) Nru. 1305/2013 fir-rigward tan-nefqa totali għall-PŻR.</w:t>
            </w:r>
          </w:p>
        </w:tc>
        <w:tc>
          <w:tcPr>
            <w:tcW w:w="1495" w:type="dxa"/>
            <w:shd w:val="clear" w:color="auto" w:fill="auto"/>
            <w:vAlign w:val="center"/>
            <w:hideMark/>
          </w:tcPr>
          <w:p w:rsidR="00F73706" w:rsidRPr="002B5B92" w:rsidRDefault="00F73706" w:rsidP="00F73706">
            <w:pPr>
              <w:spacing w:before="60" w:after="120" w:line="220" w:lineRule="atLeast"/>
              <w:jc w:val="right"/>
              <w:rPr>
                <w:rFonts w:eastAsia="Times New Roman" w:cs="Arial"/>
                <w:sz w:val="18"/>
                <w:szCs w:val="20"/>
              </w:rPr>
            </w:pPr>
            <w:r w:rsidRPr="002B5B92">
              <w:rPr>
                <w:sz w:val="18"/>
                <w:szCs w:val="20"/>
              </w:rPr>
              <w:t>5 %</w:t>
            </w:r>
          </w:p>
        </w:tc>
        <w:tc>
          <w:tcPr>
            <w:tcW w:w="1494" w:type="dxa"/>
            <w:shd w:val="clear" w:color="auto" w:fill="auto"/>
            <w:vAlign w:val="center"/>
            <w:hideMark/>
          </w:tcPr>
          <w:p w:rsidR="00F73706" w:rsidRPr="002B5B92" w:rsidRDefault="00F73706" w:rsidP="00F73706">
            <w:pPr>
              <w:spacing w:before="60" w:after="120" w:line="220" w:lineRule="atLeast"/>
              <w:jc w:val="right"/>
              <w:rPr>
                <w:rFonts w:eastAsia="Times New Roman" w:cs="Arial"/>
                <w:sz w:val="18"/>
                <w:szCs w:val="20"/>
              </w:rPr>
            </w:pPr>
            <w:r w:rsidRPr="002B5B92">
              <w:rPr>
                <w:sz w:val="18"/>
                <w:szCs w:val="20"/>
              </w:rPr>
              <w:t>4 %</w:t>
            </w:r>
          </w:p>
        </w:tc>
        <w:tc>
          <w:tcPr>
            <w:tcW w:w="762" w:type="dxa"/>
            <w:vAlign w:val="center"/>
          </w:tcPr>
          <w:p w:rsidR="00F73706" w:rsidRPr="002B5B92" w:rsidRDefault="00F73706" w:rsidP="00F73706">
            <w:pPr>
              <w:spacing w:before="60" w:after="120" w:line="220" w:lineRule="atLeast"/>
              <w:jc w:val="center"/>
              <w:rPr>
                <w:rFonts w:eastAsia="Times New Roman" w:cs="Arial"/>
                <w:color w:val="F07E31"/>
                <w:sz w:val="18"/>
                <w:szCs w:val="20"/>
              </w:rPr>
            </w:pPr>
            <w:r w:rsidRPr="002B5B92">
              <w:rPr>
                <w:color w:val="F07E31"/>
                <w:sz w:val="18"/>
                <w:szCs w:val="20"/>
              </w:rPr>
              <w:t>f=</w:t>
            </w:r>
            <w:r w:rsidRPr="002B5B92">
              <w:rPr>
                <w:color w:val="F07E31"/>
                <w:sz w:val="18"/>
                <w:szCs w:val="20"/>
              </w:rPr>
              <w:br/>
              <w:t>b*100/a</w:t>
            </w:r>
          </w:p>
        </w:tc>
      </w:tr>
      <w:tr w:rsidR="00F73706" w:rsidRPr="002B5B92" w:rsidTr="00BC211C">
        <w:trPr>
          <w:trHeight w:val="542"/>
        </w:trPr>
        <w:tc>
          <w:tcPr>
            <w:tcW w:w="1202" w:type="dxa"/>
            <w:vMerge/>
            <w:vAlign w:val="center"/>
            <w:hideMark/>
          </w:tcPr>
          <w:p w:rsidR="00F73706" w:rsidRPr="002B5B92"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2B5B92" w:rsidRDefault="00F73706" w:rsidP="00F73706">
            <w:pPr>
              <w:spacing w:before="60" w:after="120" w:line="220" w:lineRule="atLeast"/>
              <w:jc w:val="left"/>
              <w:rPr>
                <w:rFonts w:eastAsia="Times New Roman" w:cs="Arial"/>
                <w:sz w:val="18"/>
                <w:szCs w:val="20"/>
              </w:rPr>
            </w:pPr>
            <w:r w:rsidRPr="002B5B92">
              <w:rPr>
                <w:sz w:val="18"/>
                <w:szCs w:val="20"/>
              </w:rPr>
              <w:t>T2: In-numru totali ta’ proġetti ta’ kooperazzjoni appoġġati taħt il-miżura ta’ kooperazzjoni (l-Art. 35 tar-Regolament (UE) Nru. 1305/2013) (gruppi, netwerks/raggruppamenti, proġetti pilota).</w:t>
            </w:r>
          </w:p>
        </w:tc>
        <w:tc>
          <w:tcPr>
            <w:tcW w:w="1495" w:type="dxa"/>
            <w:shd w:val="clear" w:color="auto" w:fill="auto"/>
            <w:vAlign w:val="center"/>
            <w:hideMark/>
          </w:tcPr>
          <w:p w:rsidR="00F73706" w:rsidRPr="002B5B92" w:rsidRDefault="00F73706" w:rsidP="00F73706">
            <w:pPr>
              <w:spacing w:before="60" w:after="120" w:line="220" w:lineRule="atLeast"/>
              <w:jc w:val="right"/>
              <w:rPr>
                <w:rFonts w:eastAsia="Times New Roman" w:cs="Arial"/>
                <w:sz w:val="18"/>
                <w:szCs w:val="20"/>
              </w:rPr>
            </w:pPr>
            <w:r w:rsidRPr="002B5B92">
              <w:rPr>
                <w:sz w:val="18"/>
                <w:szCs w:val="20"/>
              </w:rPr>
              <w:t>30</w:t>
            </w:r>
          </w:p>
        </w:tc>
        <w:tc>
          <w:tcPr>
            <w:tcW w:w="1494" w:type="dxa"/>
            <w:shd w:val="clear" w:color="auto" w:fill="auto"/>
            <w:vAlign w:val="center"/>
            <w:hideMark/>
          </w:tcPr>
          <w:p w:rsidR="00F73706" w:rsidRPr="002B5B92" w:rsidRDefault="00F73706" w:rsidP="00F73706">
            <w:pPr>
              <w:spacing w:before="60" w:after="120" w:line="220" w:lineRule="atLeast"/>
              <w:jc w:val="right"/>
              <w:rPr>
                <w:rFonts w:eastAsia="Times New Roman" w:cs="Arial"/>
                <w:sz w:val="18"/>
                <w:szCs w:val="20"/>
              </w:rPr>
            </w:pPr>
            <w:r w:rsidRPr="002B5B92">
              <w:rPr>
                <w:sz w:val="18"/>
                <w:szCs w:val="20"/>
              </w:rPr>
              <w:t>50</w:t>
            </w:r>
          </w:p>
        </w:tc>
        <w:tc>
          <w:tcPr>
            <w:tcW w:w="762" w:type="dxa"/>
            <w:vAlign w:val="center"/>
          </w:tcPr>
          <w:p w:rsidR="00F73706" w:rsidRPr="002B5B92" w:rsidRDefault="00F73706" w:rsidP="00F73706">
            <w:pPr>
              <w:spacing w:before="60" w:after="120" w:line="220" w:lineRule="atLeast"/>
              <w:jc w:val="center"/>
              <w:rPr>
                <w:rFonts w:eastAsia="Times New Roman" w:cs="Arial"/>
                <w:color w:val="F07E31"/>
                <w:sz w:val="18"/>
                <w:szCs w:val="20"/>
              </w:rPr>
            </w:pPr>
            <w:r w:rsidRPr="002B5B92">
              <w:rPr>
                <w:color w:val="F07E31"/>
                <w:sz w:val="18"/>
                <w:szCs w:val="20"/>
              </w:rPr>
              <w:t>g</w:t>
            </w:r>
          </w:p>
        </w:tc>
      </w:tr>
      <w:tr w:rsidR="00F73706" w:rsidRPr="002B5B92" w:rsidTr="00BC211C">
        <w:trPr>
          <w:trHeight w:val="561"/>
        </w:trPr>
        <w:tc>
          <w:tcPr>
            <w:tcW w:w="1202" w:type="dxa"/>
            <w:vMerge w:val="restart"/>
            <w:shd w:val="clear" w:color="auto" w:fill="auto"/>
            <w:vAlign w:val="center"/>
          </w:tcPr>
          <w:p w:rsidR="00F73706" w:rsidRPr="002B5B92" w:rsidRDefault="00F73706" w:rsidP="00F73706">
            <w:pPr>
              <w:spacing w:before="60" w:after="120" w:line="220" w:lineRule="atLeast"/>
              <w:jc w:val="left"/>
              <w:rPr>
                <w:rFonts w:eastAsia="Times New Roman" w:cs="Arial"/>
                <w:sz w:val="18"/>
                <w:szCs w:val="20"/>
              </w:rPr>
            </w:pPr>
            <w:r w:rsidRPr="002B5B92">
              <w:rPr>
                <w:sz w:val="18"/>
                <w:szCs w:val="20"/>
              </w:rPr>
              <w:t xml:space="preserve">Il-valuri tal-indikaturi addizzjonali tar-riżultati </w:t>
            </w:r>
          </w:p>
        </w:tc>
        <w:tc>
          <w:tcPr>
            <w:tcW w:w="4175" w:type="dxa"/>
            <w:shd w:val="clear" w:color="auto" w:fill="auto"/>
            <w:vAlign w:val="center"/>
          </w:tcPr>
          <w:p w:rsidR="00F73706" w:rsidRPr="002B5B92" w:rsidRDefault="00F73706" w:rsidP="00F73706">
            <w:pPr>
              <w:spacing w:after="120" w:line="220" w:lineRule="atLeast"/>
              <w:jc w:val="left"/>
              <w:rPr>
                <w:rFonts w:eastAsia="Times New Roman" w:cs="Arial"/>
                <w:color w:val="57825E"/>
                <w:sz w:val="18"/>
                <w:szCs w:val="18"/>
              </w:rPr>
            </w:pPr>
            <w:r w:rsidRPr="002B5B92">
              <w:rPr>
                <w:color w:val="57825E"/>
                <w:sz w:val="18"/>
                <w:szCs w:val="18"/>
              </w:rPr>
              <w:t xml:space="preserve">In-nefqa domestika gross fuq ir-riċerka u l-iżvilupp (GERD) relattiva għall-prodott domestiku gross (PDG). </w:t>
            </w:r>
          </w:p>
        </w:tc>
        <w:tc>
          <w:tcPr>
            <w:tcW w:w="1495" w:type="dxa"/>
            <w:shd w:val="clear" w:color="auto" w:fill="auto"/>
            <w:vAlign w:val="center"/>
          </w:tcPr>
          <w:p w:rsidR="00F73706" w:rsidRPr="002B5B92" w:rsidRDefault="00F73706" w:rsidP="00F73706">
            <w:pPr>
              <w:spacing w:before="60" w:after="120" w:line="220" w:lineRule="atLeast"/>
              <w:jc w:val="right"/>
              <w:rPr>
                <w:rFonts w:eastAsia="Times New Roman" w:cs="Arial"/>
                <w:sz w:val="18"/>
                <w:szCs w:val="20"/>
              </w:rPr>
            </w:pPr>
            <w:r w:rsidRPr="002B5B92">
              <w:rPr>
                <w:sz w:val="18"/>
                <w:szCs w:val="20"/>
              </w:rPr>
              <w:t>1,5 %</w:t>
            </w:r>
          </w:p>
        </w:tc>
        <w:tc>
          <w:tcPr>
            <w:tcW w:w="1494" w:type="dxa"/>
            <w:shd w:val="clear" w:color="auto" w:fill="auto"/>
            <w:vAlign w:val="center"/>
          </w:tcPr>
          <w:p w:rsidR="00F73706" w:rsidRPr="002B5B92" w:rsidRDefault="00F73706" w:rsidP="00F73706">
            <w:pPr>
              <w:spacing w:before="60" w:after="120" w:line="220" w:lineRule="atLeast"/>
              <w:jc w:val="right"/>
              <w:rPr>
                <w:rFonts w:eastAsia="Times New Roman" w:cs="Arial"/>
                <w:sz w:val="18"/>
                <w:szCs w:val="20"/>
              </w:rPr>
            </w:pPr>
            <w:r w:rsidRPr="002B5B92">
              <w:rPr>
                <w:sz w:val="18"/>
                <w:szCs w:val="20"/>
              </w:rPr>
              <w:t>1,5 %</w:t>
            </w:r>
          </w:p>
        </w:tc>
        <w:tc>
          <w:tcPr>
            <w:tcW w:w="762" w:type="dxa"/>
            <w:vAlign w:val="center"/>
          </w:tcPr>
          <w:p w:rsidR="00F73706" w:rsidRPr="002B5B92" w:rsidRDefault="00F73706" w:rsidP="00F73706">
            <w:pPr>
              <w:spacing w:before="60" w:after="120" w:line="220" w:lineRule="atLeast"/>
              <w:jc w:val="center"/>
              <w:rPr>
                <w:rFonts w:eastAsia="Times New Roman" w:cs="Arial"/>
                <w:color w:val="F07E31"/>
                <w:sz w:val="18"/>
                <w:szCs w:val="20"/>
              </w:rPr>
            </w:pPr>
            <w:r w:rsidRPr="002B5B92">
              <w:rPr>
                <w:color w:val="F07E31"/>
                <w:sz w:val="18"/>
                <w:szCs w:val="18"/>
              </w:rPr>
              <w:t>h= e*100/d</w:t>
            </w:r>
          </w:p>
        </w:tc>
      </w:tr>
      <w:tr w:rsidR="00F73706" w:rsidRPr="002B5B92" w:rsidTr="00BC211C">
        <w:trPr>
          <w:trHeight w:val="561"/>
        </w:trPr>
        <w:tc>
          <w:tcPr>
            <w:tcW w:w="1202" w:type="dxa"/>
            <w:vMerge/>
            <w:shd w:val="clear" w:color="auto" w:fill="auto"/>
            <w:vAlign w:val="center"/>
            <w:hideMark/>
          </w:tcPr>
          <w:p w:rsidR="00F73706" w:rsidRPr="002B5B92"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hideMark/>
          </w:tcPr>
          <w:p w:rsidR="00F73706" w:rsidRPr="002B5B92" w:rsidRDefault="00F73706" w:rsidP="00F73706">
            <w:pPr>
              <w:spacing w:after="120" w:line="220" w:lineRule="atLeast"/>
              <w:jc w:val="left"/>
              <w:rPr>
                <w:rFonts w:eastAsia="Times New Roman" w:cs="Arial"/>
                <w:color w:val="57825E"/>
                <w:sz w:val="18"/>
                <w:szCs w:val="20"/>
              </w:rPr>
            </w:pPr>
            <w:r w:rsidRPr="002B5B92">
              <w:rPr>
                <w:color w:val="57825E"/>
                <w:sz w:val="18"/>
                <w:szCs w:val="18"/>
              </w:rPr>
              <w:t xml:space="preserve">In-nefqa tal-PŻR fir-riċerka u l-iżvilupp bħala % tal-PDG (GERD “żvilupp rurali”). </w:t>
            </w:r>
          </w:p>
        </w:tc>
        <w:tc>
          <w:tcPr>
            <w:tcW w:w="1495" w:type="dxa"/>
            <w:shd w:val="clear" w:color="auto" w:fill="auto"/>
            <w:vAlign w:val="center"/>
          </w:tcPr>
          <w:p w:rsidR="00F73706" w:rsidRPr="002B5B92" w:rsidRDefault="00F73706" w:rsidP="00F73706">
            <w:pPr>
              <w:spacing w:before="60" w:after="120" w:line="220" w:lineRule="atLeast"/>
              <w:jc w:val="right"/>
              <w:rPr>
                <w:rFonts w:eastAsia="Times New Roman" w:cs="Arial"/>
                <w:sz w:val="18"/>
                <w:szCs w:val="20"/>
              </w:rPr>
            </w:pPr>
            <w:r w:rsidRPr="002B5B92">
              <w:rPr>
                <w:sz w:val="18"/>
                <w:szCs w:val="20"/>
              </w:rPr>
              <w:t>0,06 %</w:t>
            </w:r>
          </w:p>
        </w:tc>
        <w:tc>
          <w:tcPr>
            <w:tcW w:w="1494" w:type="dxa"/>
            <w:shd w:val="clear" w:color="auto" w:fill="auto"/>
            <w:vAlign w:val="center"/>
          </w:tcPr>
          <w:p w:rsidR="00F73706" w:rsidRPr="002B5B92" w:rsidRDefault="00F73706" w:rsidP="00F73706">
            <w:pPr>
              <w:spacing w:before="60" w:after="120" w:line="220" w:lineRule="atLeast"/>
              <w:jc w:val="right"/>
              <w:rPr>
                <w:rFonts w:eastAsia="Times New Roman" w:cs="Arial"/>
                <w:sz w:val="18"/>
                <w:szCs w:val="20"/>
              </w:rPr>
            </w:pPr>
            <w:r w:rsidRPr="002B5B92">
              <w:rPr>
                <w:sz w:val="18"/>
                <w:szCs w:val="20"/>
              </w:rPr>
              <w:t>0,07 %</w:t>
            </w:r>
          </w:p>
        </w:tc>
        <w:tc>
          <w:tcPr>
            <w:tcW w:w="762" w:type="dxa"/>
            <w:vAlign w:val="center"/>
          </w:tcPr>
          <w:p w:rsidR="00F73706" w:rsidRPr="002B5B92" w:rsidRDefault="00F73706" w:rsidP="00F73706">
            <w:pPr>
              <w:spacing w:before="60" w:after="120" w:line="220" w:lineRule="atLeast"/>
              <w:jc w:val="center"/>
              <w:rPr>
                <w:rFonts w:eastAsia="Times New Roman" w:cs="Arial"/>
                <w:color w:val="F07E31"/>
                <w:sz w:val="18"/>
                <w:szCs w:val="20"/>
              </w:rPr>
            </w:pPr>
            <w:r w:rsidRPr="002B5B92">
              <w:rPr>
                <w:color w:val="F07E31"/>
                <w:sz w:val="18"/>
                <w:szCs w:val="18"/>
              </w:rPr>
              <w:t xml:space="preserve">i= </w:t>
            </w:r>
            <w:r w:rsidRPr="002B5B92">
              <w:rPr>
                <w:color w:val="F07E31"/>
                <w:sz w:val="18"/>
                <w:szCs w:val="18"/>
              </w:rPr>
              <w:br/>
              <w:t>c*100/d</w:t>
            </w:r>
          </w:p>
        </w:tc>
      </w:tr>
      <w:tr w:rsidR="00F73706" w:rsidRPr="002B5B92" w:rsidTr="00BC211C">
        <w:trPr>
          <w:trHeight w:val="650"/>
        </w:trPr>
        <w:tc>
          <w:tcPr>
            <w:tcW w:w="1202" w:type="dxa"/>
            <w:vMerge/>
            <w:shd w:val="clear" w:color="auto" w:fill="auto"/>
            <w:vAlign w:val="center"/>
          </w:tcPr>
          <w:p w:rsidR="00F73706" w:rsidRPr="002B5B92"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2B5B92" w:rsidRDefault="00F73706" w:rsidP="00F73706">
            <w:pPr>
              <w:spacing w:after="120" w:line="220" w:lineRule="atLeast"/>
              <w:jc w:val="left"/>
              <w:rPr>
                <w:rFonts w:eastAsia="Times New Roman" w:cs="Arial"/>
                <w:color w:val="57825E"/>
                <w:sz w:val="18"/>
                <w:szCs w:val="18"/>
              </w:rPr>
            </w:pPr>
            <w:r w:rsidRPr="002B5B92">
              <w:rPr>
                <w:color w:val="57825E"/>
                <w:sz w:val="18"/>
                <w:szCs w:val="18"/>
              </w:rPr>
              <w:t xml:space="preserve">L-infiq tal-PŻR fir-riċerka u l-iżvilupp u l-innovazzjoni bħala % tal-infiq totali tal-PŻR. </w:t>
            </w:r>
          </w:p>
        </w:tc>
        <w:tc>
          <w:tcPr>
            <w:tcW w:w="1495" w:type="dxa"/>
            <w:shd w:val="clear" w:color="auto" w:fill="auto"/>
            <w:vAlign w:val="center"/>
          </w:tcPr>
          <w:p w:rsidR="00F73706" w:rsidRPr="002B5B92" w:rsidRDefault="00F73706" w:rsidP="00F73706">
            <w:pPr>
              <w:spacing w:before="60" w:after="120" w:line="220" w:lineRule="atLeast"/>
              <w:jc w:val="right"/>
              <w:rPr>
                <w:rFonts w:eastAsia="Times New Roman" w:cs="Arial"/>
                <w:sz w:val="18"/>
                <w:szCs w:val="20"/>
              </w:rPr>
            </w:pPr>
            <w:r w:rsidRPr="002B5B92">
              <w:rPr>
                <w:sz w:val="18"/>
                <w:szCs w:val="20"/>
              </w:rPr>
              <w:t>15 %</w:t>
            </w:r>
          </w:p>
        </w:tc>
        <w:tc>
          <w:tcPr>
            <w:tcW w:w="1494" w:type="dxa"/>
            <w:shd w:val="clear" w:color="auto" w:fill="auto"/>
            <w:vAlign w:val="center"/>
          </w:tcPr>
          <w:p w:rsidR="00F73706" w:rsidRPr="002B5B92" w:rsidRDefault="00F73706" w:rsidP="00F73706">
            <w:pPr>
              <w:spacing w:before="60" w:after="120" w:line="220" w:lineRule="atLeast"/>
              <w:jc w:val="right"/>
              <w:rPr>
                <w:rFonts w:eastAsia="Times New Roman" w:cs="Arial"/>
                <w:sz w:val="18"/>
                <w:szCs w:val="20"/>
              </w:rPr>
            </w:pPr>
            <w:r w:rsidRPr="002B5B92">
              <w:rPr>
                <w:sz w:val="18"/>
                <w:szCs w:val="20"/>
              </w:rPr>
              <w:t>17,72 %</w:t>
            </w:r>
          </w:p>
        </w:tc>
        <w:tc>
          <w:tcPr>
            <w:tcW w:w="762" w:type="dxa"/>
            <w:vAlign w:val="center"/>
          </w:tcPr>
          <w:p w:rsidR="00F73706" w:rsidRPr="002B5B92" w:rsidRDefault="00F73706" w:rsidP="00F73706">
            <w:pPr>
              <w:spacing w:before="60" w:after="120" w:line="220" w:lineRule="atLeast"/>
              <w:jc w:val="center"/>
              <w:rPr>
                <w:rFonts w:eastAsia="Times New Roman" w:cs="Arial"/>
                <w:color w:val="F07E31"/>
                <w:sz w:val="18"/>
                <w:szCs w:val="20"/>
              </w:rPr>
            </w:pPr>
            <w:r w:rsidRPr="002B5B92">
              <w:rPr>
                <w:color w:val="F07E31"/>
                <w:sz w:val="18"/>
                <w:szCs w:val="18"/>
              </w:rPr>
              <w:t>j=</w:t>
            </w:r>
            <w:r w:rsidRPr="002B5B92">
              <w:rPr>
                <w:color w:val="F07E31"/>
                <w:sz w:val="18"/>
                <w:szCs w:val="18"/>
              </w:rPr>
              <w:br/>
              <w:t>c*100/a</w:t>
            </w:r>
          </w:p>
        </w:tc>
      </w:tr>
      <w:tr w:rsidR="00F73706" w:rsidRPr="002B5B92" w:rsidTr="00BC211C">
        <w:trPr>
          <w:trHeight w:val="610"/>
        </w:trPr>
        <w:tc>
          <w:tcPr>
            <w:tcW w:w="1202" w:type="dxa"/>
            <w:vMerge/>
            <w:shd w:val="clear" w:color="auto" w:fill="auto"/>
            <w:vAlign w:val="center"/>
          </w:tcPr>
          <w:p w:rsidR="00F73706" w:rsidRPr="002B5B92"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2B5B92" w:rsidRDefault="00F73706" w:rsidP="00F73706">
            <w:pPr>
              <w:spacing w:after="120" w:line="220" w:lineRule="atLeast"/>
              <w:jc w:val="left"/>
              <w:rPr>
                <w:rFonts w:eastAsia="Times New Roman" w:cs="Arial"/>
                <w:color w:val="57825E"/>
                <w:sz w:val="18"/>
                <w:szCs w:val="18"/>
              </w:rPr>
            </w:pPr>
            <w:r w:rsidRPr="002B5B92">
              <w:rPr>
                <w:color w:val="57825E"/>
                <w:sz w:val="18"/>
                <w:szCs w:val="18"/>
              </w:rPr>
              <w:t xml:space="preserve">L-infiq tal-PŻR fir-riċerka u l-iżvilupp u l-innovazzjoni bħala % tal-infiq domestiku gross fir-riċerka u l-iżvilupp u l-innovazzjoni. </w:t>
            </w:r>
          </w:p>
        </w:tc>
        <w:tc>
          <w:tcPr>
            <w:tcW w:w="1495" w:type="dxa"/>
            <w:shd w:val="clear" w:color="auto" w:fill="auto"/>
            <w:vAlign w:val="center"/>
          </w:tcPr>
          <w:p w:rsidR="00F73706" w:rsidRPr="002B5B92" w:rsidRDefault="00F73706" w:rsidP="00F73706">
            <w:pPr>
              <w:spacing w:before="60" w:after="120" w:line="220" w:lineRule="atLeast"/>
              <w:jc w:val="right"/>
              <w:rPr>
                <w:rFonts w:eastAsia="Times New Roman" w:cs="Arial"/>
                <w:sz w:val="18"/>
                <w:szCs w:val="20"/>
              </w:rPr>
            </w:pPr>
            <w:r w:rsidRPr="002B5B92">
              <w:rPr>
                <w:sz w:val="18"/>
                <w:szCs w:val="20"/>
              </w:rPr>
              <w:t>4,00 %</w:t>
            </w:r>
          </w:p>
        </w:tc>
        <w:tc>
          <w:tcPr>
            <w:tcW w:w="1494" w:type="dxa"/>
            <w:shd w:val="clear" w:color="auto" w:fill="auto"/>
            <w:vAlign w:val="center"/>
          </w:tcPr>
          <w:p w:rsidR="00F73706" w:rsidRPr="002B5B92" w:rsidRDefault="00F73706" w:rsidP="00F73706">
            <w:pPr>
              <w:spacing w:before="60" w:after="120" w:line="220" w:lineRule="atLeast"/>
              <w:jc w:val="right"/>
              <w:rPr>
                <w:rFonts w:eastAsia="Times New Roman" w:cs="Arial"/>
                <w:sz w:val="18"/>
                <w:szCs w:val="20"/>
              </w:rPr>
            </w:pPr>
            <w:r w:rsidRPr="002B5B92">
              <w:rPr>
                <w:sz w:val="18"/>
                <w:szCs w:val="20"/>
              </w:rPr>
              <w:t>4,67 %</w:t>
            </w:r>
          </w:p>
        </w:tc>
        <w:tc>
          <w:tcPr>
            <w:tcW w:w="762" w:type="dxa"/>
            <w:vAlign w:val="center"/>
          </w:tcPr>
          <w:p w:rsidR="00F73706" w:rsidRPr="002B5B92" w:rsidRDefault="00F73706" w:rsidP="00F73706">
            <w:pPr>
              <w:spacing w:before="60" w:after="120" w:line="220" w:lineRule="atLeast"/>
              <w:jc w:val="center"/>
              <w:rPr>
                <w:rFonts w:eastAsia="Times New Roman" w:cs="Arial"/>
                <w:color w:val="F07E31"/>
                <w:sz w:val="18"/>
                <w:szCs w:val="20"/>
              </w:rPr>
            </w:pPr>
            <w:r w:rsidRPr="002B5B92">
              <w:rPr>
                <w:color w:val="F07E31"/>
                <w:sz w:val="18"/>
                <w:szCs w:val="18"/>
              </w:rPr>
              <w:t>k=</w:t>
            </w:r>
            <w:r w:rsidRPr="002B5B92">
              <w:rPr>
                <w:color w:val="F07E31"/>
                <w:sz w:val="18"/>
                <w:szCs w:val="18"/>
              </w:rPr>
              <w:br/>
              <w:t>c*100/e</w:t>
            </w:r>
          </w:p>
        </w:tc>
      </w:tr>
    </w:tbl>
    <w:p w:rsidR="00A45935" w:rsidRPr="002B5B92" w:rsidRDefault="00A45935" w:rsidP="008C0B17">
      <w:pPr>
        <w:numPr>
          <w:ilvl w:val="0"/>
          <w:numId w:val="61"/>
        </w:numPr>
        <w:spacing w:before="120" w:after="120" w:line="280" w:lineRule="atLeast"/>
        <w:ind w:left="567" w:hanging="567"/>
        <w:mirrorIndents/>
        <w:rPr>
          <w:rFonts w:eastAsia="Times New Roman" w:cs="Times New Roman"/>
          <w:b/>
          <w:szCs w:val="20"/>
        </w:rPr>
      </w:pPr>
      <w:r w:rsidRPr="002B5B92">
        <w:rPr>
          <w:b/>
          <w:szCs w:val="20"/>
        </w:rPr>
        <w:t xml:space="preserve">Riskji u soluzzjonijiet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8"/>
      </w:tblGrid>
      <w:tr w:rsidR="00A45935" w:rsidRPr="002B5B92" w:rsidTr="00F73706">
        <w:trPr>
          <w:tblHeader/>
        </w:trPr>
        <w:tc>
          <w:tcPr>
            <w:tcW w:w="4508" w:type="dxa"/>
            <w:shd w:val="clear" w:color="auto" w:fill="F07E31"/>
          </w:tcPr>
          <w:bookmarkEnd w:id="127"/>
          <w:p w:rsidR="00A45935" w:rsidRPr="002B5B92" w:rsidRDefault="00A45935" w:rsidP="00E05D08">
            <w:pPr>
              <w:spacing w:after="120" w:line="280" w:lineRule="atLeast"/>
              <w:mirrorIndents/>
              <w:jc w:val="center"/>
              <w:rPr>
                <w:b/>
                <w:color w:val="FFFFFF"/>
                <w:sz w:val="18"/>
                <w:szCs w:val="18"/>
              </w:rPr>
            </w:pPr>
            <w:r w:rsidRPr="002B5B92">
              <w:rPr>
                <w:b/>
                <w:color w:val="FFFFFF"/>
                <w:sz w:val="18"/>
                <w:szCs w:val="18"/>
              </w:rPr>
              <w:t>Riskju</w:t>
            </w:r>
          </w:p>
        </w:tc>
        <w:tc>
          <w:tcPr>
            <w:tcW w:w="4508" w:type="dxa"/>
            <w:shd w:val="clear" w:color="auto" w:fill="F07E31"/>
          </w:tcPr>
          <w:p w:rsidR="00A45935" w:rsidRPr="002B5B92" w:rsidRDefault="00A45935" w:rsidP="00E05D08">
            <w:pPr>
              <w:spacing w:after="120" w:line="280" w:lineRule="atLeast"/>
              <w:mirrorIndents/>
              <w:jc w:val="center"/>
              <w:rPr>
                <w:b/>
                <w:color w:val="FFFFFF"/>
                <w:sz w:val="18"/>
                <w:szCs w:val="18"/>
              </w:rPr>
            </w:pPr>
            <w:r w:rsidRPr="002B5B92">
              <w:rPr>
                <w:b/>
                <w:color w:val="FFFFFF"/>
                <w:sz w:val="18"/>
                <w:szCs w:val="18"/>
              </w:rPr>
              <w:t>Soluzzjoni</w:t>
            </w:r>
          </w:p>
        </w:tc>
      </w:tr>
      <w:tr w:rsidR="00A45935" w:rsidRPr="002B5B92" w:rsidTr="00E05D08">
        <w:tc>
          <w:tcPr>
            <w:tcW w:w="4508" w:type="dxa"/>
          </w:tcPr>
          <w:p w:rsidR="00A45935" w:rsidRPr="002B5B92" w:rsidRDefault="00A45935" w:rsidP="00BA4FCD">
            <w:pPr>
              <w:spacing w:after="120" w:line="280" w:lineRule="atLeast"/>
              <w:jc w:val="left"/>
              <w:rPr>
                <w:rFonts w:eastAsia="Calibri" w:cs="Arial"/>
                <w:sz w:val="18"/>
                <w:szCs w:val="18"/>
              </w:rPr>
            </w:pPr>
            <w:r w:rsidRPr="002B5B92">
              <w:rPr>
                <w:sz w:val="18"/>
                <w:szCs w:val="18"/>
              </w:rPr>
              <w:t>Stima żbaljata tal-potenzjal ta’ diversi miżuri tal-PŻR sabiex titrawwem l-innovazzjoni f’żoni rurali, prinċipalment dawk barra “miżuri ta’ innovazzjoni” tipiċi bħal M1. M2, M16, M19 jew M20, li jistgħu jikkawżaw żbalji fil-kalkolu tal-infiq tal-PŻR marbut mar-riċerka u l-iżvilupp u l-innovazzjoni.</w:t>
            </w:r>
          </w:p>
          <w:p w:rsidR="00A45935" w:rsidRPr="002B5B92" w:rsidRDefault="00A45935" w:rsidP="00BA4FCD">
            <w:pPr>
              <w:spacing w:after="120" w:line="280" w:lineRule="atLeast"/>
              <w:jc w:val="left"/>
              <w:rPr>
                <w:rFonts w:eastAsia="Calibri" w:cs="Arial"/>
                <w:b/>
                <w:sz w:val="18"/>
                <w:szCs w:val="18"/>
              </w:rPr>
            </w:pPr>
          </w:p>
        </w:tc>
        <w:tc>
          <w:tcPr>
            <w:tcW w:w="4508" w:type="dxa"/>
          </w:tcPr>
          <w:p w:rsidR="00A45935" w:rsidRPr="002B5B92" w:rsidRDefault="00A45935" w:rsidP="00BA4FCD">
            <w:pPr>
              <w:spacing w:after="120" w:line="280" w:lineRule="atLeast"/>
              <w:jc w:val="left"/>
              <w:rPr>
                <w:rFonts w:eastAsia="Calibri" w:cs="Arial"/>
                <w:sz w:val="18"/>
                <w:szCs w:val="18"/>
              </w:rPr>
            </w:pPr>
            <w:r w:rsidRPr="002B5B92">
              <w:rPr>
                <w:sz w:val="18"/>
                <w:szCs w:val="18"/>
              </w:rPr>
              <w:t>Dan ir-riskju jista’ jiġi eliminat parzjalment jekk titwettaq valutazzjoni bir-reqqa tal-potenzjal tal-innovazzjoni tal-PŻR qabel tibda l-evalwazzjoni. L-immarkar tal-miżuri tal-PŻR li jistgħu juru potenzjal għoli ta’ innovazzjoni, jiffaċilita l-valutazzjoni tal-kapaċità attwali tagħhom li jagħmlu dan. Pereżempju, jekk l-evalwaturi jafu liema miżuri jista’ jkollhom effett qawwi fuq il-ġenerazzjoni ta’ ideat ġodda, huma jivverifikaw “</w:t>
            </w:r>
            <w:r w:rsidRPr="002B5B92">
              <w:rPr>
                <w:i/>
                <w:sz w:val="18"/>
                <w:szCs w:val="18"/>
              </w:rPr>
              <w:t>il-prestazzjoni innovattiva</w:t>
            </w:r>
            <w:r w:rsidRPr="002B5B92">
              <w:rPr>
                <w:sz w:val="18"/>
                <w:szCs w:val="18"/>
              </w:rPr>
              <w:t xml:space="preserve">” ta’ dawn il-miżuri fiż-żmien tal-evalwazzjoni u jikkunsidraw l-infiq tagħhom meta jikkalkolaw l-indikaturi rispettivi. </w:t>
            </w:r>
          </w:p>
        </w:tc>
      </w:tr>
      <w:tr w:rsidR="00A45935" w:rsidRPr="002B5B92" w:rsidTr="00E05D08">
        <w:tc>
          <w:tcPr>
            <w:tcW w:w="4508" w:type="dxa"/>
          </w:tcPr>
          <w:p w:rsidR="00A45935" w:rsidRPr="002B5B92" w:rsidRDefault="00A45935" w:rsidP="00BA4FCD">
            <w:pPr>
              <w:spacing w:after="120" w:line="280" w:lineRule="atLeast"/>
              <w:jc w:val="left"/>
              <w:rPr>
                <w:rFonts w:eastAsia="Calibri" w:cs="Arial"/>
                <w:b/>
                <w:sz w:val="18"/>
                <w:szCs w:val="18"/>
              </w:rPr>
            </w:pPr>
            <w:r w:rsidRPr="002B5B92">
              <w:rPr>
                <w:sz w:val="18"/>
                <w:szCs w:val="18"/>
              </w:rPr>
              <w:t xml:space="preserve">Nuqqas ta’ disponibbiltà u kwalità tad-data (fil-format meħtieġ) dwar ir-riċerka u l-iżvilupp u l-innovazzjoni mill-istatistika reġjonali u nazzjonali. Fil-każ ta’ nuqqas ta’ data ta’ kwalità għolja, ir-riskju huwa li </w:t>
            </w:r>
            <w:r w:rsidRPr="002B5B92">
              <w:rPr>
                <w:sz w:val="18"/>
                <w:szCs w:val="18"/>
              </w:rPr>
              <w:lastRenderedPageBreak/>
              <w:t>jista’ jkun li l-evalwaturi ma jużawx tekniki adegwati għall-istima tal-infiq investit fir-riċerka u l-iżvilupp u l-innovazzjoni. Dan jista’ jikkomprometti l-kisba ta’ valuri realistiċi ta’ indikaturi addizzjonali proposti.</w:t>
            </w:r>
          </w:p>
        </w:tc>
        <w:tc>
          <w:tcPr>
            <w:tcW w:w="4508" w:type="dxa"/>
          </w:tcPr>
          <w:p w:rsidR="00A45935" w:rsidRPr="002B5B92" w:rsidRDefault="00A45935" w:rsidP="00BA4FCD">
            <w:pPr>
              <w:spacing w:after="120" w:line="280" w:lineRule="atLeast"/>
              <w:jc w:val="left"/>
              <w:rPr>
                <w:rFonts w:eastAsia="Calibri" w:cs="Arial"/>
                <w:b/>
                <w:sz w:val="18"/>
                <w:szCs w:val="18"/>
              </w:rPr>
            </w:pPr>
            <w:r w:rsidRPr="002B5B92">
              <w:rPr>
                <w:sz w:val="18"/>
                <w:szCs w:val="18"/>
              </w:rPr>
              <w:lastRenderedPageBreak/>
              <w:t xml:space="preserve">Sabiex jiġi evitat dan ir-riskju, huwa importanti li l-evalwaturi jkollhom il-kapaċità u l-għodod meħtieġa </w:t>
            </w:r>
            <w:r w:rsidRPr="002B5B92">
              <w:rPr>
                <w:sz w:val="18"/>
                <w:szCs w:val="18"/>
              </w:rPr>
              <w:lastRenderedPageBreak/>
              <w:t>(eż. koeffiċjenti) sabiex jistmaw il-valuri statistiċi fil-livelli reġjonali/nazzjonali.</w:t>
            </w:r>
          </w:p>
        </w:tc>
      </w:tr>
    </w:tbl>
    <w:p w:rsidR="00A45935" w:rsidRPr="002B5B92" w:rsidRDefault="00A45935" w:rsidP="00647766">
      <w:pPr>
        <w:numPr>
          <w:ilvl w:val="0"/>
          <w:numId w:val="61"/>
        </w:numPr>
        <w:spacing w:before="120" w:after="120" w:line="280" w:lineRule="atLeast"/>
        <w:ind w:left="567" w:hanging="567"/>
        <w:mirrorIndents/>
        <w:rPr>
          <w:rFonts w:eastAsia="Times New Roman" w:cs="Times New Roman"/>
          <w:b/>
          <w:szCs w:val="20"/>
        </w:rPr>
      </w:pPr>
      <w:r w:rsidRPr="002B5B92">
        <w:rPr>
          <w:b/>
          <w:szCs w:val="20"/>
        </w:rPr>
        <w:t xml:space="preserve">Konklużjonijiet u rakkomandazzjonijiet </w:t>
      </w:r>
    </w:p>
    <w:p w:rsidR="00A45935" w:rsidRPr="002B5B92" w:rsidRDefault="00A45935" w:rsidP="00E05D08">
      <w:pPr>
        <w:spacing w:after="120" w:line="280" w:lineRule="atLeast"/>
        <w:mirrorIndents/>
        <w:rPr>
          <w:rFonts w:eastAsia="Times New Roman" w:cs="Times New Roman"/>
          <w:szCs w:val="20"/>
        </w:rPr>
      </w:pPr>
      <w:r w:rsidRPr="002B5B92">
        <w:t>Il-konklużjonijiet u r-rakkomandazzjonijiet marbuta mas-CEQ nru. 23 għandhom jikkunsidraw dawn li ġejjin:</w:t>
      </w:r>
    </w:p>
    <w:p w:rsidR="00A45935" w:rsidRPr="002B5B92" w:rsidRDefault="00A45935" w:rsidP="000026C6">
      <w:pPr>
        <w:pStyle w:val="Hlistbullet"/>
      </w:pPr>
      <w:r w:rsidRPr="002B5B92">
        <w:rPr>
          <w:b/>
        </w:rPr>
        <w:t>Livell ta’ investimenti fir-riċerka u l-iżvilupp u l-innovazzjoni</w:t>
      </w:r>
      <w:r w:rsidRPr="002B5B92">
        <w:t xml:space="preserve"> kif implimentat permezz tal-PŻR fir-rigward tas-sitwazzjoni ġenerali fl-investiment fir-riċerka u l-iżvilupp u l-innovazzjoni fl-Istati Membri/reġjun.</w:t>
      </w:r>
    </w:p>
    <w:p w:rsidR="00A45935" w:rsidRPr="002B5B92" w:rsidRDefault="00A45935" w:rsidP="000026C6">
      <w:pPr>
        <w:pStyle w:val="Hlistbullet"/>
      </w:pPr>
      <w:r w:rsidRPr="002B5B92">
        <w:rPr>
          <w:b/>
        </w:rPr>
        <w:t>Potenzjal ta’ miżuri individwali għall-investiment fir-riċerka u l-iżvilupp u l-innovazzjoni</w:t>
      </w:r>
      <w:r w:rsidRPr="002B5B92">
        <w:t xml:space="preserve"> fl-agrikoltura, fl-ipproċessar tal-ikel, fil-forestrija u fiż-żoni rurali. </w:t>
      </w:r>
    </w:p>
    <w:p w:rsidR="00A45935" w:rsidRPr="002B5B92" w:rsidRDefault="00A45935" w:rsidP="00F31494">
      <w:pPr>
        <w:pStyle w:val="HHeading4"/>
        <w:rPr>
          <w:rFonts w:eastAsia="Calibri"/>
        </w:rPr>
      </w:pPr>
      <w:r w:rsidRPr="002B5B92">
        <w:t>Aktar qari</w:t>
      </w:r>
    </w:p>
    <w:p w:rsidR="00A45935" w:rsidRPr="002B5B92" w:rsidRDefault="00A45935" w:rsidP="00F31494">
      <w:pPr>
        <w:pStyle w:val="HStandard"/>
      </w:pPr>
      <w:r w:rsidRPr="002B5B92">
        <w:rPr>
          <w:noProof/>
          <w:lang w:val="en-GB" w:eastAsia="en-GB"/>
        </w:rPr>
        <mc:AlternateContent>
          <mc:Choice Requires="wps">
            <w:drawing>
              <wp:inline distT="0" distB="0" distL="0" distR="0" wp14:anchorId="263AE294" wp14:editId="3C131970">
                <wp:extent cx="5765165" cy="2893326"/>
                <wp:effectExtent l="0" t="0" r="26035" b="21590"/>
                <wp:docPr id="559" name="Rectangle: Diagonal Corners Rounded 559"/>
                <wp:cNvGraphicFramePr/>
                <a:graphic xmlns:a="http://schemas.openxmlformats.org/drawingml/2006/main">
                  <a:graphicData uri="http://schemas.microsoft.com/office/word/2010/wordprocessingShape">
                    <wps:wsp>
                      <wps:cNvSpPr/>
                      <wps:spPr>
                        <a:xfrm>
                          <a:off x="0" y="0"/>
                          <a:ext cx="5765165" cy="2893326"/>
                        </a:xfrm>
                        <a:prstGeom prst="round2DiagRect">
                          <a:avLst>
                            <a:gd name="adj1" fmla="val 9341"/>
                            <a:gd name="adj2" fmla="val 0"/>
                          </a:avLst>
                        </a:prstGeom>
                        <a:noFill/>
                        <a:ln w="25400" cap="flat" cmpd="sng" algn="ctr">
                          <a:solidFill>
                            <a:srgbClr val="59638E"/>
                          </a:solidFill>
                          <a:prstDash val="solid"/>
                        </a:ln>
                        <a:effectLst/>
                      </wps:spPr>
                      <wps:txbx>
                        <w:txbxContent>
                          <w:p w:rsidR="005570DA" w:rsidRDefault="005570DA" w:rsidP="00E05D08">
                            <w:pPr>
                              <w:pStyle w:val="HStandard"/>
                              <w:rPr>
                                <w:color w:val="000000"/>
                                <w:sz w:val="18"/>
                              </w:rPr>
                            </w:pPr>
                            <w:r>
                              <w:rPr>
                                <w:noProof/>
                                <w:lang w:val="en-GB" w:eastAsia="en-GB"/>
                              </w:rPr>
                              <w:drawing>
                                <wp:inline distT="0" distB="0" distL="0" distR="0" wp14:anchorId="34E50883" wp14:editId="51846261">
                                  <wp:extent cx="360465" cy="360000"/>
                                  <wp:effectExtent l="0" t="0" r="1905" b="2540"/>
                                  <wp:docPr id="752"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570DA" w:rsidRPr="008D17C8" w:rsidRDefault="005570DA" w:rsidP="00E05D08">
                            <w:pPr>
                              <w:pStyle w:val="HStandard"/>
                              <w:rPr>
                                <w:sz w:val="18"/>
                                <w:szCs w:val="18"/>
                              </w:rPr>
                            </w:pPr>
                            <w:r>
                              <w:rPr>
                                <w:sz w:val="18"/>
                                <w:szCs w:val="18"/>
                              </w:rPr>
                              <w:t xml:space="preserve">KE (2010) EWROPA 2020 - </w:t>
                            </w:r>
                            <w:hyperlink r:id="rId80" w:history="1">
                              <w:r>
                                <w:rPr>
                                  <w:rStyle w:val="Hyperlink"/>
                                  <w:sz w:val="18"/>
                                  <w:szCs w:val="18"/>
                                </w:rPr>
                                <w:t>Strateġija għal tkabbir intelliġenti, sostenibbli u inklussiv</w:t>
                              </w:r>
                            </w:hyperlink>
                          </w:p>
                          <w:p w:rsidR="005570DA" w:rsidRPr="008D17C8" w:rsidRDefault="005570DA" w:rsidP="00E05D08">
                            <w:pPr>
                              <w:pStyle w:val="HStandard"/>
                              <w:rPr>
                                <w:sz w:val="18"/>
                                <w:szCs w:val="18"/>
                              </w:rPr>
                            </w:pPr>
                            <w:r>
                              <w:rPr>
                                <w:sz w:val="18"/>
                                <w:szCs w:val="18"/>
                              </w:rPr>
                              <w:t xml:space="preserve">EUROSTAT (2017) </w:t>
                            </w:r>
                            <w:hyperlink r:id="rId81" w:history="1">
                              <w:r>
                                <w:rPr>
                                  <w:rStyle w:val="Hyperlink"/>
                                  <w:sz w:val="18"/>
                                  <w:szCs w:val="18"/>
                                </w:rPr>
                                <w:t>Smarter, greener, more inclusive?</w:t>
                              </w:r>
                            </w:hyperlink>
                            <w:hyperlink r:id="rId82" w:history="1">
                              <w:r>
                                <w:rPr>
                                  <w:rStyle w:val="Hyperlink"/>
                                  <w:sz w:val="18"/>
                                  <w:szCs w:val="18"/>
                                </w:rPr>
                                <w:t>Indicators to support the Europe 2020 Strategy</w:t>
                              </w:r>
                            </w:hyperlink>
                            <w:r>
                              <w:t xml:space="preserve"> (Aktar intelliġenti, ekoloġiku, inklussiv? Indikaturi li jappoġġaw l-Istrateġija Ewropa 2020)</w:t>
                            </w:r>
                          </w:p>
                          <w:p w:rsidR="005570DA" w:rsidRPr="008D17C8" w:rsidRDefault="005570DA" w:rsidP="00E05D08">
                            <w:pPr>
                              <w:pStyle w:val="HStandard"/>
                              <w:rPr>
                                <w:sz w:val="18"/>
                                <w:szCs w:val="18"/>
                              </w:rPr>
                            </w:pPr>
                            <w:r>
                              <w:rPr>
                                <w:sz w:val="18"/>
                                <w:szCs w:val="18"/>
                              </w:rPr>
                              <w:t>Dietz S. (2017) “</w:t>
                            </w:r>
                            <w:hyperlink r:id="rId83" w:history="1">
                              <w:r>
                                <w:rPr>
                                  <w:rStyle w:val="Hyperlink"/>
                                  <w:sz w:val="18"/>
                                  <w:szCs w:val="18"/>
                                </w:rPr>
                                <w:t>ELER im Kontext der Strategie „Europa 2020</w:t>
                              </w:r>
                            </w:hyperlink>
                            <w:r>
                              <w:rPr>
                                <w:sz w:val="18"/>
                                <w:szCs w:val="18"/>
                              </w:rPr>
                              <w:t>”; preżentazzjoni fl-Avveniment Annwali ta’ MEN-D tal-2017</w:t>
                            </w:r>
                          </w:p>
                          <w:p w:rsidR="005570DA" w:rsidRPr="00385368" w:rsidRDefault="005570DA" w:rsidP="00E05D08">
                            <w:pPr>
                              <w:pStyle w:val="HStandard"/>
                              <w:rPr>
                                <w:sz w:val="18"/>
                                <w:szCs w:val="18"/>
                              </w:rPr>
                            </w:pPr>
                            <w:r>
                              <w:rPr>
                                <w:sz w:val="18"/>
                                <w:szCs w:val="18"/>
                              </w:rPr>
                              <w:t xml:space="preserve">MEN-D (2015) </w:t>
                            </w:r>
                            <w:hyperlink r:id="rId84" w:history="1">
                              <w:r>
                                <w:rPr>
                                  <w:rStyle w:val="Hyperlink"/>
                                  <w:sz w:val="18"/>
                                  <w:szCs w:val="18"/>
                                </w:rPr>
                                <w:t>MEN-D (2015) Monitoring und Evaluierung der ELER-Förderperiode 2014 – 2020: Auswertung der Methoden und Erfahrungen der Ex-Ante Bewertung.</w:t>
                              </w:r>
                            </w:hyperlink>
                          </w:p>
                          <w:p w:rsidR="005570DA" w:rsidRPr="000041C9" w:rsidRDefault="005570DA" w:rsidP="00E05D08">
                            <w:pPr>
                              <w:pStyle w:val="HStandard"/>
                              <w:rPr>
                                <w:sz w:val="18"/>
                                <w:szCs w:val="18"/>
                              </w:rPr>
                            </w:pPr>
                            <w:r>
                              <w:rPr>
                                <w:sz w:val="18"/>
                                <w:szCs w:val="18"/>
                              </w:rPr>
                              <w:t xml:space="preserve">MEN-D (2017) </w:t>
                            </w:r>
                            <w:hyperlink r:id="rId85" w:history="1">
                              <w:r>
                                <w:rPr>
                                  <w:rStyle w:val="Hyperlink"/>
                                  <w:sz w:val="18"/>
                                  <w:szCs w:val="18"/>
                                </w:rPr>
                                <w:t>EAFRD in the context of the Europe 2020 Strategy - evaluation of contributions and future challenges (Il-FAEŻR fil-kuntest tal-Istrateġija Ewropa 2020 - evalwazzjoni tal-kontribuzzjonijiet u tal-isfidi futuri)</w:t>
                              </w:r>
                            </w:hyperlink>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3AE294" id="Rectangle: Diagonal Corners Rounded 559" o:spid="_x0000_s1053" style="width:453.95pt;height:227.8pt;visibility:visible;mso-wrap-style:square;mso-left-percent:-10001;mso-top-percent:-10001;mso-position-horizontal:absolute;mso-position-horizontal-relative:char;mso-position-vertical:absolute;mso-position-vertical-relative:line;mso-left-percent:-10001;mso-top-percent:-10001;v-text-anchor:middle" coordsize="5765165,28933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" adj="-11796480,,5400" path="m270266,l5765165,r,l5765165,2623060v,149264,-121002,270266,-270266,270266l,2893326r,l,270266c,121002,121002,,270266,xe" filled="f" strokecolor="#59638e" strokeweight="2pt">
                <v:stroke joinstyle="miter"/>
                <v:formulas/>
                <v:path arrowok="t" o:connecttype="custom" o:connectlocs="270266,0;5765165,0;5765165,0;5765165,2623060;5494899,2893326;0,2893326;0,2893326;0,270266;270266,0" o:connectangles="0,0,0,0,0,0,0,0,0" textboxrect="0,0,5765165,2893326"/>
                <v:textbox>
                  <w:txbxContent>
                    <w:p w:rsidR="005570DA" w:rsidRDefault="005570DA" w:rsidP="00E05D08">
                      <w:pPr>
                        <w:pStyle w:val="HStandard"/>
                        <w:rPr>
                          <w:color w:val="000000"/>
                          <w:sz w:val="18"/>
                        </w:rPr>
                      </w:pPr>
                      <w:r>
                        <w:rPr>
                          <w:noProof/>
                          <w:lang w:val="en-GB" w:eastAsia="en-GB"/>
                        </w:rPr>
                        <w:drawing>
                          <wp:inline distT="0" distB="0" distL="0" distR="0" wp14:anchorId="34E50883" wp14:editId="51846261">
                            <wp:extent cx="360465" cy="360000"/>
                            <wp:effectExtent l="0" t="0" r="1905" b="2540"/>
                            <wp:docPr id="752"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570DA" w:rsidRPr="008D17C8" w:rsidRDefault="005570DA" w:rsidP="00E05D08">
                      <w:pPr>
                        <w:pStyle w:val="HStandard"/>
                        <w:rPr>
                          <w:sz w:val="18"/>
                          <w:szCs w:val="18"/>
                        </w:rPr>
                      </w:pPr>
                      <w:r>
                        <w:rPr>
                          <w:sz w:val="18"/>
                          <w:szCs w:val="18"/>
                        </w:rPr>
                        <w:t xml:space="preserve">KE (2010) EWROPA 2020 - </w:t>
                      </w:r>
                      <w:hyperlink r:id="rId86" w:history="1">
                        <w:r>
                          <w:rPr>
                            <w:rStyle w:val="Hyperlink"/>
                            <w:sz w:val="18"/>
                            <w:szCs w:val="18"/>
                          </w:rPr>
                          <w:t>Strateġija għal tkabbir intelliġenti, sostenibbli u inklussiv</w:t>
                        </w:r>
                      </w:hyperlink>
                    </w:p>
                    <w:p w:rsidR="005570DA" w:rsidRPr="008D17C8" w:rsidRDefault="005570DA" w:rsidP="00E05D08">
                      <w:pPr>
                        <w:pStyle w:val="HStandard"/>
                        <w:rPr>
                          <w:sz w:val="18"/>
                          <w:szCs w:val="18"/>
                        </w:rPr>
                      </w:pPr>
                      <w:r>
                        <w:rPr>
                          <w:sz w:val="18"/>
                          <w:szCs w:val="18"/>
                        </w:rPr>
                        <w:t xml:space="preserve">EUROSTAT (2017) </w:t>
                      </w:r>
                      <w:hyperlink r:id="rId87" w:history="1">
                        <w:r>
                          <w:rPr>
                            <w:rStyle w:val="Hyperlink"/>
                            <w:sz w:val="18"/>
                            <w:szCs w:val="18"/>
                          </w:rPr>
                          <w:t>Smarter, greener, more inclusive?</w:t>
                        </w:r>
                      </w:hyperlink>
                      <w:hyperlink r:id="rId88" w:history="1">
                        <w:r>
                          <w:rPr>
                            <w:rStyle w:val="Hyperlink"/>
                            <w:sz w:val="18"/>
                            <w:szCs w:val="18"/>
                          </w:rPr>
                          <w:t>Indicators to support the Europe 2020 Strategy</w:t>
                        </w:r>
                      </w:hyperlink>
                      <w:r>
                        <w:t xml:space="preserve"> (Aktar intelliġenti, ekoloġiku, inklussiv? Indikaturi li jappoġġaw l-Istrateġija Ewropa 2020)</w:t>
                      </w:r>
                    </w:p>
                    <w:p w:rsidR="005570DA" w:rsidRPr="008D17C8" w:rsidRDefault="005570DA" w:rsidP="00E05D08">
                      <w:pPr>
                        <w:pStyle w:val="HStandard"/>
                        <w:rPr>
                          <w:sz w:val="18"/>
                          <w:szCs w:val="18"/>
                        </w:rPr>
                      </w:pPr>
                      <w:r>
                        <w:rPr>
                          <w:sz w:val="18"/>
                          <w:szCs w:val="18"/>
                        </w:rPr>
                        <w:t>Dietz S. (2017) “</w:t>
                      </w:r>
                      <w:hyperlink r:id="rId89" w:history="1">
                        <w:r>
                          <w:rPr>
                            <w:rStyle w:val="Hyperlink"/>
                            <w:sz w:val="18"/>
                            <w:szCs w:val="18"/>
                          </w:rPr>
                          <w:t>ELER im Kontext der Strategie „Europa 2020</w:t>
                        </w:r>
                      </w:hyperlink>
                      <w:r>
                        <w:rPr>
                          <w:sz w:val="18"/>
                          <w:szCs w:val="18"/>
                        </w:rPr>
                        <w:t>”; preżentazzjoni fl-Avveniment Annwali ta’ MEN-D tal-2017</w:t>
                      </w:r>
                    </w:p>
                    <w:p w:rsidR="005570DA" w:rsidRPr="00385368" w:rsidRDefault="005570DA" w:rsidP="00E05D08">
                      <w:pPr>
                        <w:pStyle w:val="HStandard"/>
                        <w:rPr>
                          <w:sz w:val="18"/>
                          <w:szCs w:val="18"/>
                        </w:rPr>
                      </w:pPr>
                      <w:r>
                        <w:rPr>
                          <w:sz w:val="18"/>
                          <w:szCs w:val="18"/>
                        </w:rPr>
                        <w:t xml:space="preserve">MEN-D (2015) </w:t>
                      </w:r>
                      <w:hyperlink r:id="rId90" w:history="1">
                        <w:r>
                          <w:rPr>
                            <w:rStyle w:val="Hyperlink"/>
                            <w:sz w:val="18"/>
                            <w:szCs w:val="18"/>
                          </w:rPr>
                          <w:t>MEN-D (2015) Monitoring und Evaluierung der ELER-Förderperiode 2014 – 2020: Auswertung der Methoden und Erfahrungen der Ex-Ante Bewertung.</w:t>
                        </w:r>
                      </w:hyperlink>
                    </w:p>
                    <w:p w:rsidR="005570DA" w:rsidRPr="000041C9" w:rsidRDefault="005570DA" w:rsidP="00E05D08">
                      <w:pPr>
                        <w:pStyle w:val="HStandard"/>
                        <w:rPr>
                          <w:sz w:val="18"/>
                          <w:szCs w:val="18"/>
                        </w:rPr>
                      </w:pPr>
                      <w:r>
                        <w:rPr>
                          <w:sz w:val="18"/>
                          <w:szCs w:val="18"/>
                        </w:rPr>
                        <w:t xml:space="preserve">MEN-D (2017) </w:t>
                      </w:r>
                      <w:hyperlink r:id="rId91" w:history="1">
                        <w:r>
                          <w:rPr>
                            <w:rStyle w:val="Hyperlink"/>
                            <w:sz w:val="18"/>
                            <w:szCs w:val="18"/>
                          </w:rPr>
                          <w:t>EAFRD in the context of the Europe 2020 Strategy - evaluation of contributions and future challenges (Il-FAEŻR fil-kuntest tal-Istrateġija Ewropa 2020 - evalwazzjoni tal-kontribuzzjonijiet u tal-isfidi futuri)</w:t>
                        </w:r>
                      </w:hyperlink>
                      <w:r>
                        <w:rPr>
                          <w:sz w:val="18"/>
                          <w:szCs w:val="18"/>
                        </w:rPr>
                        <w:t xml:space="preserve">. </w:t>
                      </w:r>
                    </w:p>
                  </w:txbxContent>
                </v:textbox>
                <w10:anchorlock/>
              </v:shape>
            </w:pict>
          </mc:Fallback>
        </mc:AlternateContent>
      </w:r>
    </w:p>
    <w:p w:rsidR="00A45935" w:rsidRPr="002B5B92" w:rsidRDefault="00A45935" w:rsidP="00D13817">
      <w:pPr>
        <w:pStyle w:val="HHeading3"/>
        <w:numPr>
          <w:ilvl w:val="2"/>
          <w:numId w:val="125"/>
        </w:numPr>
        <w:tabs>
          <w:tab w:val="clear" w:pos="567"/>
        </w:tabs>
        <w:spacing w:before="480" w:line="280" w:lineRule="exact"/>
        <w:ind w:left="567" w:hanging="567"/>
      </w:pPr>
      <w:bookmarkStart w:id="129" w:name="_Toc501382135"/>
      <w:bookmarkStart w:id="130" w:name="_Toc508960925"/>
      <w:r w:rsidRPr="002B5B92">
        <w:t>CEQ nru. 30: “Sa liema punt l-interventi tal-PŻR ikkontribwixxew għat-trawwim tal-innovazzjoni?”</w:t>
      </w:r>
      <w:bookmarkEnd w:id="129"/>
      <w:bookmarkEnd w:id="130"/>
    </w:p>
    <w:p w:rsidR="00A45935" w:rsidRPr="002B5B92"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2B5B92">
        <w:rPr>
          <w:b/>
          <w:color w:val="57825E"/>
          <w:szCs w:val="20"/>
          <w:shd w:val="clear" w:color="auto" w:fill="FFFFFF"/>
        </w:rPr>
        <w:t>Il-fehim tas-CEQ</w:t>
      </w:r>
    </w:p>
    <w:p w:rsidR="00A45935" w:rsidRPr="002B5B92" w:rsidRDefault="00A45935" w:rsidP="00E05D08">
      <w:pPr>
        <w:spacing w:after="120" w:line="280" w:lineRule="atLeast"/>
        <w:mirrorIndents/>
        <w:rPr>
          <w:rFonts w:eastAsia="Times New Roman" w:cs="Arial"/>
          <w:szCs w:val="20"/>
        </w:rPr>
      </w:pPr>
      <w:r w:rsidRPr="002B5B92">
        <w:t xml:space="preserve">Is-CEQ nru. 30 tirrigwardja l-proċess tat-trawwim tal-innovazzjoni. Dan jagħmel il-mistoqsija kunċettwalment wiesgħa ħafna, minħabba li </w:t>
      </w:r>
      <w:r w:rsidRPr="002B5B92">
        <w:rPr>
          <w:b/>
        </w:rPr>
        <w:t>l-innovazzjoni toħroġ mill-interazzjonijiet tal-atturi fis-sistema tal-innovazzjoni</w:t>
      </w:r>
      <w:r w:rsidRPr="002B5B92">
        <w:t>.</w:t>
      </w:r>
      <w:r w:rsidRPr="002B5B92">
        <w:rPr>
          <w:b/>
          <w:szCs w:val="20"/>
        </w:rPr>
        <w:t xml:space="preserve"> </w:t>
      </w:r>
      <w:r w:rsidRPr="002B5B92">
        <w:t xml:space="preserve">Il-valutazzjoni tal-proċessi teħtieġ iż-żmien u, għalhekk, il-mistoqsija tista’ tiġi mwieġba biss wara li l-intervent tal-PŻR ikun għamel progress sostanzjali (fl-AIR sottomess fl-2019), jew spiċċa (evalwazzjoni ‘ex post’). </w:t>
      </w:r>
    </w:p>
    <w:p w:rsidR="00A45935" w:rsidRPr="002B5B92" w:rsidRDefault="00A45935" w:rsidP="00E05D08">
      <w:pPr>
        <w:spacing w:after="120" w:line="280" w:lineRule="atLeast"/>
        <w:mirrorIndents/>
        <w:rPr>
          <w:rFonts w:eastAsia="Times New Roman" w:cs="Arial"/>
          <w:szCs w:val="20"/>
        </w:rPr>
      </w:pPr>
      <w:r w:rsidRPr="002B5B92">
        <w:t xml:space="preserve">L-UE hija interessata fil-kontribut tal-PŻR għall-innovazzjoni fuq skala, jiġifieri proċessi ta’ innovazzjoni ta’ suċċess li wasslu għal bidliet relattivament kbar (eż. numru relattivament kbir ta’ bdiewa li jadottaw teknoloġija ġdida). Għaldaqstant, il-punt tat-tluq sabiex tiġi mwieġba s-CEQ nru. 30 huwa li jiġu identifikati l-bidliet kbar li l-PŻR isostni li kkontribwixxa għalihom u fejn għall-inqas ftit mill-kontribut sar </w:t>
      </w:r>
      <w:r w:rsidRPr="002B5B92">
        <w:lastRenderedPageBreak/>
        <w:t xml:space="preserve">permezz tat-trawwim tal-innovazzjoni. Dawn il-bidliet kbar jistgħu jiġu identifikati permezz tal-valutazzjoni tal-indikaturi tal-impatt u l-ġbir ta’ aktar informazzjoni (eż. permezz ta’ eżamijiet dokumentarji u intervisti mal-partijiet ikkonċernati wara l-eżiti tal-identifikazzjoni tal-potenzjal tal-innovazzjoni, ara </w:t>
      </w:r>
      <w:r w:rsidRPr="002B5B92">
        <w:rPr>
          <w:color w:val="F07E31"/>
          <w:szCs w:val="20"/>
        </w:rPr>
        <w:t>l-Kapitolu 2.2</w:t>
      </w:r>
      <w:r w:rsidRPr="002B5B92">
        <w:t xml:space="preserve">). Is-sejbiet se jintużaw ukoll sabiex jiġu mwieġba CEQs oħrajn għajr in-nru. 30 (is-CEQs nri. 24 sa 29). </w:t>
      </w:r>
    </w:p>
    <w:p w:rsidR="00A45935" w:rsidRPr="002B5B92" w:rsidRDefault="00A45935" w:rsidP="00E05D08">
      <w:pPr>
        <w:spacing w:after="120" w:line="280" w:lineRule="atLeast"/>
        <w:mirrorIndents/>
        <w:rPr>
          <w:rFonts w:eastAsia="Times New Roman" w:cs="Arial"/>
          <w:szCs w:val="20"/>
        </w:rPr>
      </w:pPr>
      <w:r w:rsidRPr="002B5B92">
        <w:t>Suppożizzjoni ‘a priori’ mill-Kapitolu 1.1 hija li l-miżuri/submiżuri tal-PŻR jikkontribwixxu għat-</w:t>
      </w:r>
      <w:r w:rsidRPr="002B5B92">
        <w:rPr>
          <w:b/>
        </w:rPr>
        <w:t>trawwim tal-innovazzjoni</w:t>
      </w:r>
      <w:r w:rsidRPr="002B5B92">
        <w:t xml:space="preserve"> permezz ta’ tliet perkorsi interkonnessi (ara </w:t>
      </w:r>
      <w:hyperlink w:anchor="Pathways" w:history="1">
        <w:r w:rsidRPr="002B5B92">
          <w:rPr>
            <w:rStyle w:val="Hyperlink"/>
            <w:sz w:val="20"/>
            <w:szCs w:val="20"/>
          </w:rPr>
          <w:t>l-Figura 1</w:t>
        </w:r>
      </w:hyperlink>
      <w:r w:rsidRPr="002B5B92">
        <w:t xml:space="preserve">). Il-valur tat-tliet perkorsi huwa li dawn jgħinu lill-evalwatur janalizza u jifhem aħjar il-proċess tal-innovazzjoni. B’hekk, il-linji gwida jipproponu tliet submistoqsijiet tas-CEQ nru. 30 li jikkorrispondu għall-perkorsi: </w:t>
      </w:r>
    </w:p>
    <w:p w:rsidR="00A45935" w:rsidRPr="002B5B92" w:rsidRDefault="00A45935" w:rsidP="000026C6">
      <w:pPr>
        <w:pStyle w:val="Hlistbullet"/>
      </w:pPr>
      <w:r w:rsidRPr="002B5B92">
        <w:t>Sa liema punt il-PŻR inkoraġġixxa l-innovazzjoni permezz tat-trawwim ta’ potenzjal innovattiv? (Perkors 1)</w:t>
      </w:r>
    </w:p>
    <w:p w:rsidR="00A45935" w:rsidRPr="002B5B92" w:rsidRDefault="00A45935" w:rsidP="000026C6">
      <w:pPr>
        <w:pStyle w:val="Hlistbullet"/>
      </w:pPr>
      <w:r w:rsidRPr="002B5B92">
        <w:t>Sa liema punt il-PŻR inkoraġġixxa l-innovazzjoni permezz tal-bini tal-kapaċità għall-innovazzjoni? (Perkors 2)</w:t>
      </w:r>
    </w:p>
    <w:p w:rsidR="00A45935" w:rsidRPr="002B5B92" w:rsidRDefault="00A45935" w:rsidP="000026C6">
      <w:pPr>
        <w:pStyle w:val="Hlistbullet"/>
      </w:pPr>
      <w:r w:rsidRPr="002B5B92">
        <w:t>Sa liema punt il-PŻR inkoraġġixxa l-innovazzjoni permezz tal-bini ta’ ambjent favorevoli għall-innovazzjoni? (Perkors 3)</w:t>
      </w:r>
    </w:p>
    <w:p w:rsidR="00A45935" w:rsidRPr="002B5B92" w:rsidRDefault="00A45935" w:rsidP="00690E70">
      <w:pPr>
        <w:spacing w:after="120" w:line="280" w:lineRule="atLeast"/>
        <w:mirrorIndents/>
        <w:rPr>
          <w:rFonts w:eastAsia="Times New Roman" w:cs="Arial"/>
          <w:szCs w:val="20"/>
        </w:rPr>
      </w:pPr>
      <w:r w:rsidRPr="002B5B92">
        <w:t xml:space="preserve">L-interazzjonijiet bejn il-perkorsi huma importanti wkoll. Il-proċess tat-trawwim ta’ potenzjal innovattiv b’mod kollaborattiv (eż. l-iżvilupp u l-introduzzjoni ta’ teknoloġija ġdida) jibni l-kapaċità għall-innovazzjoni tal-individwi u l-organizzazzjonijiet ikkonċernati, kif ukoll is-sistema tal-innovazzjoni nnifisha. L-interazzjoni bejn il-perkorsi għandha tiġi indirizzata meta jiġu mwieġba t-tliet submistoqsijiet u s-CEQ nru. 30. </w:t>
      </w:r>
    </w:p>
    <w:p w:rsidR="00A45935" w:rsidRPr="002B5B92"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2B5B92">
        <w:rPr>
          <w:b/>
          <w:color w:val="57825E"/>
          <w:szCs w:val="20"/>
          <w:shd w:val="clear" w:color="auto" w:fill="FFFFFF"/>
        </w:rPr>
        <w:t xml:space="preserve">Sfidi Speċifiċi </w:t>
      </w:r>
    </w:p>
    <w:p w:rsidR="00A45935" w:rsidRPr="002B5B92" w:rsidRDefault="00A45935" w:rsidP="000026C6">
      <w:pPr>
        <w:pStyle w:val="Hlistbullet"/>
      </w:pPr>
      <w:r w:rsidRPr="002B5B92">
        <w:rPr>
          <w:b/>
        </w:rPr>
        <w:t>L-iżvilupp ta’ elementi addizzjonali tal-evalwazzjoni</w:t>
      </w:r>
      <w:r w:rsidRPr="002B5B92">
        <w:t xml:space="preserve"> sabiex tiġi mwieġba s-CEQ nru. 30 (kriterji u indikaturi tal-ġudizzju, kemm kwalitattivi kif ukoll kwantitattivi). </w:t>
      </w:r>
    </w:p>
    <w:p w:rsidR="00A45935" w:rsidRPr="002B5B92" w:rsidRDefault="00A45935" w:rsidP="000026C6">
      <w:pPr>
        <w:pStyle w:val="Hlistbullet"/>
      </w:pPr>
      <w:r w:rsidRPr="002B5B92">
        <w:rPr>
          <w:b/>
        </w:rPr>
        <w:t>L-applikazzjoni tal-metodi ta’ evalwazzjoni</w:t>
      </w:r>
      <w:r w:rsidRPr="002B5B92">
        <w:t xml:space="preserve"> li jippermettu li l-bidliet osservati fit-</w:t>
      </w:r>
      <w:r w:rsidRPr="002B5B92">
        <w:rPr>
          <w:u w:val="single"/>
        </w:rPr>
        <w:t>tliet perkorsi kollha</w:t>
      </w:r>
      <w:r w:rsidRPr="002B5B92">
        <w:t xml:space="preserve"> tas-sistema ta’ innovazzjoni f’żoni rurali jiġu attribwiti għall-interventi tal-PŻR. </w:t>
      </w:r>
    </w:p>
    <w:p w:rsidR="00A45935" w:rsidRPr="002B5B92" w:rsidRDefault="00A45935" w:rsidP="000026C6">
      <w:pPr>
        <w:pStyle w:val="Hlistbullet"/>
      </w:pPr>
      <w:r w:rsidRPr="002B5B92">
        <w:rPr>
          <w:b/>
        </w:rPr>
        <w:t>Il-valutazzjoni tal-bidliet</w:t>
      </w:r>
      <w:r w:rsidRPr="002B5B92">
        <w:t xml:space="preserve"> li seħħew minħabba l-innovazzjonijiet appoġġati mill-PŻR. </w:t>
      </w:r>
    </w:p>
    <w:p w:rsidR="00A45935" w:rsidRPr="002B5B92"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sidRPr="002B5B92">
        <w:rPr>
          <w:b/>
          <w:color w:val="57825E"/>
          <w:szCs w:val="20"/>
          <w:shd w:val="clear" w:color="auto" w:fill="FFFFFF"/>
        </w:rPr>
        <w:t>Approċċ issuġġerit sabiex tiġi mwieġba s-CEQ nru. 30</w:t>
      </w:r>
    </w:p>
    <w:p w:rsidR="00A45935" w:rsidRPr="002B5B92" w:rsidRDefault="00A45935" w:rsidP="00647766">
      <w:pPr>
        <w:numPr>
          <w:ilvl w:val="0"/>
          <w:numId w:val="62"/>
        </w:numPr>
        <w:spacing w:before="120" w:after="120" w:line="280" w:lineRule="atLeast"/>
        <w:ind w:left="567" w:hanging="567"/>
        <w:mirrorIndents/>
        <w:rPr>
          <w:rFonts w:eastAsia="Calibri" w:cs="Times New Roman"/>
          <w:b/>
          <w:szCs w:val="20"/>
        </w:rPr>
      </w:pPr>
      <w:r w:rsidRPr="002B5B92">
        <w:rPr>
          <w:b/>
          <w:szCs w:val="20"/>
        </w:rPr>
        <w:t xml:space="preserve">Il-loġika tal-intervent </w:t>
      </w:r>
    </w:p>
    <w:p w:rsidR="00A45935" w:rsidRDefault="00A45935" w:rsidP="00E05D08">
      <w:pPr>
        <w:spacing w:after="120" w:line="280" w:lineRule="atLeast"/>
        <w:mirrorIndents/>
      </w:pPr>
      <w:r w:rsidRPr="002B5B92">
        <w:t>L-approċċ tal-PŻR lejn l-innovazzjoni jiġi stabbilit matul it-tfassil tal-programm</w:t>
      </w:r>
      <w:r w:rsidRPr="002B5B92">
        <w:rPr>
          <w:rFonts w:eastAsia="Times New Roman" w:cs="Times New Roman"/>
          <w:szCs w:val="20"/>
          <w:vertAlign w:val="superscript"/>
          <w:lang w:eastAsia="de-DE"/>
        </w:rPr>
        <w:footnoteReference w:id="76"/>
      </w:r>
      <w:r w:rsidRPr="002B5B92">
        <w:t xml:space="preserve">. Fl-iskrinjar tal-potenzjal tal-innovazzjoni tal-miżuri/submiżuri tal-PŻR matul l-istadju tat-tħejjija tal-evalwazzjoni, il-miżuri/submiżuri kollha (mhux biss M1, M2, M16, M19 u TA) jiġu skrinjati u ttestjati għall-potenzjal tagħhom li jrawmu l-ideat, jibnu l-kapaċitajiet u joħolqu ambjent favorevoli. Konsegwentement, </w:t>
      </w:r>
      <w:r w:rsidRPr="002B5B92">
        <w:rPr>
          <w:b/>
        </w:rPr>
        <w:t>il-miżuri u s-submiżuri kollha tal-PŻR li wrew potenzjal ta’ innovazzjoni sinifikanti</w:t>
      </w:r>
      <w:r w:rsidRPr="002B5B92">
        <w:t xml:space="preserve"> huma mistennija li jkunu parti mil-loġika tal-intervent relatata mal-innovazzjoni tal-PŻR li tiggwida l-implimentazzjoni tal-PŻR lejn l-innovazzjoni. L-evalwatur juża din il-loġika bħala kontribut sabiex jibni l-każ dwar kif il-PŻR ikkontribwixxa għall-innovazzjoni (ara </w:t>
      </w:r>
      <w:hyperlink w:anchor="Example_IL" w:history="1">
        <w:r w:rsidRPr="002B5B92">
          <w:rPr>
            <w:rStyle w:val="Hyperlink"/>
            <w:sz w:val="20"/>
            <w:szCs w:val="20"/>
          </w:rPr>
          <w:t>l-Figura 11</w:t>
        </w:r>
      </w:hyperlink>
      <w:r w:rsidRPr="002B5B92">
        <w:t>).</w:t>
      </w:r>
    </w:p>
    <w:p w:rsidR="004C2E9B" w:rsidRDefault="004C2E9B" w:rsidP="00E05D08">
      <w:pPr>
        <w:spacing w:after="120" w:line="280" w:lineRule="atLeast"/>
        <w:mirrorIndents/>
      </w:pPr>
    </w:p>
    <w:p w:rsidR="004C2E9B" w:rsidRDefault="004C2E9B" w:rsidP="00E05D08">
      <w:pPr>
        <w:spacing w:after="120" w:line="280" w:lineRule="atLeast"/>
        <w:mirrorIndents/>
      </w:pPr>
    </w:p>
    <w:p w:rsidR="004C2E9B" w:rsidRPr="002B5B92" w:rsidRDefault="004C2E9B" w:rsidP="00E05D08">
      <w:pPr>
        <w:spacing w:after="120" w:line="280" w:lineRule="atLeast"/>
        <w:mirrorIndents/>
        <w:rPr>
          <w:rFonts w:eastAsia="Times New Roman" w:cs="Arial"/>
          <w:szCs w:val="20"/>
        </w:rPr>
      </w:pPr>
    </w:p>
    <w:p w:rsidR="00A45935" w:rsidRPr="002B5B92" w:rsidRDefault="00BE1F31" w:rsidP="000026C6">
      <w:pPr>
        <w:pStyle w:val="HHeadingfigures"/>
      </w:pPr>
      <w:bookmarkStart w:id="131" w:name="Example_IL"/>
      <w:bookmarkStart w:id="132" w:name="_Toc508964971"/>
      <w:bookmarkEnd w:id="131"/>
      <w:r w:rsidRPr="002B5B92">
        <w:lastRenderedPageBreak/>
        <w:t>Eżempju ta’ loġika tal-intervent għas-CEQ nru. 30</w:t>
      </w:r>
      <w:bookmarkEnd w:id="132"/>
    </w:p>
    <w:p w:rsidR="00A45935" w:rsidRPr="002B5B92" w:rsidRDefault="0035138C" w:rsidP="002C2C15">
      <w:pPr>
        <w:suppressAutoHyphens/>
        <w:spacing w:before="60" w:after="140" w:line="240" w:lineRule="auto"/>
        <w:mirrorIndents/>
        <w:jc w:val="center"/>
        <w:rPr>
          <w:rFonts w:eastAsia="Times New Roman" w:cs="Times New Roman"/>
          <w:i/>
          <w:noProof/>
          <w:sz w:val="16"/>
          <w:szCs w:val="20"/>
          <w:lang w:eastAsia="en-GB"/>
        </w:rPr>
      </w:pPr>
      <w:r>
        <w:rPr>
          <w:noProof/>
          <w:lang w:val="en-GB" w:eastAsia="en-GB"/>
        </w:rPr>
        <w:drawing>
          <wp:inline distT="0" distB="0" distL="0" distR="0" wp14:anchorId="43C3B714" wp14:editId="4653487E">
            <wp:extent cx="5732145" cy="3245128"/>
            <wp:effectExtent l="0" t="0" r="1905"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32145" cy="3245128"/>
                    </a:xfrm>
                    <a:prstGeom prst="rect">
                      <a:avLst/>
                    </a:prstGeom>
                  </pic:spPr>
                </pic:pic>
              </a:graphicData>
            </a:graphic>
          </wp:inline>
        </w:drawing>
      </w:r>
    </w:p>
    <w:p w:rsidR="00A45935" w:rsidRPr="002B5B92" w:rsidRDefault="00A45935" w:rsidP="00916AB5">
      <w:pPr>
        <w:suppressAutoHyphens/>
        <w:spacing w:before="60" w:after="140" w:line="240" w:lineRule="auto"/>
        <w:mirrorIndents/>
        <w:jc w:val="center"/>
        <w:rPr>
          <w:rFonts w:eastAsia="Times New Roman" w:cs="Times New Roman"/>
          <w:i/>
          <w:sz w:val="16"/>
          <w:szCs w:val="20"/>
        </w:rPr>
      </w:pPr>
      <w:r w:rsidRPr="002B5B92">
        <w:rPr>
          <w:i/>
          <w:sz w:val="16"/>
          <w:szCs w:val="20"/>
        </w:rPr>
        <w:t>Sors: Helpdesk Ewropew ta’ Evalwazzjoni għall-Iżvilupp Rurali, 2017</w:t>
      </w:r>
    </w:p>
    <w:p w:rsidR="00A45935" w:rsidRPr="002B5B92" w:rsidRDefault="00A45935" w:rsidP="00E05D08">
      <w:pPr>
        <w:spacing w:after="120" w:line="280" w:lineRule="atLeast"/>
        <w:mirrorIndents/>
        <w:rPr>
          <w:rFonts w:eastAsia="Times New Roman" w:cs="Arial"/>
          <w:szCs w:val="20"/>
        </w:rPr>
      </w:pPr>
      <w:r w:rsidRPr="002B5B92">
        <w:rPr>
          <w:rFonts w:eastAsia="Times New Roman" w:cs="Times New Roman"/>
          <w:noProof/>
          <w:sz w:val="18"/>
          <w:szCs w:val="24"/>
          <w:lang w:val="en-GB" w:eastAsia="en-GB"/>
        </w:rPr>
        <mc:AlternateContent>
          <mc:Choice Requires="wps">
            <w:drawing>
              <wp:inline distT="0" distB="0" distL="0" distR="0" wp14:anchorId="0410D588" wp14:editId="14DC6806">
                <wp:extent cx="5732145" cy="2367886"/>
                <wp:effectExtent l="0" t="0" r="20955" b="13970"/>
                <wp:docPr id="560" name="Rectangle: Diagonal Corners Rounded 560"/>
                <wp:cNvGraphicFramePr/>
                <a:graphic xmlns:a="http://schemas.openxmlformats.org/drawingml/2006/main">
                  <a:graphicData uri="http://schemas.microsoft.com/office/word/2010/wordprocessingShape">
                    <wps:wsp>
                      <wps:cNvSpPr/>
                      <wps:spPr>
                        <a:xfrm>
                          <a:off x="0" y="0"/>
                          <a:ext cx="5732145" cy="2367886"/>
                        </a:xfrm>
                        <a:prstGeom prst="round2DiagRect">
                          <a:avLst>
                            <a:gd name="adj1" fmla="val 11556"/>
                            <a:gd name="adj2" fmla="val 0"/>
                          </a:avLst>
                        </a:prstGeom>
                        <a:noFill/>
                        <a:ln w="25400" cap="flat" cmpd="sng" algn="ctr">
                          <a:solidFill>
                            <a:srgbClr val="F07E31"/>
                          </a:solidFill>
                          <a:prstDash val="solid"/>
                        </a:ln>
                        <a:effectLst/>
                      </wps:spPr>
                      <wps:txbx>
                        <w:txbxContent>
                          <w:p w:rsidR="005570DA" w:rsidRPr="0079762F" w:rsidRDefault="005570DA" w:rsidP="00E05D08">
                            <w:pPr>
                              <w:pStyle w:val="HStandard"/>
                              <w:rPr>
                                <w:rFonts w:cs="Arial"/>
                                <w:sz w:val="18"/>
                              </w:rPr>
                            </w:pPr>
                            <w:r>
                              <w:rPr>
                                <w:noProof/>
                                <w:sz w:val="18"/>
                                <w:szCs w:val="18"/>
                                <w:lang w:val="en-GB" w:eastAsia="en-GB"/>
                              </w:rPr>
                              <w:drawing>
                                <wp:inline distT="0" distB="0" distL="0" distR="0" wp14:anchorId="095EF657" wp14:editId="1B1D2127">
                                  <wp:extent cx="353060" cy="359410"/>
                                  <wp:effectExtent l="0" t="0" r="8890" b="2540"/>
                                  <wp:docPr id="75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w:t>
                            </w:r>
                            <w:r>
                              <w:rPr>
                                <w:sz w:val="18"/>
                              </w:rPr>
                              <w:t>F’dan l-eżempju, il-miżuri (ċrieki) taħt l-</w:t>
                            </w:r>
                            <w:r w:rsidRPr="00794C2E">
                              <w:rPr>
                                <w:sz w:val="18"/>
                              </w:rPr>
                              <w:t>oqsma ta' prijorità</w:t>
                            </w:r>
                            <w:r>
                              <w:rPr>
                                <w:sz w:val="18"/>
                              </w:rPr>
                              <w:t xml:space="preserve"> (rettangoli) huma mistennija li jinkoraġġixxu l-innovazzjoni weħidhom jew flimkien ma’ miżuri oħrajn b’modi differenti (tliet Perkorsi murija bħala pittogrammi). Pereżempju, il-miżuri M16 u M2 ipprogrammati taħt l-OP 3A - l-integrazzjoni tal-produtturi primarji fil-katina alimentari u taħt l-OP 5A - l-effiċjenza tal-ilma, huma mistennija li flimkien jinkoraġġixxu l-innovazzjoni permezz tat-tliet perkorsi kollha. F’każ ieħor – iż-żewġ miżuri ta’ OP 5B flimkien ma’ M4 huma mistennija li jinkoraġġixxu l-innovazzjoni permezz tal-bini ta’ kapaċitajiet b’mod kollaborattiv.  </w:t>
                            </w:r>
                          </w:p>
                          <w:p w:rsidR="005570DA" w:rsidRPr="00ED3BAD" w:rsidRDefault="005570DA" w:rsidP="00E05D08">
                            <w:pPr>
                              <w:pStyle w:val="HStandard"/>
                              <w:rPr>
                                <w:sz w:val="18"/>
                                <w:szCs w:val="18"/>
                              </w:rPr>
                            </w:pPr>
                            <w:r>
                              <w:rPr>
                                <w:sz w:val="18"/>
                              </w:rPr>
                              <w:t>Il-miżuri b’potenzjal ta’ innovazzjoni huma mistennija li jiġġeneraw l-outputs, li jwasslu għal riżultati fit-trawwim tal-innovazzjoni permezz tat-tliet perkorsi u finalment ikollhom impatt fuq l-ilħuq tal-objettivi ta’ politika.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10D588" id="Rectangle: Diagonal Corners Rounded 560" o:spid="_x0000_s1054" style="width:451.35pt;height:186.45pt;visibility:visible;mso-wrap-style:square;mso-left-percent:-10001;mso-top-percent:-10001;mso-position-horizontal:absolute;mso-position-horizontal-relative:char;mso-position-vertical:absolute;mso-position-vertical-relative:line;mso-left-percent:-10001;mso-top-percent:-10001;v-text-anchor:middle" coordsize="5732145,23678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" adj="-11796480,,5400" path="m273633,l5732145,r,l5732145,2094253v,151123,-122510,273633,-273633,273633l,2367886r,l,273633c,122510,122510,,273633,xe" filled="f" strokecolor="#f07e31" strokeweight="2pt">
                <v:stroke joinstyle="miter"/>
                <v:formulas/>
                <v:path arrowok="t" o:connecttype="custom" o:connectlocs="273633,0;5732145,0;5732145,0;5732145,2094253;5458512,2367886;0,2367886;0,2367886;0,273633;273633,0" o:connectangles="0,0,0,0,0,0,0,0,0" textboxrect="0,0,5732145,2367886"/>
                <v:textbox>
                  <w:txbxContent>
                    <w:p w:rsidR="005570DA" w:rsidRPr="0079762F" w:rsidRDefault="005570DA" w:rsidP="00E05D08">
                      <w:pPr>
                        <w:pStyle w:val="HStandard"/>
                        <w:rPr>
                          <w:rFonts w:cs="Arial"/>
                          <w:sz w:val="18"/>
                        </w:rPr>
                      </w:pPr>
                      <w:r>
                        <w:rPr>
                          <w:noProof/>
                          <w:sz w:val="18"/>
                          <w:szCs w:val="18"/>
                          <w:lang w:val="en-GB" w:eastAsia="en-GB"/>
                        </w:rPr>
                        <w:drawing>
                          <wp:inline distT="0" distB="0" distL="0" distR="0" wp14:anchorId="095EF657" wp14:editId="1B1D2127">
                            <wp:extent cx="353060" cy="359410"/>
                            <wp:effectExtent l="0" t="0" r="8890" b="2540"/>
                            <wp:docPr id="75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w:t>
                      </w:r>
                      <w:r>
                        <w:rPr>
                          <w:sz w:val="18"/>
                        </w:rPr>
                        <w:t>F’dan l-eżempju, il-miżuri (ċrieki) taħt l-</w:t>
                      </w:r>
                      <w:r w:rsidRPr="00794C2E">
                        <w:rPr>
                          <w:sz w:val="18"/>
                        </w:rPr>
                        <w:t>oqsma ta' prijorità</w:t>
                      </w:r>
                      <w:r>
                        <w:rPr>
                          <w:sz w:val="18"/>
                        </w:rPr>
                        <w:t xml:space="preserve"> (rettangoli) huma mistennija li jinkoraġġixxu l-innovazzjoni weħidhom jew flimkien ma’ miżuri oħrajn b’modi differenti (tliet Perkorsi murija bħala pittogrammi). Pereżempju, il-miżuri M16 u M2 ipprogrammati taħt l-OP 3A - l-integrazzjoni tal-produtturi primarji fil-katina alimentari u taħt l-OP 5A - l-effiċjenza tal-ilma, huma mistennija li flimkien jinkoraġġixxu l-innovazzjoni permezz tat-tliet perkorsi kollha. F’każ ieħor – iż-żewġ miżuri ta’ OP 5B flimkien ma’ M4 huma mistennija li jinkoraġġixxu l-innovazzjoni permezz tal-bini ta’ kapaċitajiet b’mod kollaborattiv.  </w:t>
                      </w:r>
                    </w:p>
                    <w:p w:rsidR="005570DA" w:rsidRPr="00ED3BAD" w:rsidRDefault="005570DA" w:rsidP="00E05D08">
                      <w:pPr>
                        <w:pStyle w:val="HStandard"/>
                        <w:rPr>
                          <w:sz w:val="18"/>
                          <w:szCs w:val="18"/>
                        </w:rPr>
                      </w:pPr>
                      <w:r>
                        <w:rPr>
                          <w:sz w:val="18"/>
                        </w:rPr>
                        <w:t>Il-miżuri b’potenzjal ta’ innovazzjoni huma mistennija li jiġġeneraw l-outputs, li jwasslu għal riżultati fit-trawwim tal-innovazzjoni permezz tat-tliet perkorsi u finalment ikollhom impatt fuq l-ilħuq tal-objettivi ta’ politika.</w:t>
                      </w:r>
                    </w:p>
                  </w:txbxContent>
                </v:textbox>
                <w10:anchorlock/>
              </v:shape>
            </w:pict>
          </mc:Fallback>
        </mc:AlternateContent>
      </w:r>
    </w:p>
    <w:p w:rsidR="00A45935" w:rsidRPr="002B5B92" w:rsidRDefault="00A45935" w:rsidP="00E05D08">
      <w:pPr>
        <w:spacing w:after="120" w:line="280" w:lineRule="atLeast"/>
        <w:mirrorIndents/>
        <w:rPr>
          <w:rFonts w:eastAsia="Times New Roman" w:cs="Arial"/>
          <w:szCs w:val="20"/>
          <w:lang w:eastAsia="de-DE"/>
        </w:rPr>
        <w:sectPr w:rsidR="00A45935" w:rsidRPr="002B5B92" w:rsidSect="001F6F07">
          <w:headerReference w:type="even" r:id="rId93"/>
          <w:headerReference w:type="first" r:id="rId94"/>
          <w:endnotePr>
            <w:numFmt w:val="decimal"/>
          </w:endnotePr>
          <w:pgSz w:w="11907" w:h="16840" w:code="9"/>
          <w:pgMar w:top="1134" w:right="1440" w:bottom="1440" w:left="1440" w:header="567" w:footer="1020" w:gutter="0"/>
          <w:cols w:space="708"/>
          <w:noEndnote/>
          <w:titlePg/>
          <w:docGrid w:linePitch="435"/>
        </w:sectPr>
      </w:pPr>
    </w:p>
    <w:p w:rsidR="00A45935" w:rsidRPr="002B5B92" w:rsidRDefault="00A45935" w:rsidP="00E05D08">
      <w:pPr>
        <w:spacing w:after="120" w:line="280" w:lineRule="atLeast"/>
        <w:mirrorIndents/>
        <w:rPr>
          <w:rFonts w:eastAsia="Times New Roman" w:cs="Arial"/>
          <w:szCs w:val="20"/>
        </w:rPr>
      </w:pPr>
      <w:r w:rsidRPr="002B5B92">
        <w:t>Minħabba n-natura kumplessa u emerġenti tal-innovazzjoni, huwa preżunt li se jkun hemm qbil imperfett bejn il-potenzjal tal-innovazzjoni mbassar u l-interventi tal-PŻR li għamlu differenza. B’hekk, fil-ħin tal-evalwazzjoni, il-kompitu tal-evalwatur huwa li jqabbel il-potenzjal tal-innovazzjoni mbassar tal-PŻR mal-kontribuzzjonijiet attwali għall-bidla.</w:t>
      </w:r>
    </w:p>
    <w:p w:rsidR="00A45935" w:rsidRPr="002B5B92" w:rsidRDefault="00A45935" w:rsidP="008C0B17">
      <w:pPr>
        <w:numPr>
          <w:ilvl w:val="0"/>
          <w:numId w:val="62"/>
        </w:numPr>
        <w:spacing w:before="120" w:after="120" w:line="280" w:lineRule="atLeast"/>
        <w:ind w:left="567" w:hanging="567"/>
        <w:mirrorIndents/>
        <w:rPr>
          <w:rFonts w:eastAsia="Times New Roman" w:cs="Times New Roman"/>
          <w:b/>
          <w:szCs w:val="20"/>
        </w:rPr>
      </w:pPr>
      <w:r w:rsidRPr="002B5B92">
        <w:rPr>
          <w:b/>
          <w:szCs w:val="20"/>
        </w:rPr>
        <w:t xml:space="preserve">Elementi tal-evalwazzjoni </w:t>
      </w:r>
    </w:p>
    <w:p w:rsidR="00A45935" w:rsidRPr="002B5B92" w:rsidRDefault="00A45935" w:rsidP="00E05D08">
      <w:pPr>
        <w:spacing w:after="120" w:line="280" w:lineRule="atLeast"/>
        <w:mirrorIndents/>
        <w:rPr>
          <w:rFonts w:eastAsia="Times New Roman" w:cs="Times New Roman"/>
          <w:szCs w:val="20"/>
        </w:rPr>
      </w:pPr>
      <w:r w:rsidRPr="002B5B92">
        <w:t xml:space="preserve">Id-Dokument ta’ Ħidma, </w:t>
      </w:r>
      <w:hyperlink r:id="rId95" w:history="1">
        <w:r w:rsidRPr="002B5B92">
          <w:rPr>
            <w:rStyle w:val="Hyperlink"/>
            <w:sz w:val="20"/>
            <w:szCs w:val="20"/>
          </w:rPr>
          <w:t>Mistoqsijiet Komuni tal-Evalwazzjoni għall-PŻR 2014-2020</w:t>
        </w:r>
      </w:hyperlink>
      <w:r w:rsidRPr="002B5B92">
        <w:rPr>
          <w:i/>
          <w:szCs w:val="20"/>
        </w:rPr>
        <w:t>,</w:t>
      </w:r>
      <w:r w:rsidRPr="002B5B92">
        <w:t xml:space="preserve"> jissuġġerixxi kriterju tal-ġudizzju wieħed (trawmet l-innovazzjoni f’setturi u żoni rurali) u indikatur wieħed komuni (T1 - infiq relatat mal-Art. 14, 15 u 35). Huwa jirrakkomanda wkoll li tinġabar informazzjoni kwantitattiva u kwalitattiva addizzjonali dwar l-innovazzjoni sabiex tiġi mwieġba s-CEQ nru. 30. Madankollu, dawn l-elementi ma jistgħux ikopru b’mod sħiħ il-kontribuzzjonijiet tal-PŻR lejn it-trawwim tal-innovazzjonijiet. </w:t>
      </w:r>
    </w:p>
    <w:p w:rsidR="00A45935" w:rsidRPr="002B5B92" w:rsidRDefault="00A45935" w:rsidP="00E05D08">
      <w:pPr>
        <w:spacing w:after="120" w:line="280" w:lineRule="atLeast"/>
        <w:mirrorIndents/>
        <w:rPr>
          <w:rFonts w:eastAsia="Times New Roman" w:cs="Times New Roman"/>
          <w:szCs w:val="20"/>
        </w:rPr>
      </w:pPr>
      <w:r w:rsidRPr="002B5B92">
        <w:t xml:space="preserve">Għalhekk, dawn il-linji gwida jipproponu li wieħed jikkunsidra l-użu ta’ elementi addizzjonali tal-evalwazzjoni sabiex tiġi mwieġba s-CEQ nru. 30 (ara </w:t>
      </w:r>
      <w:hyperlink w:anchor="CEQ_fostering" w:history="1">
        <w:r w:rsidRPr="002B5B92">
          <w:rPr>
            <w:rStyle w:val="Hyperlink"/>
            <w:sz w:val="20"/>
            <w:szCs w:val="20"/>
          </w:rPr>
          <w:t>t-Tabella 9</w:t>
        </w:r>
      </w:hyperlink>
      <w:r w:rsidRPr="002B5B92">
        <w:t xml:space="preserve">). Fil-każ tas-CEQ nru. 30, l-elementi tal-evalwazzjoni huma marbuta mat-tliet submistoqsijiet li jikkorrespondu għat-tliet perkorsi tal-proċess ta’ innovazzjoni. Il-kriterji tal-ġudizzju proposti huma marbuta mal-karatteristiċi ta’ kull perkors. Dan </w:t>
      </w:r>
      <w:r w:rsidRPr="002B5B92">
        <w:lastRenderedPageBreak/>
        <w:t xml:space="preserve">jippermetti li wieħed jara jekk il-perkors ġiex segwit permezz tal-implimentazzjoni ta’ miżuri tal-PŻR kif identifikati matul l-iskrinjar tal-potenzjal tal-innovazzjoni. </w:t>
      </w:r>
    </w:p>
    <w:p w:rsidR="00A45935" w:rsidRPr="002B5B92" w:rsidRDefault="00A45935" w:rsidP="00E05D08">
      <w:pPr>
        <w:spacing w:after="120" w:line="280" w:lineRule="atLeast"/>
        <w:mirrorIndents/>
        <w:rPr>
          <w:rFonts w:eastAsia="Times New Roman" w:cs="Times New Roman"/>
          <w:szCs w:val="20"/>
        </w:rPr>
      </w:pPr>
      <w:r w:rsidRPr="002B5B92">
        <w:t xml:space="preserve">Minbarra l-indikaturi komuni, l-elementi ssuġġeriti mhumiex vinkolanti u l-partijiet ikkonċernati fl-Istati Membri jistgħu jiżviluppaw il-kriterji tal-ġudizzju tagħhom stess u indikaturi addizzjonali. </w:t>
      </w:r>
    </w:p>
    <w:p w:rsidR="00A45935" w:rsidRPr="002B5B92" w:rsidRDefault="00A45935" w:rsidP="00E05D08">
      <w:pPr>
        <w:spacing w:after="120" w:line="280" w:lineRule="atLeast"/>
        <w:mirrorIndents/>
        <w:rPr>
          <w:rFonts w:eastAsia="Times New Roman" w:cs="Times New Roman"/>
          <w:szCs w:val="20"/>
          <w:lang w:eastAsia="de-DE"/>
        </w:rPr>
        <w:sectPr w:rsidR="00A45935" w:rsidRPr="002B5B92" w:rsidSect="001F6F07">
          <w:endnotePr>
            <w:numFmt w:val="decimal"/>
          </w:endnotePr>
          <w:type w:val="continuous"/>
          <w:pgSz w:w="11907" w:h="16840" w:code="9"/>
          <w:pgMar w:top="1134" w:right="1440" w:bottom="1440" w:left="1440" w:header="567" w:footer="1020" w:gutter="0"/>
          <w:cols w:space="708"/>
          <w:noEndnote/>
          <w:titlePg/>
          <w:docGrid w:linePitch="435"/>
        </w:sectPr>
      </w:pPr>
    </w:p>
    <w:p w:rsidR="00A45935" w:rsidRPr="002B5B92" w:rsidRDefault="00A45935" w:rsidP="009C734C">
      <w:pPr>
        <w:pStyle w:val="HHeadingtables"/>
        <w:rPr>
          <w:color w:val="6F6F6F"/>
          <w:sz w:val="18"/>
          <w:szCs w:val="18"/>
        </w:rPr>
      </w:pPr>
      <w:bookmarkStart w:id="133" w:name="CEQ_fostering"/>
      <w:bookmarkStart w:id="134" w:name="_Toc508964840"/>
      <w:bookmarkEnd w:id="133"/>
      <w:r w:rsidRPr="002B5B92">
        <w:rPr>
          <w:color w:val="6F6F6F"/>
          <w:sz w:val="18"/>
          <w:szCs w:val="18"/>
        </w:rPr>
        <w:lastRenderedPageBreak/>
        <w:t>Elementi tal-evalwazzjoni marbuta mas-CEQ nru. 30</w:t>
      </w:r>
      <w:bookmarkEnd w:id="134"/>
      <w:r w:rsidRPr="002B5B92">
        <w:rPr>
          <w:color w:val="6F6F6F"/>
          <w:sz w:val="18"/>
          <w:szCs w:val="18"/>
        </w:rPr>
        <w:t xml:space="preserve"> </w:t>
      </w:r>
    </w:p>
    <w:p w:rsidR="00A45935" w:rsidRPr="002B5B92" w:rsidRDefault="00A45935" w:rsidP="00E05D08">
      <w:pPr>
        <w:spacing w:after="120" w:line="280" w:lineRule="atLeast"/>
        <w:mirrorIndents/>
        <w:rPr>
          <w:rFonts w:eastAsia="Times New Roman" w:cs="Arial"/>
          <w:i/>
          <w:szCs w:val="20"/>
        </w:rPr>
      </w:pPr>
      <w:r w:rsidRPr="002B5B92">
        <w:rPr>
          <w:i/>
          <w:szCs w:val="20"/>
        </w:rPr>
        <w:t xml:space="preserve">Elementi tal-evalwazzjoni (submistoqsijiet, kriterji tal-ġudizzju u indikaturi) pprovduti flimkien ma’ dawk ikkopjati mid-WP: </w:t>
      </w:r>
      <w:hyperlink r:id="rId96" w:history="1">
        <w:r w:rsidRPr="002B5B92">
          <w:rPr>
            <w:rStyle w:val="Hyperlink"/>
            <w:sz w:val="20"/>
            <w:szCs w:val="20"/>
          </w:rPr>
          <w:t>Il-Mistoqsijiet Komuni tal-Evalwazzjoni għall-PŻR 2014-2020</w:t>
        </w:r>
      </w:hyperlink>
      <w:r w:rsidRPr="002B5B92">
        <w:rPr>
          <w:i/>
          <w:szCs w:val="20"/>
        </w:rPr>
        <w:t xml:space="preserve"> huma miktubin fil-“korsiv”. </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88"/>
        <w:gridCol w:w="2127"/>
        <w:gridCol w:w="3302"/>
        <w:gridCol w:w="2715"/>
        <w:gridCol w:w="2715"/>
      </w:tblGrid>
      <w:tr w:rsidR="00A45935" w:rsidRPr="002B5B92" w:rsidTr="00F73706">
        <w:trPr>
          <w:tblHeader/>
        </w:trPr>
        <w:tc>
          <w:tcPr>
            <w:tcW w:w="2988" w:type="dxa"/>
            <w:shd w:val="clear" w:color="auto" w:fill="F07E31"/>
          </w:tcPr>
          <w:p w:rsidR="00A45935" w:rsidRPr="002B5B92" w:rsidRDefault="00A45935" w:rsidP="00E05D08">
            <w:pPr>
              <w:spacing w:after="120" w:line="220" w:lineRule="atLeast"/>
              <w:jc w:val="center"/>
              <w:rPr>
                <w:rFonts w:cs="Arial"/>
                <w:b/>
                <w:color w:val="FFFFFF"/>
                <w:sz w:val="18"/>
                <w:szCs w:val="18"/>
              </w:rPr>
            </w:pPr>
            <w:r w:rsidRPr="002B5B92">
              <w:rPr>
                <w:b/>
                <w:color w:val="FFFFFF"/>
                <w:sz w:val="18"/>
                <w:szCs w:val="18"/>
              </w:rPr>
              <w:t>Submistoqsijiet</w:t>
            </w:r>
          </w:p>
        </w:tc>
        <w:tc>
          <w:tcPr>
            <w:tcW w:w="2127" w:type="dxa"/>
            <w:shd w:val="clear" w:color="auto" w:fill="F07E31"/>
          </w:tcPr>
          <w:p w:rsidR="00A45935" w:rsidRPr="002B5B92" w:rsidRDefault="00A45935" w:rsidP="00E05D08">
            <w:pPr>
              <w:spacing w:after="120" w:line="220" w:lineRule="atLeast"/>
              <w:jc w:val="center"/>
              <w:rPr>
                <w:rFonts w:cs="Arial"/>
                <w:b/>
                <w:color w:val="FFFFFF"/>
                <w:sz w:val="18"/>
                <w:szCs w:val="18"/>
              </w:rPr>
            </w:pPr>
            <w:r w:rsidRPr="002B5B92">
              <w:rPr>
                <w:b/>
                <w:color w:val="FFFFFF"/>
                <w:sz w:val="18"/>
                <w:szCs w:val="18"/>
              </w:rPr>
              <w:t>Kriterji tal-ġudizzju</w:t>
            </w:r>
          </w:p>
        </w:tc>
        <w:tc>
          <w:tcPr>
            <w:tcW w:w="3302" w:type="dxa"/>
            <w:shd w:val="clear" w:color="auto" w:fill="F07E31"/>
          </w:tcPr>
          <w:p w:rsidR="00A45935" w:rsidRPr="002B5B92" w:rsidRDefault="00A45935" w:rsidP="00E05D08">
            <w:pPr>
              <w:spacing w:after="120" w:line="220" w:lineRule="atLeast"/>
              <w:jc w:val="center"/>
              <w:rPr>
                <w:rFonts w:cs="Arial"/>
                <w:b/>
                <w:color w:val="FFFFFF"/>
                <w:sz w:val="18"/>
                <w:szCs w:val="18"/>
              </w:rPr>
            </w:pPr>
            <w:r w:rsidRPr="002B5B92">
              <w:rPr>
                <w:b/>
                <w:color w:val="FFFFFF"/>
                <w:sz w:val="18"/>
                <w:szCs w:val="18"/>
              </w:rPr>
              <w:t>Indikaturi tar-riżultat</w:t>
            </w:r>
          </w:p>
        </w:tc>
        <w:tc>
          <w:tcPr>
            <w:tcW w:w="2715" w:type="dxa"/>
            <w:shd w:val="clear" w:color="auto" w:fill="F07E31"/>
          </w:tcPr>
          <w:p w:rsidR="00A45935" w:rsidRPr="002B5B92" w:rsidRDefault="00A45935" w:rsidP="00E05D08">
            <w:pPr>
              <w:spacing w:after="120" w:line="220" w:lineRule="atLeast"/>
              <w:jc w:val="center"/>
              <w:rPr>
                <w:rFonts w:cs="Arial"/>
                <w:b/>
                <w:color w:val="FFFFFF"/>
                <w:sz w:val="18"/>
                <w:szCs w:val="18"/>
              </w:rPr>
            </w:pPr>
            <w:r w:rsidRPr="002B5B92">
              <w:rPr>
                <w:b/>
                <w:color w:val="FFFFFF"/>
                <w:sz w:val="18"/>
                <w:szCs w:val="18"/>
              </w:rPr>
              <w:t>Ħtiġijiet ta’ data u informazzjoni</w:t>
            </w:r>
          </w:p>
        </w:tc>
        <w:tc>
          <w:tcPr>
            <w:tcW w:w="2715" w:type="dxa"/>
            <w:shd w:val="clear" w:color="auto" w:fill="F07E31"/>
          </w:tcPr>
          <w:p w:rsidR="00A45935" w:rsidRPr="002B5B92" w:rsidRDefault="00A45935" w:rsidP="00E05D08">
            <w:pPr>
              <w:spacing w:after="120" w:line="220" w:lineRule="atLeast"/>
              <w:jc w:val="center"/>
              <w:rPr>
                <w:rFonts w:cs="Arial"/>
                <w:b/>
                <w:color w:val="FFFFFF"/>
                <w:sz w:val="18"/>
                <w:szCs w:val="18"/>
              </w:rPr>
            </w:pPr>
            <w:r w:rsidRPr="002B5B92">
              <w:rPr>
                <w:b/>
                <w:color w:val="FFFFFF"/>
                <w:sz w:val="18"/>
                <w:szCs w:val="18"/>
              </w:rPr>
              <w:t>Sorsi tad-data</w:t>
            </w:r>
          </w:p>
        </w:tc>
      </w:tr>
      <w:tr w:rsidR="00A45935" w:rsidRPr="002B5B92" w:rsidTr="00F73706">
        <w:trPr>
          <w:trHeight w:val="1408"/>
        </w:trPr>
        <w:tc>
          <w:tcPr>
            <w:tcW w:w="2988" w:type="dxa"/>
          </w:tcPr>
          <w:p w:rsidR="00A45935" w:rsidRPr="002B5B92" w:rsidRDefault="00A45935" w:rsidP="00F73706">
            <w:pPr>
              <w:spacing w:line="220" w:lineRule="atLeast"/>
              <w:jc w:val="left"/>
              <w:rPr>
                <w:rFonts w:cs="Arial"/>
                <w:i/>
                <w:sz w:val="18"/>
                <w:szCs w:val="16"/>
              </w:rPr>
            </w:pPr>
            <w:r w:rsidRPr="002B5B92">
              <w:rPr>
                <w:i/>
                <w:sz w:val="18"/>
                <w:szCs w:val="16"/>
              </w:rPr>
              <w:t>Sa liema punt il-PŻR inkoraġġixxa l-innovazzjoni permezz tat-trawwim ta’ potenzjal innovattiv (Perkors 1)?</w:t>
            </w:r>
          </w:p>
        </w:tc>
        <w:tc>
          <w:tcPr>
            <w:tcW w:w="2127" w:type="dxa"/>
          </w:tcPr>
          <w:p w:rsidR="00A45935" w:rsidRPr="002B5B92" w:rsidRDefault="00A45935" w:rsidP="008A260B">
            <w:pPr>
              <w:spacing w:line="220" w:lineRule="atLeast"/>
              <w:jc w:val="left"/>
              <w:rPr>
                <w:rFonts w:ascii="Helvetica" w:hAnsi="Helvetica"/>
                <w:sz w:val="18"/>
              </w:rPr>
            </w:pPr>
            <w:r w:rsidRPr="002B5B92">
              <w:rPr>
                <w:i/>
                <w:sz w:val="18"/>
                <w:szCs w:val="16"/>
              </w:rPr>
              <w:t>JC addizzjonali: L-adozzjoni ta’ ideat, proċessi, mudelli u/jew teknoloġiji innovattivi introdotti mill-PŻR.</w:t>
            </w:r>
          </w:p>
        </w:tc>
        <w:tc>
          <w:tcPr>
            <w:tcW w:w="3302" w:type="dxa"/>
          </w:tcPr>
          <w:p w:rsidR="00A45935" w:rsidRPr="002B5B92" w:rsidRDefault="00A45935" w:rsidP="00F73706">
            <w:pPr>
              <w:spacing w:line="220" w:lineRule="atLeast"/>
              <w:jc w:val="left"/>
              <w:rPr>
                <w:rFonts w:cs="Arial"/>
                <w:sz w:val="18"/>
                <w:szCs w:val="16"/>
              </w:rPr>
            </w:pPr>
            <w:r w:rsidRPr="002B5B92">
              <w:rPr>
                <w:sz w:val="18"/>
                <w:szCs w:val="16"/>
              </w:rPr>
              <w:t xml:space="preserve">T1: % tan-nefqa skont l-Art. 14, 15 u 35 tar-Regolament (UE) Nru. 1305/2013 fir-rigward tan-nefqa totali għall-PŻR. </w:t>
            </w:r>
          </w:p>
          <w:p w:rsidR="001275FF" w:rsidRPr="002B5B92" w:rsidRDefault="001275FF" w:rsidP="00F73706">
            <w:pPr>
              <w:spacing w:line="220" w:lineRule="atLeast"/>
              <w:jc w:val="left"/>
              <w:rPr>
                <w:rFonts w:cs="Arial"/>
                <w:sz w:val="18"/>
                <w:szCs w:val="16"/>
              </w:rPr>
            </w:pPr>
          </w:p>
          <w:p w:rsidR="00A45935" w:rsidRPr="002B5B92" w:rsidRDefault="00A45935" w:rsidP="00F73706">
            <w:pPr>
              <w:spacing w:line="220" w:lineRule="atLeast"/>
              <w:jc w:val="left"/>
              <w:rPr>
                <w:rFonts w:cs="Arial"/>
                <w:sz w:val="18"/>
                <w:szCs w:val="16"/>
              </w:rPr>
            </w:pPr>
          </w:p>
          <w:p w:rsidR="00A45935" w:rsidRPr="002B5B92" w:rsidRDefault="00A45935" w:rsidP="00F73706">
            <w:pPr>
              <w:spacing w:line="220" w:lineRule="atLeast"/>
              <w:jc w:val="left"/>
              <w:rPr>
                <w:rFonts w:cs="Arial"/>
                <w:sz w:val="18"/>
                <w:szCs w:val="16"/>
              </w:rPr>
            </w:pPr>
            <w:r w:rsidRPr="002B5B92">
              <w:rPr>
                <w:sz w:val="18"/>
                <w:szCs w:val="16"/>
              </w:rPr>
              <w:t>In-numru ta’ azzjonijiet innovattivi appoġġati implimentati u mxerrda mill-GO tal-EIP.</w:t>
            </w:r>
          </w:p>
          <w:p w:rsidR="001275FF" w:rsidRPr="002B5B92" w:rsidRDefault="001275FF" w:rsidP="00F73706">
            <w:pPr>
              <w:spacing w:line="220" w:lineRule="atLeast"/>
              <w:jc w:val="left"/>
              <w:rPr>
                <w:rFonts w:cs="Arial"/>
                <w:sz w:val="18"/>
                <w:szCs w:val="16"/>
              </w:rPr>
            </w:pPr>
          </w:p>
          <w:p w:rsidR="00A45935" w:rsidRPr="002B5B92" w:rsidRDefault="00A45935" w:rsidP="00F73706">
            <w:pPr>
              <w:spacing w:line="220" w:lineRule="atLeast"/>
              <w:jc w:val="left"/>
              <w:rPr>
                <w:rFonts w:cs="Arial"/>
                <w:sz w:val="18"/>
                <w:szCs w:val="16"/>
              </w:rPr>
            </w:pPr>
          </w:p>
          <w:p w:rsidR="00A45935" w:rsidRPr="002B5B92" w:rsidRDefault="00A45935" w:rsidP="00F73706">
            <w:pPr>
              <w:spacing w:line="220" w:lineRule="atLeast"/>
              <w:jc w:val="left"/>
              <w:rPr>
                <w:rFonts w:cs="Arial"/>
                <w:i/>
                <w:sz w:val="18"/>
                <w:szCs w:val="16"/>
              </w:rPr>
            </w:pPr>
            <w:r w:rsidRPr="002B5B92">
              <w:rPr>
                <w:i/>
                <w:color w:val="57825E"/>
                <w:sz w:val="18"/>
                <w:szCs w:val="16"/>
                <w:u w:val="single"/>
              </w:rPr>
              <w:t>Indikatur tar-riżultat addizzjonali</w:t>
            </w:r>
            <w:r w:rsidRPr="002B5B92">
              <w:rPr>
                <w:i/>
                <w:color w:val="57825E"/>
                <w:sz w:val="18"/>
                <w:szCs w:val="16"/>
              </w:rPr>
              <w:t xml:space="preserve">: Il-livell tal-adozzjoni ta’ ideat, proċessi, mudelli u/jew teknoloġiji ġodda introdotti mill-partijiet ikkonċernati. </w:t>
            </w:r>
          </w:p>
        </w:tc>
        <w:tc>
          <w:tcPr>
            <w:tcW w:w="2715" w:type="dxa"/>
          </w:tcPr>
          <w:p w:rsidR="00A45935" w:rsidRPr="002B5B92" w:rsidRDefault="00A45935" w:rsidP="00F73706">
            <w:pPr>
              <w:spacing w:line="220" w:lineRule="atLeast"/>
              <w:jc w:val="left"/>
              <w:rPr>
                <w:rFonts w:cs="Arial"/>
                <w:sz w:val="18"/>
                <w:szCs w:val="16"/>
              </w:rPr>
            </w:pPr>
            <w:r w:rsidRPr="002B5B92">
              <w:rPr>
                <w:sz w:val="18"/>
                <w:szCs w:val="16"/>
              </w:rPr>
              <w:t>Data dwar l-infiq għall-operazzjonijiet implimentati taħt M1, M2 u M16.</w:t>
            </w:r>
          </w:p>
          <w:p w:rsidR="00A45935" w:rsidRPr="002B5B92" w:rsidRDefault="00A45935" w:rsidP="00F73706">
            <w:pPr>
              <w:spacing w:line="220" w:lineRule="atLeast"/>
              <w:jc w:val="left"/>
              <w:rPr>
                <w:rFonts w:cs="Arial"/>
                <w:sz w:val="18"/>
                <w:szCs w:val="16"/>
              </w:rPr>
            </w:pPr>
          </w:p>
          <w:p w:rsidR="00A45935" w:rsidRPr="002B5B92" w:rsidRDefault="00A45935" w:rsidP="00F73706">
            <w:pPr>
              <w:spacing w:line="220" w:lineRule="atLeast"/>
              <w:jc w:val="left"/>
              <w:rPr>
                <w:rFonts w:cs="Arial"/>
                <w:sz w:val="18"/>
                <w:szCs w:val="16"/>
              </w:rPr>
            </w:pPr>
          </w:p>
          <w:p w:rsidR="00A45935" w:rsidRPr="002B5B92" w:rsidRDefault="00A45935" w:rsidP="00F73706">
            <w:pPr>
              <w:spacing w:line="220" w:lineRule="atLeast"/>
              <w:jc w:val="left"/>
              <w:rPr>
                <w:rFonts w:cs="Arial"/>
                <w:sz w:val="18"/>
                <w:szCs w:val="16"/>
              </w:rPr>
            </w:pPr>
          </w:p>
          <w:p w:rsidR="00A45935" w:rsidRPr="002B5B92" w:rsidRDefault="00A45935" w:rsidP="00F73706">
            <w:pPr>
              <w:spacing w:line="220" w:lineRule="atLeast"/>
              <w:jc w:val="left"/>
              <w:rPr>
                <w:rFonts w:cs="Arial"/>
                <w:sz w:val="18"/>
                <w:szCs w:val="16"/>
              </w:rPr>
            </w:pPr>
            <w:r w:rsidRPr="002B5B92">
              <w:rPr>
                <w:sz w:val="18"/>
                <w:szCs w:val="16"/>
              </w:rPr>
              <w:t xml:space="preserve">Data dwar l-azzjonijiet innovattivi implimentati mill-PO tal-EIP. </w:t>
            </w:r>
          </w:p>
          <w:p w:rsidR="00A45935" w:rsidRPr="002B5B92" w:rsidRDefault="00A45935" w:rsidP="00F73706">
            <w:pPr>
              <w:spacing w:line="220" w:lineRule="atLeast"/>
              <w:jc w:val="left"/>
              <w:rPr>
                <w:rFonts w:cs="Arial"/>
                <w:sz w:val="18"/>
                <w:szCs w:val="16"/>
                <w:lang w:val="it-IT"/>
              </w:rPr>
            </w:pPr>
          </w:p>
          <w:p w:rsidR="00A45935" w:rsidRPr="002B5B92" w:rsidRDefault="00A45935" w:rsidP="00F73706">
            <w:pPr>
              <w:spacing w:line="220" w:lineRule="atLeast"/>
              <w:jc w:val="left"/>
              <w:rPr>
                <w:rFonts w:cs="Arial"/>
                <w:sz w:val="18"/>
                <w:szCs w:val="16"/>
                <w:lang w:val="it-IT"/>
              </w:rPr>
            </w:pPr>
          </w:p>
          <w:p w:rsidR="00A45935" w:rsidRPr="002B5B92" w:rsidRDefault="00A45935" w:rsidP="00F73706">
            <w:pPr>
              <w:spacing w:line="220" w:lineRule="atLeast"/>
              <w:jc w:val="left"/>
              <w:rPr>
                <w:rFonts w:cs="Arial"/>
                <w:sz w:val="18"/>
                <w:szCs w:val="16"/>
                <w:lang w:val="it-IT"/>
              </w:rPr>
            </w:pPr>
          </w:p>
          <w:p w:rsidR="00A45935" w:rsidRPr="002B5B92" w:rsidRDefault="00A45935" w:rsidP="00F73706">
            <w:pPr>
              <w:spacing w:line="220" w:lineRule="atLeast"/>
              <w:jc w:val="left"/>
              <w:rPr>
                <w:rFonts w:cs="Arial"/>
                <w:sz w:val="18"/>
                <w:szCs w:val="16"/>
              </w:rPr>
            </w:pPr>
            <w:r w:rsidRPr="002B5B92">
              <w:rPr>
                <w:sz w:val="18"/>
                <w:szCs w:val="16"/>
              </w:rPr>
              <w:t xml:space="preserve">Data u informazzjoni dwar l-ideat, il-mudelli u t-teknoloġiji innovattivi ġġenerati. </w:t>
            </w:r>
          </w:p>
          <w:p w:rsidR="00A45935" w:rsidRPr="002B5B92" w:rsidRDefault="00A45935" w:rsidP="00F73706">
            <w:pPr>
              <w:spacing w:line="220" w:lineRule="atLeast"/>
              <w:jc w:val="left"/>
              <w:rPr>
                <w:rFonts w:cs="Arial"/>
                <w:sz w:val="18"/>
                <w:szCs w:val="16"/>
                <w:lang w:val="it-IT"/>
              </w:rPr>
            </w:pPr>
          </w:p>
          <w:p w:rsidR="00A45935" w:rsidRPr="002B5B92" w:rsidRDefault="00A45935" w:rsidP="00F73706">
            <w:pPr>
              <w:spacing w:line="220" w:lineRule="atLeast"/>
              <w:jc w:val="left"/>
              <w:rPr>
                <w:rFonts w:cs="Arial"/>
                <w:sz w:val="18"/>
                <w:szCs w:val="16"/>
                <w:lang w:val="it-IT"/>
              </w:rPr>
            </w:pPr>
          </w:p>
        </w:tc>
        <w:tc>
          <w:tcPr>
            <w:tcW w:w="2715" w:type="dxa"/>
          </w:tcPr>
          <w:p w:rsidR="00A45935" w:rsidRPr="002B5B92" w:rsidRDefault="00A45935" w:rsidP="00F73706">
            <w:pPr>
              <w:spacing w:line="220" w:lineRule="atLeast"/>
              <w:jc w:val="left"/>
              <w:rPr>
                <w:rFonts w:cs="Arial"/>
                <w:sz w:val="18"/>
                <w:szCs w:val="16"/>
              </w:rPr>
            </w:pPr>
            <w:r w:rsidRPr="002B5B92">
              <w:rPr>
                <w:sz w:val="18"/>
                <w:szCs w:val="16"/>
              </w:rPr>
              <w:t xml:space="preserve">Sistema ta’ monitoraġġ tal-PŻR. </w:t>
            </w:r>
          </w:p>
          <w:p w:rsidR="00A45935" w:rsidRPr="002B5B92" w:rsidRDefault="00A45935" w:rsidP="00F73706">
            <w:pPr>
              <w:spacing w:line="220" w:lineRule="atLeast"/>
              <w:jc w:val="left"/>
              <w:rPr>
                <w:rFonts w:cs="Arial"/>
                <w:sz w:val="18"/>
                <w:szCs w:val="16"/>
                <w:lang w:val="it-IT"/>
              </w:rPr>
            </w:pPr>
          </w:p>
          <w:p w:rsidR="00A45935" w:rsidRPr="002B5B92" w:rsidRDefault="00A45935" w:rsidP="00F73706">
            <w:pPr>
              <w:spacing w:line="220" w:lineRule="atLeast"/>
              <w:jc w:val="left"/>
              <w:rPr>
                <w:rFonts w:cs="Arial"/>
                <w:sz w:val="18"/>
                <w:szCs w:val="16"/>
                <w:lang w:val="it-IT"/>
              </w:rPr>
            </w:pPr>
          </w:p>
          <w:p w:rsidR="00A45935" w:rsidRPr="002B5B92" w:rsidRDefault="00A45935" w:rsidP="00F73706">
            <w:pPr>
              <w:spacing w:line="220" w:lineRule="atLeast"/>
              <w:jc w:val="left"/>
              <w:rPr>
                <w:rFonts w:cs="Arial"/>
                <w:sz w:val="18"/>
                <w:szCs w:val="16"/>
                <w:lang w:val="it-IT"/>
              </w:rPr>
            </w:pPr>
          </w:p>
          <w:p w:rsidR="00A45935" w:rsidRPr="002B5B92" w:rsidRDefault="00A45935" w:rsidP="00F73706">
            <w:pPr>
              <w:spacing w:line="220" w:lineRule="atLeast"/>
              <w:jc w:val="left"/>
              <w:rPr>
                <w:rFonts w:cs="Arial"/>
                <w:sz w:val="18"/>
                <w:szCs w:val="16"/>
                <w:lang w:val="it-IT"/>
              </w:rPr>
            </w:pPr>
          </w:p>
          <w:p w:rsidR="00A45935" w:rsidRPr="002B5B92" w:rsidRDefault="00A45935" w:rsidP="00F73706">
            <w:pPr>
              <w:spacing w:line="220" w:lineRule="atLeast"/>
              <w:jc w:val="left"/>
              <w:rPr>
                <w:rFonts w:cs="Arial"/>
                <w:sz w:val="18"/>
                <w:szCs w:val="16"/>
                <w:lang w:val="it-IT"/>
              </w:rPr>
            </w:pPr>
          </w:p>
          <w:p w:rsidR="00A45935" w:rsidRPr="002B5B92" w:rsidRDefault="00A45935" w:rsidP="00F73706">
            <w:pPr>
              <w:spacing w:line="220" w:lineRule="atLeast"/>
              <w:jc w:val="left"/>
              <w:rPr>
                <w:rFonts w:cs="Arial"/>
                <w:sz w:val="18"/>
                <w:szCs w:val="16"/>
              </w:rPr>
            </w:pPr>
            <w:r w:rsidRPr="002B5B92">
              <w:rPr>
                <w:sz w:val="18"/>
                <w:szCs w:val="16"/>
              </w:rPr>
              <w:t>Sistema ta’ monitoraġġ u intervisti tal-PŻR.</w:t>
            </w:r>
          </w:p>
          <w:p w:rsidR="00A45935" w:rsidRPr="002B5B92" w:rsidRDefault="00A45935" w:rsidP="00F73706">
            <w:pPr>
              <w:spacing w:line="220" w:lineRule="atLeast"/>
              <w:jc w:val="left"/>
              <w:rPr>
                <w:rFonts w:cs="Arial"/>
                <w:sz w:val="18"/>
                <w:szCs w:val="16"/>
                <w:lang w:val="it-IT"/>
              </w:rPr>
            </w:pPr>
          </w:p>
          <w:p w:rsidR="00A45935" w:rsidRPr="002B5B92" w:rsidRDefault="00A45935" w:rsidP="00F73706">
            <w:pPr>
              <w:spacing w:line="220" w:lineRule="atLeast"/>
              <w:jc w:val="left"/>
              <w:rPr>
                <w:rFonts w:cs="Arial"/>
                <w:sz w:val="18"/>
                <w:szCs w:val="16"/>
                <w:lang w:val="it-IT"/>
              </w:rPr>
            </w:pPr>
          </w:p>
          <w:p w:rsidR="00A45935" w:rsidRPr="002B5B92" w:rsidRDefault="00A45935" w:rsidP="00F73706">
            <w:pPr>
              <w:spacing w:line="220" w:lineRule="atLeast"/>
              <w:jc w:val="left"/>
              <w:rPr>
                <w:rFonts w:cs="Arial"/>
                <w:sz w:val="18"/>
                <w:szCs w:val="16"/>
                <w:lang w:val="it-IT"/>
              </w:rPr>
            </w:pPr>
          </w:p>
          <w:p w:rsidR="00A45935" w:rsidRPr="002B5B92" w:rsidRDefault="00A45935" w:rsidP="00F73706">
            <w:pPr>
              <w:spacing w:line="220" w:lineRule="atLeast"/>
              <w:jc w:val="left"/>
              <w:rPr>
                <w:rFonts w:cs="Arial"/>
                <w:sz w:val="18"/>
                <w:szCs w:val="16"/>
              </w:rPr>
            </w:pPr>
            <w:r w:rsidRPr="002B5B92">
              <w:rPr>
                <w:sz w:val="18"/>
                <w:szCs w:val="16"/>
              </w:rPr>
              <w:t>Sistema ta’ monitoraġġ, stħarriġ u intervisti tal-PŻR.</w:t>
            </w:r>
          </w:p>
        </w:tc>
      </w:tr>
      <w:tr w:rsidR="00A45935" w:rsidRPr="002B5B92" w:rsidTr="00F73706">
        <w:tc>
          <w:tcPr>
            <w:tcW w:w="2988" w:type="dxa"/>
          </w:tcPr>
          <w:p w:rsidR="00A45935" w:rsidRPr="002B5B92" w:rsidRDefault="00A45935" w:rsidP="00F73706">
            <w:pPr>
              <w:spacing w:line="220" w:lineRule="atLeast"/>
              <w:jc w:val="left"/>
              <w:rPr>
                <w:rFonts w:cs="Arial"/>
                <w:i/>
                <w:sz w:val="18"/>
                <w:szCs w:val="16"/>
              </w:rPr>
            </w:pPr>
            <w:r w:rsidRPr="002B5B92">
              <w:rPr>
                <w:i/>
                <w:sz w:val="18"/>
                <w:szCs w:val="16"/>
              </w:rPr>
              <w:t>Sa liema punt il-PŻR inkoraġġixxa l-innovazzjoni permezz tal-bini tal-kapaċità għall-innovazzjoni (Perkors 2)?</w:t>
            </w:r>
          </w:p>
        </w:tc>
        <w:tc>
          <w:tcPr>
            <w:tcW w:w="2127" w:type="dxa"/>
          </w:tcPr>
          <w:p w:rsidR="00A45935" w:rsidRPr="002B5B92" w:rsidRDefault="00A45935" w:rsidP="00F73706">
            <w:pPr>
              <w:spacing w:line="220" w:lineRule="atLeast"/>
              <w:jc w:val="left"/>
              <w:rPr>
                <w:rFonts w:eastAsia="Calibri" w:cs="Arial"/>
                <w:i/>
                <w:sz w:val="18"/>
                <w:szCs w:val="16"/>
              </w:rPr>
            </w:pPr>
            <w:r w:rsidRPr="002B5B92">
              <w:rPr>
                <w:i/>
                <w:sz w:val="18"/>
                <w:szCs w:val="16"/>
              </w:rPr>
              <w:t xml:space="preserve">JC addizzjonali: Il-PŻR żied ir-rabtiet funzjonali bejn tipi differenti ta’ atturi. </w:t>
            </w:r>
          </w:p>
          <w:p w:rsidR="00A45935" w:rsidRPr="002B5B92" w:rsidRDefault="00A45935" w:rsidP="00F73706">
            <w:pPr>
              <w:spacing w:line="220" w:lineRule="atLeast"/>
              <w:jc w:val="left"/>
              <w:rPr>
                <w:rFonts w:eastAsia="Calibri" w:cs="Arial"/>
                <w:i/>
                <w:sz w:val="18"/>
                <w:szCs w:val="16"/>
              </w:rPr>
            </w:pPr>
          </w:p>
          <w:p w:rsidR="00A45935" w:rsidRPr="002B5B92" w:rsidRDefault="00A45935" w:rsidP="00F73706">
            <w:pPr>
              <w:spacing w:line="220" w:lineRule="atLeast"/>
              <w:jc w:val="left"/>
              <w:rPr>
                <w:rFonts w:eastAsia="Calibri" w:cs="Arial"/>
                <w:i/>
                <w:sz w:val="18"/>
                <w:szCs w:val="16"/>
              </w:rPr>
            </w:pPr>
          </w:p>
          <w:p w:rsidR="00A45935" w:rsidRPr="002B5B92" w:rsidRDefault="00A45935" w:rsidP="00F73706">
            <w:pPr>
              <w:spacing w:line="220" w:lineRule="atLeast"/>
              <w:jc w:val="left"/>
              <w:rPr>
                <w:rFonts w:eastAsia="Calibri" w:cs="Arial"/>
                <w:i/>
                <w:sz w:val="18"/>
                <w:szCs w:val="16"/>
              </w:rPr>
            </w:pPr>
          </w:p>
          <w:p w:rsidR="00A45935" w:rsidRPr="002B5B92" w:rsidRDefault="00A45935" w:rsidP="00F73706">
            <w:pPr>
              <w:spacing w:line="220" w:lineRule="atLeast"/>
              <w:jc w:val="left"/>
              <w:rPr>
                <w:rFonts w:eastAsia="Calibri" w:cs="Arial"/>
                <w:i/>
                <w:sz w:val="18"/>
                <w:szCs w:val="16"/>
              </w:rPr>
            </w:pPr>
          </w:p>
          <w:p w:rsidR="00A45935" w:rsidRPr="002B5B92" w:rsidRDefault="00A45935" w:rsidP="00F73706">
            <w:pPr>
              <w:spacing w:line="220" w:lineRule="atLeast"/>
              <w:jc w:val="left"/>
              <w:rPr>
                <w:rFonts w:eastAsia="Calibri" w:cs="Arial"/>
                <w:i/>
                <w:sz w:val="18"/>
                <w:szCs w:val="16"/>
              </w:rPr>
            </w:pPr>
          </w:p>
          <w:p w:rsidR="00A45935" w:rsidRPr="002B5B92" w:rsidRDefault="00A45935" w:rsidP="00F73706">
            <w:pPr>
              <w:spacing w:line="220" w:lineRule="atLeast"/>
              <w:jc w:val="left"/>
              <w:rPr>
                <w:rFonts w:eastAsia="Calibri" w:cs="Arial"/>
                <w:i/>
                <w:sz w:val="18"/>
                <w:szCs w:val="16"/>
              </w:rPr>
            </w:pPr>
          </w:p>
          <w:p w:rsidR="00A45935" w:rsidRPr="002B5B92" w:rsidRDefault="00A45935" w:rsidP="00F73706">
            <w:pPr>
              <w:spacing w:line="220" w:lineRule="atLeast"/>
              <w:jc w:val="left"/>
              <w:rPr>
                <w:rFonts w:eastAsia="Calibri" w:cs="Arial"/>
                <w:i/>
                <w:sz w:val="18"/>
                <w:szCs w:val="16"/>
              </w:rPr>
            </w:pPr>
            <w:r w:rsidRPr="002B5B92">
              <w:rPr>
                <w:i/>
                <w:sz w:val="18"/>
                <w:szCs w:val="16"/>
              </w:rPr>
              <w:t>JC addizzjonali: Inħolqu u ssaħħew il-pjattaformi tat-tagħlim u tipi oħrajn ta’ spazju istituzzjonali li jippermetti l-</w:t>
            </w:r>
            <w:r w:rsidRPr="002B5B92">
              <w:rPr>
                <w:i/>
                <w:sz w:val="18"/>
                <w:szCs w:val="16"/>
              </w:rPr>
              <w:lastRenderedPageBreak/>
              <w:t>kondiviżjoni, ir-riflessjoni u t-tagħlim.</w:t>
            </w:r>
          </w:p>
          <w:p w:rsidR="00A45935" w:rsidRPr="002B5B92" w:rsidRDefault="00A45935" w:rsidP="00F73706">
            <w:pPr>
              <w:spacing w:line="220" w:lineRule="atLeast"/>
              <w:jc w:val="left"/>
              <w:rPr>
                <w:rFonts w:eastAsia="Calibri" w:cs="Arial"/>
                <w:i/>
                <w:sz w:val="18"/>
                <w:szCs w:val="16"/>
              </w:rPr>
            </w:pPr>
          </w:p>
          <w:p w:rsidR="00A45935" w:rsidRPr="002B5B92" w:rsidRDefault="00A45935" w:rsidP="00F73706">
            <w:pPr>
              <w:spacing w:line="220" w:lineRule="atLeast"/>
              <w:jc w:val="left"/>
              <w:rPr>
                <w:rFonts w:cs="Arial"/>
                <w:sz w:val="18"/>
                <w:szCs w:val="16"/>
              </w:rPr>
            </w:pPr>
            <w:r w:rsidRPr="002B5B92">
              <w:rPr>
                <w:i/>
                <w:sz w:val="18"/>
                <w:szCs w:val="16"/>
              </w:rPr>
              <w:t xml:space="preserve">JC addizzjonali: Tjieb il-fluss tal-informazzjoni bejn diversi atturi fis-sistema tal-innovazzjoni li fiha seħħet il-bidla. </w:t>
            </w:r>
          </w:p>
        </w:tc>
        <w:tc>
          <w:tcPr>
            <w:tcW w:w="3302" w:type="dxa"/>
          </w:tcPr>
          <w:p w:rsidR="00A45935" w:rsidRPr="002B5B92" w:rsidRDefault="00A45935" w:rsidP="00F73706">
            <w:pPr>
              <w:spacing w:line="220" w:lineRule="atLeast"/>
              <w:jc w:val="left"/>
              <w:rPr>
                <w:rFonts w:eastAsia="Calibri" w:cs="Arial"/>
                <w:i/>
                <w:color w:val="57825E"/>
                <w:sz w:val="18"/>
                <w:szCs w:val="16"/>
              </w:rPr>
            </w:pPr>
            <w:r w:rsidRPr="002B5B92">
              <w:rPr>
                <w:i/>
                <w:color w:val="57825E"/>
                <w:sz w:val="18"/>
                <w:szCs w:val="16"/>
                <w:u w:val="single"/>
              </w:rPr>
              <w:lastRenderedPageBreak/>
              <w:t>Indikatur tar-riżultat addizzjonali:</w:t>
            </w:r>
            <w:r w:rsidRPr="002B5B92">
              <w:rPr>
                <w:i/>
                <w:color w:val="57825E"/>
                <w:sz w:val="18"/>
                <w:szCs w:val="16"/>
              </w:rPr>
              <w:t xml:space="preserve"> In-numru ta’ sħubiji formali mogħtija b’senserija mill-PŻR kif marbuta mal-bidliet fi ħdan il-prijoritajiet ta’ żvilupp rurali li għalihom ikkontribwixxa l-PŻR. </w:t>
            </w:r>
          </w:p>
          <w:p w:rsidR="00A45935" w:rsidRPr="002B5B92" w:rsidRDefault="00A45935" w:rsidP="00F73706">
            <w:pPr>
              <w:spacing w:line="220" w:lineRule="atLeast"/>
              <w:jc w:val="left"/>
              <w:rPr>
                <w:rFonts w:eastAsia="Calibri" w:cs="Arial"/>
                <w:i/>
                <w:color w:val="57825E"/>
                <w:sz w:val="18"/>
                <w:szCs w:val="16"/>
              </w:rPr>
            </w:pPr>
          </w:p>
          <w:p w:rsidR="00A45935" w:rsidRPr="002B5B92" w:rsidRDefault="00A45935" w:rsidP="00F73706">
            <w:pPr>
              <w:spacing w:line="220" w:lineRule="atLeast"/>
              <w:jc w:val="left"/>
              <w:rPr>
                <w:rFonts w:cs="Arial"/>
                <w:sz w:val="18"/>
                <w:szCs w:val="16"/>
              </w:rPr>
            </w:pPr>
            <w:r w:rsidRPr="002B5B92">
              <w:rPr>
                <w:sz w:val="18"/>
                <w:szCs w:val="16"/>
              </w:rPr>
              <w:t xml:space="preserve">% taż-żieda fin-numru u t-tipi ta’ msieħba involuti fil-proġetti ta’ kooperazzjoni (WP dwar is-CEQ għall-PŻR 2014-2020). </w:t>
            </w:r>
          </w:p>
          <w:p w:rsidR="00A45935" w:rsidRPr="002B5B92" w:rsidRDefault="00A45935" w:rsidP="00F73706">
            <w:pPr>
              <w:spacing w:line="220" w:lineRule="atLeast"/>
              <w:jc w:val="left"/>
              <w:rPr>
                <w:rFonts w:cs="Arial"/>
                <w:color w:val="57825E"/>
                <w:sz w:val="18"/>
                <w:szCs w:val="16"/>
              </w:rPr>
            </w:pPr>
          </w:p>
          <w:p w:rsidR="00A45935" w:rsidRPr="002B5B92" w:rsidRDefault="00A45935" w:rsidP="00F73706">
            <w:pPr>
              <w:spacing w:line="220" w:lineRule="atLeast"/>
              <w:jc w:val="left"/>
              <w:rPr>
                <w:rFonts w:eastAsia="Calibri" w:cs="Arial"/>
                <w:color w:val="57825E"/>
                <w:sz w:val="18"/>
                <w:szCs w:val="16"/>
              </w:rPr>
            </w:pPr>
            <w:r w:rsidRPr="002B5B92">
              <w:rPr>
                <w:i/>
                <w:color w:val="57825E"/>
                <w:sz w:val="18"/>
                <w:szCs w:val="16"/>
                <w:u w:val="single"/>
              </w:rPr>
              <w:t>Indikatur tar-riżultat addizzjonali:</w:t>
            </w:r>
            <w:r w:rsidRPr="002B5B92">
              <w:rPr>
                <w:i/>
                <w:color w:val="57825E"/>
                <w:sz w:val="18"/>
                <w:szCs w:val="16"/>
              </w:rPr>
              <w:t xml:space="preserve"> In-numru u l-kwalità tal-pjattaformi u ta’ “spazji” li jappoġġaw l-innovazzjoni li stabbilixxa jew saħħaħ il-PŻR, eż. komunitajiet ta’ prattika, pjattaformi ta’ </w:t>
            </w:r>
            <w:r w:rsidRPr="002B5B92">
              <w:rPr>
                <w:i/>
                <w:color w:val="57825E"/>
                <w:sz w:val="18"/>
                <w:szCs w:val="16"/>
              </w:rPr>
              <w:lastRenderedPageBreak/>
              <w:t xml:space="preserve">innovazzjoni, avvenimenti li jsiru għal riflessjoni u tagħlim. </w:t>
            </w:r>
          </w:p>
          <w:p w:rsidR="00A45935" w:rsidRPr="002B5B92" w:rsidRDefault="00A45935" w:rsidP="00F73706">
            <w:pPr>
              <w:spacing w:line="220" w:lineRule="atLeast"/>
              <w:jc w:val="left"/>
              <w:rPr>
                <w:rFonts w:eastAsia="Calibri" w:cs="Arial"/>
                <w:color w:val="57825E"/>
                <w:sz w:val="18"/>
                <w:szCs w:val="16"/>
              </w:rPr>
            </w:pPr>
          </w:p>
          <w:p w:rsidR="00560E46" w:rsidRPr="002B5B92" w:rsidRDefault="00560E46" w:rsidP="00F73706">
            <w:pPr>
              <w:spacing w:line="220" w:lineRule="atLeast"/>
              <w:jc w:val="left"/>
              <w:rPr>
                <w:rFonts w:eastAsia="Calibri" w:cs="Arial"/>
                <w:color w:val="57825E"/>
                <w:sz w:val="18"/>
                <w:szCs w:val="16"/>
              </w:rPr>
            </w:pPr>
          </w:p>
          <w:p w:rsidR="00560E46" w:rsidRPr="002B5B92" w:rsidRDefault="00560E46" w:rsidP="00F73706">
            <w:pPr>
              <w:spacing w:line="220" w:lineRule="atLeast"/>
              <w:jc w:val="left"/>
              <w:rPr>
                <w:rFonts w:eastAsia="Calibri" w:cs="Arial"/>
                <w:color w:val="57825E"/>
                <w:sz w:val="18"/>
                <w:szCs w:val="16"/>
              </w:rPr>
            </w:pPr>
          </w:p>
          <w:p w:rsidR="00A45935" w:rsidRPr="002B5B92" w:rsidRDefault="00A45935" w:rsidP="00F73706">
            <w:pPr>
              <w:spacing w:line="220" w:lineRule="atLeast"/>
              <w:jc w:val="left"/>
              <w:rPr>
                <w:rFonts w:eastAsia="Calibri" w:cs="Arial"/>
                <w:i/>
                <w:color w:val="57825E"/>
                <w:sz w:val="18"/>
                <w:szCs w:val="16"/>
              </w:rPr>
            </w:pPr>
            <w:r w:rsidRPr="002B5B92">
              <w:rPr>
                <w:i/>
                <w:color w:val="57825E"/>
                <w:sz w:val="18"/>
                <w:szCs w:val="16"/>
                <w:u w:val="single"/>
              </w:rPr>
              <w:t xml:space="preserve">Indikatur tar-riżultat addizzjonali: </w:t>
            </w:r>
            <w:r w:rsidRPr="002B5B92">
              <w:rPr>
                <w:i/>
                <w:color w:val="57825E"/>
                <w:sz w:val="18"/>
                <w:szCs w:val="16"/>
              </w:rPr>
              <w:t xml:space="preserve">Tnaqqis fit-tul medju tal-linja tan-netwerk u fid-diversità tan-netwerk (Miżuri ta’ Analiżi tan-Netwerk Soċjali). </w:t>
            </w:r>
          </w:p>
        </w:tc>
        <w:tc>
          <w:tcPr>
            <w:tcW w:w="2715" w:type="dxa"/>
          </w:tcPr>
          <w:p w:rsidR="00A45935" w:rsidRPr="002B5B92" w:rsidRDefault="00A45935" w:rsidP="00F73706">
            <w:pPr>
              <w:spacing w:line="220" w:lineRule="atLeast"/>
              <w:jc w:val="left"/>
              <w:rPr>
                <w:rFonts w:eastAsia="Calibri" w:cs="Arial"/>
                <w:sz w:val="18"/>
                <w:szCs w:val="16"/>
              </w:rPr>
            </w:pPr>
            <w:r w:rsidRPr="002B5B92">
              <w:rPr>
                <w:sz w:val="18"/>
                <w:szCs w:val="16"/>
              </w:rPr>
              <w:lastRenderedPageBreak/>
              <w:t>Informazzjoni dwar ir-relazzjonijiet formali.</w:t>
            </w: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r w:rsidRPr="002B5B92">
              <w:rPr>
                <w:sz w:val="18"/>
                <w:szCs w:val="16"/>
              </w:rPr>
              <w:t xml:space="preserve">Data dwar in-numru u t-tip ta’ msieħba fil-proġetti ta’ kooperazzjoni. </w:t>
            </w: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r w:rsidRPr="002B5B92">
              <w:rPr>
                <w:sz w:val="18"/>
                <w:szCs w:val="16"/>
              </w:rPr>
              <w:t>Informazzjoni dwar il-pjattaformi mwaqqfa mill-PŻR.</w:t>
            </w: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p>
          <w:p w:rsidR="00560E46" w:rsidRPr="002B5B92" w:rsidRDefault="00560E46" w:rsidP="00F73706">
            <w:pPr>
              <w:spacing w:line="220" w:lineRule="atLeast"/>
              <w:jc w:val="left"/>
              <w:rPr>
                <w:rFonts w:eastAsia="Calibri" w:cs="Arial"/>
                <w:sz w:val="18"/>
                <w:szCs w:val="16"/>
              </w:rPr>
            </w:pPr>
          </w:p>
          <w:p w:rsidR="00560E46" w:rsidRPr="002B5B92" w:rsidRDefault="00560E46" w:rsidP="00F73706">
            <w:pPr>
              <w:spacing w:line="220" w:lineRule="atLeast"/>
              <w:jc w:val="left"/>
              <w:rPr>
                <w:rFonts w:eastAsia="Calibri" w:cs="Arial"/>
                <w:sz w:val="18"/>
                <w:szCs w:val="16"/>
              </w:rPr>
            </w:pPr>
          </w:p>
          <w:p w:rsidR="00A45935" w:rsidRPr="002B5B92" w:rsidRDefault="00A45935" w:rsidP="00560E46">
            <w:pPr>
              <w:spacing w:line="220" w:lineRule="atLeast"/>
              <w:jc w:val="left"/>
              <w:rPr>
                <w:rFonts w:eastAsia="Calibri" w:cs="Arial"/>
                <w:sz w:val="18"/>
                <w:szCs w:val="16"/>
              </w:rPr>
            </w:pPr>
            <w:r w:rsidRPr="002B5B92">
              <w:rPr>
                <w:sz w:val="18"/>
                <w:szCs w:val="16"/>
              </w:rPr>
              <w:t xml:space="preserve">Informazzjoni dwar in-netwerks. </w:t>
            </w:r>
          </w:p>
        </w:tc>
        <w:tc>
          <w:tcPr>
            <w:tcW w:w="2715" w:type="dxa"/>
          </w:tcPr>
          <w:p w:rsidR="00A45935" w:rsidRPr="002B5B92" w:rsidRDefault="00A45935" w:rsidP="00F73706">
            <w:pPr>
              <w:spacing w:line="220" w:lineRule="atLeast"/>
              <w:jc w:val="left"/>
              <w:rPr>
                <w:rFonts w:eastAsia="Calibri" w:cs="Arial"/>
                <w:sz w:val="18"/>
                <w:szCs w:val="16"/>
              </w:rPr>
            </w:pPr>
            <w:r w:rsidRPr="002B5B92">
              <w:rPr>
                <w:sz w:val="18"/>
                <w:szCs w:val="16"/>
              </w:rPr>
              <w:lastRenderedPageBreak/>
              <w:t xml:space="preserve">Intervisti u gruppi fokus. </w:t>
            </w: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r w:rsidRPr="002B5B92">
              <w:rPr>
                <w:sz w:val="18"/>
                <w:szCs w:val="16"/>
              </w:rPr>
              <w:t>Sistema ta’ monitoraġġ tal-PŻR.</w:t>
            </w: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r w:rsidRPr="002B5B92">
              <w:rPr>
                <w:sz w:val="18"/>
                <w:szCs w:val="16"/>
              </w:rPr>
              <w:t xml:space="preserve">Intervisti u gruppi fokus. </w:t>
            </w: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p>
          <w:p w:rsidR="00A45935" w:rsidRPr="002B5B92" w:rsidRDefault="00A45935" w:rsidP="00F73706">
            <w:pPr>
              <w:spacing w:line="220" w:lineRule="atLeast"/>
              <w:jc w:val="left"/>
              <w:rPr>
                <w:rFonts w:eastAsia="Calibri" w:cs="Arial"/>
                <w:sz w:val="18"/>
                <w:szCs w:val="16"/>
              </w:rPr>
            </w:pPr>
          </w:p>
          <w:p w:rsidR="00560E46" w:rsidRPr="002B5B92" w:rsidRDefault="00560E46" w:rsidP="00F73706">
            <w:pPr>
              <w:spacing w:line="220" w:lineRule="atLeast"/>
              <w:jc w:val="left"/>
              <w:rPr>
                <w:rFonts w:eastAsia="Calibri" w:cs="Arial"/>
                <w:sz w:val="18"/>
                <w:szCs w:val="16"/>
              </w:rPr>
            </w:pPr>
          </w:p>
          <w:p w:rsidR="00560E46" w:rsidRPr="002B5B92" w:rsidRDefault="00560E46" w:rsidP="00F73706">
            <w:pPr>
              <w:spacing w:line="220" w:lineRule="atLeast"/>
              <w:jc w:val="left"/>
              <w:rPr>
                <w:rFonts w:eastAsia="Calibri" w:cs="Arial"/>
                <w:sz w:val="18"/>
                <w:szCs w:val="16"/>
              </w:rPr>
            </w:pPr>
          </w:p>
          <w:p w:rsidR="00A45935" w:rsidRPr="002B5B92" w:rsidRDefault="00A45935" w:rsidP="00560E46">
            <w:pPr>
              <w:spacing w:line="220" w:lineRule="atLeast"/>
              <w:jc w:val="left"/>
              <w:rPr>
                <w:rFonts w:eastAsia="Calibri" w:cs="Arial"/>
                <w:sz w:val="18"/>
                <w:szCs w:val="16"/>
              </w:rPr>
            </w:pPr>
            <w:r w:rsidRPr="002B5B92">
              <w:rPr>
                <w:sz w:val="18"/>
                <w:szCs w:val="16"/>
              </w:rPr>
              <w:t>Informazzjoni mill-SNA.</w:t>
            </w:r>
          </w:p>
        </w:tc>
      </w:tr>
      <w:tr w:rsidR="00A45935" w:rsidRPr="002B5B92" w:rsidTr="00F73706">
        <w:trPr>
          <w:trHeight w:val="4850"/>
        </w:trPr>
        <w:tc>
          <w:tcPr>
            <w:tcW w:w="2988" w:type="dxa"/>
          </w:tcPr>
          <w:p w:rsidR="00A45935" w:rsidRPr="002B5B92" w:rsidRDefault="00A45935" w:rsidP="00F73706">
            <w:pPr>
              <w:spacing w:line="220" w:lineRule="atLeast"/>
              <w:jc w:val="left"/>
              <w:rPr>
                <w:rFonts w:cs="Arial"/>
                <w:i/>
                <w:sz w:val="18"/>
                <w:szCs w:val="16"/>
              </w:rPr>
            </w:pPr>
            <w:r w:rsidRPr="002B5B92">
              <w:rPr>
                <w:i/>
                <w:sz w:val="18"/>
                <w:szCs w:val="16"/>
              </w:rPr>
              <w:t>Sa liema punt il-PŻR inkoraġġixxa l-innovazzjoni permezz tal-bini ta’ ambjent favorevoli għall-innovazzjoni (perkors 3)?</w:t>
            </w:r>
          </w:p>
        </w:tc>
        <w:tc>
          <w:tcPr>
            <w:tcW w:w="2127" w:type="dxa"/>
          </w:tcPr>
          <w:p w:rsidR="00A45935" w:rsidRPr="002B5B92" w:rsidRDefault="00A45935" w:rsidP="00F73706">
            <w:pPr>
              <w:spacing w:line="220" w:lineRule="atLeast"/>
              <w:jc w:val="left"/>
              <w:rPr>
                <w:rFonts w:eastAsia="Calibri" w:cs="Arial"/>
                <w:i/>
                <w:sz w:val="18"/>
                <w:szCs w:val="16"/>
              </w:rPr>
            </w:pPr>
            <w:r w:rsidRPr="002B5B92">
              <w:rPr>
                <w:i/>
                <w:sz w:val="18"/>
                <w:szCs w:val="16"/>
              </w:rPr>
              <w:t>JC addizzjonali: Il-PŻR informa politiki li jappoġġaw il-bidliet li għalihom ikkontribwixxa l-PŻR.</w:t>
            </w:r>
          </w:p>
          <w:p w:rsidR="00A45935" w:rsidRPr="002B5B92" w:rsidRDefault="00A45935" w:rsidP="00F73706">
            <w:pPr>
              <w:spacing w:line="220" w:lineRule="atLeast"/>
              <w:jc w:val="left"/>
              <w:rPr>
                <w:rFonts w:eastAsia="Calibri" w:cs="Arial"/>
                <w:i/>
                <w:sz w:val="18"/>
                <w:szCs w:val="16"/>
              </w:rPr>
            </w:pPr>
          </w:p>
          <w:p w:rsidR="00A45935" w:rsidRPr="002B5B92" w:rsidRDefault="00A45935" w:rsidP="00F73706">
            <w:pPr>
              <w:spacing w:line="220" w:lineRule="atLeast"/>
              <w:jc w:val="left"/>
              <w:rPr>
                <w:rFonts w:eastAsia="Calibri" w:cs="Arial"/>
                <w:i/>
                <w:sz w:val="18"/>
                <w:szCs w:val="16"/>
              </w:rPr>
            </w:pPr>
            <w:r w:rsidRPr="002B5B92">
              <w:rPr>
                <w:i/>
                <w:sz w:val="18"/>
                <w:szCs w:val="16"/>
              </w:rPr>
              <w:t xml:space="preserve">JC addizzjonali: Il-PŻR ippermetta opportunitajiet għat-taħriġ u l-iskambju ta’ prattiki innovattivi. </w:t>
            </w:r>
          </w:p>
          <w:p w:rsidR="00A45935" w:rsidRPr="002B5B92" w:rsidRDefault="00A45935" w:rsidP="00F73706">
            <w:pPr>
              <w:spacing w:line="220" w:lineRule="atLeast"/>
              <w:jc w:val="left"/>
              <w:rPr>
                <w:rFonts w:eastAsia="Calibri" w:cs="Arial"/>
                <w:i/>
                <w:sz w:val="18"/>
                <w:szCs w:val="16"/>
              </w:rPr>
            </w:pPr>
          </w:p>
          <w:p w:rsidR="00A45935" w:rsidRPr="002B5B92" w:rsidRDefault="00A45935" w:rsidP="00F73706">
            <w:pPr>
              <w:spacing w:line="220" w:lineRule="atLeast"/>
              <w:jc w:val="left"/>
              <w:rPr>
                <w:rFonts w:eastAsia="Calibri" w:cs="Arial"/>
                <w:i/>
                <w:sz w:val="18"/>
                <w:szCs w:val="16"/>
              </w:rPr>
            </w:pPr>
            <w:r w:rsidRPr="002B5B92">
              <w:rPr>
                <w:i/>
                <w:sz w:val="18"/>
                <w:szCs w:val="16"/>
              </w:rPr>
              <w:t xml:space="preserve">JC addizzjonali: Il-PŻR ippermetta l-interazzjonijiet fost l-atturi (nazzjonali / transkonfinali) sabiex irawmu l-innovazzjonijiet. </w:t>
            </w:r>
          </w:p>
          <w:p w:rsidR="00A45935" w:rsidRPr="002B5B92" w:rsidRDefault="00A45935" w:rsidP="00F73706">
            <w:pPr>
              <w:spacing w:line="220" w:lineRule="atLeast"/>
              <w:jc w:val="left"/>
              <w:rPr>
                <w:rFonts w:eastAsia="Calibri" w:cs="Arial"/>
                <w:i/>
                <w:sz w:val="18"/>
                <w:szCs w:val="16"/>
              </w:rPr>
            </w:pPr>
          </w:p>
          <w:p w:rsidR="00A45935" w:rsidRPr="002B5B92" w:rsidRDefault="00A45935" w:rsidP="00F73706">
            <w:pPr>
              <w:spacing w:line="220" w:lineRule="atLeast"/>
              <w:jc w:val="left"/>
              <w:rPr>
                <w:rFonts w:cs="Arial"/>
                <w:i/>
                <w:sz w:val="18"/>
                <w:szCs w:val="16"/>
              </w:rPr>
            </w:pPr>
            <w:r w:rsidRPr="002B5B92">
              <w:rPr>
                <w:i/>
                <w:sz w:val="18"/>
                <w:szCs w:val="16"/>
              </w:rPr>
              <w:t xml:space="preserve">JC addizzjonali: Il-PŻR appoġġa t-teknoloġiji ġodda fiż-żoni rurali. </w:t>
            </w:r>
          </w:p>
        </w:tc>
        <w:tc>
          <w:tcPr>
            <w:tcW w:w="3302" w:type="dxa"/>
          </w:tcPr>
          <w:p w:rsidR="00A45935" w:rsidRPr="002B5B92" w:rsidRDefault="00A45935" w:rsidP="00F73706">
            <w:pPr>
              <w:spacing w:line="220" w:lineRule="atLeast"/>
              <w:jc w:val="left"/>
              <w:rPr>
                <w:rFonts w:eastAsia="Calibri" w:cs="Arial"/>
                <w:i/>
                <w:color w:val="57825E"/>
                <w:sz w:val="18"/>
                <w:szCs w:val="16"/>
              </w:rPr>
            </w:pPr>
            <w:r w:rsidRPr="002B5B92">
              <w:rPr>
                <w:i/>
                <w:color w:val="57825E"/>
                <w:sz w:val="18"/>
                <w:szCs w:val="16"/>
                <w:u w:val="single"/>
              </w:rPr>
              <w:t>Indikatur tar-riżultat addizzjonali:</w:t>
            </w:r>
            <w:r w:rsidRPr="002B5B92">
              <w:rPr>
                <w:i/>
                <w:color w:val="57825E"/>
                <w:sz w:val="18"/>
                <w:szCs w:val="16"/>
              </w:rPr>
              <w:t xml:space="preserve"> In-numru u t-tip ta’ politiki li l-PŻR influwenza fil-livell tal-organizzazzjonijiet parteċipanti u l-ambjent favorevoli usa’. </w:t>
            </w:r>
          </w:p>
          <w:p w:rsidR="00A45935" w:rsidRPr="002B5B92" w:rsidRDefault="00A45935" w:rsidP="00F73706">
            <w:pPr>
              <w:spacing w:line="220" w:lineRule="atLeast"/>
              <w:jc w:val="left"/>
              <w:rPr>
                <w:rFonts w:eastAsia="Calibri" w:cs="Arial"/>
                <w:i/>
                <w:color w:val="57825E"/>
                <w:sz w:val="18"/>
                <w:szCs w:val="16"/>
              </w:rPr>
            </w:pPr>
          </w:p>
          <w:p w:rsidR="00A45935" w:rsidRPr="002B5B92" w:rsidRDefault="00A45935" w:rsidP="00F73706">
            <w:pPr>
              <w:spacing w:line="220" w:lineRule="atLeast"/>
              <w:jc w:val="left"/>
              <w:rPr>
                <w:rFonts w:eastAsia="Calibri" w:cs="Arial"/>
                <w:i/>
                <w:color w:val="57825E"/>
                <w:sz w:val="18"/>
                <w:szCs w:val="16"/>
              </w:rPr>
            </w:pPr>
            <w:r w:rsidRPr="002B5B92">
              <w:rPr>
                <w:i/>
                <w:color w:val="57825E"/>
                <w:sz w:val="18"/>
                <w:szCs w:val="16"/>
                <w:u w:val="single"/>
              </w:rPr>
              <w:t>Indikatur tar-riżultat addizzjonali:</w:t>
            </w:r>
            <w:r w:rsidRPr="002B5B92">
              <w:rPr>
                <w:i/>
                <w:color w:val="57825E"/>
                <w:sz w:val="18"/>
                <w:szCs w:val="16"/>
              </w:rPr>
              <w:t xml:space="preserve"> In-numru ta’ sessjonijiet ta’ taħriġ u avvenimenti sabiex jiġu skambjati prattiki innovattivi u s-sehem tagħhom fin-numru totali ta’ sessjonijiet ta’ taħriġ/avvenimenti appoġġati mill-PŻR. </w:t>
            </w:r>
          </w:p>
          <w:p w:rsidR="00A45935" w:rsidRPr="002B5B92" w:rsidRDefault="00A45935" w:rsidP="00F73706">
            <w:pPr>
              <w:spacing w:line="220" w:lineRule="atLeast"/>
              <w:jc w:val="left"/>
              <w:rPr>
                <w:rFonts w:eastAsia="Calibri" w:cs="Arial"/>
                <w:i/>
                <w:color w:val="57825E"/>
                <w:sz w:val="18"/>
                <w:szCs w:val="16"/>
              </w:rPr>
            </w:pPr>
          </w:p>
          <w:p w:rsidR="00A45935" w:rsidRPr="002B5B92" w:rsidRDefault="00A45935" w:rsidP="00F73706">
            <w:pPr>
              <w:spacing w:line="220" w:lineRule="atLeast"/>
              <w:jc w:val="left"/>
              <w:rPr>
                <w:rFonts w:eastAsia="Calibri" w:cs="Arial"/>
                <w:i/>
                <w:color w:val="57825E"/>
                <w:sz w:val="18"/>
                <w:szCs w:val="16"/>
              </w:rPr>
            </w:pPr>
            <w:r w:rsidRPr="002B5B92">
              <w:rPr>
                <w:i/>
                <w:color w:val="57825E"/>
                <w:sz w:val="18"/>
                <w:szCs w:val="16"/>
                <w:u w:val="single"/>
              </w:rPr>
              <w:t>Indikatur tar-riżultat addizzjonali:</w:t>
            </w:r>
            <w:r w:rsidRPr="002B5B92">
              <w:rPr>
                <w:i/>
                <w:color w:val="57825E"/>
                <w:sz w:val="18"/>
                <w:szCs w:val="16"/>
              </w:rPr>
              <w:t xml:space="preserve"> In-numru ta’ avvenimenti ffokati fuq l-istabbiliment ta’ kuntatti bejn atturi tal-innovazzjoni appoġġati mill-PŻR. </w:t>
            </w:r>
          </w:p>
          <w:p w:rsidR="00A45935" w:rsidRPr="002B5B92" w:rsidRDefault="00A45935" w:rsidP="00F73706">
            <w:pPr>
              <w:spacing w:line="220" w:lineRule="atLeast"/>
              <w:jc w:val="left"/>
              <w:rPr>
                <w:rFonts w:eastAsia="Calibri" w:cs="Arial"/>
                <w:i/>
                <w:color w:val="57825E"/>
                <w:sz w:val="18"/>
                <w:szCs w:val="16"/>
              </w:rPr>
            </w:pPr>
          </w:p>
          <w:p w:rsidR="00A45935" w:rsidRPr="002B5B92" w:rsidRDefault="00A45935" w:rsidP="00F73706">
            <w:pPr>
              <w:spacing w:line="220" w:lineRule="atLeast"/>
              <w:jc w:val="left"/>
              <w:rPr>
                <w:rFonts w:eastAsia="Calibri" w:cs="Arial"/>
                <w:i/>
                <w:color w:val="57825E"/>
                <w:sz w:val="18"/>
                <w:szCs w:val="16"/>
              </w:rPr>
            </w:pPr>
          </w:p>
          <w:p w:rsidR="00560E46" w:rsidRPr="002B5B92" w:rsidRDefault="00560E46" w:rsidP="00F73706">
            <w:pPr>
              <w:spacing w:line="220" w:lineRule="atLeast"/>
              <w:jc w:val="left"/>
              <w:rPr>
                <w:rFonts w:eastAsia="Calibri" w:cs="Arial"/>
                <w:i/>
                <w:color w:val="57825E"/>
                <w:sz w:val="18"/>
                <w:szCs w:val="16"/>
              </w:rPr>
            </w:pPr>
          </w:p>
          <w:p w:rsidR="00A45935" w:rsidRPr="002B5B92" w:rsidRDefault="00A45935" w:rsidP="00F73706">
            <w:pPr>
              <w:spacing w:line="220" w:lineRule="atLeast"/>
              <w:jc w:val="left"/>
              <w:rPr>
                <w:rFonts w:eastAsia="Calibri" w:cs="Arial"/>
                <w:color w:val="57825E"/>
                <w:sz w:val="18"/>
                <w:szCs w:val="16"/>
              </w:rPr>
            </w:pPr>
            <w:r w:rsidRPr="002B5B92">
              <w:rPr>
                <w:i/>
                <w:color w:val="57825E"/>
                <w:sz w:val="18"/>
                <w:szCs w:val="16"/>
                <w:u w:val="single"/>
              </w:rPr>
              <w:t>Indikatur tar-riżultat addizzjonali:</w:t>
            </w:r>
            <w:r w:rsidRPr="002B5B92">
              <w:rPr>
                <w:i/>
                <w:color w:val="57825E"/>
                <w:sz w:val="18"/>
                <w:szCs w:val="16"/>
              </w:rPr>
              <w:t xml:space="preserve"> In-numru ta’ teknoloġiji ġodda f’żoni rurali appoġġati mill-PŻR, maqsuma skont it-tip. </w:t>
            </w:r>
          </w:p>
        </w:tc>
        <w:tc>
          <w:tcPr>
            <w:tcW w:w="2715" w:type="dxa"/>
          </w:tcPr>
          <w:p w:rsidR="00A45935" w:rsidRPr="002B5B92" w:rsidRDefault="00A45935" w:rsidP="00560E46">
            <w:pPr>
              <w:spacing w:line="220" w:lineRule="atLeast"/>
              <w:jc w:val="left"/>
              <w:rPr>
                <w:rFonts w:eastAsia="Calibri" w:cs="Arial"/>
                <w:sz w:val="18"/>
                <w:szCs w:val="16"/>
              </w:rPr>
            </w:pPr>
            <w:r w:rsidRPr="002B5B92">
              <w:rPr>
                <w:sz w:val="18"/>
                <w:szCs w:val="16"/>
              </w:rPr>
              <w:t xml:space="preserve">Informazzjoni dwar il-politiki. </w:t>
            </w:r>
          </w:p>
          <w:p w:rsidR="00A45935" w:rsidRPr="002B5B92" w:rsidRDefault="00A45935" w:rsidP="00560E46">
            <w:pPr>
              <w:spacing w:line="220" w:lineRule="atLeast"/>
              <w:jc w:val="left"/>
              <w:rPr>
                <w:rFonts w:eastAsia="Calibri" w:cs="Arial"/>
                <w:sz w:val="18"/>
                <w:szCs w:val="16"/>
              </w:rPr>
            </w:pPr>
          </w:p>
          <w:p w:rsidR="00A45935" w:rsidRPr="002B5B92" w:rsidRDefault="00A45935" w:rsidP="00560E46">
            <w:pPr>
              <w:spacing w:line="220" w:lineRule="atLeast"/>
              <w:jc w:val="left"/>
              <w:rPr>
                <w:rFonts w:eastAsia="Calibri" w:cs="Arial"/>
                <w:sz w:val="18"/>
                <w:szCs w:val="16"/>
              </w:rPr>
            </w:pPr>
          </w:p>
          <w:p w:rsidR="00560E46" w:rsidRPr="002B5B92" w:rsidRDefault="00560E46" w:rsidP="00560E46">
            <w:pPr>
              <w:spacing w:line="220" w:lineRule="atLeast"/>
              <w:jc w:val="left"/>
              <w:rPr>
                <w:rFonts w:eastAsia="Calibri" w:cs="Arial"/>
                <w:sz w:val="18"/>
                <w:szCs w:val="16"/>
              </w:rPr>
            </w:pPr>
          </w:p>
          <w:p w:rsidR="00560E46" w:rsidRPr="002B5B92" w:rsidRDefault="00560E46" w:rsidP="00560E46">
            <w:pPr>
              <w:spacing w:line="220" w:lineRule="atLeast"/>
              <w:jc w:val="left"/>
              <w:rPr>
                <w:rFonts w:eastAsia="Calibri" w:cs="Arial"/>
                <w:sz w:val="18"/>
                <w:szCs w:val="16"/>
              </w:rPr>
            </w:pPr>
          </w:p>
          <w:p w:rsidR="00560E46" w:rsidRPr="002B5B92" w:rsidRDefault="00560E46" w:rsidP="00560E46">
            <w:pPr>
              <w:spacing w:line="220" w:lineRule="atLeast"/>
              <w:jc w:val="left"/>
              <w:rPr>
                <w:rFonts w:eastAsia="Calibri" w:cs="Arial"/>
                <w:sz w:val="18"/>
                <w:szCs w:val="16"/>
              </w:rPr>
            </w:pPr>
          </w:p>
          <w:p w:rsidR="00A45935" w:rsidRPr="002B5B92" w:rsidRDefault="00A45935" w:rsidP="00560E46">
            <w:pPr>
              <w:spacing w:line="220" w:lineRule="atLeast"/>
              <w:jc w:val="left"/>
              <w:rPr>
                <w:rFonts w:eastAsia="Calibri" w:cs="Arial"/>
                <w:sz w:val="18"/>
                <w:szCs w:val="16"/>
              </w:rPr>
            </w:pPr>
            <w:r w:rsidRPr="002B5B92">
              <w:rPr>
                <w:sz w:val="18"/>
                <w:szCs w:val="16"/>
              </w:rPr>
              <w:t>Informazzjoni dwar is-sessjonijiet ta’ taħriġ u l-avvenimenti.</w:t>
            </w:r>
          </w:p>
          <w:p w:rsidR="00A45935" w:rsidRPr="002B5B92" w:rsidRDefault="00A45935" w:rsidP="00560E46">
            <w:pPr>
              <w:spacing w:line="220" w:lineRule="atLeast"/>
              <w:jc w:val="left"/>
              <w:rPr>
                <w:rFonts w:eastAsia="Calibri" w:cs="Arial"/>
                <w:sz w:val="18"/>
                <w:szCs w:val="16"/>
              </w:rPr>
            </w:pPr>
          </w:p>
          <w:p w:rsidR="00A45935" w:rsidRPr="002B5B92" w:rsidRDefault="00A45935" w:rsidP="00560E46">
            <w:pPr>
              <w:spacing w:line="220" w:lineRule="atLeast"/>
              <w:jc w:val="left"/>
              <w:rPr>
                <w:rFonts w:eastAsia="Calibri" w:cs="Arial"/>
                <w:sz w:val="18"/>
                <w:szCs w:val="16"/>
              </w:rPr>
            </w:pPr>
          </w:p>
          <w:p w:rsidR="00A45935" w:rsidRPr="002B5B92" w:rsidRDefault="00A45935" w:rsidP="00560E46">
            <w:pPr>
              <w:spacing w:line="220" w:lineRule="atLeast"/>
              <w:jc w:val="left"/>
              <w:rPr>
                <w:rFonts w:eastAsia="Calibri" w:cs="Arial"/>
                <w:sz w:val="18"/>
                <w:szCs w:val="16"/>
              </w:rPr>
            </w:pPr>
          </w:p>
          <w:p w:rsidR="00A45935" w:rsidRPr="002B5B92" w:rsidRDefault="00A45935" w:rsidP="00560E46">
            <w:pPr>
              <w:spacing w:line="220" w:lineRule="atLeast"/>
              <w:jc w:val="left"/>
              <w:rPr>
                <w:rFonts w:eastAsia="Calibri" w:cs="Arial"/>
                <w:sz w:val="18"/>
                <w:szCs w:val="16"/>
              </w:rPr>
            </w:pPr>
          </w:p>
          <w:p w:rsidR="00A45935" w:rsidRPr="002B5B92" w:rsidRDefault="00A45935" w:rsidP="00560E46">
            <w:pPr>
              <w:spacing w:line="220" w:lineRule="atLeast"/>
              <w:jc w:val="left"/>
              <w:rPr>
                <w:rFonts w:eastAsia="Calibri" w:cs="Arial"/>
                <w:sz w:val="18"/>
                <w:szCs w:val="16"/>
              </w:rPr>
            </w:pPr>
            <w:r w:rsidRPr="002B5B92">
              <w:rPr>
                <w:sz w:val="18"/>
                <w:szCs w:val="16"/>
              </w:rPr>
              <w:t xml:space="preserve">Informazzjoni dwar teknoloġiji ġodda. </w:t>
            </w:r>
          </w:p>
        </w:tc>
        <w:tc>
          <w:tcPr>
            <w:tcW w:w="2715" w:type="dxa"/>
          </w:tcPr>
          <w:p w:rsidR="00A45935" w:rsidRPr="002B5B92" w:rsidRDefault="00A45935" w:rsidP="00560E46">
            <w:pPr>
              <w:spacing w:line="220" w:lineRule="atLeast"/>
              <w:jc w:val="left"/>
              <w:rPr>
                <w:rFonts w:eastAsia="Calibri" w:cs="Arial"/>
                <w:sz w:val="18"/>
                <w:szCs w:val="16"/>
              </w:rPr>
            </w:pPr>
            <w:r w:rsidRPr="002B5B92">
              <w:rPr>
                <w:sz w:val="18"/>
                <w:szCs w:val="16"/>
              </w:rPr>
              <w:t xml:space="preserve">Intervisti u gruppi fokus (eż. ġbir tal-eżiti). </w:t>
            </w:r>
          </w:p>
          <w:p w:rsidR="00A45935" w:rsidRPr="002B5B92" w:rsidRDefault="00A45935" w:rsidP="00560E46">
            <w:pPr>
              <w:spacing w:line="220" w:lineRule="atLeast"/>
              <w:jc w:val="left"/>
              <w:rPr>
                <w:rFonts w:eastAsia="Calibri" w:cs="Arial"/>
                <w:sz w:val="18"/>
                <w:szCs w:val="18"/>
                <w:lang w:val="es-ES"/>
              </w:rPr>
            </w:pPr>
          </w:p>
          <w:p w:rsidR="00A45935" w:rsidRPr="002B5B92" w:rsidRDefault="00A45935" w:rsidP="00560E46">
            <w:pPr>
              <w:spacing w:line="220" w:lineRule="atLeast"/>
              <w:jc w:val="left"/>
              <w:rPr>
                <w:rFonts w:eastAsia="Calibri" w:cs="Arial"/>
                <w:sz w:val="18"/>
                <w:szCs w:val="18"/>
                <w:lang w:val="es-ES"/>
              </w:rPr>
            </w:pPr>
          </w:p>
          <w:p w:rsidR="00560E46" w:rsidRPr="002B5B92" w:rsidRDefault="00560E46" w:rsidP="00560E46">
            <w:pPr>
              <w:spacing w:line="220" w:lineRule="atLeast"/>
              <w:jc w:val="left"/>
              <w:rPr>
                <w:rFonts w:eastAsia="Calibri" w:cs="Arial"/>
                <w:sz w:val="18"/>
                <w:szCs w:val="18"/>
                <w:lang w:val="es-ES"/>
              </w:rPr>
            </w:pPr>
          </w:p>
          <w:p w:rsidR="00560E46" w:rsidRPr="002B5B92" w:rsidRDefault="00560E46" w:rsidP="00560E46">
            <w:pPr>
              <w:spacing w:line="220" w:lineRule="atLeast"/>
              <w:jc w:val="left"/>
              <w:rPr>
                <w:rFonts w:eastAsia="Calibri" w:cs="Arial"/>
                <w:sz w:val="18"/>
                <w:szCs w:val="18"/>
                <w:lang w:val="es-ES"/>
              </w:rPr>
            </w:pPr>
          </w:p>
          <w:p w:rsidR="00A45935" w:rsidRPr="002B5B92" w:rsidRDefault="00A45935" w:rsidP="00560E46">
            <w:pPr>
              <w:spacing w:line="220" w:lineRule="atLeast"/>
              <w:jc w:val="left"/>
              <w:rPr>
                <w:rFonts w:eastAsia="Calibri" w:cs="Arial"/>
                <w:sz w:val="18"/>
                <w:szCs w:val="18"/>
              </w:rPr>
            </w:pPr>
            <w:r w:rsidRPr="002B5B92">
              <w:rPr>
                <w:sz w:val="18"/>
                <w:szCs w:val="18"/>
              </w:rPr>
              <w:t>Sistema ta’ monitoraġġ tal-PŻR.</w:t>
            </w:r>
          </w:p>
        </w:tc>
      </w:tr>
    </w:tbl>
    <w:p w:rsidR="00A45935" w:rsidRPr="002B5B92" w:rsidRDefault="00A45935" w:rsidP="00E05D08">
      <w:pPr>
        <w:spacing w:before="240" w:after="120" w:line="280" w:lineRule="atLeast"/>
        <w:ind w:left="720"/>
        <w:mirrorIndents/>
        <w:rPr>
          <w:rFonts w:eastAsia="Times New Roman" w:cs="Arial"/>
          <w:b/>
          <w:szCs w:val="18"/>
          <w:lang w:eastAsia="de-DE"/>
        </w:rPr>
      </w:pPr>
    </w:p>
    <w:p w:rsidR="00A45935" w:rsidRPr="002B5B92" w:rsidRDefault="00A45935" w:rsidP="00E05D08">
      <w:pPr>
        <w:spacing w:before="240" w:after="120" w:line="280" w:lineRule="atLeast"/>
        <w:ind w:left="720"/>
        <w:mirrorIndents/>
        <w:rPr>
          <w:rFonts w:eastAsia="Times New Roman" w:cs="Arial"/>
          <w:b/>
          <w:szCs w:val="18"/>
          <w:lang w:eastAsia="de-DE"/>
        </w:rPr>
      </w:pPr>
    </w:p>
    <w:p w:rsidR="00A45935" w:rsidRPr="002B5B92" w:rsidRDefault="00A45935" w:rsidP="008C0B17">
      <w:pPr>
        <w:numPr>
          <w:ilvl w:val="0"/>
          <w:numId w:val="46"/>
        </w:numPr>
        <w:spacing w:before="240" w:after="120" w:line="280" w:lineRule="atLeast"/>
        <w:rPr>
          <w:rFonts w:eastAsia="Times New Roman" w:cs="Arial"/>
          <w:b/>
          <w:szCs w:val="18"/>
          <w:lang w:eastAsia="de-DE"/>
        </w:rPr>
        <w:sectPr w:rsidR="00A45935" w:rsidRPr="002B5B92" w:rsidSect="001F6F07">
          <w:endnotePr>
            <w:numFmt w:val="decimal"/>
          </w:endnotePr>
          <w:pgSz w:w="16840" w:h="11907" w:orient="landscape" w:code="9"/>
          <w:pgMar w:top="1440" w:right="1134" w:bottom="1440" w:left="1440" w:header="567" w:footer="1020" w:gutter="0"/>
          <w:cols w:space="708"/>
          <w:noEndnote/>
          <w:docGrid w:linePitch="435"/>
        </w:sectPr>
      </w:pPr>
    </w:p>
    <w:p w:rsidR="00A45935" w:rsidRPr="002B5B92" w:rsidRDefault="00A45935" w:rsidP="008C0B17">
      <w:pPr>
        <w:numPr>
          <w:ilvl w:val="0"/>
          <w:numId w:val="62"/>
        </w:numPr>
        <w:spacing w:before="120" w:after="120" w:line="280" w:lineRule="atLeast"/>
        <w:ind w:left="709" w:hanging="709"/>
        <w:mirrorIndents/>
        <w:rPr>
          <w:rFonts w:eastAsia="Times New Roman" w:cs="Times New Roman"/>
          <w:b/>
          <w:szCs w:val="20"/>
        </w:rPr>
      </w:pPr>
      <w:r w:rsidRPr="002B5B92">
        <w:rPr>
          <w:b/>
          <w:szCs w:val="20"/>
        </w:rPr>
        <w:lastRenderedPageBreak/>
        <w:t>Il-metodoloġija tal-evalwazzjoni proposta</w:t>
      </w:r>
    </w:p>
    <w:p w:rsidR="00A45935" w:rsidRPr="002B5B92" w:rsidRDefault="00A45935" w:rsidP="00E05D08">
      <w:pPr>
        <w:spacing w:after="120" w:line="280" w:lineRule="atLeast"/>
        <w:mirrorIndents/>
        <w:rPr>
          <w:rFonts w:eastAsia="Times New Roman" w:cs="Arial"/>
          <w:szCs w:val="20"/>
        </w:rPr>
      </w:pPr>
      <w:r w:rsidRPr="002B5B92">
        <w:t>Il-metodu tal-evalwazzjoni propost sabiex tiġi mwieġba s-CEQ nru. 30 huwa l-</w:t>
      </w:r>
      <w:r w:rsidRPr="002B5B92">
        <w:rPr>
          <w:b/>
        </w:rPr>
        <w:t>metodu tal-istudju ta’ każ</w:t>
      </w:r>
      <w:r w:rsidRPr="002B5B92">
        <w:t>. Il-passi li ġejjin huma rrakkomandati għall-evalwaturi sabiex iwettqu l-valutazzjoni:</w:t>
      </w:r>
    </w:p>
    <w:p w:rsidR="00A45935" w:rsidRPr="002B5B92" w:rsidRDefault="00A45935" w:rsidP="000026C6">
      <w:pPr>
        <w:pStyle w:val="Hlistbullet"/>
      </w:pPr>
      <w:r w:rsidRPr="002B5B92">
        <w:rPr>
          <w:b/>
        </w:rPr>
        <w:t>PASS 1 - Identifika l-bidla jew bidliet sinifikanti li għalihom il-PŻR jista’ jsostni li kkontribwixxa permezz tat-trawwim tal-innovazzjoni b’wieħed jew aktar mit-tliet perkorsi.</w:t>
      </w:r>
      <w:r w:rsidRPr="002B5B92">
        <w:t xml:space="preserve"> Dan jista’ jsir b’referenza għat-tweġibiet għas-CEQs nri. 22 sa 29 (CEQs relatati mal-objettivi ġenerali tal-UE 2020 u tal-PAK), permezz ta’ intervista mal-persunal u/jew eżami dokumentarju tad-dokumentazzjoni tal-proġett. Pereżempju, il-PŻR jista’ jsostni li kkontribwixxa għal bidla sinifikanti fil-profittabbiltà tal-azjendi agrikoli billi żviluppa makkinarju agrikolu ġdid li sussegwentement ġie adottat u użat b’mod wiesa’ mill-bdiewa. It-tfittxija għal bidliet sinifikanti għandha tikkunsidra t-tbassir li sar dwar l-adozzjoni probabbli meta ġie stabbilit il-potenzjal tal-innovazzjoni fil-bidu tal-programm.</w:t>
      </w:r>
    </w:p>
    <w:p w:rsidR="00320AA0" w:rsidRPr="002B5B92" w:rsidRDefault="00320AA0" w:rsidP="00320AA0">
      <w:pPr>
        <w:pStyle w:val="Hlistbullet"/>
        <w:numPr>
          <w:ilvl w:val="0"/>
          <w:numId w:val="0"/>
        </w:numPr>
        <w:ind w:left="567"/>
      </w:pPr>
      <w:r w:rsidRPr="002B5B92">
        <w:rPr>
          <w:noProof/>
          <w:sz w:val="18"/>
          <w:lang w:val="en-GB" w:eastAsia="en-GB"/>
        </w:rPr>
        <mc:AlternateContent>
          <mc:Choice Requires="wps">
            <w:drawing>
              <wp:inline distT="0" distB="0" distL="0" distR="0" wp14:anchorId="7AE914DE" wp14:editId="5AD275E4">
                <wp:extent cx="5374005" cy="3289110"/>
                <wp:effectExtent l="0" t="0" r="17145" b="26035"/>
                <wp:docPr id="719" name="Rectangle: Diagonal Corners Rounded 719"/>
                <wp:cNvGraphicFramePr/>
                <a:graphic xmlns:a="http://schemas.openxmlformats.org/drawingml/2006/main">
                  <a:graphicData uri="http://schemas.microsoft.com/office/word/2010/wordprocessingShape">
                    <wps:wsp>
                      <wps:cNvSpPr/>
                      <wps:spPr>
                        <a:xfrm>
                          <a:off x="0" y="0"/>
                          <a:ext cx="5374005" cy="3289110"/>
                        </a:xfrm>
                        <a:prstGeom prst="round2DiagRect">
                          <a:avLst>
                            <a:gd name="adj1" fmla="val 3961"/>
                            <a:gd name="adj2" fmla="val 0"/>
                          </a:avLst>
                        </a:prstGeom>
                        <a:noFill/>
                        <a:ln w="25400" cap="flat" cmpd="sng" algn="ctr">
                          <a:solidFill>
                            <a:srgbClr val="F07E31"/>
                          </a:solidFill>
                          <a:prstDash val="solid"/>
                        </a:ln>
                        <a:effectLst/>
                      </wps:spPr>
                      <wps:txbx>
                        <w:txbxContent>
                          <w:p w:rsidR="005570DA" w:rsidRPr="00253803" w:rsidRDefault="005570DA" w:rsidP="00320AA0">
                            <w:pPr>
                              <w:ind w:left="567" w:hanging="567"/>
                              <w:rPr>
                                <w:rFonts w:cs="Arial"/>
                                <w:color w:val="F07E31"/>
                                <w:sz w:val="18"/>
                                <w:szCs w:val="18"/>
                              </w:rPr>
                            </w:pPr>
                            <w:r>
                              <w:rPr>
                                <w:noProof/>
                                <w:szCs w:val="18"/>
                                <w:lang w:val="en-GB" w:eastAsia="en-GB"/>
                              </w:rPr>
                              <w:drawing>
                                <wp:inline distT="0" distB="0" distL="0" distR="0" wp14:anchorId="39D476C5" wp14:editId="26DD3444">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rPr>
                              <w:t>Netwerk tematiku dwar il-Biedja ta’ Valur Naturali Għoli.</w:t>
                            </w:r>
                          </w:p>
                          <w:p w:rsidR="005570DA" w:rsidRPr="00253803" w:rsidRDefault="005570DA" w:rsidP="00320AA0">
                            <w:pPr>
                              <w:spacing w:line="280" w:lineRule="atLeast"/>
                              <w:rPr>
                                <w:rFonts w:cs="Arial"/>
                                <w:sz w:val="18"/>
                                <w:szCs w:val="18"/>
                              </w:rPr>
                            </w:pPr>
                            <w:r>
                              <w:rPr>
                                <w:sz w:val="18"/>
                                <w:szCs w:val="18"/>
                              </w:rPr>
                              <w:t>Bħala parti mill-proġett ta’ riċerka Orizzont 2020: “</w:t>
                            </w:r>
                            <w:hyperlink r:id="rId97" w:history="1">
                              <w:r>
                                <w:rPr>
                                  <w:rStyle w:val="Hyperlink"/>
                                  <w:sz w:val="18"/>
                                  <w:szCs w:val="18"/>
                                </w:rPr>
                                <w:t>HNV link</w:t>
                              </w:r>
                            </w:hyperlink>
                            <w:r>
                              <w:rPr>
                                <w:rStyle w:val="Hyperlink"/>
                              </w:rPr>
                              <w:t>”</w:t>
                            </w:r>
                            <w:r>
                              <w:rPr>
                                <w:sz w:val="18"/>
                                <w:szCs w:val="18"/>
                              </w:rPr>
                              <w:t xml:space="preserve">, tim ta’ riċerkaturi żviluppa qafas ta’ valutazzjoni sabiex janalizza s-sitwazzjoni bażika tal-oqsma tal-HNV li potenzjalment tista’ tikkontribwixxi għalihom l-innovazzjoni. Din il-valutazzjoni bażika tinkludi l-analiżi ta’ bosta attributi relatati ma’: </w:t>
                            </w:r>
                          </w:p>
                          <w:p w:rsidR="005570DA" w:rsidRPr="00253803" w:rsidRDefault="005570DA" w:rsidP="00320AA0">
                            <w:pPr>
                              <w:numPr>
                                <w:ilvl w:val="0"/>
                                <w:numId w:val="63"/>
                              </w:numPr>
                              <w:ind w:left="567" w:hanging="567"/>
                              <w:contextualSpacing/>
                              <w:rPr>
                                <w:rFonts w:cs="Arial"/>
                                <w:sz w:val="18"/>
                                <w:szCs w:val="18"/>
                              </w:rPr>
                            </w:pPr>
                            <w:r>
                              <w:rPr>
                                <w:sz w:val="18"/>
                                <w:szCs w:val="18"/>
                              </w:rPr>
                              <w:t>l-ekosistema agrikola (il-ħamrija, il-klima u l-kundizzjonijiet ta’ riżalt);</w:t>
                            </w:r>
                          </w:p>
                          <w:p w:rsidR="005570DA" w:rsidRPr="00253803" w:rsidRDefault="005570DA" w:rsidP="00320AA0">
                            <w:pPr>
                              <w:numPr>
                                <w:ilvl w:val="0"/>
                                <w:numId w:val="63"/>
                              </w:numPr>
                              <w:ind w:left="567" w:hanging="567"/>
                              <w:contextualSpacing/>
                              <w:rPr>
                                <w:rFonts w:cs="Arial"/>
                                <w:sz w:val="18"/>
                                <w:szCs w:val="18"/>
                              </w:rPr>
                            </w:pPr>
                            <w:r>
                              <w:rPr>
                                <w:sz w:val="18"/>
                                <w:szCs w:val="18"/>
                              </w:rPr>
                              <w:t>is-sistemi tal-biedja u d-dinamika tagħhom fis-sistemi agrarji;</w:t>
                            </w:r>
                          </w:p>
                          <w:p w:rsidR="005570DA" w:rsidRPr="00253803" w:rsidRDefault="005570DA" w:rsidP="00320AA0">
                            <w:pPr>
                              <w:numPr>
                                <w:ilvl w:val="0"/>
                                <w:numId w:val="63"/>
                              </w:numPr>
                              <w:ind w:left="567" w:hanging="567"/>
                              <w:contextualSpacing/>
                              <w:rPr>
                                <w:rFonts w:cs="Arial"/>
                                <w:sz w:val="18"/>
                                <w:szCs w:val="18"/>
                              </w:rPr>
                            </w:pPr>
                            <w:r>
                              <w:rPr>
                                <w:sz w:val="18"/>
                                <w:szCs w:val="18"/>
                              </w:rPr>
                              <w:t xml:space="preserve">il-kuntest rurali u l-ixprunaturi usa’ (politiki, teknoloġiji, tibdil fis-soċjetà); </w:t>
                            </w:r>
                          </w:p>
                          <w:p w:rsidR="005570DA" w:rsidRPr="00253803" w:rsidRDefault="005570DA" w:rsidP="00320AA0">
                            <w:pPr>
                              <w:numPr>
                                <w:ilvl w:val="0"/>
                                <w:numId w:val="63"/>
                              </w:numPr>
                              <w:ind w:left="567" w:hanging="567"/>
                              <w:contextualSpacing/>
                              <w:rPr>
                                <w:rFonts w:cs="Arial"/>
                                <w:sz w:val="18"/>
                                <w:szCs w:val="18"/>
                              </w:rPr>
                            </w:pPr>
                            <w:r>
                              <w:rPr>
                                <w:sz w:val="18"/>
                                <w:szCs w:val="18"/>
                              </w:rPr>
                              <w:t>kwistjonijiet trażversali (atturi u organizzazzjoni soċjali).</w:t>
                            </w:r>
                          </w:p>
                          <w:p w:rsidR="005570DA" w:rsidRPr="000E5745" w:rsidRDefault="005570DA" w:rsidP="00320AA0">
                            <w:pPr>
                              <w:pStyle w:val="Hlistbullet"/>
                              <w:numPr>
                                <w:ilvl w:val="0"/>
                                <w:numId w:val="0"/>
                              </w:numPr>
                              <w:rPr>
                                <w:sz w:val="18"/>
                                <w:szCs w:val="18"/>
                              </w:rPr>
                            </w:pPr>
                            <w:r>
                              <w:rPr>
                                <w:sz w:val="18"/>
                                <w:szCs w:val="18"/>
                              </w:rPr>
                              <w:t xml:space="preserve">Ġew ikkombinati flimkien metodi differenti sabiex tinbena sitwazzjoni bażika: 1.) valutazzjoni tal-ekosistema agrikola, 2.) analiżi tas-sistema agrarja u tal-biedja, 3.) analiżi rurali, 4.) analiżi tal-atturi. Il-metodoloġija tgħin sabiex tinbena sitwazzjoni kontrofattwali sabiex jiġu vvalutati kemm il-proċess kif ukoll l-effetti tal-innovazzjonijiet li jseħħu fl-oqsma tal-HNV. Eżempju tal-applikazzjoni ta’ din il-metodoloġija jista’ jinstab hawnhekk: </w:t>
                            </w:r>
                            <w:hyperlink r:id="rId98" w:history="1">
                              <w:r>
                                <w:rPr>
                                  <w:rStyle w:val="Hyperlink"/>
                                  <w:sz w:val="18"/>
                                  <w:szCs w:val="18"/>
                                </w:rPr>
                                <w:t>http://www.hnvlink.eu/download/D1.3BAcomplete.pdf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AE914DE" id="Rectangle: Diagonal Corners Rounded 719" o:spid="_x0000_s1055" style="width:423.15pt;height:259pt;visibility:visible;mso-wrap-style:square;mso-left-percent:-10001;mso-top-percent:-10001;mso-position-horizontal:absolute;mso-position-horizontal-relative:char;mso-position-vertical:absolute;mso-position-vertical-relative:line;mso-left-percent:-10001;mso-top-percent:-10001;v-text-anchor:middle" coordsize="5374005,3289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" adj="-11796480,,5400" path="m130282,l5374005,r,l5374005,3158828v,71953,-58329,130282,-130282,130282l,3289110r,l,130282c,58329,58329,,130282,xe" filled="f" strokecolor="#f07e31" strokeweight="2pt">
                <v:stroke joinstyle="miter"/>
                <v:formulas/>
                <v:path arrowok="t" o:connecttype="custom" o:connectlocs="130282,0;5374005,0;5374005,0;5374005,3158828;5243723,3289110;0,3289110;0,3289110;0,130282;130282,0" o:connectangles="0,0,0,0,0,0,0,0,0" textboxrect="0,0,5374005,3289110"/>
                <v:textbox>
                  <w:txbxContent>
                    <w:p w:rsidR="005570DA" w:rsidRPr="00253803" w:rsidRDefault="005570DA" w:rsidP="00320AA0">
                      <w:pPr>
                        <w:ind w:left="567" w:hanging="567"/>
                        <w:rPr>
                          <w:rFonts w:cs="Arial"/>
                          <w:color w:val="F07E31"/>
                          <w:sz w:val="18"/>
                          <w:szCs w:val="18"/>
                        </w:rPr>
                      </w:pPr>
                      <w:r>
                        <w:rPr>
                          <w:noProof/>
                          <w:szCs w:val="18"/>
                          <w:lang w:val="en-GB" w:eastAsia="en-GB"/>
                        </w:rPr>
                        <w:drawing>
                          <wp:inline distT="0" distB="0" distL="0" distR="0" wp14:anchorId="39D476C5" wp14:editId="26DD3444">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rPr>
                        <w:t>Netwerk tematiku dwar il-Biedja ta’ Valur Naturali Għoli.</w:t>
                      </w:r>
                    </w:p>
                    <w:p w:rsidR="005570DA" w:rsidRPr="00253803" w:rsidRDefault="005570DA" w:rsidP="00320AA0">
                      <w:pPr>
                        <w:spacing w:line="280" w:lineRule="atLeast"/>
                        <w:rPr>
                          <w:rFonts w:cs="Arial"/>
                          <w:sz w:val="18"/>
                          <w:szCs w:val="18"/>
                        </w:rPr>
                      </w:pPr>
                      <w:r>
                        <w:rPr>
                          <w:sz w:val="18"/>
                          <w:szCs w:val="18"/>
                        </w:rPr>
                        <w:t>Bħala parti mill-proġett ta’ riċerka Orizzont 2020: “</w:t>
                      </w:r>
                      <w:hyperlink r:id="rId99" w:history="1">
                        <w:r>
                          <w:rPr>
                            <w:rStyle w:val="Hyperlink"/>
                            <w:sz w:val="18"/>
                            <w:szCs w:val="18"/>
                          </w:rPr>
                          <w:t>HNV link</w:t>
                        </w:r>
                      </w:hyperlink>
                      <w:r>
                        <w:rPr>
                          <w:rStyle w:val="Hyperlink"/>
                        </w:rPr>
                        <w:t>”</w:t>
                      </w:r>
                      <w:r>
                        <w:rPr>
                          <w:sz w:val="18"/>
                          <w:szCs w:val="18"/>
                        </w:rPr>
                        <w:t xml:space="preserve">, tim ta’ riċerkaturi żviluppa qafas ta’ valutazzjoni sabiex janalizza s-sitwazzjoni bażika tal-oqsma tal-HNV li potenzjalment tista’ tikkontribwixxi għalihom l-innovazzjoni. Din il-valutazzjoni bażika tinkludi l-analiżi ta’ bosta attributi relatati ma’: </w:t>
                      </w:r>
                    </w:p>
                    <w:p w:rsidR="005570DA" w:rsidRPr="00253803" w:rsidRDefault="005570DA" w:rsidP="00320AA0">
                      <w:pPr>
                        <w:numPr>
                          <w:ilvl w:val="0"/>
                          <w:numId w:val="63"/>
                        </w:numPr>
                        <w:ind w:left="567" w:hanging="567"/>
                        <w:contextualSpacing/>
                        <w:rPr>
                          <w:rFonts w:cs="Arial"/>
                          <w:sz w:val="18"/>
                          <w:szCs w:val="18"/>
                        </w:rPr>
                      </w:pPr>
                      <w:r>
                        <w:rPr>
                          <w:sz w:val="18"/>
                          <w:szCs w:val="18"/>
                        </w:rPr>
                        <w:t>l-ekosistema agrikola (il-ħamrija, il-klima u l-kundizzjonijiet ta’ riżalt);</w:t>
                      </w:r>
                    </w:p>
                    <w:p w:rsidR="005570DA" w:rsidRPr="00253803" w:rsidRDefault="005570DA" w:rsidP="00320AA0">
                      <w:pPr>
                        <w:numPr>
                          <w:ilvl w:val="0"/>
                          <w:numId w:val="63"/>
                        </w:numPr>
                        <w:ind w:left="567" w:hanging="567"/>
                        <w:contextualSpacing/>
                        <w:rPr>
                          <w:rFonts w:cs="Arial"/>
                          <w:sz w:val="18"/>
                          <w:szCs w:val="18"/>
                        </w:rPr>
                      </w:pPr>
                      <w:r>
                        <w:rPr>
                          <w:sz w:val="18"/>
                          <w:szCs w:val="18"/>
                        </w:rPr>
                        <w:t>is-sistemi tal-biedja u d-dinamika tagħhom fis-sistemi agrarji;</w:t>
                      </w:r>
                    </w:p>
                    <w:p w:rsidR="005570DA" w:rsidRPr="00253803" w:rsidRDefault="005570DA" w:rsidP="00320AA0">
                      <w:pPr>
                        <w:numPr>
                          <w:ilvl w:val="0"/>
                          <w:numId w:val="63"/>
                        </w:numPr>
                        <w:ind w:left="567" w:hanging="567"/>
                        <w:contextualSpacing/>
                        <w:rPr>
                          <w:rFonts w:cs="Arial"/>
                          <w:sz w:val="18"/>
                          <w:szCs w:val="18"/>
                        </w:rPr>
                      </w:pPr>
                      <w:r>
                        <w:rPr>
                          <w:sz w:val="18"/>
                          <w:szCs w:val="18"/>
                        </w:rPr>
                        <w:t xml:space="preserve">il-kuntest rurali u l-ixprunaturi usa’ (politiki, teknoloġiji, tibdil fis-soċjetà); </w:t>
                      </w:r>
                    </w:p>
                    <w:p w:rsidR="005570DA" w:rsidRPr="00253803" w:rsidRDefault="005570DA" w:rsidP="00320AA0">
                      <w:pPr>
                        <w:numPr>
                          <w:ilvl w:val="0"/>
                          <w:numId w:val="63"/>
                        </w:numPr>
                        <w:ind w:left="567" w:hanging="567"/>
                        <w:contextualSpacing/>
                        <w:rPr>
                          <w:rFonts w:cs="Arial"/>
                          <w:sz w:val="18"/>
                          <w:szCs w:val="18"/>
                        </w:rPr>
                      </w:pPr>
                      <w:r>
                        <w:rPr>
                          <w:sz w:val="18"/>
                          <w:szCs w:val="18"/>
                        </w:rPr>
                        <w:t>kwistjonijiet trażversali (atturi u organizzazzjoni soċjali).</w:t>
                      </w:r>
                    </w:p>
                    <w:p w:rsidR="005570DA" w:rsidRPr="000E5745" w:rsidRDefault="005570DA" w:rsidP="00320AA0">
                      <w:pPr>
                        <w:pStyle w:val="Hlistbullet"/>
                        <w:numPr>
                          <w:ilvl w:val="0"/>
                          <w:numId w:val="0"/>
                        </w:numPr>
                        <w:rPr>
                          <w:sz w:val="18"/>
                          <w:szCs w:val="18"/>
                        </w:rPr>
                      </w:pPr>
                      <w:r>
                        <w:rPr>
                          <w:sz w:val="18"/>
                          <w:szCs w:val="18"/>
                        </w:rPr>
                        <w:t xml:space="preserve">Ġew ikkombinati flimkien metodi differenti sabiex tinbena sitwazzjoni bażika: 1.) valutazzjoni tal-ekosistema agrikola, 2.) analiżi tas-sistema agrarja u tal-biedja, 3.) analiżi rurali, 4.) analiżi tal-atturi. Il-metodoloġija tgħin sabiex tinbena sitwazzjoni kontrofattwali sabiex jiġu vvalutati kemm il-proċess kif ukoll l-effetti tal-innovazzjonijiet li jseħħu fl-oqsma tal-HNV. Eżempju tal-applikazzjoni ta’ din il-metodoloġija jista’ jinstab hawnhekk: </w:t>
                      </w:r>
                      <w:hyperlink r:id="rId100" w:history="1">
                        <w:r>
                          <w:rPr>
                            <w:rStyle w:val="Hyperlink"/>
                            <w:sz w:val="18"/>
                            <w:szCs w:val="18"/>
                          </w:rPr>
                          <w:t>http://www.hnvlink.eu/download/D1.3BAcomplete.pdf</w:t>
                        </w:r>
                      </w:hyperlink>
                    </w:p>
                  </w:txbxContent>
                </v:textbox>
                <w10:anchorlock/>
              </v:shape>
            </w:pict>
          </mc:Fallback>
        </mc:AlternateContent>
      </w:r>
    </w:p>
    <w:p w:rsidR="00A45935" w:rsidRPr="002B5B92" w:rsidRDefault="00A45935" w:rsidP="000026C6">
      <w:pPr>
        <w:pStyle w:val="Hlistbullet"/>
      </w:pPr>
      <w:r w:rsidRPr="002B5B92">
        <w:rPr>
          <w:b/>
        </w:rPr>
        <w:t>PASS 2 - Iġbor informazzjoni dwar il-prestazzjoni tal-PŻR kontra l-kriterji u l-indikaturi tal-ġudizzju</w:t>
      </w:r>
      <w:r w:rsidRPr="002B5B92">
        <w:t xml:space="preserve"> (kif propost fit-Tabella 9 tal-elementi tal-evalwazzjoni ta’ hawn fuq) għat-tliet submistoqsijiet relatati mal-punt safejn il-PŻR kellu impatt fuq it-tliet perkorsi. </w:t>
      </w:r>
    </w:p>
    <w:p w:rsidR="00A45935" w:rsidRPr="002B5B92" w:rsidRDefault="00037CA6" w:rsidP="000026C6">
      <w:pPr>
        <w:pStyle w:val="Hlistbullet2"/>
      </w:pPr>
      <w:r w:rsidRPr="002B5B92">
        <w:rPr>
          <w:noProof/>
          <w:lang w:val="en-GB" w:eastAsia="en-GB"/>
        </w:rPr>
        <w:lastRenderedPageBreak/>
        <mc:AlternateContent>
          <mc:Choice Requires="wps">
            <w:drawing>
              <wp:anchor distT="0" distB="0" distL="114300" distR="114300" simplePos="0" relativeHeight="251726848" behindDoc="0" locked="0" layoutInCell="1" allowOverlap="1" wp14:anchorId="32DEBB73" wp14:editId="25C9F927">
                <wp:simplePos x="0" y="0"/>
                <wp:positionH relativeFrom="column">
                  <wp:posOffset>351155</wp:posOffset>
                </wp:positionH>
                <wp:positionV relativeFrom="paragraph">
                  <wp:posOffset>1179830</wp:posOffset>
                </wp:positionV>
                <wp:extent cx="5414645" cy="2467610"/>
                <wp:effectExtent l="0" t="0" r="14605" b="27940"/>
                <wp:wrapSquare wrapText="bothSides"/>
                <wp:docPr id="562" name="Rectangle: Diagonal Corners Rounded 562"/>
                <wp:cNvGraphicFramePr/>
                <a:graphic xmlns:a="http://schemas.openxmlformats.org/drawingml/2006/main">
                  <a:graphicData uri="http://schemas.microsoft.com/office/word/2010/wordprocessingShape">
                    <wps:wsp>
                      <wps:cNvSpPr/>
                      <wps:spPr>
                        <a:xfrm>
                          <a:off x="0" y="0"/>
                          <a:ext cx="5414645" cy="2467610"/>
                        </a:xfrm>
                        <a:prstGeom prst="round2DiagRect">
                          <a:avLst>
                            <a:gd name="adj1" fmla="val 7843"/>
                            <a:gd name="adj2" fmla="val 0"/>
                          </a:avLst>
                        </a:prstGeom>
                        <a:noFill/>
                        <a:ln w="25400" cap="flat" cmpd="sng" algn="ctr">
                          <a:solidFill>
                            <a:srgbClr val="BE4A35"/>
                          </a:solidFill>
                          <a:prstDash val="solid"/>
                        </a:ln>
                        <a:effectLst/>
                      </wps:spPr>
                      <wps:txbx>
                        <w:txbxContent>
                          <w:p w:rsidR="005570DA" w:rsidRPr="003D7EC4" w:rsidRDefault="005570DA" w:rsidP="00E05D08">
                            <w:pPr>
                              <w:pStyle w:val="HStandard"/>
                              <w:rPr>
                                <w:rFonts w:cs="Arial"/>
                                <w:sz w:val="18"/>
                              </w:rPr>
                            </w:pPr>
                            <w:r>
                              <w:rPr>
                                <w:noProof/>
                                <w:lang w:val="en-GB" w:eastAsia="en-GB"/>
                              </w:rPr>
                              <w:drawing>
                                <wp:inline distT="0" distB="0" distL="0" distR="0" wp14:anchorId="49AD03B9" wp14:editId="0D74A268">
                                  <wp:extent cx="664845" cy="487680"/>
                                  <wp:effectExtent l="0" t="0" r="0" b="762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L-adozzjoni ta’ ideat, proċessi, mudelli u/jew teknoloġiji innovattivi introdotti mill-PŻR tista’ tiġi evalwata bl-użu ta’ </w:t>
                            </w:r>
                            <w:r>
                              <w:rPr>
                                <w:b/>
                              </w:rPr>
                              <w:t>stħarriġ</w:t>
                            </w:r>
                            <w:r>
                              <w:t xml:space="preserve"> li jkejjel il-livell u l-firxa tal-adozzjoni ta’ novitajiet u li jistabbilixxi s-sors tan-novità.</w:t>
                            </w:r>
                            <w:r>
                              <w:rPr>
                                <w:sz w:val="18"/>
                              </w:rPr>
                              <w:t xml:space="preserve"> L-istħarriġ għandu:</w:t>
                            </w:r>
                          </w:p>
                          <w:p w:rsidR="005570DA" w:rsidRPr="003D7EC4" w:rsidRDefault="005570DA" w:rsidP="008C0B17">
                            <w:pPr>
                              <w:pStyle w:val="HStandard"/>
                              <w:numPr>
                                <w:ilvl w:val="3"/>
                                <w:numId w:val="43"/>
                              </w:numPr>
                            </w:pPr>
                            <w:r>
                              <w:rPr>
                                <w:sz w:val="18"/>
                              </w:rPr>
                              <w:t>jinkludi lil dawk li adottaw in-novità, iżda wkoll lil dawk li ma adottawhiex u għandu jistinka sabiex: a) jifhem ir-raġunijiet għan-nuqqas ta’ adozzjoni u b) jidentifika jekk jeżistux modi alternattivi sabiex tiġi indirizzata l-kwistjoni li tindirizza n-novità;</w:t>
                            </w:r>
                          </w:p>
                          <w:p w:rsidR="005570DA" w:rsidRPr="000E5745" w:rsidRDefault="005570DA" w:rsidP="008C0B17">
                            <w:pPr>
                              <w:pStyle w:val="HStandard"/>
                              <w:numPr>
                                <w:ilvl w:val="3"/>
                                <w:numId w:val="43"/>
                              </w:numPr>
                            </w:pPr>
                            <w:r>
                              <w:t>ikun enumerat fost dawk li jadottaw u dawk li ma jadottawx idea ġdida, meta l-adozzjoni tkun magħrufa li seħħet, kif ukoll f’oqsma li ġew identifikati bħala promettenti matul il-valutazzjoni tal-potenzjal tal-innovazzjoni (ara</w:t>
                            </w:r>
                            <w:r>
                              <w:rPr>
                                <w:sz w:val="18"/>
                              </w:rPr>
                              <w:t xml:space="preserve"> </w:t>
                            </w:r>
                            <w:hyperlink w:anchor="Screening_Potential" w:history="1">
                              <w:r>
                                <w:rPr>
                                  <w:rStyle w:val="Hyperlink"/>
                                  <w:sz w:val="18"/>
                                </w:rPr>
                                <w:t>l-Kapitolu 2.2</w:t>
                              </w:r>
                            </w:hyperlink>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EBB73" id="Rectangle: Diagonal Corners Rounded 562" o:spid="_x0000_s1056" style="position:absolute;left:0;text-align:left;margin-left:27.65pt;margin-top:92.9pt;width:426.35pt;height:194.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4645,2467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" adj="-11796480,,5400" path="m193535,l5414645,r,l5414645,2274075v,106886,-86649,193535,-193535,193535l,2467610r,l,193535c,86649,86649,,193535,xe" filled="f" strokecolor="#be4a35" strokeweight="2pt">
                <v:stroke joinstyle="miter"/>
                <v:formulas/>
                <v:path arrowok="t" o:connecttype="custom" o:connectlocs="193535,0;5414645,0;5414645,0;5414645,2274075;5221110,2467610;0,2467610;0,2467610;0,193535;193535,0" o:connectangles="0,0,0,0,0,0,0,0,0" textboxrect="0,0,5414645,2467610"/>
                <v:textbox>
                  <w:txbxContent>
                    <w:p w:rsidR="005570DA" w:rsidRPr="003D7EC4" w:rsidRDefault="005570DA" w:rsidP="00E05D08">
                      <w:pPr>
                        <w:pStyle w:val="HStandard"/>
                        <w:rPr>
                          <w:rFonts w:cs="Arial"/>
                          <w:sz w:val="18"/>
                        </w:rPr>
                      </w:pPr>
                      <w:r>
                        <w:rPr>
                          <w:noProof/>
                          <w:lang w:val="en-GB" w:eastAsia="en-GB"/>
                        </w:rPr>
                        <w:drawing>
                          <wp:inline distT="0" distB="0" distL="0" distR="0" wp14:anchorId="49AD03B9" wp14:editId="0D74A268">
                            <wp:extent cx="664845" cy="487680"/>
                            <wp:effectExtent l="0" t="0" r="0" b="762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L-adozzjoni ta’ ideat, proċessi, mudelli u/jew teknoloġiji innovattivi introdotti mill-PŻR tista’ tiġi evalwata bl-użu ta’ </w:t>
                      </w:r>
                      <w:r>
                        <w:rPr>
                          <w:b/>
                        </w:rPr>
                        <w:t>stħarriġ</w:t>
                      </w:r>
                      <w:r>
                        <w:t xml:space="preserve"> li jkejjel il-livell u l-firxa tal-adozzjoni ta’ novitajiet u li jistabbilixxi s-sors tan-novità.</w:t>
                      </w:r>
                      <w:r>
                        <w:rPr>
                          <w:sz w:val="18"/>
                        </w:rPr>
                        <w:t xml:space="preserve"> L-istħarriġ għandu:</w:t>
                      </w:r>
                    </w:p>
                    <w:p w:rsidR="005570DA" w:rsidRPr="003D7EC4" w:rsidRDefault="005570DA" w:rsidP="008C0B17">
                      <w:pPr>
                        <w:pStyle w:val="HStandard"/>
                        <w:numPr>
                          <w:ilvl w:val="3"/>
                          <w:numId w:val="43"/>
                        </w:numPr>
                      </w:pPr>
                      <w:r>
                        <w:rPr>
                          <w:sz w:val="18"/>
                        </w:rPr>
                        <w:t>jinkludi lil dawk li adottaw in-novità, iżda wkoll lil dawk li ma adottawhiex u għandu jistinka sabiex: a) jifhem ir-raġunijiet għan-nuqqas ta’ adozzjoni u b) jidentifika jekk jeżistux modi alternattivi sabiex tiġi indirizzata l-kwistjoni li tindirizza n-novità;</w:t>
                      </w:r>
                    </w:p>
                    <w:p w:rsidR="005570DA" w:rsidRPr="000E5745" w:rsidRDefault="005570DA" w:rsidP="008C0B17">
                      <w:pPr>
                        <w:pStyle w:val="HStandard"/>
                        <w:numPr>
                          <w:ilvl w:val="3"/>
                          <w:numId w:val="43"/>
                        </w:numPr>
                      </w:pPr>
                      <w:r>
                        <w:t>ikun enumerat fost dawk li jadottaw u dawk li ma jadottawx idea ġdida, meta l-adozzjoni tkun magħrufa li seħħet, kif ukoll f’oqsma li ġew identifikati bħala promettenti matul il-valutazzjoni tal-potenzjal tal-innovazzjoni (ara</w:t>
                      </w:r>
                      <w:r>
                        <w:rPr>
                          <w:sz w:val="18"/>
                        </w:rPr>
                        <w:t xml:space="preserve"> </w:t>
                      </w:r>
                      <w:hyperlink w:anchor="Screening_Potential" w:history="1">
                        <w:r>
                          <w:rPr>
                            <w:rStyle w:val="Hyperlink"/>
                            <w:sz w:val="18"/>
                          </w:rPr>
                          <w:t>l-Kapitolu 2.2</w:t>
                        </w:r>
                      </w:hyperlink>
                      <w:r>
                        <w:rPr>
                          <w:sz w:val="18"/>
                        </w:rPr>
                        <w:t xml:space="preserve">). </w:t>
                      </w:r>
                    </w:p>
                  </w:txbxContent>
                </v:textbox>
                <w10:wrap type="square"/>
              </v:shape>
            </w:pict>
          </mc:Fallback>
        </mc:AlternateContent>
      </w:r>
      <w:r w:rsidRPr="002B5B92">
        <w:rPr>
          <w:b/>
        </w:rPr>
        <w:t>Il-perkors 1</w:t>
      </w:r>
      <w:r w:rsidRPr="002B5B92">
        <w:t xml:space="preserve"> għandu l-kriterju tal-ġudizzju “l-adozzjoni ta’ ideat, proċessi, mudelli u/jew teknoloġiji innovattivi introdotti mill-PŻR”. Dan jista’ jitkejjel b’indikaturi komuni u addizzjonali kif propost fit-Tabella 9. Għall-indikaturi komuni, id-data tista’ tinġabar permezz tal-bażi tad-data tal-operazzjonijiet. Għall-indikaturi addizzjonali, id-data u l-informazzjoni jistgħu jinġabru permezz ta’ stħarriġ organizzat u mmexxi mill-evalwatur (ara l-eżempju ta’ hawn taħt)</w:t>
      </w:r>
    </w:p>
    <w:p w:rsidR="00A45935" w:rsidRPr="002B5B92" w:rsidRDefault="00A45935" w:rsidP="000026C6">
      <w:pPr>
        <w:pStyle w:val="Hlistbullet2"/>
      </w:pPr>
      <w:r w:rsidRPr="002B5B92">
        <w:rPr>
          <w:b/>
        </w:rPr>
        <w:t xml:space="preserve">Il-perkors 2 </w:t>
      </w:r>
      <w:r w:rsidRPr="002B5B92">
        <w:t xml:space="preserve">għandu tliet kriterji ta’ ġudizzju, li huma akkumpanjati b’indikaturi tar-riżultat: </w:t>
      </w:r>
    </w:p>
    <w:p w:rsidR="00A45935" w:rsidRPr="002B5B92" w:rsidRDefault="00A45935" w:rsidP="000026C6">
      <w:pPr>
        <w:numPr>
          <w:ilvl w:val="3"/>
          <w:numId w:val="44"/>
        </w:numPr>
        <w:spacing w:before="60" w:after="120" w:line="280" w:lineRule="atLeast"/>
        <w:ind w:left="1701" w:hanging="567"/>
        <w:rPr>
          <w:rFonts w:eastAsia="Times New Roman" w:cs="Arial"/>
          <w:szCs w:val="20"/>
        </w:rPr>
      </w:pPr>
      <w:r w:rsidRPr="002B5B92">
        <w:t xml:space="preserve">L-ewwel wieħed huwa aktar kollaborazzjoni u kondiviżjoni bejn l-atturi involuti sabiex iġibu l-bidla li għaliha kkontribwixxa l-PŻR. Dan jinvolvi l-identifikazzjoni ta’ ftehimiet fost l-imsieħba li l-PŻR għamel senserija bl-għajnuna tal-indikaturi addizzjonali tar-riżultat: “In-numru ta’ sħubiji formali intermedjati mill-PŻR bħala marbuta mal-bidliet fi ħdan il-prijoritajiet tal-iżvilupp rurali li għalihom ikkontribwixxa l-PŻR” u “% taż-żieda fin-numru u t-tipi ta’ msieħba involuti fi proġetti ta’ kooperazzjoni” (ara d-Dokument ta’ Ħidma </w:t>
      </w:r>
      <w:hyperlink r:id="rId101" w:history="1">
        <w:r w:rsidRPr="002B5B92">
          <w:rPr>
            <w:color w:val="F07E31"/>
            <w:szCs w:val="20"/>
            <w:u w:val="single"/>
          </w:rPr>
          <w:t>Is-CEQs għall-PŻR 2014-2020</w:t>
        </w:r>
      </w:hyperlink>
      <w:r w:rsidRPr="002B5B92">
        <w:t xml:space="preserve">). Id-data u l-informazzjoni għall-ewwel indikatur addizzjonali jistgħu jinġabru minn evalwaturi matul l-evalwazzjoni permezz ta’ intervisti u gruppi fokus mal-imsieħba involuti fi sħubiji stabbiliti. Għat-tieni indikatur addizzjonali, id-data tista’ tinġabar direttament mill-bażi tad-data tal-operazzjonijiet. </w:t>
      </w:r>
    </w:p>
    <w:p w:rsidR="00A45935" w:rsidRPr="002B5B92" w:rsidRDefault="00A45935" w:rsidP="000026C6">
      <w:pPr>
        <w:numPr>
          <w:ilvl w:val="3"/>
          <w:numId w:val="44"/>
        </w:numPr>
        <w:spacing w:before="60" w:after="120" w:line="280" w:lineRule="atLeast"/>
        <w:ind w:left="1701" w:hanging="567"/>
        <w:rPr>
          <w:rFonts w:eastAsia="Times New Roman" w:cs="Arial"/>
          <w:szCs w:val="20"/>
        </w:rPr>
      </w:pPr>
      <w:r w:rsidRPr="002B5B92">
        <w:t>It-tieni wieħed jirrigwardja l-kontribut tal-PŻR għal aktar tagħlim, riflessjoni u kondiviżjoni. Dan jinvolvi l-identifikazzjoni ta’ pjattaformi (eż. komunità ta’ prattika), gruppi u forom oħrajn ta’ “spazju” istituzzjonali (eż. analiżijiet wara l-azzjonijiet), kemm virtwali kif ukoll wiċċ imb’wiċċ, li jippermettu lill-parteċipanti fil-proċess tal-innovazzjoni jaqsmu l-esperjenzi tagħhom, jirriflettu fuq it-tifsira u l-valur tagħhom u jitgħallmu u jieħdu azzjonijiet sussegwenti. L-indikatur tar-riżultat addizzjonali: “In-numru u l-kwalità ta’ pjattaformi u “spazji” li jappoġġaw l-innovazzjoni u li ġew stabbiliti jew imsaħħa mill-PŻR”, huwa propost li jintuża sabiex jitkejjel is-suċċess kif speċifikat b’dan il-kriterju tal-ġudizzju.</w:t>
      </w:r>
      <w:r w:rsidRPr="002B5B92">
        <w:rPr>
          <w:i/>
          <w:sz w:val="18"/>
          <w:szCs w:val="16"/>
        </w:rPr>
        <w:t xml:space="preserve"> </w:t>
      </w:r>
      <w:r w:rsidRPr="002B5B92">
        <w:t xml:space="preserve">L-informazzjoni kwantitattiva u kwalitattiva għandha tinġabar mill-evalwaturi matul l-evalwazzjoni (eż. bl-użu ta’ intervisti tal-gruppi fokus mal-parteċipanti tal-pjattaformi/spazji msemmija hawn fuq). </w:t>
      </w:r>
    </w:p>
    <w:p w:rsidR="00A45935" w:rsidRPr="002B5B92" w:rsidRDefault="003B44A9" w:rsidP="000026C6">
      <w:pPr>
        <w:numPr>
          <w:ilvl w:val="3"/>
          <w:numId w:val="44"/>
        </w:numPr>
        <w:spacing w:before="60" w:after="120" w:line="280" w:lineRule="atLeast"/>
        <w:ind w:left="1701" w:hanging="567"/>
        <w:rPr>
          <w:rFonts w:eastAsia="Times New Roman" w:cs="Arial"/>
          <w:szCs w:val="20"/>
        </w:rPr>
      </w:pPr>
      <w:r w:rsidRPr="002B5B92">
        <w:rPr>
          <w:rFonts w:eastAsia="Times New Roman" w:cs="Times New Roman"/>
          <w:noProof/>
          <w:szCs w:val="20"/>
          <w:lang w:val="en-GB" w:eastAsia="en-GB"/>
        </w:rPr>
        <w:lastRenderedPageBreak/>
        <mc:AlternateContent>
          <mc:Choice Requires="wps">
            <w:drawing>
              <wp:anchor distT="0" distB="0" distL="114300" distR="114300" simplePos="0" relativeHeight="251727872" behindDoc="0" locked="0" layoutInCell="1" allowOverlap="1" wp14:anchorId="069DCDF4" wp14:editId="6EF2B22D">
                <wp:simplePos x="0" y="0"/>
                <wp:positionH relativeFrom="column">
                  <wp:posOffset>3322651</wp:posOffset>
                </wp:positionH>
                <wp:positionV relativeFrom="paragraph">
                  <wp:posOffset>1188085</wp:posOffset>
                </wp:positionV>
                <wp:extent cx="2360930" cy="2011680"/>
                <wp:effectExtent l="0" t="0" r="20320" b="26670"/>
                <wp:wrapSquare wrapText="bothSides"/>
                <wp:docPr id="564" name="Rectangle: Diagonal Corners Rounded 564"/>
                <wp:cNvGraphicFramePr/>
                <a:graphic xmlns:a="http://schemas.openxmlformats.org/drawingml/2006/main">
                  <a:graphicData uri="http://schemas.microsoft.com/office/word/2010/wordprocessingShape">
                    <wps:wsp>
                      <wps:cNvSpPr/>
                      <wps:spPr>
                        <a:xfrm>
                          <a:off x="0" y="0"/>
                          <a:ext cx="2360930" cy="2011680"/>
                        </a:xfrm>
                        <a:prstGeom prst="round2DiagRect">
                          <a:avLst>
                            <a:gd name="adj1" fmla="val 7843"/>
                            <a:gd name="adj2" fmla="val 0"/>
                          </a:avLst>
                        </a:prstGeom>
                        <a:noFill/>
                        <a:ln w="25400" cap="flat" cmpd="sng" algn="ctr">
                          <a:solidFill>
                            <a:srgbClr val="BE4A35"/>
                          </a:solidFill>
                          <a:prstDash val="solid"/>
                        </a:ln>
                        <a:effectLst/>
                      </wps:spPr>
                      <wps:txbx>
                        <w:txbxContent>
                          <w:p w:rsidR="005570DA" w:rsidRPr="000E5745" w:rsidRDefault="005570DA" w:rsidP="00E05D08">
                            <w:pPr>
                              <w:pStyle w:val="HStandard"/>
                            </w:pPr>
                            <w:r>
                              <w:rPr>
                                <w:noProof/>
                                <w:lang w:val="en-GB" w:eastAsia="en-GB"/>
                              </w:rPr>
                              <w:drawing>
                                <wp:inline distT="0" distB="0" distL="0" distR="0" wp14:anchorId="49ED9987" wp14:editId="3B27B1AD">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rPr>
                              <w:t>Il-ġbir tal-eżiti</w:t>
                            </w:r>
                            <w:r>
                              <w:rPr>
                                <w:color w:val="BE4A35"/>
                              </w:rPr>
                              <w:t xml:space="preserve"> </w:t>
                            </w:r>
                            <w:r>
                              <w:rPr>
                                <w:sz w:val="18"/>
                              </w:rPr>
                              <w:t>huwa metodu li jitlob lill-aġenti tal-bidla tal-PŻR (dawk involuti fl-impenn tal-politika tal-PŻR) biex jidentifikaw il-bidliet ta’ politika li għalihom ikkontribwixxa l-PŻR u mbagħad jitlob lin-nies infurmati iżda indipendenti sabiex jivvalidaw dawn it-talbiet.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DCDF4" id="Rectangle: Diagonal Corners Rounded 564" o:spid="_x0000_s1057" style="position:absolute;left:0;text-align:left;margin-left:261.65pt;margin-top:93.55pt;width:185.9pt;height:15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0930,201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" adj="-11796480,,5400" path="m157776,l2360930,r,l2360930,1853904v,87137,-70639,157776,-157776,157776l,2011680r,l,157776c,70639,70639,,157776,xe" filled="f" strokecolor="#be4a35" strokeweight="2pt">
                <v:stroke joinstyle="miter"/>
                <v:formulas/>
                <v:path arrowok="t" o:connecttype="custom" o:connectlocs="157776,0;2360930,0;2360930,0;2360930,1853904;2203154,2011680;0,2011680;0,2011680;0,157776;157776,0" o:connectangles="0,0,0,0,0,0,0,0,0" textboxrect="0,0,2360930,2011680"/>
                <v:textbox>
                  <w:txbxContent>
                    <w:p w:rsidR="005570DA" w:rsidRPr="000E5745" w:rsidRDefault="005570DA" w:rsidP="00E05D08">
                      <w:pPr>
                        <w:pStyle w:val="HStandard"/>
                      </w:pPr>
                      <w:r>
                        <w:rPr>
                          <w:noProof/>
                          <w:lang w:val="en-GB" w:eastAsia="en-GB"/>
                        </w:rPr>
                        <w:drawing>
                          <wp:inline distT="0" distB="0" distL="0" distR="0" wp14:anchorId="49ED9987" wp14:editId="3B27B1AD">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rPr>
                        <w:t>Il-ġbir tal-eżiti</w:t>
                      </w:r>
                      <w:r>
                        <w:rPr>
                          <w:color w:val="BE4A35"/>
                        </w:rPr>
                        <w:t xml:space="preserve"> </w:t>
                      </w:r>
                      <w:r>
                        <w:rPr>
                          <w:sz w:val="18"/>
                        </w:rPr>
                        <w:t>huwa metodu li jitlob lill-aġenti tal-bidla tal-PŻR (dawk involuti fl-impenn tal-politika tal-PŻR) biex jidentifikaw il-bidliet ta’ politika li għalihom ikkontribwixxa l-PŻR u mbagħad jitlob lin-nies infurmati iżda indipendenti sabiex jivvalidaw dawn it-talbiet.</w:t>
                      </w:r>
                    </w:p>
                  </w:txbxContent>
                </v:textbox>
                <w10:wrap type="square"/>
              </v:shape>
            </w:pict>
          </mc:Fallback>
        </mc:AlternateContent>
      </w:r>
      <w:r w:rsidRPr="002B5B92">
        <w:t>It-tielet wieħed jirrigwardja t-titjib fil-fluss ta’ informazzjoni u d-diversità tat-tipi ta’ organizzazzjoni fis-sistema tal-innovazzjoni li fiha seħħet il-bidla. L-evidenza tista’ tinġabar bl-indikatur tar-riżultat addizzjonali. “Tnaqqis fit-tul medju tal-linja tan-netwerk u fid-diversità tan-netwerk”. Dan jista’ jitkejjel mill-Analiżi tan-Netwerk Soċjali (SNA) li għandha titmexxa mill-evalwatur fil-ħin tal-evalwazzjoni.</w:t>
      </w:r>
      <w:r w:rsidRPr="002B5B92">
        <w:rPr>
          <w:b/>
          <w:i/>
          <w:color w:val="BE4A35"/>
          <w:szCs w:val="20"/>
        </w:rPr>
        <w:t xml:space="preserve"> </w:t>
      </w:r>
      <w:r w:rsidRPr="002B5B92">
        <w:rPr>
          <w:b/>
          <w:i/>
          <w:color w:val="BE4A35"/>
        </w:rPr>
        <w:t>L-Analiżi tan-Netwerk Soċjali</w:t>
      </w:r>
      <w:r w:rsidRPr="002B5B92">
        <w:rPr>
          <w:rFonts w:eastAsia="Calibri" w:cs="Times New Roman"/>
          <w:szCs w:val="20"/>
          <w:vertAlign w:val="superscript"/>
        </w:rPr>
        <w:footnoteReference w:id="77"/>
      </w:r>
      <w:r w:rsidRPr="002B5B92">
        <w:t xml:space="preserve"> hija l-metodu li għandu jintuża sabiex tinġabar l-evidenza għall-indikaturi relatati f’żewġ punti ta’ żmien, billi jiġu kkalkolati l-bidliet fit-tul medju tal-linja u n-numri ta’ tipi differenti ta’ atturi involuti. Imbagħad, il-bidliet għandhom jiġu relatati lura mal-intervent tal-PŻR permezz ta’ </w:t>
      </w:r>
      <w:r w:rsidRPr="002B5B92">
        <w:rPr>
          <w:b/>
          <w:i/>
        </w:rPr>
        <w:t>intervisti</w:t>
      </w:r>
      <w:r w:rsidRPr="002B5B92">
        <w:t xml:space="preserve"> informanti ewlenin ta’ persuni infurmati iżda indipendenti li jistgħu jivverifikaw jew inaqqsu t-talbiet kawżali. Idealment, il-linja bażi kienet tkun stabbilita bħala parti mill-istima tal-potenzjal tal-innovazzjoni fil-bidu tal-PŻR.</w:t>
      </w:r>
    </w:p>
    <w:p w:rsidR="00A45935" w:rsidRPr="002B5B92" w:rsidRDefault="00A45935" w:rsidP="00A847F8">
      <w:pPr>
        <w:pStyle w:val="Hlistbullet2"/>
      </w:pPr>
      <w:r w:rsidRPr="002B5B92">
        <w:rPr>
          <w:b/>
        </w:rPr>
        <w:t>Il-perkors 3</w:t>
      </w:r>
      <w:r w:rsidRPr="002B5B92">
        <w:t xml:space="preserve"> għandu bosta kriterji ta’ ġudizzju marbuta ma’ diversi tipi ta’ ambjenti favorevoli kif deskritti fil-Kapitolu 1.1:</w:t>
      </w:r>
    </w:p>
    <w:p w:rsidR="00A45935" w:rsidRPr="002B5B92" w:rsidRDefault="00A45935" w:rsidP="00A847F8">
      <w:pPr>
        <w:numPr>
          <w:ilvl w:val="0"/>
          <w:numId w:val="48"/>
        </w:numPr>
        <w:spacing w:before="240" w:after="120" w:line="280" w:lineRule="atLeast"/>
        <w:ind w:left="1701" w:hanging="567"/>
        <w:rPr>
          <w:rFonts w:eastAsia="Times New Roman" w:cs="Arial"/>
          <w:szCs w:val="20"/>
        </w:rPr>
      </w:pPr>
      <w:r w:rsidRPr="002B5B92">
        <w:t>L-ewwel wieħed jirrigwardja l-punt safejn il-PŻR informa l-politiki li appoġġaw il-bidla li għaliha kkontribwixxa l-PŻR. Dan jirrikjedi li jiġu identifikati l-politiki li l-PŻR jista’ jsostni li influwenza, segwit minn proċess ta’ evidenza sabiex tiġi stabbilita l-leġittimità ta’ dawn it-talbiet. L-evidenza tista’ tinġabar bl-indikatur tar-riżultat addizzjonali “in-numru u t-tip ta’ politiki li influwenza l-PŻR fil-livell tal-organizzazzjonijiet parteċipanti u l-ambjent favorevoli usa’” matul l-evalwazzjoni. Il-ġbir tal-eżiti</w:t>
      </w:r>
      <w:r w:rsidRPr="002B5B92">
        <w:rPr>
          <w:rFonts w:eastAsia="Times New Roman" w:cs="Arial"/>
          <w:szCs w:val="20"/>
          <w:vertAlign w:val="superscript"/>
          <w:lang w:eastAsia="de-DE"/>
        </w:rPr>
        <w:footnoteReference w:id="78"/>
      </w:r>
      <w:r w:rsidRPr="002B5B92">
        <w:t xml:space="preserve"> huwa approċċ imqabbel tajjeb għall-evalwazzjoni tal-impenn tal-politika tal-PŻR. </w:t>
      </w:r>
    </w:p>
    <w:p w:rsidR="00A45935" w:rsidRPr="002B5B92" w:rsidRDefault="00A45935" w:rsidP="00A847F8">
      <w:pPr>
        <w:numPr>
          <w:ilvl w:val="0"/>
          <w:numId w:val="48"/>
        </w:numPr>
        <w:spacing w:before="240" w:after="120" w:line="280" w:lineRule="atLeast"/>
        <w:ind w:left="1701" w:hanging="567"/>
        <w:rPr>
          <w:rFonts w:eastAsia="Times New Roman" w:cs="Arial"/>
          <w:szCs w:val="20"/>
        </w:rPr>
      </w:pPr>
      <w:r w:rsidRPr="002B5B92">
        <w:t>It-tieni kriterju tal-ġudizzju jirrigwardja l-opportunitajiet għat-taħriġ u l-iskambju ta’ prattiki innovattivi kif appoġġati mill-PŻR. L-indikatur tar-riżultat addizzjonali propost sabiex tinġabar l-evidenza huwa “in-numru ta’ sessjonijiet ta’ taħriġ u avvenimenti organizzati għall-iskambju ta’ prattiki innovattivi u s-sehem tagħhom fuq in-numru totali ta’ sessjonijiet ta’ taħriġ/avvenimenti appoġġati mill-PŻR”. Id-data għall-indikatur tista’ tinġabar permezz tal-bażi tad-data tal-operazzjonijiet wara li l-informazzjoni dwar l-attivitajiet u l-avvenimenti ta’ taħriġ tintrabat mal-innovazzjoni.</w:t>
      </w:r>
    </w:p>
    <w:p w:rsidR="00A45935" w:rsidRPr="002B5B92" w:rsidRDefault="00A45935" w:rsidP="00A847F8">
      <w:pPr>
        <w:numPr>
          <w:ilvl w:val="0"/>
          <w:numId w:val="48"/>
        </w:numPr>
        <w:spacing w:before="60" w:after="120" w:line="280" w:lineRule="atLeast"/>
        <w:ind w:left="1701" w:hanging="567"/>
        <w:rPr>
          <w:rFonts w:eastAsia="Times New Roman" w:cs="Arial"/>
          <w:szCs w:val="20"/>
        </w:rPr>
      </w:pPr>
      <w:r w:rsidRPr="002B5B92">
        <w:t xml:space="preserve">It-tielet kriterju tal-ġudizzju huwa marbut mal-interazzjonijiet favorevoli bejn l-atturi tal-innovazzjoni. Sabiex jitkejjel is-suċċess marbut ma’ dan il-kriterju tal-ġudizzju, huwa rrakkomandat li jintuża l-indikatur tar-riżultat addizzjonali: “in-numru ta’ avvenimenti organizzati ffokati fuq l-istabbiliment ta’ kuntatti bejn atturi tal-innovazzjoni appoġġati mill-PŻR”. Id-data għal dan l-indikatur tista’ tinġabar permezz tal-bażi tad-data tal-operazzjonijiet (eż. billi mal-monitoraġġ tal-avvenimenti tiżdied informazzjoni dwar l-atturi tal-innovazzjoni appoġġati mill-PŻR). </w:t>
      </w:r>
    </w:p>
    <w:p w:rsidR="001275FF" w:rsidRPr="002B5B92" w:rsidRDefault="00A45935" w:rsidP="00A847F8">
      <w:pPr>
        <w:numPr>
          <w:ilvl w:val="0"/>
          <w:numId w:val="48"/>
        </w:numPr>
        <w:spacing w:before="60" w:after="120" w:line="280" w:lineRule="atLeast"/>
        <w:ind w:left="1701" w:hanging="567"/>
        <w:rPr>
          <w:rFonts w:eastAsia="Calibri" w:cs="Arial"/>
          <w:szCs w:val="20"/>
        </w:rPr>
      </w:pPr>
      <w:r w:rsidRPr="002B5B92">
        <w:lastRenderedPageBreak/>
        <w:t xml:space="preserve">Ir-raba’ kriterju tal-ġudizzju jirrigwardja l-PŻR bħala kreatur ta’ ambjent favorevoli għall-introduzzjoni ta’ teknoloġiji ġodda. Dan jista’ jitkejjel bl-indikatur tar-riżultat addizzjonali “in-numru ta’ teknoloġiji ġodda f’żoni rurali appoġġati mill-PŻR maqsuma skont it-tip”. L-informazzjoni meħtieġa għal dan l-indikatur tista’ tinġabar mill-bażi tad-data tal-operazzjonijiet, jekk tkun adatta kif xieraq. </w:t>
      </w:r>
    </w:p>
    <w:p w:rsidR="00A45935" w:rsidRPr="002B5B92" w:rsidRDefault="00A847F8" w:rsidP="00A847F8">
      <w:pPr>
        <w:pStyle w:val="Hlistbullet"/>
        <w:rPr>
          <w:color w:val="FFFFFF" w:themeColor="background1"/>
        </w:rPr>
      </w:pPr>
      <w:r w:rsidRPr="002B5B92">
        <w:rPr>
          <w:b/>
          <w:noProof/>
          <w:lang w:val="en-GB" w:eastAsia="en-GB"/>
        </w:rPr>
        <mc:AlternateContent>
          <mc:Choice Requires="wps">
            <w:drawing>
              <wp:anchor distT="0" distB="0" distL="114300" distR="114300" simplePos="0" relativeHeight="251693056" behindDoc="0" locked="0" layoutInCell="1" allowOverlap="1" wp14:anchorId="29B4F607" wp14:editId="1E4F406A">
                <wp:simplePos x="0" y="0"/>
                <wp:positionH relativeFrom="column">
                  <wp:posOffset>40640</wp:posOffset>
                </wp:positionH>
                <wp:positionV relativeFrom="paragraph">
                  <wp:posOffset>1896745</wp:posOffset>
                </wp:positionV>
                <wp:extent cx="5670550" cy="2631440"/>
                <wp:effectExtent l="0" t="0" r="25400" b="16510"/>
                <wp:wrapSquare wrapText="bothSides"/>
                <wp:docPr id="566" name="Rectangle: Diagonal Corners Rounded 566"/>
                <wp:cNvGraphicFramePr/>
                <a:graphic xmlns:a="http://schemas.openxmlformats.org/drawingml/2006/main">
                  <a:graphicData uri="http://schemas.microsoft.com/office/word/2010/wordprocessingShape">
                    <wps:wsp>
                      <wps:cNvSpPr/>
                      <wps:spPr>
                        <a:xfrm>
                          <a:off x="0" y="0"/>
                          <a:ext cx="5670550" cy="2631440"/>
                        </a:xfrm>
                        <a:prstGeom prst="round2DiagRect">
                          <a:avLst>
                            <a:gd name="adj1" fmla="val 7843"/>
                            <a:gd name="adj2" fmla="val 0"/>
                          </a:avLst>
                        </a:prstGeom>
                        <a:noFill/>
                        <a:ln w="25400" cap="flat" cmpd="sng" algn="ctr">
                          <a:solidFill>
                            <a:srgbClr val="BE4A35"/>
                          </a:solidFill>
                          <a:prstDash val="solid"/>
                        </a:ln>
                        <a:effectLst/>
                      </wps:spPr>
                      <wps:txbx>
                        <w:txbxContent>
                          <w:p w:rsidR="005570DA" w:rsidRPr="00EF653F" w:rsidRDefault="005570DA" w:rsidP="00E05D08">
                            <w:pPr>
                              <w:pStyle w:val="HStandard"/>
                              <w:rPr>
                                <w:rFonts w:cs="Arial"/>
                                <w:b/>
                                <w:sz w:val="18"/>
                                <w:szCs w:val="18"/>
                              </w:rPr>
                            </w:pPr>
                            <w:r>
                              <w:rPr>
                                <w:noProof/>
                                <w:lang w:val="en-GB" w:eastAsia="en-GB"/>
                              </w:rPr>
                              <w:drawing>
                                <wp:inline distT="0" distB="0" distL="0" distR="0" wp14:anchorId="38AC14AD" wp14:editId="3CA2048B">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Tekniki għall-iżvilupp tan-narrattiva u l-klassifikazzjoni tar-riżultati</w:t>
                            </w:r>
                          </w:p>
                          <w:p w:rsidR="005570DA" w:rsidRPr="00EF653F" w:rsidRDefault="005570DA" w:rsidP="00E05D08">
                            <w:pPr>
                              <w:pStyle w:val="HStandard"/>
                              <w:rPr>
                                <w:rFonts w:cs="Arial"/>
                                <w:sz w:val="18"/>
                                <w:szCs w:val="18"/>
                              </w:rPr>
                            </w:pPr>
                            <w:r>
                              <w:rPr>
                                <w:sz w:val="18"/>
                                <w:szCs w:val="18"/>
                              </w:rPr>
                              <w:t xml:space="preserve">Fl-iżvilupp tan-narrattiva, l-evalwatur jista’ juża diversi </w:t>
                            </w:r>
                            <w:r>
                              <w:rPr>
                                <w:b/>
                                <w:sz w:val="18"/>
                                <w:szCs w:val="18"/>
                              </w:rPr>
                              <w:t>tekniki sabiex jagħmel it-triangolazzjoni u jissostanzja l-każ</w:t>
                            </w:r>
                            <w:r>
                              <w:rPr>
                                <w:sz w:val="18"/>
                                <w:szCs w:val="18"/>
                              </w:rPr>
                              <w:t>.</w:t>
                            </w:r>
                            <w:r>
                              <w:rPr>
                                <w:b/>
                                <w:sz w:val="18"/>
                                <w:szCs w:val="18"/>
                              </w:rPr>
                              <w:t xml:space="preserve"> </w:t>
                            </w:r>
                            <w:r>
                              <w:rPr>
                                <w:sz w:val="18"/>
                                <w:szCs w:val="18"/>
                              </w:rPr>
                              <w:t>Dawn it-tekniki jinkludu: analiżi tal-kontribuzzjoni li fiha l-evalwatur jidentifika pakkett kawżali meħtieġ u suffiċjenti biex jispjega l-bidla</w:t>
                            </w:r>
                            <w:r>
                              <w:rPr>
                                <w:sz w:val="18"/>
                                <w:szCs w:val="18"/>
                                <w:vertAlign w:val="superscript"/>
                              </w:rPr>
                              <w:t>82</w:t>
                            </w:r>
                            <w:r>
                              <w:rPr>
                                <w:sz w:val="18"/>
                                <w:szCs w:val="18"/>
                              </w:rPr>
                              <w:t>; l-istabbiliment u t-tnaqqis ta’ spjegazzjonijiet kawżali alternattivi</w:t>
                            </w:r>
                            <w:r>
                              <w:rPr>
                                <w:sz w:val="18"/>
                                <w:szCs w:val="18"/>
                                <w:vertAlign w:val="superscript"/>
                              </w:rPr>
                              <w:t>83</w:t>
                            </w:r>
                            <w:r>
                              <w:rPr>
                                <w:sz w:val="18"/>
                                <w:szCs w:val="18"/>
                              </w:rPr>
                              <w:t xml:space="preserve"> u/jew l-identifikazzjoni u l-issostanzjar ta’ partijiet kruċjali tal-katina ta’ evidenza kkompilata sabiex tiddefendi l-ħtieġa għall-kontribut tal-PŻR</w:t>
                            </w:r>
                            <w:r>
                              <w:rPr>
                                <w:sz w:val="18"/>
                                <w:szCs w:val="18"/>
                                <w:vertAlign w:val="superscript"/>
                              </w:rPr>
                              <w:t>84</w:t>
                            </w:r>
                            <w:r>
                              <w:rPr>
                                <w:sz w:val="18"/>
                                <w:szCs w:val="18"/>
                              </w:rPr>
                              <w:t>.</w:t>
                            </w:r>
                          </w:p>
                          <w:p w:rsidR="005570DA" w:rsidRPr="000E5745" w:rsidRDefault="005570DA" w:rsidP="00E05D08">
                            <w:pPr>
                              <w:pStyle w:val="HStandard"/>
                            </w:pPr>
                            <w:r>
                              <w:rPr>
                                <w:sz w:val="18"/>
                                <w:szCs w:val="18"/>
                              </w:rPr>
                              <w:t>Il-firxa tal-kontribut tal-PŻR għandha tiġi ġġudikata fuq skala Likert</w:t>
                            </w:r>
                            <w:r>
                              <w:rPr>
                                <w:sz w:val="18"/>
                                <w:szCs w:val="18"/>
                                <w:vertAlign w:val="superscript"/>
                              </w:rPr>
                              <w:t>85</w:t>
                            </w:r>
                            <w:r>
                              <w:rPr>
                                <w:sz w:val="18"/>
                                <w:szCs w:val="18"/>
                              </w:rPr>
                              <w:t xml:space="preserve"> bħal Xejn, Ftit, Kemmxejn, Fattur Kontributorju Kbir, Fattur Kontributorju Biss. L-evalwatur għandu jikklassifika wkoll il-livell ta’ fiduċja li huwa għandu fis-sejbiet fuq skala simili ta’ ħames punti. Il-klassifikazzjoni mogħtija għandha tiġi ġġustifikata.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4F607" id="Rectangle: Diagonal Corners Rounded 566" o:spid="_x0000_s1058" style="position:absolute;left:0;text-align:left;margin-left:3.2pt;margin-top:149.35pt;width:446.5pt;height:207.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0550,2631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" adj="-11796480,,5400" path="m206384,l5670550,r,l5670550,2425056v,113983,-92401,206384,-206384,206384l,2631440r,l,206384c,92401,92401,,206384,xe" filled="f" strokecolor="#be4a35" strokeweight="2pt">
                <v:stroke joinstyle="miter"/>
                <v:formulas/>
                <v:path arrowok="t" o:connecttype="custom" o:connectlocs="206384,0;5670550,0;5670550,0;5670550,2425056;5464166,2631440;0,2631440;0,2631440;0,206384;206384,0" o:connectangles="0,0,0,0,0,0,0,0,0" textboxrect="0,0,5670550,2631440"/>
                <v:textbox>
                  <w:txbxContent>
                    <w:p w:rsidR="005570DA" w:rsidRPr="00EF653F" w:rsidRDefault="005570DA" w:rsidP="00E05D08">
                      <w:pPr>
                        <w:pStyle w:val="HStandard"/>
                        <w:rPr>
                          <w:rFonts w:cs="Arial"/>
                          <w:b/>
                          <w:sz w:val="18"/>
                          <w:szCs w:val="18"/>
                        </w:rPr>
                      </w:pPr>
                      <w:r>
                        <w:rPr>
                          <w:noProof/>
                          <w:lang w:val="en-GB" w:eastAsia="en-GB"/>
                        </w:rPr>
                        <w:drawing>
                          <wp:inline distT="0" distB="0" distL="0" distR="0" wp14:anchorId="38AC14AD" wp14:editId="3CA2048B">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Tekniki għall-iżvilupp tan-narrattiva u l-klassifikazzjoni tar-riżultati</w:t>
                      </w:r>
                    </w:p>
                    <w:p w:rsidR="005570DA" w:rsidRPr="00EF653F" w:rsidRDefault="005570DA" w:rsidP="00E05D08">
                      <w:pPr>
                        <w:pStyle w:val="HStandard"/>
                        <w:rPr>
                          <w:rFonts w:cs="Arial"/>
                          <w:sz w:val="18"/>
                          <w:szCs w:val="18"/>
                        </w:rPr>
                      </w:pPr>
                      <w:r>
                        <w:rPr>
                          <w:sz w:val="18"/>
                          <w:szCs w:val="18"/>
                        </w:rPr>
                        <w:t xml:space="preserve">Fl-iżvilupp tan-narrattiva, l-evalwatur jista’ juża diversi </w:t>
                      </w:r>
                      <w:r>
                        <w:rPr>
                          <w:b/>
                          <w:sz w:val="18"/>
                          <w:szCs w:val="18"/>
                        </w:rPr>
                        <w:t>tekniki sabiex jagħmel it-triangolazzjoni u jissostanzja l-każ</w:t>
                      </w:r>
                      <w:r>
                        <w:rPr>
                          <w:sz w:val="18"/>
                          <w:szCs w:val="18"/>
                        </w:rPr>
                        <w:t>.</w:t>
                      </w:r>
                      <w:r>
                        <w:rPr>
                          <w:b/>
                          <w:sz w:val="18"/>
                          <w:szCs w:val="18"/>
                        </w:rPr>
                        <w:t xml:space="preserve"> </w:t>
                      </w:r>
                      <w:r>
                        <w:rPr>
                          <w:sz w:val="18"/>
                          <w:szCs w:val="18"/>
                        </w:rPr>
                        <w:t>Dawn it-tekniki jinkludu: analiżi tal-kontribuzzjoni li fiha l-evalwatur jidentifika pakkett kawżali meħtieġ u suffiċjenti biex jispjega l-bidla</w:t>
                      </w:r>
                      <w:r>
                        <w:rPr>
                          <w:sz w:val="18"/>
                          <w:szCs w:val="18"/>
                          <w:vertAlign w:val="superscript"/>
                        </w:rPr>
                        <w:t>82</w:t>
                      </w:r>
                      <w:r>
                        <w:rPr>
                          <w:sz w:val="18"/>
                          <w:szCs w:val="18"/>
                        </w:rPr>
                        <w:t>; l-istabbiliment u t-tnaqqis ta’ spjegazzjonijiet kawżali alternattivi</w:t>
                      </w:r>
                      <w:r>
                        <w:rPr>
                          <w:sz w:val="18"/>
                          <w:szCs w:val="18"/>
                          <w:vertAlign w:val="superscript"/>
                        </w:rPr>
                        <w:t>83</w:t>
                      </w:r>
                      <w:r>
                        <w:rPr>
                          <w:sz w:val="18"/>
                          <w:szCs w:val="18"/>
                        </w:rPr>
                        <w:t xml:space="preserve"> u/jew l-identifikazzjoni u l-issostanzjar ta’ partijiet kruċjali tal-katina ta’ evidenza kkompilata sabiex tiddefendi l-ħtieġa għall-kontribut tal-PŻR</w:t>
                      </w:r>
                      <w:r>
                        <w:rPr>
                          <w:sz w:val="18"/>
                          <w:szCs w:val="18"/>
                          <w:vertAlign w:val="superscript"/>
                        </w:rPr>
                        <w:t>84</w:t>
                      </w:r>
                      <w:r>
                        <w:rPr>
                          <w:sz w:val="18"/>
                          <w:szCs w:val="18"/>
                        </w:rPr>
                        <w:t>.</w:t>
                      </w:r>
                    </w:p>
                    <w:p w:rsidR="005570DA" w:rsidRPr="000E5745" w:rsidRDefault="005570DA" w:rsidP="00E05D08">
                      <w:pPr>
                        <w:pStyle w:val="HStandard"/>
                      </w:pPr>
                      <w:r>
                        <w:rPr>
                          <w:sz w:val="18"/>
                          <w:szCs w:val="18"/>
                        </w:rPr>
                        <w:t>Il-firxa tal-kontribut tal-PŻR għandha tiġi ġġudikata fuq skala Likert</w:t>
                      </w:r>
                      <w:r>
                        <w:rPr>
                          <w:sz w:val="18"/>
                          <w:szCs w:val="18"/>
                          <w:vertAlign w:val="superscript"/>
                        </w:rPr>
                        <w:t>85</w:t>
                      </w:r>
                      <w:r>
                        <w:rPr>
                          <w:sz w:val="18"/>
                          <w:szCs w:val="18"/>
                        </w:rPr>
                        <w:t xml:space="preserve"> bħal Xejn, Ftit, Kemmxejn, Fattur Kontributorju Kbir, Fattur Kontributorju Biss. L-evalwatur għandu jikklassifika wkoll il-livell ta’ fiduċja li huwa għandu fis-sejbiet fuq skala simili ta’ ħames punti. Il-klassifikazzjoni mogħtija għandha tiġi ġġustifikata.</w:t>
                      </w:r>
                    </w:p>
                  </w:txbxContent>
                </v:textbox>
                <w10:wrap type="square"/>
              </v:shape>
            </w:pict>
          </mc:Fallback>
        </mc:AlternateContent>
      </w:r>
      <w:r w:rsidRPr="002B5B92">
        <w:rPr>
          <w:b/>
        </w:rPr>
        <w:t>PASS 3 - Żviluppa skeda ta’ żmien kawżali u narrattiva</w:t>
      </w:r>
      <w:r w:rsidRPr="002B5B92">
        <w:t xml:space="preserve"> li tiddeskrivi kif seħħew il-bidliet identifikati fil-Pass 1. In-narrattiva se tassumi ‘a priori’ li l-bidliet seħħew permezz ta’ wieħed jew aktar mit-tliet perkorsi u l-interazzjonijiet tagħhom (ara </w:t>
      </w:r>
      <w:hyperlink w:anchor="Pathways" w:history="1">
        <w:r w:rsidRPr="002B5B92">
          <w:rPr>
            <w:rStyle w:val="Hyperlink"/>
            <w:sz w:val="20"/>
          </w:rPr>
          <w:t>l-Figura 1</w:t>
        </w:r>
      </w:hyperlink>
      <w:r w:rsidRPr="002B5B92">
        <w:t>). L-iskeda ta’ żmien u n-narrattiva għandhom jinkludu l-avvenimenti u l-proċessi ewlenin kollha li wasslu għall-bidla, mhux biss dawk li rriżultaw mill-attività tal-PŻR. Dan l-approċċ huwa mibni fuq metodoloġija ta’ studju ta’ każ</w:t>
      </w:r>
      <w:r w:rsidRPr="002B5B92">
        <w:rPr>
          <w:rFonts w:cs="Arial"/>
          <w:vertAlign w:val="superscript"/>
        </w:rPr>
        <w:footnoteReference w:id="79"/>
      </w:r>
      <w:r w:rsidRPr="002B5B92">
        <w:t>. Metodi speċifiċi li jistgħu jkunu ta’ użu huma t-traċċar tal-proċess (li jistabbilixxi linja teoretika mill-eżitu għall-kawżi tiegħu billi jitqiesu bosta alternattivi)</w:t>
      </w:r>
      <w:r w:rsidRPr="002B5B92">
        <w:rPr>
          <w:rFonts w:cs="Arial"/>
          <w:vertAlign w:val="superscript"/>
        </w:rPr>
        <w:footnoteReference w:id="80"/>
      </w:r>
      <w:r w:rsidRPr="002B5B92">
        <w:t xml:space="preserve"> u l-kostruzzjoni ta’ stejjer ta’ innovazzjoni (metodu għar-reġistrazzjoni u r-riflessjoni fuq proċess ta’ innovazzjoni)</w:t>
      </w:r>
      <w:r w:rsidRPr="002B5B92">
        <w:rPr>
          <w:vertAlign w:val="superscript"/>
        </w:rPr>
        <w:t xml:space="preserve"> </w:t>
      </w:r>
      <w:r w:rsidRPr="002B5B92">
        <w:rPr>
          <w:rFonts w:cs="Arial"/>
          <w:vertAlign w:val="superscript"/>
        </w:rPr>
        <w:footnoteReference w:id="81"/>
      </w:r>
      <w:r w:rsidRPr="002B5B92">
        <w:t>. Id-data se tiġi mill-passi preċedenti, mir-reviżjoni tad-dokumentazzjoni tal-PŻR u/jew minn intervisti informanti ewlenin mal-persunal u l-partijiet ikkonċernati tal-programm</w:t>
      </w:r>
      <w:r w:rsidRPr="002B5B92">
        <w:rPr>
          <w:rStyle w:val="FootnoteReference"/>
          <w:color w:val="FFFFFF" w:themeColor="background1"/>
        </w:rPr>
        <w:footnoteReference w:id="82"/>
      </w:r>
      <w:r w:rsidRPr="002B5B92">
        <w:rPr>
          <w:rStyle w:val="FootnoteReference"/>
          <w:color w:val="FFFFFF" w:themeColor="background1"/>
        </w:rPr>
        <w:footnoteReference w:id="83"/>
      </w:r>
      <w:r w:rsidRPr="002B5B92">
        <w:rPr>
          <w:rStyle w:val="FootnoteReference"/>
          <w:color w:val="FFFFFF" w:themeColor="background1"/>
        </w:rPr>
        <w:footnoteReference w:id="84"/>
      </w:r>
      <w:r w:rsidRPr="002B5B92">
        <w:t>.</w:t>
      </w:r>
      <w:r w:rsidRPr="002B5B92">
        <w:rPr>
          <w:rStyle w:val="FootnoteReference"/>
          <w:color w:val="FFFFFF" w:themeColor="background1"/>
        </w:rPr>
        <w:footnoteReference w:id="85"/>
      </w:r>
    </w:p>
    <w:p w:rsidR="00E05D08" w:rsidRPr="002B5B92" w:rsidRDefault="00E05D08" w:rsidP="00F31494">
      <w:pPr>
        <w:pStyle w:val="Hlistbullet"/>
        <w:spacing w:before="240"/>
      </w:pPr>
      <w:r w:rsidRPr="002B5B92">
        <w:rPr>
          <w:b/>
        </w:rPr>
        <w:t>PASS 4 - Qabbel il-potenzjal tal-innovazzjoni identifikat qabel l-evalwazzjoni mal-kontribut li sar mill-PŻR.</w:t>
      </w:r>
      <w:r w:rsidRPr="002B5B92">
        <w:t xml:space="preserve"> L-ipoteżi ta’ ħidma tagħna hija li se jkun hemm differenzi li jgħinu lil dawk involuti jifhmu aħjar l-innovazzjoni bħala proċess emerġenti u imprevedibbli li madankollu jista’ jiġi mrawwem jekk ikun hemm fis-seħħ mekkaniżmi ta’ ġestjoni adattiva u tagħlim fil-PŻR.</w:t>
      </w:r>
    </w:p>
    <w:p w:rsidR="00AB6603" w:rsidRPr="002B5B92" w:rsidRDefault="00F64797" w:rsidP="00AB6603">
      <w:pPr>
        <w:numPr>
          <w:ilvl w:val="0"/>
          <w:numId w:val="62"/>
        </w:numPr>
        <w:spacing w:before="120" w:after="120" w:line="280" w:lineRule="atLeast"/>
        <w:ind w:left="567" w:hanging="567"/>
        <w:mirrorIndents/>
        <w:rPr>
          <w:rFonts w:eastAsia="Times New Roman" w:cs="Times New Roman"/>
          <w:b/>
          <w:szCs w:val="20"/>
        </w:rPr>
      </w:pPr>
      <w:r w:rsidRPr="002B5B92">
        <w:rPr>
          <w:b/>
          <w:szCs w:val="20"/>
        </w:rPr>
        <w:t>Riskji u soluzzjonijiet</w:t>
      </w:r>
      <w:r w:rsidRPr="002B5B92">
        <w:t xml:space="preserve"> </w:t>
      </w:r>
    </w:p>
    <w:p w:rsidR="00E05D08" w:rsidRPr="002B5B92" w:rsidRDefault="00AB6603" w:rsidP="00A847F8">
      <w:pPr>
        <w:spacing w:before="120" w:after="120" w:line="280" w:lineRule="atLeast"/>
        <w:mirrorIndents/>
        <w:rPr>
          <w:rFonts w:eastAsia="Times New Roman" w:cs="Times New Roman"/>
          <w:b/>
          <w:szCs w:val="20"/>
        </w:rPr>
      </w:pPr>
      <w:r w:rsidRPr="002B5B92">
        <w:t>Ir-riskju ewlieni huwa li l-evalwazzjoni ta’ studju ta’ każ deskritta hawn fuq ma titwettaqx fi standard għoli biżżejjed sabiex tkun persważiva fil-konklużjonijiet tagħha.</w:t>
      </w:r>
    </w:p>
    <w:p w:rsidR="00E05D08" w:rsidRPr="002B5B92" w:rsidRDefault="00E05D08" w:rsidP="00E05D08">
      <w:pPr>
        <w:spacing w:after="120" w:line="280" w:lineRule="atLeast"/>
        <w:mirrorIndents/>
        <w:rPr>
          <w:rFonts w:eastAsia="Times New Roman" w:cs="Arial"/>
          <w:szCs w:val="20"/>
        </w:rPr>
      </w:pPr>
      <w:r w:rsidRPr="002B5B92">
        <w:lastRenderedPageBreak/>
        <w:t xml:space="preserve">Min-naħa l-oħra, jekk ma jintużax approċċ ta’ studju ta’ każ, allura r-riskju huwa li s-CEQ nru. 30 tiġi evalwata biss kontra l-kriterji u l-indikaturi tal-ġudizzju, li ma jippermettux li ssir evalwazzjoni tal-firxa tal-kontribuzzjonijiet tal-PŻR, u lanqas jgħinu lil dawk involuti jitgħallmu kif jinbidlu s-sistemi kumplessi. </w:t>
      </w:r>
    </w:p>
    <w:p w:rsidR="00E05D08" w:rsidRPr="002B5B92" w:rsidRDefault="00E05D08" w:rsidP="008C0B17">
      <w:pPr>
        <w:numPr>
          <w:ilvl w:val="0"/>
          <w:numId w:val="62"/>
        </w:numPr>
        <w:spacing w:before="120" w:after="120" w:line="280" w:lineRule="atLeast"/>
        <w:ind w:left="567" w:hanging="567"/>
        <w:mirrorIndents/>
        <w:rPr>
          <w:rFonts w:eastAsia="Times New Roman" w:cs="Times New Roman"/>
          <w:b/>
          <w:szCs w:val="20"/>
        </w:rPr>
      </w:pPr>
      <w:r w:rsidRPr="002B5B92">
        <w:rPr>
          <w:b/>
          <w:szCs w:val="20"/>
        </w:rPr>
        <w:t>Konklużjonijiet u rakkomandazzjonijiet</w:t>
      </w:r>
    </w:p>
    <w:p w:rsidR="00E05D08" w:rsidRPr="002B5B92" w:rsidRDefault="00E05D08" w:rsidP="00E05D08">
      <w:pPr>
        <w:spacing w:after="120" w:line="280" w:lineRule="atLeast"/>
        <w:mirrorIndents/>
        <w:rPr>
          <w:rFonts w:eastAsia="Times New Roman" w:cs="Arial"/>
          <w:szCs w:val="20"/>
        </w:rPr>
      </w:pPr>
      <w:r w:rsidRPr="002B5B92">
        <w:t>Il-konklużjonijiet u r-rakkomandazzjonijiet relatati mas-CEQ nru. 30 għandhom jikkunsidraw dawn li ġejjin:</w:t>
      </w:r>
    </w:p>
    <w:p w:rsidR="00E05D08" w:rsidRPr="002B5B92" w:rsidRDefault="00E05D08" w:rsidP="00320AA0">
      <w:pPr>
        <w:pStyle w:val="Hlistbullet"/>
      </w:pPr>
      <w:r w:rsidRPr="002B5B92">
        <w:t xml:space="preserve">Miżuri speċifiċi (u l-kombinament tagħhom) li kienu l-aktar effettivi u effiċjenti biex irawmu l-innovazzjoni fiż-żoni rurali permezz tal-PŻR. </w:t>
      </w:r>
    </w:p>
    <w:p w:rsidR="00E05D08" w:rsidRPr="002B5B92" w:rsidRDefault="00E05D08" w:rsidP="00320AA0">
      <w:pPr>
        <w:pStyle w:val="Hlistbullet"/>
      </w:pPr>
      <w:r w:rsidRPr="002B5B92">
        <w:t xml:space="preserve">Modi li bihom il-PŻR rawwem innovazzjonijiet marbuta mat-tliet perkorsi. </w:t>
      </w:r>
    </w:p>
    <w:p w:rsidR="00E05D08" w:rsidRPr="002B5B92" w:rsidRDefault="00E05D08" w:rsidP="00320AA0">
      <w:pPr>
        <w:pStyle w:val="Hlistbullet"/>
      </w:pPr>
      <w:r w:rsidRPr="002B5B92">
        <w:t xml:space="preserve">L-objettivi ta’ politika li għalihom l-innovazzjoni mrawma kkontribwixxiet bl-aktar mod sinifikanti. </w:t>
      </w:r>
    </w:p>
    <w:p w:rsidR="000E0FE4" w:rsidRPr="002B5B92" w:rsidRDefault="00E05D08" w:rsidP="00320AA0">
      <w:pPr>
        <w:pStyle w:val="Hlistbullet"/>
      </w:pPr>
      <w:r w:rsidRPr="002B5B92">
        <w:t xml:space="preserve">Il-partijiet ikkonċernati u l-benefiċjarji tal-PŻR li kienu l-aktar trasportaturi tal-innovazzjoni effettivi. </w:t>
      </w:r>
      <w:r w:rsidRPr="002B5B92">
        <w:br w:type="page"/>
      </w:r>
    </w:p>
    <w:p w:rsidR="000E0FE4" w:rsidRPr="002B5B92" w:rsidRDefault="000E0FE4" w:rsidP="000E0FE4">
      <w:pPr>
        <w:ind w:left="720"/>
        <w:mirrorIndents/>
        <w:rPr>
          <w:szCs w:val="20"/>
        </w:rPr>
        <w:sectPr w:rsidR="000E0FE4" w:rsidRPr="002B5B92" w:rsidSect="001F6F07">
          <w:headerReference w:type="first" r:id="rId102"/>
          <w:pgSz w:w="11907" w:h="16840" w:code="9"/>
          <w:pgMar w:top="1440" w:right="1440" w:bottom="1134" w:left="1440" w:header="567" w:footer="1020" w:gutter="0"/>
          <w:cols w:space="708"/>
          <w:titlePg/>
          <w:docGrid w:linePitch="435"/>
        </w:sectPr>
      </w:pPr>
    </w:p>
    <w:p w:rsidR="00E05D08" w:rsidRPr="002B5B92" w:rsidRDefault="00BA450C" w:rsidP="00E05D08">
      <w:pPr>
        <w:keepNext/>
        <w:keepLines/>
        <w:tabs>
          <w:tab w:val="left" w:pos="680"/>
        </w:tabs>
        <w:spacing w:before="240" w:after="240" w:line="280" w:lineRule="atLeast"/>
        <w:mirrorIndents/>
        <w:outlineLvl w:val="3"/>
        <w:rPr>
          <w:rFonts w:eastAsia="Times New Roman" w:cs="Times New Roman"/>
          <w:b/>
          <w:color w:val="57825E"/>
          <w:szCs w:val="20"/>
        </w:rPr>
      </w:pPr>
      <w:r w:rsidRPr="002B5B92">
        <w:rPr>
          <w:rFonts w:eastAsia="Times New Roman" w:cs="Times New Roman"/>
          <w:b/>
          <w:noProof/>
          <w:color w:val="57825E"/>
          <w:sz w:val="18"/>
          <w:szCs w:val="24"/>
          <w:lang w:val="en-GB" w:eastAsia="en-GB"/>
        </w:rPr>
        <w:lastRenderedPageBreak/>
        <mc:AlternateContent>
          <mc:Choice Requires="wps">
            <w:drawing>
              <wp:anchor distT="0" distB="0" distL="114300" distR="114300" simplePos="0" relativeHeight="251695104" behindDoc="0" locked="0" layoutInCell="1" allowOverlap="1" wp14:anchorId="6AEF23C2" wp14:editId="733BBBF7">
                <wp:simplePos x="0" y="0"/>
                <wp:positionH relativeFrom="column">
                  <wp:posOffset>-54244</wp:posOffset>
                </wp:positionH>
                <wp:positionV relativeFrom="paragraph">
                  <wp:posOffset>325465</wp:posOffset>
                </wp:positionV>
                <wp:extent cx="5811864" cy="4083804"/>
                <wp:effectExtent l="0" t="0" r="17780" b="12065"/>
                <wp:wrapNone/>
                <wp:docPr id="582" name="Rectangle: Diagonal Corners Rounded 582"/>
                <wp:cNvGraphicFramePr/>
                <a:graphic xmlns:a="http://schemas.openxmlformats.org/drawingml/2006/main">
                  <a:graphicData uri="http://schemas.microsoft.com/office/word/2010/wordprocessingShape">
                    <wps:wsp>
                      <wps:cNvSpPr/>
                      <wps:spPr>
                        <a:xfrm>
                          <a:off x="0" y="0"/>
                          <a:ext cx="5811864" cy="4083804"/>
                        </a:xfrm>
                        <a:prstGeom prst="round2DiagRect">
                          <a:avLst>
                            <a:gd name="adj1" fmla="val 6996"/>
                            <a:gd name="adj2" fmla="val 0"/>
                          </a:avLst>
                        </a:prstGeom>
                        <a:noFill/>
                        <a:ln w="25400" cap="flat" cmpd="sng" algn="ctr">
                          <a:solidFill>
                            <a:srgbClr val="59638E"/>
                          </a:solidFill>
                          <a:prstDash val="solid"/>
                        </a:ln>
                        <a:effectLst/>
                      </wps:spPr>
                      <wps:txbx>
                        <w:txbxContent>
                          <w:p w:rsidR="005570DA" w:rsidRDefault="005570DA" w:rsidP="00BA450C">
                            <w:pPr>
                              <w:pStyle w:val="HStandard"/>
                              <w:rPr>
                                <w:sz w:val="18"/>
                                <w:szCs w:val="18"/>
                              </w:rPr>
                            </w:pPr>
                            <w:r>
                              <w:rPr>
                                <w:noProof/>
                                <w:lang w:val="en-GB" w:eastAsia="en-GB"/>
                              </w:rPr>
                              <w:drawing>
                                <wp:inline distT="0" distB="0" distL="0" distR="0" wp14:anchorId="3915F141" wp14:editId="19D51C5D">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570DA" w:rsidRPr="00BA450C" w:rsidRDefault="005570DA" w:rsidP="00BA450C">
                            <w:pPr>
                              <w:pStyle w:val="HStandard"/>
                              <w:rPr>
                                <w:sz w:val="18"/>
                                <w:szCs w:val="18"/>
                              </w:rPr>
                            </w:pPr>
                            <w:r>
                              <w:rPr>
                                <w:sz w:val="18"/>
                                <w:szCs w:val="18"/>
                              </w:rPr>
                              <w:t xml:space="preserve">Allen, I.E. u Seaman, C.A. (2007). </w:t>
                            </w:r>
                            <w:hyperlink r:id="rId103" w:history="1">
                              <w:r>
                                <w:rPr>
                                  <w:rStyle w:val="Hyperlink"/>
                                  <w:sz w:val="18"/>
                                  <w:szCs w:val="18"/>
                                </w:rPr>
                                <w:t>Likert scales and data analyses</w:t>
                              </w:r>
                            </w:hyperlink>
                            <w:r>
                              <w:rPr>
                                <w:sz w:val="18"/>
                                <w:szCs w:val="18"/>
                              </w:rPr>
                              <w:t>. Quality progress, 40(7), p. 64.</w:t>
                            </w:r>
                          </w:p>
                          <w:p w:rsidR="005570DA" w:rsidRPr="00BA450C" w:rsidRDefault="005570DA" w:rsidP="00BA450C">
                            <w:pPr>
                              <w:pStyle w:val="HStandard"/>
                              <w:jc w:val="left"/>
                              <w:rPr>
                                <w:sz w:val="18"/>
                                <w:szCs w:val="18"/>
                              </w:rPr>
                            </w:pPr>
                            <w:r>
                              <w:rPr>
                                <w:sz w:val="18"/>
                                <w:szCs w:val="18"/>
                              </w:rPr>
                              <w:t xml:space="preserve">Collier, D., 2011. </w:t>
                            </w:r>
                            <w:r>
                              <w:t>“</w:t>
                            </w:r>
                            <w:hyperlink r:id="rId104" w:history="1">
                              <w:r>
                                <w:rPr>
                                  <w:rStyle w:val="Hyperlink"/>
                                  <w:sz w:val="18"/>
                                  <w:szCs w:val="18"/>
                                </w:rPr>
                                <w:t>Understanding process tracing.</w:t>
                              </w:r>
                            </w:hyperlink>
                            <w:r>
                              <w:t>”</w:t>
                            </w:r>
                            <w:r>
                              <w:rPr>
                                <w:sz w:val="18"/>
                                <w:szCs w:val="18"/>
                              </w:rPr>
                              <w:t> PS: Political Science &amp; Politics 44.04: 823-830.</w:t>
                            </w:r>
                          </w:p>
                          <w:p w:rsidR="005570DA" w:rsidRPr="00BA450C" w:rsidRDefault="005570DA" w:rsidP="00BA450C">
                            <w:pPr>
                              <w:pStyle w:val="HStandard"/>
                              <w:jc w:val="left"/>
                              <w:rPr>
                                <w:sz w:val="18"/>
                                <w:szCs w:val="18"/>
                              </w:rPr>
                            </w:pPr>
                            <w:r>
                              <w:rPr>
                                <w:sz w:val="18"/>
                                <w:szCs w:val="18"/>
                              </w:rPr>
                              <w:t xml:space="preserve">Douthwaite, B. u Ashby, J., 2005. Innovation histories: a method from learning from experience. Institutional Learning and Change Initiative. Aċċessat fil-15 ta’ Mejju minn: </w:t>
                            </w:r>
                            <w:hyperlink r:id="rId105" w:history="1">
                              <w:r>
                                <w:rPr>
                                  <w:rStyle w:val="Hyperlink"/>
                                  <w:sz w:val="18"/>
                                  <w:szCs w:val="18"/>
                                </w:rPr>
                                <w:t>http://ageconsearch.umn.edu/bitstream/52515/2/ILAC_Brief05_Histories.pdf</w:t>
                              </w:r>
                            </w:hyperlink>
                          </w:p>
                          <w:p w:rsidR="005570DA" w:rsidRPr="00BA450C" w:rsidRDefault="005570DA" w:rsidP="00BA450C">
                            <w:pPr>
                              <w:pStyle w:val="HStandard"/>
                              <w:jc w:val="left"/>
                              <w:rPr>
                                <w:sz w:val="18"/>
                                <w:szCs w:val="18"/>
                              </w:rPr>
                            </w:pPr>
                            <w:r>
                              <w:rPr>
                                <w:sz w:val="18"/>
                                <w:szCs w:val="18"/>
                              </w:rPr>
                              <w:t xml:space="preserve">GAO (L-Uffiċċju tal-Kontijiet Ġenerali) (1987) </w:t>
                            </w:r>
                            <w:hyperlink r:id="rId106" w:history="1">
                              <w:r>
                                <w:rPr>
                                  <w:rStyle w:val="Hyperlink"/>
                                  <w:sz w:val="18"/>
                                  <w:szCs w:val="18"/>
                                </w:rPr>
                                <w:t>Case study evaluation.</w:t>
                              </w:r>
                            </w:hyperlink>
                            <w:hyperlink r:id="rId107" w:history="1">
                              <w:r>
                                <w:rPr>
                                  <w:rStyle w:val="Hyperlink"/>
                                  <w:sz w:val="18"/>
                                  <w:szCs w:val="18"/>
                                </w:rPr>
                                <w:t>Program Evaluation and Methodology</w:t>
                              </w:r>
                            </w:hyperlink>
                            <w:r>
                              <w:rPr>
                                <w:sz w:val="18"/>
                                <w:szCs w:val="18"/>
                              </w:rPr>
                              <w:t>. Diviżjoni, Dokument tat-Trasferiment 9. Washington DC: GAO.</w:t>
                            </w:r>
                          </w:p>
                          <w:p w:rsidR="005570DA" w:rsidRPr="00BA450C" w:rsidRDefault="005570DA" w:rsidP="00BA450C">
                            <w:pPr>
                              <w:pStyle w:val="HStandard"/>
                              <w:jc w:val="left"/>
                              <w:rPr>
                                <w:sz w:val="18"/>
                                <w:szCs w:val="18"/>
                              </w:rPr>
                            </w:pPr>
                            <w:r>
                              <w:rPr>
                                <w:sz w:val="18"/>
                                <w:szCs w:val="18"/>
                              </w:rPr>
                              <w:t xml:space="preserve">Hilton, D.J., 1996. </w:t>
                            </w:r>
                            <w:hyperlink r:id="rId108" w:history="1">
                              <w:r>
                                <w:rPr>
                                  <w:rStyle w:val="Hyperlink"/>
                                  <w:sz w:val="18"/>
                                  <w:szCs w:val="18"/>
                                </w:rPr>
                                <w:t>Mental models and causal explanation:</w:t>
                              </w:r>
                            </w:hyperlink>
                            <w:hyperlink r:id="rId109" w:history="1">
                              <w:r>
                                <w:rPr>
                                  <w:rStyle w:val="Hyperlink"/>
                                  <w:sz w:val="18"/>
                                  <w:szCs w:val="18"/>
                                </w:rPr>
                                <w:t>Judgments of probable cause and explanatory relevance</w:t>
                              </w:r>
                            </w:hyperlink>
                            <w:r>
                              <w:rPr>
                                <w:sz w:val="18"/>
                                <w:szCs w:val="18"/>
                              </w:rPr>
                              <w:t>. Thinking &amp; Reasoning, 2(4), pp. 273-308.</w:t>
                            </w:r>
                          </w:p>
                          <w:p w:rsidR="005570DA" w:rsidRPr="00BA450C" w:rsidRDefault="005570DA" w:rsidP="00BA450C">
                            <w:pPr>
                              <w:pStyle w:val="HStandard"/>
                              <w:jc w:val="left"/>
                              <w:rPr>
                                <w:sz w:val="18"/>
                                <w:szCs w:val="18"/>
                              </w:rPr>
                            </w:pPr>
                            <w:r>
                              <w:rPr>
                                <w:sz w:val="18"/>
                                <w:szCs w:val="18"/>
                              </w:rPr>
                              <w:t xml:space="preserve">Mayne, J., 2012. </w:t>
                            </w:r>
                            <w:hyperlink r:id="rId110" w:history="1">
                              <w:r>
                                <w:rPr>
                                  <w:rStyle w:val="Hyperlink"/>
                                  <w:sz w:val="18"/>
                                  <w:szCs w:val="18"/>
                                </w:rPr>
                                <w:t>Contribution analysis:</w:t>
                              </w:r>
                            </w:hyperlink>
                            <w:hyperlink r:id="rId111" w:history="1">
                              <w:r>
                                <w:rPr>
                                  <w:rStyle w:val="Hyperlink"/>
                                  <w:sz w:val="18"/>
                                  <w:szCs w:val="18"/>
                                </w:rPr>
                                <w:t>Coming of age?</w:t>
                              </w:r>
                            </w:hyperlink>
                            <w:hyperlink r:id="rId112" w:history="1">
                              <w:r>
                                <w:rPr>
                                  <w:rStyle w:val="Hyperlink"/>
                                  <w:sz w:val="18"/>
                                  <w:szCs w:val="18"/>
                                </w:rPr>
                                <w:t> </w:t>
                              </w:r>
                            </w:hyperlink>
                            <w:r>
                              <w:t>Evalwazzjoni 18.3 (2012):</w:t>
                            </w:r>
                            <w:r>
                              <w:rPr>
                                <w:sz w:val="18"/>
                                <w:szCs w:val="18"/>
                              </w:rPr>
                              <w:t xml:space="preserve"> 270-280.</w:t>
                            </w:r>
                          </w:p>
                          <w:p w:rsidR="005570DA" w:rsidRPr="00BA450C" w:rsidRDefault="005570DA" w:rsidP="00BA450C">
                            <w:pPr>
                              <w:pStyle w:val="HStandard"/>
                              <w:jc w:val="left"/>
                              <w:rPr>
                                <w:sz w:val="18"/>
                                <w:szCs w:val="18"/>
                              </w:rPr>
                            </w:pPr>
                            <w:r>
                              <w:rPr>
                                <w:sz w:val="18"/>
                                <w:szCs w:val="18"/>
                              </w:rPr>
                              <w:t xml:space="preserve">Pawson, R., Greenhalgh, T., Harvey, G. u Walshe, K., 2005. </w:t>
                            </w:r>
                            <w:hyperlink r:id="rId113" w:history="1">
                              <w:r>
                                <w:rPr>
                                  <w:rStyle w:val="Hyperlink"/>
                                  <w:sz w:val="18"/>
                                  <w:szCs w:val="18"/>
                                </w:rPr>
                                <w:t>Realist review–a new method of systematic review designed for complex policy interventions.</w:t>
                              </w:r>
                            </w:hyperlink>
                            <w:r>
                              <w:rPr>
                                <w:sz w:val="18"/>
                                <w:szCs w:val="18"/>
                              </w:rPr>
                              <w:t> Journal of health services research &amp; policy, 10 (suppl 1), pp. 21-34.</w:t>
                            </w:r>
                          </w:p>
                          <w:p w:rsidR="005570DA" w:rsidRPr="00BA450C" w:rsidRDefault="005570DA" w:rsidP="00BA450C">
                            <w:pPr>
                              <w:pStyle w:val="HStandard"/>
                              <w:jc w:val="left"/>
                              <w:rPr>
                                <w:sz w:val="18"/>
                                <w:szCs w:val="18"/>
                              </w:rPr>
                            </w:pPr>
                            <w:r>
                              <w:rPr>
                                <w:sz w:val="18"/>
                                <w:szCs w:val="18"/>
                              </w:rPr>
                              <w:t>Wilson-Grau, R. (2015) </w:t>
                            </w:r>
                            <w:r>
                              <w:rPr>
                                <w:i/>
                                <w:sz w:val="18"/>
                                <w:szCs w:val="18"/>
                              </w:rPr>
                              <w:t>Outcome Harvesting</w:t>
                            </w:r>
                            <w:r>
                              <w:rPr>
                                <w:sz w:val="18"/>
                                <w:szCs w:val="18"/>
                              </w:rPr>
                              <w:t xml:space="preserve">. Better Evaluation. </w:t>
                            </w:r>
                            <w:r>
                              <w:t xml:space="preserve">Miksuba </w:t>
                            </w:r>
                            <w:r>
                              <w:rPr>
                                <w:sz w:val="18"/>
                                <w:szCs w:val="18"/>
                              </w:rPr>
                              <w:t>minn </w:t>
                            </w:r>
                            <w:hyperlink r:id="rId114" w:history="1">
                              <w:r>
                                <w:rPr>
                                  <w:rStyle w:val="Hyperlink"/>
                                  <w:sz w:val="18"/>
                                  <w:szCs w:val="18"/>
                                </w:rPr>
                                <w:t>http://betterevaluation.org/plan/approach/outcome_harvesting</w:t>
                              </w:r>
                            </w:hyperlink>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F23C2" id="Rectangle: Diagonal Corners Rounded 582" o:spid="_x0000_s1059" style="position:absolute;left:0;text-align:left;margin-left:-4.25pt;margin-top:25.65pt;width:457.65pt;height:32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864,40838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" adj="-11796480,,5400" path="m285703,l5811864,r,l5811864,3798101v,157789,-127914,285703,-285703,285703l,4083804r,l,285703c,127914,127914,,285703,xe" filled="f" strokecolor="#59638e" strokeweight="2pt">
                <v:stroke joinstyle="miter"/>
                <v:formulas/>
                <v:path arrowok="t" o:connecttype="custom" o:connectlocs="285703,0;5811864,0;5811864,0;5811864,3798101;5526161,4083804;0,4083804;0,4083804;0,285703;285703,0" o:connectangles="0,0,0,0,0,0,0,0,0" textboxrect="0,0,5811864,4083804"/>
                <v:textbox>
                  <w:txbxContent>
                    <w:p w:rsidR="005570DA" w:rsidRDefault="005570DA" w:rsidP="00BA450C">
                      <w:pPr>
                        <w:pStyle w:val="HStandard"/>
                        <w:rPr>
                          <w:sz w:val="18"/>
                          <w:szCs w:val="18"/>
                        </w:rPr>
                      </w:pPr>
                      <w:r>
                        <w:rPr>
                          <w:noProof/>
                          <w:lang w:val="en-GB" w:eastAsia="en-GB"/>
                        </w:rPr>
                        <w:drawing>
                          <wp:inline distT="0" distB="0" distL="0" distR="0" wp14:anchorId="3915F141" wp14:editId="19D51C5D">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5570DA" w:rsidRPr="00BA450C" w:rsidRDefault="005570DA" w:rsidP="00BA450C">
                      <w:pPr>
                        <w:pStyle w:val="HStandard"/>
                        <w:rPr>
                          <w:sz w:val="18"/>
                          <w:szCs w:val="18"/>
                        </w:rPr>
                      </w:pPr>
                      <w:r>
                        <w:rPr>
                          <w:sz w:val="18"/>
                          <w:szCs w:val="18"/>
                        </w:rPr>
                        <w:t xml:space="preserve">Allen, I.E. u Seaman, C.A. (2007). </w:t>
                      </w:r>
                      <w:hyperlink r:id="rId115" w:history="1">
                        <w:r>
                          <w:rPr>
                            <w:rStyle w:val="Hyperlink"/>
                            <w:sz w:val="18"/>
                            <w:szCs w:val="18"/>
                          </w:rPr>
                          <w:t>Likert scales and data analyses</w:t>
                        </w:r>
                      </w:hyperlink>
                      <w:r>
                        <w:rPr>
                          <w:sz w:val="18"/>
                          <w:szCs w:val="18"/>
                        </w:rPr>
                        <w:t>. Quality progress, 40(7), p. 64.</w:t>
                      </w:r>
                    </w:p>
                    <w:p w:rsidR="005570DA" w:rsidRPr="00BA450C" w:rsidRDefault="005570DA" w:rsidP="00BA450C">
                      <w:pPr>
                        <w:pStyle w:val="HStandard"/>
                        <w:jc w:val="left"/>
                        <w:rPr>
                          <w:sz w:val="18"/>
                          <w:szCs w:val="18"/>
                        </w:rPr>
                      </w:pPr>
                      <w:r>
                        <w:rPr>
                          <w:sz w:val="18"/>
                          <w:szCs w:val="18"/>
                        </w:rPr>
                        <w:t xml:space="preserve">Collier, D., 2011. </w:t>
                      </w:r>
                      <w:r>
                        <w:t>“</w:t>
                      </w:r>
                      <w:hyperlink r:id="rId116" w:history="1">
                        <w:r>
                          <w:rPr>
                            <w:rStyle w:val="Hyperlink"/>
                            <w:sz w:val="18"/>
                            <w:szCs w:val="18"/>
                          </w:rPr>
                          <w:t>Understanding process tracing.</w:t>
                        </w:r>
                      </w:hyperlink>
                      <w:r>
                        <w:t>”</w:t>
                      </w:r>
                      <w:r>
                        <w:rPr>
                          <w:sz w:val="18"/>
                          <w:szCs w:val="18"/>
                        </w:rPr>
                        <w:t> PS: Political Science &amp; Politics 44.04: 823-830.</w:t>
                      </w:r>
                    </w:p>
                    <w:p w:rsidR="005570DA" w:rsidRPr="00BA450C" w:rsidRDefault="005570DA" w:rsidP="00BA450C">
                      <w:pPr>
                        <w:pStyle w:val="HStandard"/>
                        <w:jc w:val="left"/>
                        <w:rPr>
                          <w:sz w:val="18"/>
                          <w:szCs w:val="18"/>
                        </w:rPr>
                      </w:pPr>
                      <w:r>
                        <w:rPr>
                          <w:sz w:val="18"/>
                          <w:szCs w:val="18"/>
                        </w:rPr>
                        <w:t xml:space="preserve">Douthwaite, B. u Ashby, J., 2005. Innovation histories: a method from learning from experience. Institutional Learning and Change Initiative. Aċċessat fil-15 ta’ Mejju minn: </w:t>
                      </w:r>
                      <w:hyperlink r:id="rId117" w:history="1">
                        <w:r>
                          <w:rPr>
                            <w:rStyle w:val="Hyperlink"/>
                            <w:sz w:val="18"/>
                            <w:szCs w:val="18"/>
                          </w:rPr>
                          <w:t>http://ageconsearch.umn.edu/bitstream/52515/2/ILAC_Brief05_Histories.pdf</w:t>
                        </w:r>
                      </w:hyperlink>
                    </w:p>
                    <w:p w:rsidR="005570DA" w:rsidRPr="00BA450C" w:rsidRDefault="005570DA" w:rsidP="00BA450C">
                      <w:pPr>
                        <w:pStyle w:val="HStandard"/>
                        <w:jc w:val="left"/>
                        <w:rPr>
                          <w:sz w:val="18"/>
                          <w:szCs w:val="18"/>
                        </w:rPr>
                      </w:pPr>
                      <w:r>
                        <w:rPr>
                          <w:sz w:val="18"/>
                          <w:szCs w:val="18"/>
                        </w:rPr>
                        <w:t xml:space="preserve">GAO (L-Uffiċċju tal-Kontijiet Ġenerali) (1987) </w:t>
                      </w:r>
                      <w:hyperlink r:id="rId118" w:history="1">
                        <w:r>
                          <w:rPr>
                            <w:rStyle w:val="Hyperlink"/>
                            <w:sz w:val="18"/>
                            <w:szCs w:val="18"/>
                          </w:rPr>
                          <w:t>Case study evaluation.</w:t>
                        </w:r>
                      </w:hyperlink>
                      <w:hyperlink r:id="rId119" w:history="1">
                        <w:r>
                          <w:rPr>
                            <w:rStyle w:val="Hyperlink"/>
                            <w:sz w:val="18"/>
                            <w:szCs w:val="18"/>
                          </w:rPr>
                          <w:t>Program Evaluation and Methodology</w:t>
                        </w:r>
                      </w:hyperlink>
                      <w:r>
                        <w:rPr>
                          <w:sz w:val="18"/>
                          <w:szCs w:val="18"/>
                        </w:rPr>
                        <w:t>. Diviżjoni, Dokument tat-Trasferiment 9. Washington DC: GAO.</w:t>
                      </w:r>
                    </w:p>
                    <w:p w:rsidR="005570DA" w:rsidRPr="00BA450C" w:rsidRDefault="005570DA" w:rsidP="00BA450C">
                      <w:pPr>
                        <w:pStyle w:val="HStandard"/>
                        <w:jc w:val="left"/>
                        <w:rPr>
                          <w:sz w:val="18"/>
                          <w:szCs w:val="18"/>
                        </w:rPr>
                      </w:pPr>
                      <w:r>
                        <w:rPr>
                          <w:sz w:val="18"/>
                          <w:szCs w:val="18"/>
                        </w:rPr>
                        <w:t xml:space="preserve">Hilton, D.J., 1996. </w:t>
                      </w:r>
                      <w:hyperlink r:id="rId120" w:history="1">
                        <w:r>
                          <w:rPr>
                            <w:rStyle w:val="Hyperlink"/>
                            <w:sz w:val="18"/>
                            <w:szCs w:val="18"/>
                          </w:rPr>
                          <w:t>Mental models and causal explanation:</w:t>
                        </w:r>
                      </w:hyperlink>
                      <w:hyperlink r:id="rId121" w:history="1">
                        <w:r>
                          <w:rPr>
                            <w:rStyle w:val="Hyperlink"/>
                            <w:sz w:val="18"/>
                            <w:szCs w:val="18"/>
                          </w:rPr>
                          <w:t>Judgments of probable cause and explanatory relevance</w:t>
                        </w:r>
                      </w:hyperlink>
                      <w:r>
                        <w:rPr>
                          <w:sz w:val="18"/>
                          <w:szCs w:val="18"/>
                        </w:rPr>
                        <w:t>. Thinking &amp; Reasoning, 2(4), pp. 273-308.</w:t>
                      </w:r>
                    </w:p>
                    <w:p w:rsidR="005570DA" w:rsidRPr="00BA450C" w:rsidRDefault="005570DA" w:rsidP="00BA450C">
                      <w:pPr>
                        <w:pStyle w:val="HStandard"/>
                        <w:jc w:val="left"/>
                        <w:rPr>
                          <w:sz w:val="18"/>
                          <w:szCs w:val="18"/>
                        </w:rPr>
                      </w:pPr>
                      <w:r>
                        <w:rPr>
                          <w:sz w:val="18"/>
                          <w:szCs w:val="18"/>
                        </w:rPr>
                        <w:t xml:space="preserve">Mayne, J., 2012. </w:t>
                      </w:r>
                      <w:hyperlink r:id="rId122" w:history="1">
                        <w:r>
                          <w:rPr>
                            <w:rStyle w:val="Hyperlink"/>
                            <w:sz w:val="18"/>
                            <w:szCs w:val="18"/>
                          </w:rPr>
                          <w:t>Contribution analysis:</w:t>
                        </w:r>
                      </w:hyperlink>
                      <w:hyperlink r:id="rId123" w:history="1">
                        <w:r>
                          <w:rPr>
                            <w:rStyle w:val="Hyperlink"/>
                            <w:sz w:val="18"/>
                            <w:szCs w:val="18"/>
                          </w:rPr>
                          <w:t>Coming of age?</w:t>
                        </w:r>
                      </w:hyperlink>
                      <w:hyperlink r:id="rId124" w:history="1">
                        <w:r>
                          <w:rPr>
                            <w:rStyle w:val="Hyperlink"/>
                            <w:sz w:val="18"/>
                            <w:szCs w:val="18"/>
                          </w:rPr>
                          <w:t> </w:t>
                        </w:r>
                      </w:hyperlink>
                      <w:r>
                        <w:t>Evalwazzjoni 18.3 (2012):</w:t>
                      </w:r>
                      <w:r>
                        <w:rPr>
                          <w:sz w:val="18"/>
                          <w:szCs w:val="18"/>
                        </w:rPr>
                        <w:t xml:space="preserve"> 270-280.</w:t>
                      </w:r>
                    </w:p>
                    <w:p w:rsidR="005570DA" w:rsidRPr="00BA450C" w:rsidRDefault="005570DA" w:rsidP="00BA450C">
                      <w:pPr>
                        <w:pStyle w:val="HStandard"/>
                        <w:jc w:val="left"/>
                        <w:rPr>
                          <w:sz w:val="18"/>
                          <w:szCs w:val="18"/>
                        </w:rPr>
                      </w:pPr>
                      <w:r>
                        <w:rPr>
                          <w:sz w:val="18"/>
                          <w:szCs w:val="18"/>
                        </w:rPr>
                        <w:t xml:space="preserve">Pawson, R., Greenhalgh, T., Harvey, G. u Walshe, K., 2005. </w:t>
                      </w:r>
                      <w:hyperlink r:id="rId125" w:history="1">
                        <w:r>
                          <w:rPr>
                            <w:rStyle w:val="Hyperlink"/>
                            <w:sz w:val="18"/>
                            <w:szCs w:val="18"/>
                          </w:rPr>
                          <w:t>Realist review–a new method of systematic review designed for complex policy interventions.</w:t>
                        </w:r>
                      </w:hyperlink>
                      <w:r>
                        <w:rPr>
                          <w:sz w:val="18"/>
                          <w:szCs w:val="18"/>
                        </w:rPr>
                        <w:t> Journal of health services research &amp; policy, 10 (suppl 1), pp. 21-34.</w:t>
                      </w:r>
                    </w:p>
                    <w:p w:rsidR="005570DA" w:rsidRPr="00BA450C" w:rsidRDefault="005570DA" w:rsidP="00BA450C">
                      <w:pPr>
                        <w:pStyle w:val="HStandard"/>
                        <w:jc w:val="left"/>
                        <w:rPr>
                          <w:sz w:val="18"/>
                          <w:szCs w:val="18"/>
                        </w:rPr>
                      </w:pPr>
                      <w:r>
                        <w:rPr>
                          <w:sz w:val="18"/>
                          <w:szCs w:val="18"/>
                        </w:rPr>
                        <w:t>Wilson-Grau, R. (2015) </w:t>
                      </w:r>
                      <w:r>
                        <w:rPr>
                          <w:i/>
                          <w:sz w:val="18"/>
                          <w:szCs w:val="18"/>
                        </w:rPr>
                        <w:t>Outcome Harvesting</w:t>
                      </w:r>
                      <w:r>
                        <w:rPr>
                          <w:sz w:val="18"/>
                          <w:szCs w:val="18"/>
                        </w:rPr>
                        <w:t xml:space="preserve">. Better Evaluation. </w:t>
                      </w:r>
                      <w:r>
                        <w:t xml:space="preserve">Miksuba </w:t>
                      </w:r>
                      <w:r>
                        <w:rPr>
                          <w:sz w:val="18"/>
                          <w:szCs w:val="18"/>
                        </w:rPr>
                        <w:t>minn </w:t>
                      </w:r>
                      <w:hyperlink r:id="rId126" w:history="1">
                        <w:r>
                          <w:rPr>
                            <w:rStyle w:val="Hyperlink"/>
                            <w:sz w:val="18"/>
                            <w:szCs w:val="18"/>
                          </w:rPr>
                          <w:t>http://betterevaluation.org/plan/approach/outcome_harvesting</w:t>
                        </w:r>
                      </w:hyperlink>
                      <w:r>
                        <w:rPr>
                          <w:sz w:val="18"/>
                          <w:szCs w:val="18"/>
                        </w:rPr>
                        <w:t>.</w:t>
                      </w:r>
                    </w:p>
                  </w:txbxContent>
                </v:textbox>
              </v:shape>
            </w:pict>
          </mc:Fallback>
        </mc:AlternateContent>
      </w:r>
      <w:r w:rsidRPr="002B5B92">
        <w:rPr>
          <w:b/>
          <w:color w:val="57825E"/>
          <w:szCs w:val="20"/>
        </w:rPr>
        <w:t>Aktar qari</w:t>
      </w:r>
    </w:p>
    <w:p w:rsidR="00E05D08" w:rsidRPr="002B5B92" w:rsidRDefault="00E05D08" w:rsidP="00E05D08">
      <w:pPr>
        <w:spacing w:after="120" w:line="280" w:lineRule="atLeast"/>
        <w:mirrorIndents/>
        <w:rPr>
          <w:rFonts w:eastAsia="Times New Roman" w:cs="Times New Roman"/>
          <w:szCs w:val="20"/>
          <w:lang w:eastAsia="de-DE"/>
        </w:rPr>
      </w:pPr>
    </w:p>
    <w:p w:rsidR="000E0FE4" w:rsidRPr="002B5B92" w:rsidRDefault="000E0FE4" w:rsidP="0025413B">
      <w:pPr>
        <w:pStyle w:val="HHeading1"/>
        <w:tabs>
          <w:tab w:val="clear" w:pos="567"/>
        </w:tabs>
        <w:sectPr w:rsidR="000E0FE4" w:rsidRPr="002B5B92" w:rsidSect="001F6F07">
          <w:type w:val="continuous"/>
          <w:pgSz w:w="11907" w:h="16840" w:code="9"/>
          <w:pgMar w:top="1440" w:right="1440" w:bottom="1134" w:left="1440" w:header="567" w:footer="1020" w:gutter="0"/>
          <w:cols w:space="708"/>
          <w:titlePg/>
          <w:docGrid w:linePitch="435"/>
        </w:sectPr>
      </w:pPr>
      <w:bookmarkStart w:id="135" w:name="_Toc493151905"/>
      <w:bookmarkStart w:id="136" w:name="_Toc501382136"/>
    </w:p>
    <w:p w:rsidR="00E05D08" w:rsidRPr="002B5B92" w:rsidRDefault="00E05D08" w:rsidP="0025413B">
      <w:pPr>
        <w:pStyle w:val="HHeading1"/>
        <w:tabs>
          <w:tab w:val="clear" w:pos="567"/>
        </w:tabs>
      </w:pPr>
      <w:bookmarkStart w:id="137" w:name="_Toc508960926"/>
      <w:r w:rsidRPr="002B5B92">
        <w:lastRenderedPageBreak/>
        <w:t>ANNESSI</w:t>
      </w:r>
      <w:bookmarkEnd w:id="135"/>
      <w:bookmarkEnd w:id="136"/>
      <w:bookmarkEnd w:id="137"/>
    </w:p>
    <w:p w:rsidR="00E05D08" w:rsidRPr="002B5B92" w:rsidRDefault="00E05D08" w:rsidP="0025413B">
      <w:pPr>
        <w:pStyle w:val="HHeading2"/>
        <w:numPr>
          <w:ilvl w:val="1"/>
          <w:numId w:val="119"/>
        </w:numPr>
        <w:ind w:left="567" w:hanging="567"/>
      </w:pPr>
      <w:bookmarkStart w:id="138" w:name="_Toc476063939"/>
      <w:bookmarkStart w:id="139" w:name="_Toc476064206"/>
      <w:bookmarkStart w:id="140" w:name="_Toc476064501"/>
      <w:bookmarkStart w:id="141" w:name="_Toc476064561"/>
      <w:bookmarkStart w:id="142" w:name="_Toc493151906"/>
      <w:bookmarkStart w:id="143" w:name="_Toc501382137"/>
      <w:bookmarkStart w:id="144" w:name="_Toc508960927"/>
      <w:bookmarkEnd w:id="138"/>
      <w:bookmarkEnd w:id="139"/>
      <w:bookmarkEnd w:id="140"/>
      <w:bookmarkEnd w:id="141"/>
      <w:r w:rsidRPr="002B5B92">
        <w:t>Glossarju</w:t>
      </w:r>
      <w:bookmarkEnd w:id="142"/>
      <w:bookmarkEnd w:id="143"/>
      <w:bookmarkEnd w:id="144"/>
    </w:p>
    <w:p w:rsidR="0025413B" w:rsidRPr="002B5B92" w:rsidRDefault="0025413B" w:rsidP="0025413B">
      <w:pPr>
        <w:rPr>
          <w:rFonts w:eastAsia="Arial" w:cs="Arial"/>
          <w:b/>
          <w:color w:val="57825E"/>
          <w:szCs w:val="20"/>
        </w:rPr>
      </w:pPr>
      <w:r w:rsidRPr="002B5B92">
        <w:rPr>
          <w:b/>
          <w:color w:val="57825E"/>
          <w:szCs w:val="20"/>
        </w:rPr>
        <w:t>Eżitu favorevoli</w:t>
      </w:r>
    </w:p>
    <w:p w:rsidR="0025413B" w:rsidRPr="002B5B92" w:rsidRDefault="0025413B" w:rsidP="0025413B">
      <w:pPr>
        <w:rPr>
          <w:rFonts w:cs="Arial"/>
          <w:color w:val="404040" w:themeColor="background1" w:themeShade="40"/>
          <w:szCs w:val="20"/>
        </w:rPr>
      </w:pPr>
      <w:r w:rsidRPr="002B5B92">
        <w:rPr>
          <w:color w:val="404040" w:themeColor="background1" w:themeShade="40"/>
          <w:szCs w:val="20"/>
        </w:rPr>
        <w:t>Eżitu marbut mat-tliet perkorsi tal-innovazzjoni, bħal: 1.) l-identifikazzjoni u t-trawwim ta’ ideat innovattivi potenzjali; 2.) il-bini tal-kapaċità għall-innovazzjoni; u 3.) il-bini ta’ ambjent favorevoli għall-innovazzjoni. Dan jista’ jiġi espress bħala bidliet fil-klassifikazzjoni u l-kwalità ta’ ideat innovattivi emerġenti; bidliet fil-kapaċità għall-innovazzjoni; u bidliet fl-ambjent favorevoli.</w:t>
      </w:r>
    </w:p>
    <w:p w:rsidR="0025413B" w:rsidRPr="002B5B92" w:rsidRDefault="0025413B" w:rsidP="0025413B">
      <w:pPr>
        <w:rPr>
          <w:rFonts w:cs="Arial"/>
          <w:i/>
          <w:color w:val="404040" w:themeColor="background1" w:themeShade="40"/>
          <w:sz w:val="16"/>
          <w:szCs w:val="16"/>
        </w:rPr>
      </w:pPr>
      <w:r w:rsidRPr="002B5B92">
        <w:rPr>
          <w:i/>
          <w:color w:val="404040" w:themeColor="background1" w:themeShade="40"/>
          <w:sz w:val="16"/>
          <w:szCs w:val="16"/>
          <w:u w:val="single"/>
        </w:rPr>
        <w:t>Referenza</w:t>
      </w:r>
      <w:r w:rsidRPr="002B5B92">
        <w:rPr>
          <w:i/>
          <w:color w:val="404040" w:themeColor="background1" w:themeShade="40"/>
          <w:sz w:val="16"/>
          <w:szCs w:val="16"/>
        </w:rPr>
        <w:t>: TWG-4.</w:t>
      </w:r>
    </w:p>
    <w:p w:rsidR="002B5B92" w:rsidRPr="007B7A35" w:rsidRDefault="002B5B92" w:rsidP="002B5B92">
      <w:pPr>
        <w:rPr>
          <w:rFonts w:eastAsia="Arial" w:cs="Arial"/>
          <w:b/>
          <w:color w:val="57825E"/>
          <w:szCs w:val="20"/>
        </w:rPr>
      </w:pPr>
      <w:r w:rsidRPr="007B7A35">
        <w:rPr>
          <w:b/>
          <w:color w:val="57825E"/>
          <w:szCs w:val="20"/>
        </w:rPr>
        <w:t xml:space="preserve">Eżitu tal-innovazzjoni </w:t>
      </w:r>
    </w:p>
    <w:p w:rsidR="002B5B92" w:rsidRPr="007B7A35" w:rsidRDefault="002B5B92" w:rsidP="002B5B92">
      <w:pPr>
        <w:rPr>
          <w:rFonts w:cs="Arial"/>
          <w:color w:val="404040" w:themeColor="background1" w:themeShade="40"/>
          <w:szCs w:val="20"/>
        </w:rPr>
      </w:pPr>
      <w:r w:rsidRPr="007B7A35">
        <w:rPr>
          <w:color w:val="404040" w:themeColor="background1" w:themeShade="40"/>
          <w:szCs w:val="20"/>
        </w:rPr>
        <w:t>L-eżiti tal-innovazzjoni jirriżultaw mill-eżiti favorevoli (eż. prattiki ġodda, żieda fl-introjtu, l-adozzjoni ta’ prattiki tal-biedja aktar sostenibbli).</w:t>
      </w:r>
    </w:p>
    <w:p w:rsidR="002B5B92" w:rsidRPr="007B7A35" w:rsidRDefault="002B5B92" w:rsidP="002B5B92">
      <w:pPr>
        <w:rPr>
          <w:rFonts w:cs="Arial"/>
          <w:color w:val="404040" w:themeColor="background1" w:themeShade="40"/>
          <w:szCs w:val="20"/>
        </w:rPr>
      </w:pPr>
      <w:r w:rsidRPr="007B7A35">
        <w:rPr>
          <w:i/>
          <w:color w:val="404040" w:themeColor="background1" w:themeShade="40"/>
          <w:sz w:val="16"/>
          <w:szCs w:val="16"/>
          <w:u w:val="single"/>
        </w:rPr>
        <w:t>Referenza</w:t>
      </w:r>
      <w:r w:rsidRPr="007B7A35">
        <w:rPr>
          <w:i/>
          <w:color w:val="404040" w:themeColor="background1" w:themeShade="40"/>
          <w:sz w:val="16"/>
          <w:szCs w:val="16"/>
        </w:rPr>
        <w:t>: TWG-4, paġna 11.</w:t>
      </w:r>
    </w:p>
    <w:p w:rsidR="002B5B92" w:rsidRPr="00C06280" w:rsidRDefault="002B5B92" w:rsidP="002B5B92">
      <w:pPr>
        <w:rPr>
          <w:rFonts w:eastAsia="Arial" w:cs="Arial"/>
          <w:b/>
          <w:color w:val="57825E"/>
          <w:szCs w:val="20"/>
        </w:rPr>
      </w:pPr>
      <w:r w:rsidRPr="00C06280">
        <w:rPr>
          <w:b/>
          <w:color w:val="57825E"/>
          <w:szCs w:val="20"/>
        </w:rPr>
        <w:t>Gruppi operazzjonali</w:t>
      </w:r>
    </w:p>
    <w:p w:rsidR="002B5B92" w:rsidRPr="00C06280" w:rsidRDefault="002B5B92" w:rsidP="002B5B92">
      <w:pPr>
        <w:rPr>
          <w:rFonts w:cs="Arial"/>
          <w:color w:val="404040" w:themeColor="background1" w:themeShade="40"/>
          <w:szCs w:val="20"/>
        </w:rPr>
      </w:pPr>
      <w:r w:rsidRPr="00C06280">
        <w:rPr>
          <w:color w:val="404040" w:themeColor="background1" w:themeShade="40"/>
          <w:szCs w:val="20"/>
        </w:rPr>
        <w:t>Gruppi ta’ nies (bħal bdiewa, riċerkaturi, konsulenti, eċċ.) li jaħdmu flimkien fuq proġett ta’ innovazzjoni prattika b’objettivi konkreti.</w:t>
      </w:r>
    </w:p>
    <w:p w:rsidR="002B5B92" w:rsidRPr="00C06280" w:rsidRDefault="002B5B92" w:rsidP="002B5B92">
      <w:pPr>
        <w:rPr>
          <w:rFonts w:eastAsia="Times New Roman" w:cs="Arial"/>
          <w:color w:val="404040" w:themeColor="background1" w:themeShade="40"/>
          <w:szCs w:val="20"/>
        </w:rPr>
      </w:pPr>
      <w:r w:rsidRPr="00C06280">
        <w:rPr>
          <w:i/>
          <w:color w:val="404040" w:themeColor="background1" w:themeShade="40"/>
          <w:sz w:val="16"/>
          <w:szCs w:val="16"/>
          <w:u w:val="single"/>
        </w:rPr>
        <w:t>Referenza</w:t>
      </w:r>
      <w:r w:rsidRPr="00C06280">
        <w:rPr>
          <w:i/>
          <w:color w:val="404040" w:themeColor="background1" w:themeShade="40"/>
          <w:sz w:val="16"/>
          <w:szCs w:val="16"/>
        </w:rPr>
        <w:t xml:space="preserve">: EIP-AGRI brochure on innovation support services (Fuljett tal-EIP-AGRI dwar is-servizzi ta’ appoġġ għall-innovazzjoni): </w:t>
      </w:r>
      <w:hyperlink r:id="rId127" w:history="1">
        <w:r w:rsidRPr="00C06280">
          <w:rPr>
            <w:rStyle w:val="Hyperlink"/>
            <w:i/>
            <w:szCs w:val="16"/>
          </w:rPr>
          <w:t>https://ec.europa.eu/eip/agriculture/en/content/innovation-support-services</w:t>
        </w:r>
      </w:hyperlink>
    </w:p>
    <w:p w:rsidR="002B5B92" w:rsidRPr="00C06280" w:rsidRDefault="002B5B92" w:rsidP="002B5B92">
      <w:pPr>
        <w:rPr>
          <w:rFonts w:eastAsia="Arial" w:cs="Arial"/>
          <w:b/>
          <w:color w:val="57825E"/>
          <w:szCs w:val="20"/>
        </w:rPr>
      </w:pPr>
      <w:r w:rsidRPr="00C06280">
        <w:rPr>
          <w:b/>
          <w:color w:val="57825E"/>
          <w:szCs w:val="20"/>
        </w:rPr>
        <w:t>Innovazzjoni interattiva</w:t>
      </w:r>
    </w:p>
    <w:p w:rsidR="002B5B92" w:rsidRPr="00C06280" w:rsidRDefault="002B5B92" w:rsidP="002B5B92">
      <w:pPr>
        <w:rPr>
          <w:rFonts w:cs="Arial"/>
          <w:color w:val="404040" w:themeColor="background1" w:themeShade="40"/>
          <w:szCs w:val="20"/>
        </w:rPr>
      </w:pPr>
      <w:r w:rsidRPr="00C06280">
        <w:rPr>
          <w:color w:val="404040" w:themeColor="background1" w:themeShade="40"/>
          <w:szCs w:val="20"/>
        </w:rPr>
        <w:t>F’innovazzjoni (sistema) interattiva, l-elementi kostitwenti għall-innovazzjonijiet huma mistennija li jiġu mix-xjenza, iżda wkoll mill-prattika u l-intermedjarji, inklużi bdiewa, servizzi ta’ konsulenza, NGOs, riċerkaturi, eċċ. bħala atturi fi proċess minn isfel għal fuq. Innovazzjoni interattiva tinkludi l-għarfien (xi drabi taċitu) eżistenti li mhux dejjem ikun purament xjentifiku.</w:t>
      </w:r>
    </w:p>
    <w:p w:rsidR="002B5B92" w:rsidRPr="00C06280" w:rsidRDefault="002B5B92" w:rsidP="002B5B92">
      <w:pPr>
        <w:jc w:val="left"/>
        <w:rPr>
          <w:rFonts w:eastAsia="Times New Roman" w:cs="Arial"/>
          <w:color w:val="404040" w:themeColor="background1" w:themeShade="40"/>
          <w:szCs w:val="20"/>
        </w:rPr>
      </w:pPr>
      <w:r w:rsidRPr="00C06280">
        <w:rPr>
          <w:i/>
          <w:color w:val="404040" w:themeColor="background1" w:themeShade="40"/>
          <w:sz w:val="16"/>
          <w:szCs w:val="16"/>
          <w:u w:val="single"/>
        </w:rPr>
        <w:t>Referenza</w:t>
      </w:r>
      <w:r w:rsidRPr="00C06280">
        <w:rPr>
          <w:i/>
          <w:color w:val="404040" w:themeColor="background1" w:themeShade="40"/>
          <w:sz w:val="16"/>
          <w:szCs w:val="16"/>
        </w:rPr>
        <w:t xml:space="preserve">: Guidelines on programming for innovation and the implementation of the EIP for agricultural productivity and sustainability (Linji gwida dwar il-programmazzjoni għall-innovazzjoni u l-implimentazzjoni tal-EIP għall-produttività u s-sostenibbiltà fil-qasam agrikolu): </w:t>
      </w:r>
      <w:hyperlink r:id="rId128" w:history="1">
        <w:r w:rsidRPr="00C06280">
          <w:rPr>
            <w:rStyle w:val="Hyperlink"/>
            <w:i/>
            <w:szCs w:val="16"/>
          </w:rPr>
          <w:t>http://ec.europa.eu/eip/agriculture/sites/agri-eip/files/eip-guidelines-july-2014_en.pdf</w:t>
        </w:r>
      </w:hyperlink>
      <w:r w:rsidRPr="00C06280">
        <w:rPr>
          <w:i/>
          <w:color w:val="404040" w:themeColor="background1" w:themeShade="40"/>
          <w:sz w:val="16"/>
          <w:szCs w:val="16"/>
        </w:rPr>
        <w:t>.</w:t>
      </w:r>
    </w:p>
    <w:p w:rsidR="002B5B92" w:rsidRPr="00C06280" w:rsidRDefault="002B5B92" w:rsidP="002B5B92">
      <w:pPr>
        <w:rPr>
          <w:rFonts w:eastAsia="Arial" w:cs="Arial"/>
          <w:b/>
          <w:color w:val="57825E"/>
          <w:szCs w:val="20"/>
        </w:rPr>
      </w:pPr>
      <w:r w:rsidRPr="00C06280">
        <w:rPr>
          <w:b/>
          <w:color w:val="57825E"/>
          <w:szCs w:val="20"/>
        </w:rPr>
        <w:t xml:space="preserve">Innovazzjoni </w:t>
      </w:r>
      <w:r>
        <w:rPr>
          <w:b/>
          <w:color w:val="57825E"/>
          <w:szCs w:val="20"/>
        </w:rPr>
        <w:t>s</w:t>
      </w:r>
      <w:r w:rsidRPr="00C06280">
        <w:rPr>
          <w:b/>
          <w:color w:val="57825E"/>
          <w:szCs w:val="20"/>
        </w:rPr>
        <w:t>oċjali</w:t>
      </w:r>
    </w:p>
    <w:p w:rsidR="002B5B92" w:rsidRPr="00C06280" w:rsidRDefault="002B5B92" w:rsidP="002B5B92">
      <w:pPr>
        <w:rPr>
          <w:rFonts w:cs="Arial"/>
          <w:color w:val="404040" w:themeColor="background1" w:themeShade="40"/>
          <w:szCs w:val="20"/>
        </w:rPr>
      </w:pPr>
      <w:r w:rsidRPr="00C06280">
        <w:rPr>
          <w:color w:val="404040" w:themeColor="background1" w:themeShade="40"/>
          <w:szCs w:val="20"/>
        </w:rPr>
        <w:t xml:space="preserve">L-innovazzjoni soċjali tista’ tiġi definita bħala l-iżvilupp u l-implimentazzjoni ta’ ideat ġodda (prodotti, servizzi u mudelli) sabiex jiġu </w:t>
      </w:r>
      <w:r w:rsidRPr="00C06280">
        <w:rPr>
          <w:color w:val="404040" w:themeColor="background1" w:themeShade="40"/>
          <w:szCs w:val="20"/>
        </w:rPr>
        <w:t>ssodisfati l-ħtiġijiet soċjali u jinħolqu relazzjonijiet jew kollaborazzjonijiet soċjali ġodda.</w:t>
      </w:r>
    </w:p>
    <w:p w:rsidR="002B5B92" w:rsidRPr="00C06280" w:rsidRDefault="002B5B92" w:rsidP="002B5B92">
      <w:pPr>
        <w:rPr>
          <w:rFonts w:eastAsia="Arial" w:cs="Arial"/>
          <w:color w:val="404040" w:themeColor="background1" w:themeShade="40"/>
          <w:szCs w:val="20"/>
        </w:rPr>
      </w:pPr>
      <w:r w:rsidRPr="00C06280">
        <w:rPr>
          <w:i/>
          <w:color w:val="404040" w:themeColor="background1" w:themeShade="40"/>
          <w:sz w:val="16"/>
          <w:szCs w:val="16"/>
          <w:u w:val="single"/>
        </w:rPr>
        <w:t>Referenza</w:t>
      </w:r>
      <w:r w:rsidRPr="00C06280">
        <w:rPr>
          <w:i/>
          <w:color w:val="404040" w:themeColor="background1" w:themeShade="40"/>
          <w:sz w:val="16"/>
          <w:szCs w:val="16"/>
        </w:rPr>
        <w:t>: DG REGIO, DG EMPL, DG AGRI, eċċ. (2013) Gwida għall-Innovazzjoni Soċjali.</w:t>
      </w:r>
    </w:p>
    <w:p w:rsidR="002B5B92" w:rsidRPr="0004084F" w:rsidRDefault="002B5B92" w:rsidP="002B5B92">
      <w:pPr>
        <w:rPr>
          <w:rFonts w:eastAsia="Arial" w:cs="Arial"/>
          <w:b/>
          <w:color w:val="57825E"/>
          <w:szCs w:val="20"/>
        </w:rPr>
      </w:pPr>
      <w:r>
        <w:rPr>
          <w:b/>
          <w:color w:val="57825E"/>
          <w:szCs w:val="20"/>
        </w:rPr>
        <w:t>K</w:t>
      </w:r>
      <w:r w:rsidRPr="0004084F">
        <w:rPr>
          <w:b/>
          <w:color w:val="57825E"/>
          <w:szCs w:val="20"/>
        </w:rPr>
        <w:t>apaċità għall-innovazzjoni</w:t>
      </w:r>
    </w:p>
    <w:p w:rsidR="002B5B92" w:rsidRPr="0004084F" w:rsidRDefault="002B5B92" w:rsidP="002B5B92">
      <w:pPr>
        <w:rPr>
          <w:rFonts w:cs="Arial"/>
          <w:szCs w:val="20"/>
        </w:rPr>
      </w:pPr>
      <w:r w:rsidRPr="0004084F">
        <w:t>“Il-kapaċità kontinwa li jiġu kkombinati u jintużaw tipi differenti ta’ għarfien”.</w:t>
      </w:r>
    </w:p>
    <w:p w:rsidR="002B5B92" w:rsidRPr="0004084F" w:rsidRDefault="002B5B92" w:rsidP="002B5B92">
      <w:pPr>
        <w:rPr>
          <w:rFonts w:cs="Arial"/>
          <w:i/>
          <w:color w:val="404040" w:themeColor="background1" w:themeShade="40"/>
          <w:sz w:val="16"/>
          <w:szCs w:val="16"/>
        </w:rPr>
      </w:pPr>
      <w:r w:rsidRPr="0004084F">
        <w:rPr>
          <w:i/>
          <w:color w:val="404040" w:themeColor="background1" w:themeShade="40"/>
          <w:sz w:val="16"/>
          <w:szCs w:val="16"/>
          <w:u w:val="single"/>
        </w:rPr>
        <w:t>Referenza</w:t>
      </w:r>
      <w:r w:rsidRPr="0004084F">
        <w:rPr>
          <w:i/>
          <w:color w:val="404040" w:themeColor="background1" w:themeShade="40"/>
          <w:sz w:val="16"/>
          <w:szCs w:val="16"/>
        </w:rPr>
        <w:t xml:space="preserve">: Chuluunbaatar, D. u LeGrand, S., 2015. Enabling the capacity to innovate with a system-wide assessment process. Occasional Papers in Innovation in Family Farming. FAO, Ruma. </w:t>
      </w:r>
      <w:r w:rsidRPr="0004084F">
        <w:rPr>
          <w:rStyle w:val="Hyperlink"/>
          <w:i/>
          <w:szCs w:val="16"/>
        </w:rPr>
        <w:t>http://www.fao.org/3/a-i5097e.pdf</w:t>
      </w:r>
    </w:p>
    <w:p w:rsidR="002B5B92" w:rsidRPr="00C06280" w:rsidRDefault="002B5B92" w:rsidP="002B5B92">
      <w:pPr>
        <w:rPr>
          <w:rFonts w:eastAsia="Arial" w:cs="Arial"/>
          <w:b/>
          <w:color w:val="57825E"/>
          <w:szCs w:val="20"/>
        </w:rPr>
      </w:pPr>
      <w:r w:rsidRPr="00C06280">
        <w:rPr>
          <w:b/>
          <w:color w:val="57825E"/>
          <w:szCs w:val="20"/>
        </w:rPr>
        <w:t>Perkors tal-innovazzjoni</w:t>
      </w:r>
    </w:p>
    <w:p w:rsidR="002B5B92" w:rsidRPr="00C06280" w:rsidRDefault="002B5B92" w:rsidP="002B5B92">
      <w:pPr>
        <w:rPr>
          <w:rFonts w:cs="Arial"/>
          <w:color w:val="404040" w:themeColor="background1" w:themeShade="40"/>
          <w:szCs w:val="20"/>
        </w:rPr>
      </w:pPr>
      <w:r w:rsidRPr="00C06280">
        <w:rPr>
          <w:color w:val="404040" w:themeColor="background1" w:themeShade="40"/>
          <w:szCs w:val="20"/>
        </w:rPr>
        <w:t>Proċess li permezz tiegħu l-attivitajiet tal-PŻR jipproduċu outputs, riżultati u impatti li jikkontribwixxu sabiex jintlaħqu l-objettivi tal-PŻR, li jinfluwenzaw u jiġu influwenzati mis-sistema tal-innovazzjoni li fiha jseħħ.</w:t>
      </w:r>
    </w:p>
    <w:p w:rsidR="002B5B92" w:rsidRPr="00C06280" w:rsidRDefault="002B5B92" w:rsidP="002B5B92">
      <w:pPr>
        <w:rPr>
          <w:rFonts w:eastAsia="Arial" w:cs="Arial"/>
          <w:color w:val="404040" w:themeColor="background1" w:themeShade="40"/>
          <w:szCs w:val="20"/>
        </w:rPr>
      </w:pPr>
      <w:r w:rsidRPr="00C06280">
        <w:rPr>
          <w:i/>
          <w:color w:val="404040" w:themeColor="background1" w:themeShade="40"/>
          <w:sz w:val="16"/>
          <w:szCs w:val="16"/>
          <w:u w:val="single"/>
        </w:rPr>
        <w:t>Referenza</w:t>
      </w:r>
      <w:r w:rsidRPr="00C06280">
        <w:rPr>
          <w:i/>
          <w:color w:val="404040" w:themeColor="background1" w:themeShade="40"/>
          <w:sz w:val="16"/>
          <w:szCs w:val="16"/>
        </w:rPr>
        <w:t>: TWG-4, paġna 5.</w:t>
      </w:r>
    </w:p>
    <w:p w:rsidR="002B5B92" w:rsidRPr="002B5B92" w:rsidRDefault="002B5B92" w:rsidP="002B5B92">
      <w:pPr>
        <w:rPr>
          <w:rFonts w:eastAsia="Arial" w:cs="Arial"/>
          <w:b/>
          <w:color w:val="57825E"/>
          <w:szCs w:val="20"/>
        </w:rPr>
      </w:pPr>
      <w:r w:rsidRPr="002B5B92">
        <w:rPr>
          <w:b/>
          <w:color w:val="57825E"/>
          <w:szCs w:val="20"/>
        </w:rPr>
        <w:t xml:space="preserve">Potenzjal tal-innovazzjoni tal-PŻR </w:t>
      </w:r>
    </w:p>
    <w:p w:rsidR="002B5B92" w:rsidRPr="002B5B92" w:rsidRDefault="002B5B92" w:rsidP="002B5B92">
      <w:pPr>
        <w:rPr>
          <w:rFonts w:cs="Arial"/>
          <w:color w:val="404040" w:themeColor="background1" w:themeShade="40"/>
          <w:szCs w:val="20"/>
        </w:rPr>
      </w:pPr>
      <w:r w:rsidRPr="002B5B92">
        <w:rPr>
          <w:color w:val="404040" w:themeColor="background1" w:themeShade="40"/>
          <w:szCs w:val="20"/>
        </w:rPr>
        <w:t xml:space="preserve">Il-potenzjal tal-innovazzjoni tal-PŻR huwa l-punt safejn l-approċċ speċifiku tal-PŻR imfassal lejn l-innovazzjoni jista’ jrawwem l-innovazzjoni u jilħaq l-objettivi ta’ politika f’żoni rurali f’sistema jew kuntest ta’ innovazzjoni partikolari. </w:t>
      </w:r>
    </w:p>
    <w:p w:rsidR="002B5B92" w:rsidRPr="002B5B92" w:rsidRDefault="002B5B92" w:rsidP="002B5B92">
      <w:pPr>
        <w:rPr>
          <w:rFonts w:eastAsia="Arial" w:cs="Arial"/>
          <w:color w:val="404040" w:themeColor="background1" w:themeShade="40"/>
          <w:szCs w:val="20"/>
        </w:rPr>
      </w:pPr>
      <w:r w:rsidRPr="002B5B92">
        <w:rPr>
          <w:i/>
          <w:color w:val="404040" w:themeColor="background1" w:themeShade="40"/>
          <w:sz w:val="16"/>
          <w:szCs w:val="16"/>
          <w:u w:val="single"/>
        </w:rPr>
        <w:t>Referenza</w:t>
      </w:r>
      <w:r w:rsidRPr="002B5B92">
        <w:rPr>
          <w:i/>
          <w:color w:val="404040" w:themeColor="background1" w:themeShade="40"/>
          <w:sz w:val="16"/>
          <w:szCs w:val="16"/>
        </w:rPr>
        <w:t>: TWG-4.</w:t>
      </w:r>
    </w:p>
    <w:p w:rsidR="002B5B92" w:rsidRPr="000A39B6" w:rsidRDefault="002B5B92" w:rsidP="002B5B92">
      <w:pPr>
        <w:rPr>
          <w:rFonts w:eastAsia="Arial" w:cs="Arial"/>
          <w:b/>
          <w:color w:val="57825E"/>
          <w:szCs w:val="20"/>
        </w:rPr>
      </w:pPr>
      <w:r w:rsidRPr="000A39B6">
        <w:rPr>
          <w:b/>
          <w:color w:val="57825E"/>
          <w:szCs w:val="20"/>
        </w:rPr>
        <w:t>Raggruppament</w:t>
      </w:r>
    </w:p>
    <w:p w:rsidR="002B5B92" w:rsidRPr="000A39B6" w:rsidRDefault="002B5B92" w:rsidP="002B5B92">
      <w:pPr>
        <w:rPr>
          <w:rFonts w:cs="Arial"/>
          <w:color w:val="404040" w:themeColor="background1" w:themeShade="40"/>
          <w:szCs w:val="20"/>
        </w:rPr>
      </w:pPr>
      <w:r w:rsidRPr="000A39B6">
        <w:rPr>
          <w:color w:val="404040" w:themeColor="background1" w:themeShade="40"/>
          <w:szCs w:val="20"/>
        </w:rPr>
        <w:t>Raggruppament ta’ impriżi indipendenti, inklużi impriżi ġodda, impriżi żgħar, medji u kbar, kif ukoll korpi ta’ konsulenza u/jew organizzazzjonijiet ta’ riċerka - maħsuba biex jistimolaw attività ekonomika/innovattiva billi jippromwovu interazzjonijiet intensivi, jikkondividu faċilitajiet u jiskambjaw għarfien u kompetenzi, kif ukoll jikkontribwixxu b’mod effettiv għat-trasferiment tal-għarfien, in-netwerking u t-tixrid tal-informazzjoni fost l-impriżi fir-raggruppament.</w:t>
      </w:r>
    </w:p>
    <w:p w:rsidR="002B5B92" w:rsidRPr="000A39B6" w:rsidRDefault="002B5B92" w:rsidP="002B5B92">
      <w:pPr>
        <w:jc w:val="left"/>
        <w:rPr>
          <w:rFonts w:eastAsia="Times New Roman" w:cs="Arial"/>
          <w:i/>
          <w:color w:val="404040" w:themeColor="background1" w:themeShade="40"/>
          <w:sz w:val="16"/>
          <w:szCs w:val="16"/>
        </w:rPr>
      </w:pPr>
      <w:r w:rsidRPr="000A39B6">
        <w:rPr>
          <w:i/>
          <w:color w:val="404040" w:themeColor="background1" w:themeShade="40"/>
          <w:sz w:val="16"/>
          <w:szCs w:val="16"/>
          <w:u w:val="single"/>
        </w:rPr>
        <w:t>Referenza</w:t>
      </w:r>
      <w:r w:rsidRPr="000A39B6">
        <w:rPr>
          <w:i/>
          <w:color w:val="404040" w:themeColor="background1" w:themeShade="40"/>
          <w:sz w:val="16"/>
          <w:szCs w:val="16"/>
        </w:rPr>
        <w:t xml:space="preserve">: </w:t>
      </w:r>
      <w:r w:rsidRPr="000A39B6">
        <w:rPr>
          <w:rFonts w:cs="Arial"/>
          <w:i/>
          <w:color w:val="404040" w:themeColor="background1" w:themeShade="40"/>
          <w:sz w:val="16"/>
          <w:szCs w:val="16"/>
          <w:lang w:eastAsia="fr-FR"/>
        </w:rPr>
        <w:t>Guidance document “Co-operation" measure, November 2014</w:t>
      </w:r>
      <w:r w:rsidRPr="000A39B6">
        <w:rPr>
          <w:i/>
          <w:color w:val="404040" w:themeColor="background1" w:themeShade="40"/>
          <w:sz w:val="16"/>
          <w:szCs w:val="16"/>
        </w:rPr>
        <w:t xml:space="preserve">: </w:t>
      </w:r>
      <w:hyperlink r:id="rId129" w:history="1">
        <w:r w:rsidRPr="000A39B6">
          <w:rPr>
            <w:rStyle w:val="Hyperlink"/>
            <w:i/>
            <w:szCs w:val="16"/>
          </w:rPr>
          <w:t>http://ec.europa.eu/eip/agriculture/sites/agri-eip/files/16_measure_fiche_art_35_co-operation.pdf</w:t>
        </w:r>
      </w:hyperlink>
    </w:p>
    <w:p w:rsidR="002B5B92" w:rsidRPr="009435DF" w:rsidRDefault="002B5B92" w:rsidP="002B5B92">
      <w:pPr>
        <w:rPr>
          <w:rFonts w:eastAsia="Arial" w:cs="Arial"/>
          <w:b/>
          <w:color w:val="57825E"/>
          <w:szCs w:val="20"/>
        </w:rPr>
      </w:pPr>
      <w:r>
        <w:rPr>
          <w:b/>
          <w:color w:val="57825E"/>
          <w:szCs w:val="20"/>
        </w:rPr>
        <w:t>S</w:t>
      </w:r>
      <w:r w:rsidRPr="009435DF">
        <w:rPr>
          <w:b/>
          <w:color w:val="57825E"/>
          <w:szCs w:val="20"/>
        </w:rPr>
        <w:t>ervizzi ta’ appoġġ għall-innovazzjoni</w:t>
      </w:r>
    </w:p>
    <w:p w:rsidR="002B5B92" w:rsidRPr="009435DF" w:rsidRDefault="002B5B92" w:rsidP="002B5B92">
      <w:pPr>
        <w:rPr>
          <w:rFonts w:cs="Arial"/>
          <w:color w:val="404040" w:themeColor="background1" w:themeShade="40"/>
          <w:szCs w:val="20"/>
        </w:rPr>
      </w:pPr>
      <w:r w:rsidRPr="009435DF">
        <w:rPr>
          <w:color w:val="404040" w:themeColor="background1" w:themeShade="40"/>
          <w:szCs w:val="20"/>
        </w:rPr>
        <w:t>Is-servizzi ta’ appoġġ għall-innovazzjoni jaħdmu bl-użu ta’ mudelli li huma adatti għall-kundizzjonijiet lokali u jista’ jkollhom irwol importanti sabiex iġibu n-nies addattati fil-proġetti, jgħaqqdu l-bdiewa u l-konsulenti mar-</w:t>
      </w:r>
      <w:r w:rsidRPr="009435DF">
        <w:rPr>
          <w:color w:val="404040" w:themeColor="background1" w:themeShade="40"/>
          <w:szCs w:val="20"/>
        </w:rPr>
        <w:lastRenderedPageBreak/>
        <w:t>riċerkaturi u jgħinu sabiex jidentifikaw il-finanzjament.</w:t>
      </w:r>
    </w:p>
    <w:p w:rsidR="002B5B92" w:rsidRPr="009435DF" w:rsidRDefault="002B5B92" w:rsidP="002B5B92">
      <w:pPr>
        <w:rPr>
          <w:rFonts w:cs="Arial"/>
          <w:color w:val="404040" w:themeColor="background1" w:themeShade="40"/>
          <w:szCs w:val="20"/>
        </w:rPr>
      </w:pPr>
      <w:r w:rsidRPr="009435DF">
        <w:rPr>
          <w:i/>
          <w:color w:val="404040" w:themeColor="background1" w:themeShade="40"/>
          <w:sz w:val="16"/>
          <w:szCs w:val="16"/>
          <w:u w:val="single"/>
        </w:rPr>
        <w:t>Referenza</w:t>
      </w:r>
      <w:r w:rsidRPr="009435DF">
        <w:rPr>
          <w:i/>
          <w:color w:val="404040" w:themeColor="background1" w:themeShade="40"/>
          <w:sz w:val="16"/>
          <w:szCs w:val="16"/>
        </w:rPr>
        <w:t xml:space="preserve">: EIP-AGRI brochure on innovation support services (Fuljett tal-EIP-AGRI dwar is-servizzi ta’ appoġġ għall-innovazzjoni): </w:t>
      </w:r>
      <w:hyperlink r:id="rId130" w:history="1">
        <w:r w:rsidRPr="009435DF">
          <w:rPr>
            <w:rStyle w:val="Hyperlink"/>
            <w:i/>
            <w:szCs w:val="16"/>
          </w:rPr>
          <w:t>https://ec.europa.eu/eip/agriculture/en/content/innovation-support-services</w:t>
        </w:r>
      </w:hyperlink>
      <w:r w:rsidRPr="009435DF">
        <w:rPr>
          <w:i/>
          <w:color w:val="404040" w:themeColor="background1" w:themeShade="40"/>
          <w:sz w:val="16"/>
          <w:szCs w:val="16"/>
        </w:rPr>
        <w:t>.</w:t>
      </w:r>
    </w:p>
    <w:p w:rsidR="0025413B" w:rsidRPr="002B5B92" w:rsidRDefault="0025413B" w:rsidP="0025413B">
      <w:pPr>
        <w:rPr>
          <w:rFonts w:eastAsia="Arial" w:cs="Arial"/>
          <w:b/>
          <w:color w:val="57825E"/>
          <w:szCs w:val="20"/>
        </w:rPr>
      </w:pPr>
      <w:r w:rsidRPr="002B5B92">
        <w:rPr>
          <w:b/>
          <w:color w:val="57825E"/>
          <w:szCs w:val="20"/>
        </w:rPr>
        <w:t>Sħubija Ewropea għall-Innovazzjoni</w:t>
      </w:r>
    </w:p>
    <w:p w:rsidR="0025413B" w:rsidRPr="002B5B92" w:rsidRDefault="0025413B" w:rsidP="0025413B">
      <w:pPr>
        <w:rPr>
          <w:rFonts w:cs="Arial"/>
          <w:color w:val="404040" w:themeColor="background1" w:themeShade="40"/>
          <w:szCs w:val="20"/>
        </w:rPr>
      </w:pPr>
      <w:r w:rsidRPr="002B5B92">
        <w:rPr>
          <w:color w:val="404040" w:themeColor="background1" w:themeShade="40"/>
          <w:szCs w:val="20"/>
        </w:rPr>
        <w:t>Bħala parti mill-inizjattiva emblematika tal-Unjoni ta’ Innovazzjoni, hija approċċ għar-riċerka u l-innovazzjoni tal-UE. Hija xprunata mill-isfidi, taġixxi tul il-katina kollha tar-riċerka u l-innovazzjoni u tarmonizza, tissimplifika u tikkoordina aħjar l-istrumenti u l-inizjattivi eżistenti.</w:t>
      </w:r>
    </w:p>
    <w:p w:rsidR="0025413B" w:rsidRPr="002B5B92" w:rsidRDefault="0025413B" w:rsidP="0025413B">
      <w:pPr>
        <w:rPr>
          <w:rFonts w:eastAsia="Times New Roman" w:cs="Arial"/>
          <w:color w:val="404040" w:themeColor="background1" w:themeShade="40"/>
          <w:szCs w:val="20"/>
        </w:rPr>
      </w:pPr>
      <w:r w:rsidRPr="002B5B92">
        <w:rPr>
          <w:i/>
          <w:color w:val="404040" w:themeColor="background1" w:themeShade="40"/>
          <w:sz w:val="16"/>
          <w:szCs w:val="16"/>
          <w:u w:val="single"/>
        </w:rPr>
        <w:t>Referenza</w:t>
      </w:r>
      <w:r w:rsidRPr="002B5B92">
        <w:rPr>
          <w:i/>
          <w:color w:val="404040" w:themeColor="background1" w:themeShade="40"/>
          <w:sz w:val="16"/>
          <w:szCs w:val="16"/>
        </w:rPr>
        <w:t xml:space="preserve">: Il-Komunikazzjoni mill-Kummissjoni lill-Parlament Ewropew, lill-Kunsill, lill-Kumitat Ekonomiku u Soċjali Ewropew u lill-Kumitat tar-Reġjuni Ewropa 2020. Flagship Initiative Innovation Union (Inizjattiva Emblematika “Unjoni ta’ Innovazzjoni”) (2010) </w:t>
      </w:r>
      <w:hyperlink r:id="rId131" w:history="1">
        <w:r w:rsidRPr="002B5B92">
          <w:rPr>
            <w:rStyle w:val="Hyperlink"/>
            <w:i/>
            <w:szCs w:val="16"/>
          </w:rPr>
          <w:t>https://ec.europa.eu/research/innovation-union/pdf/innovation-union-communication_en.pdf</w:t>
        </w:r>
      </w:hyperlink>
    </w:p>
    <w:p w:rsidR="0025413B" w:rsidRPr="002B5B92" w:rsidRDefault="0025413B" w:rsidP="000E0FE4">
      <w:pPr>
        <w:jc w:val="left"/>
        <w:rPr>
          <w:rFonts w:eastAsia="Arial" w:cs="Arial"/>
          <w:b/>
          <w:color w:val="57825E"/>
          <w:szCs w:val="20"/>
        </w:rPr>
      </w:pPr>
      <w:r w:rsidRPr="002B5B92">
        <w:rPr>
          <w:b/>
          <w:color w:val="57825E"/>
          <w:szCs w:val="20"/>
        </w:rPr>
        <w:t>Sħubija Ewropea għall-Innovazzjoni “Il-Produttività u s-Sostenibbiltà fil-Qasam Agrikolu” (EIP AGRI)</w:t>
      </w:r>
    </w:p>
    <w:p w:rsidR="0025413B" w:rsidRPr="002B5B92" w:rsidRDefault="0025413B" w:rsidP="0025413B">
      <w:pPr>
        <w:rPr>
          <w:rFonts w:cs="Arial"/>
          <w:szCs w:val="20"/>
        </w:rPr>
      </w:pPr>
      <w:r w:rsidRPr="002B5B92">
        <w:t>L-EIP AGRI, li tnediet mill-Kummissjoni Ewropea fl-2012, hija s-Sħubija Ewropea għall-Innovazzjoni li tiffoka fuq is-setturi tal-agrikoltura u tal-forestrija. L-EIP AGRI tlaqqa’ flimkien atturi tal-innovazzjoni u toħloq sinerġiji bejn il-politiki eżistenti. L-għan fundamentali tagħha huwa li trawwem il-kompetittività u s-sostenibbiltà f’dawn is-setturi, sabiex b’hekk tikkontribwixxi għal: l-iżgurar ta’ provvista stabbli ta’ ikel, għalf u bijomaterjali u l-ġestjoni sostenibbli tar-riżorsi naturali essenzjali li fuqhom jiddependu l-biedja u l-forestrija billi jaħdmu f’armonija mal-ambjent.</w:t>
      </w:r>
    </w:p>
    <w:p w:rsidR="0025413B" w:rsidRPr="002B5B92" w:rsidRDefault="0025413B" w:rsidP="0025413B">
      <w:pPr>
        <w:spacing w:after="120" w:line="280" w:lineRule="atLeast"/>
        <w:jc w:val="left"/>
        <w:rPr>
          <w:rFonts w:cs="Arial"/>
          <w:i/>
          <w:color w:val="404040" w:themeColor="background1" w:themeShade="40"/>
          <w:sz w:val="16"/>
          <w:szCs w:val="16"/>
        </w:rPr>
      </w:pPr>
      <w:r w:rsidRPr="002B5B92">
        <w:rPr>
          <w:i/>
          <w:color w:val="404040" w:themeColor="background1" w:themeShade="40"/>
          <w:sz w:val="16"/>
          <w:szCs w:val="16"/>
          <w:u w:val="single"/>
        </w:rPr>
        <w:t>Referenza</w:t>
      </w:r>
      <w:r w:rsidRPr="002B5B92">
        <w:rPr>
          <w:i/>
          <w:color w:val="404040" w:themeColor="background1" w:themeShade="40"/>
          <w:sz w:val="16"/>
          <w:szCs w:val="16"/>
        </w:rPr>
        <w:t xml:space="preserve">: Evaluation study of the implementation of the European Innovation Partnership for Agricultural </w:t>
      </w:r>
      <w:r w:rsidRPr="002B5B92">
        <w:rPr>
          <w:i/>
          <w:color w:val="404040" w:themeColor="background1" w:themeShade="40"/>
          <w:sz w:val="16"/>
          <w:szCs w:val="16"/>
        </w:rPr>
        <w:t>Productivity and Sustainability (Studju ta’ evalwazzjoni tal-implimentazzjoni tas-Sħubija Ewropea għall-Innovazzjoni għall-Produttività u s-Sostenibbiltà fil-Qasam Agrikolu)</w:t>
      </w:r>
      <w:r w:rsidRPr="002B5B92">
        <w:rPr>
          <w:i/>
          <w:color w:val="F07E31"/>
          <w:sz w:val="16"/>
          <w:szCs w:val="16"/>
          <w:u w:val="single"/>
        </w:rPr>
        <w:t>https://ec.europa.eu/agriculture/external-studies/2016-eip_en</w:t>
      </w:r>
    </w:p>
    <w:p w:rsidR="0025413B" w:rsidRPr="002B5B92" w:rsidRDefault="0025413B" w:rsidP="0025413B">
      <w:pPr>
        <w:jc w:val="left"/>
        <w:rPr>
          <w:rFonts w:eastAsia="Times New Roman" w:cs="Arial"/>
          <w:i/>
          <w:szCs w:val="20"/>
        </w:rPr>
      </w:pPr>
      <w:r w:rsidRPr="002B5B92">
        <w:rPr>
          <w:i/>
          <w:color w:val="404040" w:themeColor="background1" w:themeShade="40"/>
          <w:sz w:val="16"/>
          <w:szCs w:val="16"/>
        </w:rPr>
        <w:t xml:space="preserve">Communication from the Commission to the European Parliament and the Council on the European Innovation Partnership 'Agricultural Productivity and Sustainability’ (Komunikazzjoni mill-Kummissjoni lill-Parlament Ewropew u l-Kunsill dwar is-Sħubija Ewropea għall-Innovazzjoni ‘Produttività u Sostenibbiltà fil-Qasam Agrikolu’ (2012) </w:t>
      </w:r>
      <w:hyperlink r:id="rId132" w:history="1">
        <w:r w:rsidRPr="002B5B92">
          <w:rPr>
            <w:rStyle w:val="Hyperlink"/>
            <w:i/>
            <w:szCs w:val="16"/>
          </w:rPr>
          <w:t>https://ec.europa.eu/eip/agriculture/sites/agri-eip/files/communication_on_eip_-_en.pdf</w:t>
        </w:r>
      </w:hyperlink>
    </w:p>
    <w:p w:rsidR="0025413B" w:rsidRPr="002B5B92" w:rsidRDefault="0025413B" w:rsidP="0025413B">
      <w:pPr>
        <w:rPr>
          <w:rFonts w:eastAsia="Arial" w:cs="Arial"/>
          <w:b/>
          <w:color w:val="57825E"/>
          <w:szCs w:val="20"/>
        </w:rPr>
      </w:pPr>
      <w:r w:rsidRPr="002B5B92">
        <w:rPr>
          <w:b/>
          <w:color w:val="57825E"/>
          <w:szCs w:val="20"/>
        </w:rPr>
        <w:t>Sistema ta’ innovazzjoni</w:t>
      </w:r>
    </w:p>
    <w:p w:rsidR="0025413B" w:rsidRPr="002B5B92" w:rsidRDefault="0025413B" w:rsidP="0025413B">
      <w:pPr>
        <w:rPr>
          <w:rFonts w:cs="Arial"/>
          <w:color w:val="404040" w:themeColor="background1" w:themeShade="40"/>
          <w:szCs w:val="20"/>
        </w:rPr>
      </w:pPr>
      <w:r w:rsidRPr="002B5B92">
        <w:rPr>
          <w:color w:val="404040" w:themeColor="background1" w:themeShade="40"/>
          <w:szCs w:val="20"/>
        </w:rPr>
        <w:t>“Il-gruppi ta’ organizzazzjonijiet u individwi involuti fil-ġenerazzjoni, id-diffużjoni u l-adattament, u l-użu ta’ għarfien ta’ sinifikat soċjoekonomiku, kif ukoll il-kuntest istituzzjonali li jirregola l-mod kif iseħħu dawn l-interazzjonijiet u proċessi.”</w:t>
      </w:r>
    </w:p>
    <w:p w:rsidR="0025413B" w:rsidRPr="002B5B92" w:rsidRDefault="0025413B" w:rsidP="0025413B">
      <w:pPr>
        <w:rPr>
          <w:rFonts w:cs="Arial"/>
          <w:color w:val="404040" w:themeColor="background1" w:themeShade="40"/>
          <w:szCs w:val="20"/>
        </w:rPr>
      </w:pPr>
      <w:r w:rsidRPr="002B5B92">
        <w:rPr>
          <w:i/>
          <w:color w:val="404040" w:themeColor="background1" w:themeShade="40"/>
          <w:sz w:val="16"/>
          <w:szCs w:val="16"/>
          <w:u w:val="single"/>
        </w:rPr>
        <w:t>Referenza</w:t>
      </w:r>
      <w:r w:rsidRPr="002B5B92">
        <w:rPr>
          <w:i/>
          <w:color w:val="404040" w:themeColor="background1" w:themeShade="40"/>
          <w:sz w:val="16"/>
          <w:szCs w:val="16"/>
        </w:rPr>
        <w:t>: Hall, A., S. Rasheed, N. Clark, u B. Yoganand. 2003. From measuring impact to learning institutional lessons: an innovation system’s perspective on improving the management of international agricultural research. Agricultural Systems 78: 213-241.</w:t>
      </w:r>
    </w:p>
    <w:p w:rsidR="0025413B" w:rsidRPr="002B5B92" w:rsidRDefault="0025413B" w:rsidP="0025413B">
      <w:pPr>
        <w:rPr>
          <w:rFonts w:eastAsia="Arial" w:cs="Arial"/>
          <w:b/>
          <w:color w:val="57825E"/>
          <w:szCs w:val="20"/>
        </w:rPr>
      </w:pPr>
      <w:r w:rsidRPr="002B5B92">
        <w:rPr>
          <w:b/>
          <w:color w:val="57825E"/>
          <w:szCs w:val="20"/>
        </w:rPr>
        <w:t>Skambji tematiċi u analitiċi</w:t>
      </w:r>
    </w:p>
    <w:p w:rsidR="0025413B" w:rsidRPr="002B5B92" w:rsidRDefault="0025413B" w:rsidP="0025413B">
      <w:pPr>
        <w:rPr>
          <w:rFonts w:cs="Arial"/>
          <w:color w:val="404040" w:themeColor="background1" w:themeShade="40"/>
          <w:szCs w:val="20"/>
        </w:rPr>
      </w:pPr>
      <w:r w:rsidRPr="002B5B92">
        <w:rPr>
          <w:color w:val="404040" w:themeColor="background1" w:themeShade="40"/>
          <w:szCs w:val="20"/>
        </w:rPr>
        <w:t xml:space="preserve">L-iskambji jistgħu jiġu promossi min-NRN f’forom differenti. L-aktar forma komuni ta’ skambji tematiċi żviluppati min-NRN kienet il-Gruppi ta’ Ħidma Tematiċi permanenti jew </w:t>
      </w:r>
      <w:r w:rsidRPr="002B5B92">
        <w:rPr>
          <w:i/>
          <w:color w:val="404040" w:themeColor="background1" w:themeShade="40"/>
          <w:szCs w:val="20"/>
        </w:rPr>
        <w:t xml:space="preserve">ad hoc </w:t>
      </w:r>
      <w:r w:rsidRPr="002B5B92">
        <w:rPr>
          <w:color w:val="404040" w:themeColor="background1" w:themeShade="40"/>
          <w:szCs w:val="20"/>
        </w:rPr>
        <w:t>(TWGs). It-TWGs tan-NRN ilaqqgħu flimkien diversi partijiet ikkonċernati sabiex jiddiskutu, janalizzaw u jikkondividu informazzjoni dwar suġġetti komuni, li ta’ spiss jirriżultaw f’rakkomandazzjonijiet relatati mal-implimentazzjoni u l-programmazzjoni tal-PŻR.</w:t>
      </w:r>
    </w:p>
    <w:p w:rsidR="0025413B" w:rsidRPr="002B5B92" w:rsidRDefault="0025413B" w:rsidP="0025413B">
      <w:pPr>
        <w:jc w:val="left"/>
        <w:rPr>
          <w:rFonts w:eastAsia="Arial" w:cs="Arial"/>
          <w:color w:val="404040" w:themeColor="background1" w:themeShade="40"/>
          <w:szCs w:val="20"/>
        </w:rPr>
      </w:pPr>
      <w:r w:rsidRPr="002B5B92">
        <w:rPr>
          <w:i/>
          <w:color w:val="404040" w:themeColor="background1" w:themeShade="40"/>
          <w:sz w:val="16"/>
          <w:szCs w:val="16"/>
          <w:u w:val="single"/>
        </w:rPr>
        <w:t xml:space="preserve"> Referenza</w:t>
      </w:r>
      <w:r w:rsidRPr="002B5B92">
        <w:rPr>
          <w:i/>
          <w:color w:val="404040" w:themeColor="background1" w:themeShade="40"/>
          <w:sz w:val="16"/>
          <w:szCs w:val="16"/>
        </w:rPr>
        <w:t xml:space="preserve">: NRN guidebook: </w:t>
      </w:r>
      <w:hyperlink r:id="rId133" w:history="1">
        <w:r w:rsidRPr="002B5B92">
          <w:rPr>
            <w:rStyle w:val="Hyperlink"/>
            <w:i/>
            <w:szCs w:val="16"/>
          </w:rPr>
          <w:t>http://enrd.ec.europa.eu/enrd-static/app_templates/enrd_assets/pdf/guidebook/nrn_handbook_webversion.pdf</w:t>
        </w:r>
      </w:hyperlink>
    </w:p>
    <w:p w:rsidR="0025413B" w:rsidRPr="002B5B92" w:rsidRDefault="0025413B" w:rsidP="0025413B">
      <w:pPr>
        <w:rPr>
          <w:rFonts w:cs="Arial"/>
          <w:color w:val="404040" w:themeColor="background1" w:themeShade="40"/>
          <w:szCs w:val="20"/>
        </w:rPr>
        <w:sectPr w:rsidR="0025413B" w:rsidRPr="002B5B92" w:rsidSect="001F6F07">
          <w:type w:val="continuous"/>
          <w:pgSz w:w="11907" w:h="16840" w:code="9"/>
          <w:pgMar w:top="1440" w:right="1440" w:bottom="1134" w:left="1440" w:header="567" w:footer="1020" w:gutter="0"/>
          <w:cols w:num="2" w:space="708"/>
          <w:titlePg/>
          <w:docGrid w:linePitch="435"/>
        </w:sectPr>
      </w:pPr>
    </w:p>
    <w:p w:rsidR="0025413B" w:rsidRPr="002B5B92" w:rsidRDefault="0025413B" w:rsidP="001319A0">
      <w:pPr>
        <w:pStyle w:val="HStandard"/>
      </w:pPr>
    </w:p>
    <w:p w:rsidR="00E05D08" w:rsidRPr="002B5B92" w:rsidRDefault="00E05D08" w:rsidP="00E05D08">
      <w:pPr>
        <w:spacing w:before="60" w:after="140" w:line="220" w:lineRule="atLeast"/>
        <w:rPr>
          <w:rFonts w:eastAsia="Times New Roman" w:cs="Times New Roman"/>
          <w:sz w:val="18"/>
          <w:szCs w:val="24"/>
          <w:lang w:val="it-IT" w:eastAsia="de-DE"/>
        </w:rPr>
        <w:sectPr w:rsidR="00E05D08" w:rsidRPr="002B5B92" w:rsidSect="00400064">
          <w:endnotePr>
            <w:numFmt w:val="decimal"/>
          </w:endnotePr>
          <w:type w:val="continuous"/>
          <w:pgSz w:w="11907" w:h="16840" w:code="9"/>
          <w:pgMar w:top="1440" w:right="1440" w:bottom="1134" w:left="1440" w:header="567" w:footer="709" w:gutter="0"/>
          <w:cols w:space="708"/>
          <w:noEndnote/>
          <w:titlePg/>
          <w:docGrid w:linePitch="360"/>
        </w:sectPr>
      </w:pPr>
    </w:p>
    <w:p w:rsidR="00E05D08" w:rsidRPr="002B5B92" w:rsidRDefault="00E05D08" w:rsidP="0025413B">
      <w:pPr>
        <w:pStyle w:val="HHeading2"/>
        <w:numPr>
          <w:ilvl w:val="1"/>
          <w:numId w:val="119"/>
        </w:numPr>
        <w:ind w:left="567" w:hanging="567"/>
      </w:pPr>
      <w:bookmarkStart w:id="145" w:name="_Toc493151908"/>
      <w:bookmarkStart w:id="146" w:name="_Toc501382138"/>
      <w:bookmarkStart w:id="147" w:name="_Toc508960928"/>
      <w:r w:rsidRPr="002B5B92">
        <w:lastRenderedPageBreak/>
        <w:t>L-identifikazzjoni tal-potenzjal tal-innovazzjoni tal-PŻR: pass pass</w:t>
      </w:r>
      <w:bookmarkEnd w:id="145"/>
      <w:bookmarkEnd w:id="146"/>
      <w:bookmarkEnd w:id="147"/>
    </w:p>
    <w:tbl>
      <w:tblPr>
        <w:tblStyle w:val="TableGrid3"/>
        <w:tblW w:w="148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80"/>
        <w:gridCol w:w="3260"/>
        <w:gridCol w:w="2268"/>
        <w:gridCol w:w="2693"/>
        <w:gridCol w:w="2268"/>
        <w:gridCol w:w="2410"/>
      </w:tblGrid>
      <w:tr w:rsidR="00E05D08" w:rsidRPr="002B5B92" w:rsidTr="00E05D08">
        <w:trPr>
          <w:trHeight w:val="294"/>
        </w:trPr>
        <w:tc>
          <w:tcPr>
            <w:tcW w:w="1980" w:type="dxa"/>
            <w:shd w:val="clear" w:color="auto" w:fill="F07E31"/>
          </w:tcPr>
          <w:p w:rsidR="00E05D08" w:rsidRPr="002B5B92" w:rsidRDefault="00E05D08" w:rsidP="00E05D08">
            <w:pPr>
              <w:tabs>
                <w:tab w:val="right" w:pos="2885"/>
              </w:tabs>
              <w:spacing w:before="120" w:after="120" w:line="280" w:lineRule="atLeast"/>
              <w:jc w:val="center"/>
              <w:rPr>
                <w:rFonts w:cs="Arial"/>
                <w:b/>
                <w:color w:val="FFFFFF"/>
                <w:sz w:val="18"/>
                <w:szCs w:val="18"/>
              </w:rPr>
            </w:pPr>
            <w:r w:rsidRPr="002B5B92">
              <w:rPr>
                <w:b/>
                <w:color w:val="FFFFFF"/>
                <w:sz w:val="18"/>
                <w:szCs w:val="18"/>
              </w:rPr>
              <w:t>Passi</w:t>
            </w:r>
          </w:p>
        </w:tc>
        <w:tc>
          <w:tcPr>
            <w:tcW w:w="3260" w:type="dxa"/>
            <w:shd w:val="clear" w:color="auto" w:fill="F07E31"/>
          </w:tcPr>
          <w:p w:rsidR="00E05D08" w:rsidRPr="002B5B92" w:rsidRDefault="00E05D08" w:rsidP="00E05D08">
            <w:pPr>
              <w:spacing w:before="120" w:after="120" w:line="280" w:lineRule="atLeast"/>
              <w:jc w:val="center"/>
              <w:rPr>
                <w:rFonts w:cs="Arial"/>
                <w:b/>
                <w:color w:val="FFFFFF"/>
                <w:sz w:val="18"/>
                <w:szCs w:val="18"/>
              </w:rPr>
            </w:pPr>
            <w:r w:rsidRPr="002B5B92">
              <w:rPr>
                <w:b/>
                <w:color w:val="FFFFFF"/>
                <w:sz w:val="18"/>
                <w:szCs w:val="18"/>
              </w:rPr>
              <w:t xml:space="preserve">Mistoqsija ewlenija li għandha tiġi mwieġba </w:t>
            </w:r>
          </w:p>
        </w:tc>
        <w:tc>
          <w:tcPr>
            <w:tcW w:w="2268" w:type="dxa"/>
            <w:shd w:val="clear" w:color="auto" w:fill="F07E31"/>
          </w:tcPr>
          <w:p w:rsidR="00E05D08" w:rsidRPr="002B5B92" w:rsidRDefault="00E05D08" w:rsidP="00E05D08">
            <w:pPr>
              <w:spacing w:before="120" w:after="120" w:line="280" w:lineRule="atLeast"/>
              <w:jc w:val="center"/>
              <w:rPr>
                <w:rFonts w:cs="Arial"/>
                <w:b/>
                <w:color w:val="FFFFFF"/>
                <w:sz w:val="18"/>
                <w:szCs w:val="18"/>
              </w:rPr>
            </w:pPr>
            <w:r w:rsidRPr="002B5B92">
              <w:rPr>
                <w:b/>
                <w:color w:val="FFFFFF"/>
                <w:sz w:val="18"/>
                <w:szCs w:val="18"/>
              </w:rPr>
              <w:t>Fejn fil-PŻR?</w:t>
            </w:r>
          </w:p>
        </w:tc>
        <w:tc>
          <w:tcPr>
            <w:tcW w:w="2693" w:type="dxa"/>
            <w:shd w:val="clear" w:color="auto" w:fill="F07E31"/>
          </w:tcPr>
          <w:p w:rsidR="00E05D08" w:rsidRPr="002B5B92" w:rsidRDefault="00E05D08" w:rsidP="00E05D08">
            <w:pPr>
              <w:spacing w:before="120" w:after="120" w:line="280" w:lineRule="atLeast"/>
              <w:jc w:val="center"/>
              <w:rPr>
                <w:rFonts w:cs="Arial"/>
                <w:b/>
                <w:color w:val="FFFFFF"/>
                <w:sz w:val="18"/>
                <w:szCs w:val="18"/>
              </w:rPr>
            </w:pPr>
            <w:r w:rsidRPr="002B5B92">
              <w:rPr>
                <w:b/>
                <w:color w:val="FFFFFF"/>
                <w:sz w:val="18"/>
                <w:szCs w:val="18"/>
              </w:rPr>
              <w:t>Eżempji</w:t>
            </w:r>
          </w:p>
        </w:tc>
        <w:tc>
          <w:tcPr>
            <w:tcW w:w="2268" w:type="dxa"/>
            <w:shd w:val="clear" w:color="auto" w:fill="F07E31"/>
          </w:tcPr>
          <w:p w:rsidR="00E05D08" w:rsidRPr="002B5B92" w:rsidRDefault="00E05D08" w:rsidP="00E05D08">
            <w:pPr>
              <w:spacing w:before="120" w:after="120" w:line="280" w:lineRule="atLeast"/>
              <w:jc w:val="center"/>
              <w:rPr>
                <w:rFonts w:cs="Arial"/>
                <w:b/>
                <w:color w:val="FFFFFF"/>
                <w:sz w:val="18"/>
                <w:szCs w:val="18"/>
              </w:rPr>
            </w:pPr>
            <w:r w:rsidRPr="002B5B92">
              <w:rPr>
                <w:b/>
                <w:color w:val="FFFFFF"/>
                <w:sz w:val="18"/>
                <w:szCs w:val="18"/>
              </w:rPr>
              <w:t>Riskji marbuta mal-pass</w:t>
            </w:r>
          </w:p>
        </w:tc>
        <w:tc>
          <w:tcPr>
            <w:tcW w:w="2410" w:type="dxa"/>
            <w:shd w:val="clear" w:color="auto" w:fill="F07E31"/>
          </w:tcPr>
          <w:p w:rsidR="00E05D08" w:rsidRPr="002B5B92" w:rsidRDefault="00E05D08" w:rsidP="00E05D08">
            <w:pPr>
              <w:spacing w:before="120" w:after="120" w:line="280" w:lineRule="atLeast"/>
              <w:jc w:val="center"/>
              <w:rPr>
                <w:rFonts w:cs="Arial"/>
                <w:b/>
                <w:color w:val="FFFFFF"/>
                <w:sz w:val="18"/>
                <w:szCs w:val="18"/>
              </w:rPr>
            </w:pPr>
            <w:r w:rsidRPr="002B5B92">
              <w:rPr>
                <w:b/>
                <w:color w:val="FFFFFF"/>
                <w:sz w:val="18"/>
                <w:szCs w:val="18"/>
              </w:rPr>
              <w:t>Soluzzjonijiet</w:t>
            </w:r>
          </w:p>
        </w:tc>
      </w:tr>
      <w:tr w:rsidR="00E05D08" w:rsidRPr="002B5B92" w:rsidTr="00E05D08">
        <w:tc>
          <w:tcPr>
            <w:tcW w:w="1980" w:type="dxa"/>
          </w:tcPr>
          <w:p w:rsidR="00E05D08" w:rsidRPr="002B5B92" w:rsidRDefault="00E05D08" w:rsidP="00F31494">
            <w:pPr>
              <w:jc w:val="left"/>
              <w:rPr>
                <w:rFonts w:cs="Arial"/>
                <w:color w:val="F07E31"/>
                <w:sz w:val="18"/>
                <w:szCs w:val="18"/>
              </w:rPr>
            </w:pPr>
            <w:r w:rsidRPr="002B5B92">
              <w:rPr>
                <w:color w:val="F07E31"/>
                <w:sz w:val="18"/>
                <w:szCs w:val="18"/>
              </w:rPr>
              <w:t xml:space="preserve">Pass 1: Identifika r-rabtiet bejn il-ħtiġijiet relatati mal-innovazzjoni u l-miżura/submiżura </w:t>
            </w:r>
          </w:p>
        </w:tc>
        <w:tc>
          <w:tcPr>
            <w:tcW w:w="3260" w:type="dxa"/>
          </w:tcPr>
          <w:p w:rsidR="00E05D08" w:rsidRPr="002B5B92" w:rsidRDefault="00AA5817" w:rsidP="00F31494">
            <w:pPr>
              <w:spacing w:after="120"/>
              <w:jc w:val="left"/>
              <w:rPr>
                <w:rFonts w:cs="Arial"/>
                <w:sz w:val="16"/>
                <w:szCs w:val="16"/>
              </w:rPr>
            </w:pPr>
            <w:r w:rsidRPr="002B5B92">
              <w:rPr>
                <w:sz w:val="16"/>
                <w:szCs w:val="16"/>
              </w:rPr>
              <w:t>X’inhuma l-ħtiġijiet relatati mal-innovazzjoni identifikati fil-valutazzjoni tal-ħtiġijiet fir-rigward tal-miżura/submiżura?</w:t>
            </w:r>
          </w:p>
          <w:p w:rsidR="00E05D08" w:rsidRPr="002B5B92" w:rsidRDefault="00E05D08" w:rsidP="00F31494">
            <w:pPr>
              <w:spacing w:after="120"/>
              <w:jc w:val="left"/>
              <w:rPr>
                <w:rFonts w:cs="Arial"/>
                <w:sz w:val="16"/>
                <w:szCs w:val="16"/>
              </w:rPr>
            </w:pPr>
            <w:r w:rsidRPr="002B5B92">
              <w:rPr>
                <w:sz w:val="16"/>
                <w:szCs w:val="16"/>
              </w:rPr>
              <w:t>Il-miżura/submiżura kif qed tindirizza dawn il-ħtiġijiet, filwaqt li tikkunsidra t-tliet perkorsi?</w:t>
            </w:r>
          </w:p>
        </w:tc>
        <w:tc>
          <w:tcPr>
            <w:tcW w:w="2268" w:type="dxa"/>
          </w:tcPr>
          <w:p w:rsidR="00E05D08" w:rsidRPr="002B5B92" w:rsidRDefault="00E05D08" w:rsidP="00F31494">
            <w:pPr>
              <w:jc w:val="left"/>
              <w:rPr>
                <w:rFonts w:cs="Arial"/>
                <w:sz w:val="16"/>
                <w:szCs w:val="16"/>
              </w:rPr>
            </w:pPr>
            <w:r w:rsidRPr="002B5B92">
              <w:rPr>
                <w:sz w:val="16"/>
                <w:szCs w:val="16"/>
              </w:rPr>
              <w:t>Taqsima 4 – Analiżi SWOT u analiżi tal-ħtiġijiet</w:t>
            </w:r>
          </w:p>
          <w:p w:rsidR="00E05D08" w:rsidRPr="002B5B92" w:rsidRDefault="00E05D08" w:rsidP="00F31494">
            <w:pPr>
              <w:jc w:val="left"/>
              <w:rPr>
                <w:rFonts w:cs="Arial"/>
                <w:sz w:val="16"/>
                <w:szCs w:val="16"/>
              </w:rPr>
            </w:pPr>
            <w:r w:rsidRPr="002B5B92">
              <w:rPr>
                <w:sz w:val="16"/>
                <w:szCs w:val="16"/>
              </w:rPr>
              <w:t>Taqsima 5 – Deskrizzjoni tal-istrateġija</w:t>
            </w:r>
          </w:p>
          <w:p w:rsidR="00E05D08" w:rsidRPr="002B5B92" w:rsidRDefault="00E05D08" w:rsidP="00F31494">
            <w:pPr>
              <w:jc w:val="left"/>
              <w:rPr>
                <w:rFonts w:cs="Arial"/>
                <w:sz w:val="16"/>
                <w:szCs w:val="16"/>
              </w:rPr>
            </w:pPr>
            <w:r w:rsidRPr="002B5B92">
              <w:rPr>
                <w:sz w:val="16"/>
                <w:szCs w:val="16"/>
              </w:rPr>
              <w:t>Taqsima 8 – Deskrizzjoni tal-miżuri u tas-submiżuri</w:t>
            </w:r>
          </w:p>
        </w:tc>
        <w:tc>
          <w:tcPr>
            <w:tcW w:w="2693" w:type="dxa"/>
          </w:tcPr>
          <w:p w:rsidR="00E05D08" w:rsidRPr="002B5B92" w:rsidRDefault="00E05D08" w:rsidP="00F31494">
            <w:pPr>
              <w:jc w:val="left"/>
              <w:rPr>
                <w:rFonts w:cs="Arial"/>
                <w:sz w:val="16"/>
                <w:szCs w:val="16"/>
              </w:rPr>
            </w:pPr>
            <w:r w:rsidRPr="002B5B92">
              <w:rPr>
                <w:sz w:val="16"/>
                <w:szCs w:val="16"/>
              </w:rPr>
              <w:t>Il-ħtieġa li tittejjeb is-sistema R+D+I; Il-ħtieġa li jittejbu l-mekkaniżmi tat-trasferiment tal-għarfien; Il-ħtieġa li tiġi promossa l-kultura ta’ innovazzjoni fost l-atturi fis-settur tal-ikel agrikolu.</w:t>
            </w:r>
          </w:p>
        </w:tc>
        <w:tc>
          <w:tcPr>
            <w:tcW w:w="2268" w:type="dxa"/>
          </w:tcPr>
          <w:p w:rsidR="00E05D08" w:rsidRPr="002B5B92" w:rsidRDefault="00AA5817" w:rsidP="00963A81">
            <w:pPr>
              <w:jc w:val="left"/>
              <w:rPr>
                <w:rFonts w:cs="Arial"/>
                <w:sz w:val="16"/>
                <w:szCs w:val="16"/>
              </w:rPr>
            </w:pPr>
            <w:r w:rsidRPr="002B5B92">
              <w:rPr>
                <w:sz w:val="16"/>
                <w:szCs w:val="16"/>
              </w:rPr>
              <w:t xml:space="preserve">Il-ħtiġijiet relatati mal-innovazzjoni ma ġewx artikolati b’mod ċar fl-analiżi SWOT u fil-valutazzjoni tal-ħtiġijiet. </w:t>
            </w:r>
          </w:p>
        </w:tc>
        <w:tc>
          <w:tcPr>
            <w:tcW w:w="2410" w:type="dxa"/>
          </w:tcPr>
          <w:p w:rsidR="00E05D08" w:rsidRPr="002B5B92" w:rsidRDefault="00E05D08" w:rsidP="00F31494">
            <w:pPr>
              <w:jc w:val="left"/>
              <w:rPr>
                <w:rFonts w:cs="Arial"/>
                <w:sz w:val="16"/>
                <w:szCs w:val="16"/>
              </w:rPr>
            </w:pPr>
            <w:r w:rsidRPr="002B5B92">
              <w:rPr>
                <w:sz w:val="16"/>
                <w:szCs w:val="16"/>
              </w:rPr>
              <w:t>Irrieżamina l-analiżi SWOT u l-valutazzjoni tal-ħtiġijiet mill-perspettiva tal-ħtiġijiet relatati mal-innovazzjoni.</w:t>
            </w:r>
          </w:p>
        </w:tc>
      </w:tr>
      <w:tr w:rsidR="00E05D08" w:rsidRPr="002B5B92" w:rsidTr="00E05D08">
        <w:tc>
          <w:tcPr>
            <w:tcW w:w="1980" w:type="dxa"/>
          </w:tcPr>
          <w:p w:rsidR="00E05D08" w:rsidRPr="002B5B92" w:rsidRDefault="00AA5817" w:rsidP="00F31494">
            <w:pPr>
              <w:spacing w:after="120"/>
              <w:jc w:val="left"/>
              <w:rPr>
                <w:rFonts w:cs="Arial"/>
                <w:color w:val="F07E31"/>
                <w:sz w:val="18"/>
                <w:szCs w:val="18"/>
              </w:rPr>
            </w:pPr>
            <w:r w:rsidRPr="002B5B92">
              <w:rPr>
                <w:color w:val="F07E31"/>
                <w:sz w:val="18"/>
                <w:szCs w:val="18"/>
              </w:rPr>
              <w:t>Pass 2: Identifika l-partijiet relatati mal-innovazzjoni tal-objettivi tal-miżura/submiżura</w:t>
            </w:r>
          </w:p>
        </w:tc>
        <w:tc>
          <w:tcPr>
            <w:tcW w:w="3260" w:type="dxa"/>
          </w:tcPr>
          <w:p w:rsidR="00E05D08" w:rsidRPr="002B5B92" w:rsidRDefault="00E05D08" w:rsidP="00F31494">
            <w:pPr>
              <w:spacing w:after="120"/>
              <w:jc w:val="left"/>
              <w:rPr>
                <w:rFonts w:cs="Arial"/>
                <w:sz w:val="16"/>
                <w:szCs w:val="16"/>
              </w:rPr>
            </w:pPr>
            <w:r w:rsidRPr="002B5B92">
              <w:rPr>
                <w:sz w:val="16"/>
                <w:szCs w:val="16"/>
              </w:rPr>
              <w:t>Sa liema punt l-objettivi tal-miżura/submiżura jindirizzaw il-ħtiġijiet relatati mal-innovazzjoni?</w:t>
            </w:r>
          </w:p>
          <w:p w:rsidR="00E05D08" w:rsidRPr="002B5B92" w:rsidRDefault="00E05D08" w:rsidP="00F31494">
            <w:pPr>
              <w:spacing w:after="120"/>
              <w:jc w:val="left"/>
              <w:rPr>
                <w:rFonts w:cs="Arial"/>
                <w:sz w:val="16"/>
                <w:szCs w:val="16"/>
              </w:rPr>
            </w:pPr>
            <w:r w:rsidRPr="002B5B92">
              <w:rPr>
                <w:sz w:val="16"/>
                <w:szCs w:val="16"/>
              </w:rPr>
              <w:t>Kif inhu(ma) fformulat(i) l-objettiv(i) fir-rigward tal-innovazzjoni?</w:t>
            </w:r>
          </w:p>
        </w:tc>
        <w:tc>
          <w:tcPr>
            <w:tcW w:w="2268" w:type="dxa"/>
          </w:tcPr>
          <w:p w:rsidR="00E05D08" w:rsidRPr="002B5B92" w:rsidRDefault="00E05D08" w:rsidP="00F31494">
            <w:pPr>
              <w:jc w:val="left"/>
              <w:rPr>
                <w:rFonts w:cs="Arial"/>
                <w:sz w:val="16"/>
                <w:szCs w:val="16"/>
              </w:rPr>
            </w:pPr>
            <w:r w:rsidRPr="002B5B92">
              <w:rPr>
                <w:sz w:val="16"/>
                <w:szCs w:val="16"/>
              </w:rPr>
              <w:t>Taqsima 5 – Deskrizzjoni tal-istrateġija</w:t>
            </w:r>
          </w:p>
          <w:p w:rsidR="00E05D08" w:rsidRPr="002B5B92" w:rsidRDefault="00E05D08" w:rsidP="00F31494">
            <w:pPr>
              <w:jc w:val="left"/>
              <w:rPr>
                <w:rFonts w:cs="Arial"/>
                <w:sz w:val="16"/>
                <w:szCs w:val="16"/>
              </w:rPr>
            </w:pPr>
            <w:r w:rsidRPr="002B5B92">
              <w:rPr>
                <w:sz w:val="16"/>
                <w:szCs w:val="16"/>
              </w:rPr>
              <w:t>Taqsima 8 – Deskrizzjoni tal-miżuri u tas-submiżuri</w:t>
            </w:r>
          </w:p>
        </w:tc>
        <w:tc>
          <w:tcPr>
            <w:tcW w:w="2693" w:type="dxa"/>
          </w:tcPr>
          <w:p w:rsidR="00E05D08" w:rsidRPr="002B5B92" w:rsidRDefault="00E05D08" w:rsidP="00F31494">
            <w:pPr>
              <w:jc w:val="left"/>
              <w:rPr>
                <w:rFonts w:cs="Arial"/>
                <w:sz w:val="16"/>
                <w:szCs w:val="16"/>
              </w:rPr>
            </w:pPr>
            <w:r w:rsidRPr="002B5B92">
              <w:rPr>
                <w:sz w:val="16"/>
                <w:szCs w:val="16"/>
              </w:rPr>
              <w:t>Ippromwovi teknoloġiji ġodda fis-sistemi tat-tisqija; Introduċi għarfien ġdid fil-qasam tal-protezzjoni u l-ipproċessar tal-għelejjel; Tejjeb ir-riżultati ekonomiċi tal-intrapriżi rurali permezz tal-innovazzjoni.</w:t>
            </w:r>
          </w:p>
        </w:tc>
        <w:tc>
          <w:tcPr>
            <w:tcW w:w="2268" w:type="dxa"/>
          </w:tcPr>
          <w:p w:rsidR="00E05D08" w:rsidRPr="002B5B92" w:rsidRDefault="00AA5817" w:rsidP="00F31494">
            <w:pPr>
              <w:jc w:val="left"/>
              <w:rPr>
                <w:rFonts w:cs="Arial"/>
                <w:sz w:val="16"/>
                <w:szCs w:val="16"/>
              </w:rPr>
            </w:pPr>
            <w:r w:rsidRPr="002B5B92">
              <w:rPr>
                <w:sz w:val="16"/>
                <w:szCs w:val="16"/>
              </w:rPr>
              <w:t>L-objettivi relatati mal-innovazzjoni mhumiex evidenti fid-deskrizzjoni ġenerali tal-miżuri u tas-submiżuri.</w:t>
            </w:r>
          </w:p>
        </w:tc>
        <w:tc>
          <w:tcPr>
            <w:tcW w:w="2410" w:type="dxa"/>
          </w:tcPr>
          <w:p w:rsidR="00E05D08" w:rsidRPr="002B5B92" w:rsidRDefault="00E05D08" w:rsidP="00F31494">
            <w:pPr>
              <w:jc w:val="left"/>
              <w:rPr>
                <w:rFonts w:cs="Arial"/>
                <w:sz w:val="16"/>
                <w:szCs w:val="16"/>
              </w:rPr>
            </w:pPr>
            <w:r w:rsidRPr="002B5B92">
              <w:rPr>
                <w:sz w:val="16"/>
                <w:szCs w:val="16"/>
              </w:rPr>
              <w:t>Irrieżamina s-submiżuri kollha u l-objettivi rispettivi tagħhom sabiex tidentifika kwalunkwe objettivi relatati mal-innovazzjoni.</w:t>
            </w:r>
          </w:p>
        </w:tc>
      </w:tr>
      <w:tr w:rsidR="00E05D08" w:rsidRPr="002B5B92" w:rsidTr="00E05D08">
        <w:tc>
          <w:tcPr>
            <w:tcW w:w="1980" w:type="dxa"/>
          </w:tcPr>
          <w:p w:rsidR="00E05D08" w:rsidRPr="002B5B92" w:rsidRDefault="00AA5817" w:rsidP="00F31494">
            <w:pPr>
              <w:jc w:val="left"/>
              <w:rPr>
                <w:rFonts w:cs="Arial"/>
                <w:color w:val="F07E31"/>
                <w:sz w:val="18"/>
                <w:szCs w:val="18"/>
              </w:rPr>
            </w:pPr>
            <w:r w:rsidRPr="002B5B92">
              <w:rPr>
                <w:color w:val="F07E31"/>
                <w:sz w:val="18"/>
                <w:szCs w:val="18"/>
              </w:rPr>
              <w:t>Pass 3: Identifika l-kriterji tal-għażla relatati mal-innovazzjoni tal-miżura/submiżura</w:t>
            </w:r>
          </w:p>
        </w:tc>
        <w:tc>
          <w:tcPr>
            <w:tcW w:w="3260" w:type="dxa"/>
          </w:tcPr>
          <w:p w:rsidR="00E05D08" w:rsidRPr="002B5B92" w:rsidRDefault="00E05D08" w:rsidP="00F31494">
            <w:pPr>
              <w:spacing w:after="120"/>
              <w:jc w:val="left"/>
              <w:rPr>
                <w:rFonts w:cs="Arial"/>
                <w:sz w:val="16"/>
                <w:szCs w:val="16"/>
              </w:rPr>
            </w:pPr>
            <w:r w:rsidRPr="002B5B92">
              <w:rPr>
                <w:sz w:val="16"/>
                <w:szCs w:val="16"/>
              </w:rPr>
              <w:t xml:space="preserve">Sa liema punt il-kriterji tal-għażla tal-proġett tal-miżura jew tas-submiżura jippromwovu t-trawwim tal-innovazzjoni, filwaqt li jikkunsidraw it-tliet perkorsi? </w:t>
            </w:r>
          </w:p>
          <w:p w:rsidR="00E05D08" w:rsidRPr="002B5B92" w:rsidRDefault="00E05D08" w:rsidP="00F31494">
            <w:pPr>
              <w:spacing w:after="120"/>
              <w:jc w:val="left"/>
              <w:rPr>
                <w:rFonts w:cs="Arial"/>
                <w:sz w:val="16"/>
                <w:szCs w:val="16"/>
              </w:rPr>
            </w:pPr>
            <w:r w:rsidRPr="002B5B92">
              <w:rPr>
                <w:sz w:val="16"/>
                <w:szCs w:val="16"/>
              </w:rPr>
              <w:t>Liema kriterji tal-għażla konkreti jippromwovu proġetti li jrawmu l-innovazzjoni?</w:t>
            </w:r>
          </w:p>
        </w:tc>
        <w:tc>
          <w:tcPr>
            <w:tcW w:w="2268" w:type="dxa"/>
          </w:tcPr>
          <w:p w:rsidR="00E05D08" w:rsidRPr="002B5B92" w:rsidRDefault="00E05D08" w:rsidP="00F31494">
            <w:pPr>
              <w:jc w:val="left"/>
              <w:rPr>
                <w:rFonts w:cs="Arial"/>
                <w:sz w:val="16"/>
                <w:szCs w:val="16"/>
              </w:rPr>
            </w:pPr>
            <w:r w:rsidRPr="002B5B92">
              <w:rPr>
                <w:sz w:val="16"/>
                <w:szCs w:val="16"/>
              </w:rPr>
              <w:t>Taqsima 8 – Deskrizzjoni tal-miżuri u tas-submiżuri</w:t>
            </w:r>
          </w:p>
          <w:p w:rsidR="00E05D08" w:rsidRPr="002B5B92" w:rsidRDefault="00E05D08" w:rsidP="00F31494">
            <w:pPr>
              <w:jc w:val="left"/>
              <w:rPr>
                <w:rFonts w:cs="Arial"/>
                <w:sz w:val="16"/>
                <w:szCs w:val="16"/>
              </w:rPr>
            </w:pPr>
            <w:r w:rsidRPr="002B5B92">
              <w:rPr>
                <w:sz w:val="16"/>
                <w:szCs w:val="16"/>
              </w:rPr>
              <w:t>Kriterji tal-għażla żviluppati matul l-implimentazzjoni (sors: sit elettroniku tal-programm, MA)</w:t>
            </w:r>
          </w:p>
        </w:tc>
        <w:tc>
          <w:tcPr>
            <w:tcW w:w="2693" w:type="dxa"/>
          </w:tcPr>
          <w:p w:rsidR="00E05D08" w:rsidRPr="002B5B92" w:rsidRDefault="00E05D08" w:rsidP="00F31494">
            <w:pPr>
              <w:jc w:val="left"/>
              <w:rPr>
                <w:rFonts w:cs="Arial"/>
                <w:sz w:val="16"/>
                <w:szCs w:val="16"/>
              </w:rPr>
            </w:pPr>
            <w:r w:rsidRPr="002B5B92">
              <w:rPr>
                <w:sz w:val="16"/>
                <w:szCs w:val="16"/>
              </w:rPr>
              <w:t>Prijoritizzazzjoni tal-atturi b’esperjenza fl-innovazzjoni; Prijoritizzazzjoni tal-operazzjonijiet li jgħaqqdu r-riċerka u l-prattika; Enfasi fuq il-kompożizzjoni tas-sħubiji (f’operazzjonijiet ta’ kooperazzjoni).</w:t>
            </w:r>
          </w:p>
        </w:tc>
        <w:tc>
          <w:tcPr>
            <w:tcW w:w="2268" w:type="dxa"/>
          </w:tcPr>
          <w:p w:rsidR="00E05D08" w:rsidRPr="002B5B92" w:rsidRDefault="00E05D08" w:rsidP="00F31494">
            <w:pPr>
              <w:jc w:val="left"/>
              <w:rPr>
                <w:rFonts w:cs="Arial"/>
                <w:sz w:val="16"/>
                <w:szCs w:val="16"/>
              </w:rPr>
            </w:pPr>
            <w:r w:rsidRPr="002B5B92">
              <w:rPr>
                <w:sz w:val="16"/>
                <w:szCs w:val="16"/>
              </w:rPr>
              <w:t xml:space="preserve">Id-deskrizzjoni tal-miżuri ma tispeċifikax il-kriterji tal-għażla tal-proġett relatati mal-innovazzjoni jew tapplika biss formulazzjoni ġenerali, eż. “il-proġetti magħżula huma innovattivi”. </w:t>
            </w:r>
          </w:p>
        </w:tc>
        <w:tc>
          <w:tcPr>
            <w:tcW w:w="2410" w:type="dxa"/>
          </w:tcPr>
          <w:p w:rsidR="00E05D08" w:rsidRPr="002B5B92" w:rsidRDefault="00E05D08" w:rsidP="00F31494">
            <w:pPr>
              <w:jc w:val="left"/>
              <w:rPr>
                <w:rFonts w:cs="Arial"/>
                <w:sz w:val="16"/>
                <w:szCs w:val="16"/>
              </w:rPr>
            </w:pPr>
            <w:r w:rsidRPr="002B5B92">
              <w:rPr>
                <w:sz w:val="16"/>
                <w:szCs w:val="16"/>
              </w:rPr>
              <w:t>Ipproponi kriterji operattivi, li jispeċifikaw taħt liema kundizzjoni l-proġett magħżul jitqies bħala innovattiv.</w:t>
            </w:r>
          </w:p>
        </w:tc>
      </w:tr>
      <w:tr w:rsidR="00E05D08" w:rsidRPr="002B5B92" w:rsidTr="00E05D08">
        <w:tc>
          <w:tcPr>
            <w:tcW w:w="1980" w:type="dxa"/>
          </w:tcPr>
          <w:p w:rsidR="00E05D08" w:rsidRPr="002B5B92" w:rsidRDefault="00E05D08" w:rsidP="00F31494">
            <w:pPr>
              <w:spacing w:after="120"/>
              <w:jc w:val="left"/>
              <w:rPr>
                <w:rFonts w:cs="Arial"/>
                <w:color w:val="F07E31"/>
                <w:sz w:val="18"/>
                <w:szCs w:val="18"/>
              </w:rPr>
            </w:pPr>
            <w:r w:rsidRPr="002B5B92">
              <w:rPr>
                <w:color w:val="F07E31"/>
                <w:sz w:val="18"/>
                <w:szCs w:val="18"/>
              </w:rPr>
              <w:t>Pass 4: Identifika l-partijiet ikkonċernati tal-innovazzjoni fid-deskrizzjoni tal-miżura/submiżura</w:t>
            </w:r>
          </w:p>
        </w:tc>
        <w:tc>
          <w:tcPr>
            <w:tcW w:w="3260" w:type="dxa"/>
          </w:tcPr>
          <w:p w:rsidR="00E05D08" w:rsidRPr="002B5B92" w:rsidRDefault="00E05D08" w:rsidP="00F31494">
            <w:pPr>
              <w:spacing w:after="120"/>
              <w:jc w:val="left"/>
              <w:rPr>
                <w:rFonts w:cs="Arial"/>
                <w:sz w:val="16"/>
                <w:szCs w:val="16"/>
              </w:rPr>
            </w:pPr>
            <w:r w:rsidRPr="002B5B92">
              <w:rPr>
                <w:sz w:val="16"/>
                <w:szCs w:val="16"/>
              </w:rPr>
              <w:t>Liema benefiċjarji huma previsti li jrawmu l-innovazzjoni permezz tat-tliet perkorsi?</w:t>
            </w:r>
          </w:p>
          <w:p w:rsidR="00E05D08" w:rsidRPr="002B5B92" w:rsidRDefault="00E05D08" w:rsidP="00F31494">
            <w:pPr>
              <w:spacing w:after="120"/>
              <w:jc w:val="left"/>
              <w:rPr>
                <w:rFonts w:cs="Arial"/>
                <w:sz w:val="16"/>
                <w:szCs w:val="16"/>
              </w:rPr>
            </w:pPr>
            <w:r w:rsidRPr="002B5B92">
              <w:rPr>
                <w:sz w:val="16"/>
                <w:szCs w:val="16"/>
              </w:rPr>
              <w:t>Liema partijiet ikkonċernati oħrajn tal-innovazzjoni huma involuti fl-implimentazzjoni tal-miżura?</w:t>
            </w:r>
          </w:p>
        </w:tc>
        <w:tc>
          <w:tcPr>
            <w:tcW w:w="2268" w:type="dxa"/>
          </w:tcPr>
          <w:p w:rsidR="00E05D08" w:rsidRPr="002B5B92" w:rsidRDefault="00E05D08" w:rsidP="00F31494">
            <w:pPr>
              <w:jc w:val="left"/>
              <w:rPr>
                <w:rFonts w:cs="Arial"/>
                <w:sz w:val="16"/>
                <w:szCs w:val="16"/>
              </w:rPr>
            </w:pPr>
            <w:r w:rsidRPr="002B5B92">
              <w:rPr>
                <w:sz w:val="16"/>
                <w:szCs w:val="16"/>
              </w:rPr>
              <w:t>Taqsima 8 – Deskrizzjoni tal-miżuri u tas-submiżuri</w:t>
            </w:r>
          </w:p>
        </w:tc>
        <w:tc>
          <w:tcPr>
            <w:tcW w:w="2693" w:type="dxa"/>
          </w:tcPr>
          <w:p w:rsidR="00E05D08" w:rsidRPr="002B5B92" w:rsidRDefault="00E05D08" w:rsidP="00F31494">
            <w:pPr>
              <w:jc w:val="left"/>
              <w:rPr>
                <w:rFonts w:cs="Arial"/>
                <w:sz w:val="16"/>
                <w:szCs w:val="16"/>
              </w:rPr>
            </w:pPr>
            <w:r w:rsidRPr="002B5B92">
              <w:rPr>
                <w:sz w:val="16"/>
                <w:szCs w:val="16"/>
              </w:rPr>
              <w:t>Ċentri tar-riċerka u l-iżvilupp</w:t>
            </w:r>
          </w:p>
          <w:p w:rsidR="00E05D08" w:rsidRPr="002B5B92" w:rsidRDefault="00E05D08" w:rsidP="00F31494">
            <w:pPr>
              <w:jc w:val="left"/>
              <w:rPr>
                <w:rFonts w:cs="Arial"/>
                <w:sz w:val="16"/>
                <w:szCs w:val="16"/>
              </w:rPr>
            </w:pPr>
            <w:r w:rsidRPr="002B5B92">
              <w:rPr>
                <w:sz w:val="16"/>
                <w:szCs w:val="16"/>
              </w:rPr>
              <w:t>Istituti tat-teknoloġija</w:t>
            </w:r>
          </w:p>
          <w:p w:rsidR="00E05D08" w:rsidRPr="002B5B92" w:rsidRDefault="00E05D08" w:rsidP="00F31494">
            <w:pPr>
              <w:jc w:val="left"/>
              <w:rPr>
                <w:rFonts w:cs="Arial"/>
                <w:sz w:val="16"/>
                <w:szCs w:val="16"/>
              </w:rPr>
            </w:pPr>
            <w:r w:rsidRPr="002B5B92">
              <w:rPr>
                <w:sz w:val="16"/>
                <w:szCs w:val="16"/>
              </w:rPr>
              <w:t>Id-dipartimenti tal-innovazzjoni tal-istituzzjonijiet pubbliċi</w:t>
            </w:r>
          </w:p>
          <w:p w:rsidR="00E05D08" w:rsidRPr="002B5B92" w:rsidRDefault="00E05D08" w:rsidP="00F31494">
            <w:pPr>
              <w:jc w:val="left"/>
              <w:rPr>
                <w:rFonts w:cs="Arial"/>
                <w:sz w:val="16"/>
                <w:szCs w:val="16"/>
              </w:rPr>
            </w:pPr>
          </w:p>
          <w:p w:rsidR="00E05D08" w:rsidRPr="002B5B92" w:rsidRDefault="00E05D08" w:rsidP="00F31494">
            <w:pPr>
              <w:jc w:val="left"/>
              <w:rPr>
                <w:rFonts w:cs="Arial"/>
                <w:sz w:val="16"/>
                <w:szCs w:val="16"/>
              </w:rPr>
            </w:pPr>
          </w:p>
        </w:tc>
        <w:tc>
          <w:tcPr>
            <w:tcW w:w="2268" w:type="dxa"/>
          </w:tcPr>
          <w:p w:rsidR="00E05D08" w:rsidRPr="002B5B92" w:rsidRDefault="00AA5817" w:rsidP="00F31494">
            <w:pPr>
              <w:jc w:val="left"/>
              <w:rPr>
                <w:rFonts w:cs="Arial"/>
                <w:sz w:val="16"/>
                <w:szCs w:val="16"/>
              </w:rPr>
            </w:pPr>
            <w:r w:rsidRPr="002B5B92">
              <w:rPr>
                <w:sz w:val="16"/>
                <w:szCs w:val="16"/>
              </w:rPr>
              <w:t>Jista’ jkun li l-partijiet ikkonċernati relatati mal-innovazzjoni ma jkunux jistgħu jiġu definiti fit-tfassil tal-miżura.</w:t>
            </w:r>
          </w:p>
        </w:tc>
        <w:tc>
          <w:tcPr>
            <w:tcW w:w="2410" w:type="dxa"/>
          </w:tcPr>
          <w:p w:rsidR="00E05D08" w:rsidRPr="002B5B92" w:rsidRDefault="00E05D08" w:rsidP="00F31494">
            <w:pPr>
              <w:jc w:val="left"/>
              <w:rPr>
                <w:rFonts w:cs="Arial"/>
                <w:sz w:val="16"/>
                <w:szCs w:val="16"/>
              </w:rPr>
            </w:pPr>
            <w:r w:rsidRPr="002B5B92">
              <w:rPr>
                <w:sz w:val="16"/>
                <w:szCs w:val="16"/>
              </w:rPr>
              <w:t xml:space="preserve">L-evalwatur għandu janalizza jekk il-partijiet ikkonċernati relatati mal-innovazzjoni ġewx involuti fl-implimentazzjoni tal-miżura u tas-submiżuri. </w:t>
            </w:r>
          </w:p>
        </w:tc>
      </w:tr>
      <w:tr w:rsidR="00E05D08" w:rsidRPr="002B5B92" w:rsidTr="00E05D08">
        <w:tc>
          <w:tcPr>
            <w:tcW w:w="1980" w:type="dxa"/>
          </w:tcPr>
          <w:p w:rsidR="00E05D08" w:rsidRPr="002B5B92" w:rsidRDefault="00AA5817" w:rsidP="00F31494">
            <w:pPr>
              <w:spacing w:after="120"/>
              <w:jc w:val="left"/>
              <w:rPr>
                <w:rFonts w:cs="Arial"/>
                <w:color w:val="F07E31"/>
                <w:sz w:val="18"/>
                <w:szCs w:val="18"/>
              </w:rPr>
            </w:pPr>
            <w:r w:rsidRPr="002B5B92">
              <w:rPr>
                <w:color w:val="F07E31"/>
                <w:sz w:val="18"/>
                <w:szCs w:val="18"/>
              </w:rPr>
              <w:t>Pass 5: Identifika l-azzjonijiet, l-ispejjeż u l-baġits relatati mal-innovazzjoni fid-deskrizzjoni tal-miżura/submiżura</w:t>
            </w:r>
          </w:p>
        </w:tc>
        <w:tc>
          <w:tcPr>
            <w:tcW w:w="3260" w:type="dxa"/>
          </w:tcPr>
          <w:p w:rsidR="00E05D08" w:rsidRPr="002B5B92" w:rsidRDefault="00E05D08" w:rsidP="00F31494">
            <w:pPr>
              <w:spacing w:after="120"/>
              <w:jc w:val="left"/>
              <w:rPr>
                <w:rFonts w:cs="Arial"/>
                <w:sz w:val="16"/>
                <w:szCs w:val="16"/>
              </w:rPr>
            </w:pPr>
            <w:r w:rsidRPr="002B5B92">
              <w:rPr>
                <w:sz w:val="16"/>
                <w:szCs w:val="16"/>
              </w:rPr>
              <w:t xml:space="preserve">Liema azzjonijiet u spejjeż eliġibbli se jappoġġaw l-innovazzjoni? </w:t>
            </w:r>
          </w:p>
          <w:p w:rsidR="00E05D08" w:rsidRPr="002B5B92" w:rsidRDefault="00E05D08" w:rsidP="00963A81">
            <w:pPr>
              <w:spacing w:after="120"/>
              <w:jc w:val="left"/>
              <w:rPr>
                <w:rFonts w:cs="Arial"/>
                <w:sz w:val="16"/>
                <w:szCs w:val="16"/>
              </w:rPr>
            </w:pPr>
            <w:r w:rsidRPr="002B5B92">
              <w:rPr>
                <w:sz w:val="16"/>
                <w:szCs w:val="16"/>
              </w:rPr>
              <w:t>X’inhu l-baġit tal-azzjonijiet u tal-ispejjeż sabiex tiġi appoġġata l-innovazzjoni?</w:t>
            </w:r>
          </w:p>
        </w:tc>
        <w:tc>
          <w:tcPr>
            <w:tcW w:w="2268" w:type="dxa"/>
          </w:tcPr>
          <w:p w:rsidR="00E05D08" w:rsidRPr="002B5B92" w:rsidRDefault="00E05D08" w:rsidP="00F31494">
            <w:pPr>
              <w:jc w:val="left"/>
              <w:rPr>
                <w:rFonts w:cs="Arial"/>
                <w:sz w:val="16"/>
                <w:szCs w:val="16"/>
              </w:rPr>
            </w:pPr>
            <w:r w:rsidRPr="002B5B92">
              <w:rPr>
                <w:sz w:val="16"/>
                <w:szCs w:val="16"/>
              </w:rPr>
              <w:t>Taqsima 8 – Deskrizzjoni tal-miżuri u tas-submiżuri</w:t>
            </w:r>
          </w:p>
          <w:p w:rsidR="00E05D08" w:rsidRPr="002B5B92" w:rsidRDefault="00E05D08" w:rsidP="00F31494">
            <w:pPr>
              <w:jc w:val="left"/>
              <w:rPr>
                <w:rFonts w:cs="Arial"/>
                <w:sz w:val="16"/>
                <w:szCs w:val="16"/>
              </w:rPr>
            </w:pPr>
            <w:r w:rsidRPr="002B5B92">
              <w:rPr>
                <w:sz w:val="16"/>
                <w:szCs w:val="16"/>
              </w:rPr>
              <w:t>Sistemi ta’ kunsinna żviluppati matul l-implimentazzjoni (sorsi: sit elettroniku tal-programm, MA)</w:t>
            </w:r>
          </w:p>
          <w:p w:rsidR="00E05D08" w:rsidRPr="002B5B92" w:rsidRDefault="00E05D08" w:rsidP="00F31494">
            <w:pPr>
              <w:jc w:val="left"/>
              <w:rPr>
                <w:rFonts w:cs="Arial"/>
                <w:sz w:val="16"/>
                <w:szCs w:val="16"/>
              </w:rPr>
            </w:pPr>
          </w:p>
          <w:p w:rsidR="00E05D08" w:rsidRPr="002B5B92" w:rsidRDefault="00E05D08" w:rsidP="00F31494">
            <w:pPr>
              <w:jc w:val="left"/>
              <w:rPr>
                <w:rFonts w:cs="Arial"/>
                <w:sz w:val="16"/>
                <w:szCs w:val="16"/>
              </w:rPr>
            </w:pPr>
            <w:r w:rsidRPr="002B5B92">
              <w:rPr>
                <w:sz w:val="16"/>
                <w:szCs w:val="16"/>
              </w:rPr>
              <w:t xml:space="preserve">Taqsima 10 Pjan finanzjarju – il-baġit għal kull miżura </w:t>
            </w:r>
          </w:p>
        </w:tc>
        <w:tc>
          <w:tcPr>
            <w:tcW w:w="2693" w:type="dxa"/>
          </w:tcPr>
          <w:p w:rsidR="00E05D08" w:rsidRPr="002B5B92" w:rsidRDefault="00E05D08" w:rsidP="00F31494">
            <w:pPr>
              <w:jc w:val="left"/>
              <w:rPr>
                <w:rFonts w:cs="Arial"/>
                <w:sz w:val="16"/>
                <w:szCs w:val="16"/>
              </w:rPr>
            </w:pPr>
            <w:r w:rsidRPr="002B5B92">
              <w:rPr>
                <w:sz w:val="16"/>
                <w:szCs w:val="16"/>
              </w:rPr>
              <w:t xml:space="preserve">L-użu ta’ sensara tal-innovazzjoni għat-twaqqif ta’ gruppi operazzjonali; L-istabbiliment ta’ gruppi ta’ tmexxija sabiex jimmonitorjaw l-innovazzjoni. Kwistjonijiet amministrattivi f’interventi li jippromwovu l-innovazzjoni; Avvenimenti ta’ sensibilizzazzjoni dwar l-innovazzjoni. </w:t>
            </w:r>
          </w:p>
        </w:tc>
        <w:tc>
          <w:tcPr>
            <w:tcW w:w="2268" w:type="dxa"/>
          </w:tcPr>
          <w:p w:rsidR="00E05D08" w:rsidRPr="002B5B92" w:rsidRDefault="00E05D08" w:rsidP="00F31494">
            <w:pPr>
              <w:jc w:val="left"/>
              <w:rPr>
                <w:rFonts w:cs="Arial"/>
                <w:sz w:val="16"/>
                <w:szCs w:val="16"/>
              </w:rPr>
            </w:pPr>
            <w:r w:rsidRPr="002B5B92">
              <w:rPr>
                <w:sz w:val="16"/>
                <w:szCs w:val="16"/>
              </w:rPr>
              <w:t>Nuqqas ta’ evidenza dwar strumenti u appoġġ relatati mal-innovazzjoni.</w:t>
            </w:r>
          </w:p>
        </w:tc>
        <w:tc>
          <w:tcPr>
            <w:tcW w:w="2410" w:type="dxa"/>
          </w:tcPr>
          <w:p w:rsidR="00E05D08" w:rsidRPr="002B5B92" w:rsidRDefault="00E05D08" w:rsidP="00F31494">
            <w:pPr>
              <w:jc w:val="left"/>
              <w:rPr>
                <w:rFonts w:cs="Arial"/>
                <w:sz w:val="16"/>
                <w:szCs w:val="16"/>
              </w:rPr>
            </w:pPr>
            <w:r w:rsidRPr="002B5B92">
              <w:rPr>
                <w:sz w:val="16"/>
                <w:szCs w:val="16"/>
              </w:rPr>
              <w:t>Analizza informazzjoni addizzjonali dwar l-implimentazzjoni tal-miżura u tas-submiżuri pprovduti mill-AIRs jew mill-MA.</w:t>
            </w:r>
          </w:p>
        </w:tc>
      </w:tr>
    </w:tbl>
    <w:p w:rsidR="00863DB0" w:rsidRPr="002B5B92" w:rsidRDefault="00863DB0" w:rsidP="00E05D08">
      <w:pPr>
        <w:spacing w:before="120" w:after="120" w:line="280" w:lineRule="atLeast"/>
        <w:mirrorIndents/>
        <w:rPr>
          <w:rFonts w:eastAsia="Times New Roman" w:cs="Times New Roman"/>
          <w:szCs w:val="20"/>
          <w:lang w:eastAsia="de-DE"/>
        </w:rPr>
        <w:sectPr w:rsidR="00863DB0" w:rsidRPr="002B5B92" w:rsidSect="001F6F07">
          <w:endnotePr>
            <w:numFmt w:val="decimal"/>
          </w:endnotePr>
          <w:pgSz w:w="16840" w:h="11907" w:orient="landscape" w:code="9"/>
          <w:pgMar w:top="1440" w:right="1440" w:bottom="1440" w:left="1134" w:header="567" w:footer="1020" w:gutter="0"/>
          <w:cols w:space="708"/>
          <w:noEndnote/>
          <w:titlePg/>
          <w:docGrid w:linePitch="435"/>
        </w:sectPr>
      </w:pPr>
    </w:p>
    <w:bookmarkEnd w:id="0"/>
    <w:p w:rsidR="00E16522" w:rsidRDefault="00E16522"/>
    <w:sectPr w:rsidR="00E16522" w:rsidSect="00055039">
      <w:headerReference w:type="default" r:id="rId134"/>
      <w:endnotePr>
        <w:numFmt w:val="decimal"/>
      </w:endnotePr>
      <w:pgSz w:w="11906" w:h="16838" w:code="9"/>
      <w:pgMar w:top="1440" w:right="1440" w:bottom="1134" w:left="1440" w:header="567" w:footer="1021"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194D" w:rsidRDefault="0006194D" w:rsidP="00E05D08">
      <w:pPr>
        <w:spacing w:after="0" w:line="240" w:lineRule="auto"/>
      </w:pPr>
      <w:r>
        <w:separator/>
      </w:r>
    </w:p>
  </w:endnote>
  <w:endnote w:type="continuationSeparator" w:id="0">
    <w:p w:rsidR="0006194D" w:rsidRDefault="0006194D" w:rsidP="00E05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Helvetica LT Pro">
    <w:altName w:val="Segoe Script"/>
    <w:panose1 w:val="020B0704020202030204"/>
    <w:charset w:val="00"/>
    <w:family w:val="swiss"/>
    <w:pitch w:val="variable"/>
    <w:sig w:usb0="A00002AF" w:usb1="5000204A" w:usb2="00000000" w:usb3="00000000" w:csb0="00000097"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0DA" w:rsidRDefault="005570DA">
    <w:pPr>
      <w:pStyle w:val="Footer"/>
    </w:pPr>
    <w:r>
      <w:t xml:space="preserve">paġna </w:t>
    </w:r>
    <w:r w:rsidRPr="00E05D08">
      <w:rPr>
        <w:rStyle w:val="PageNumber"/>
      </w:rPr>
      <w:fldChar w:fldCharType="begin"/>
    </w:r>
    <w:r w:rsidRPr="00E05D08">
      <w:rPr>
        <w:rStyle w:val="PageNumber"/>
      </w:rPr>
      <w:instrText xml:space="preserve"> PAGE </w:instrText>
    </w:r>
    <w:r w:rsidRPr="00E05D08">
      <w:rPr>
        <w:rStyle w:val="PageNumber"/>
      </w:rPr>
      <w:fldChar w:fldCharType="separate"/>
    </w:r>
    <w:r w:rsidRPr="00E05D08">
      <w:rPr>
        <w:rStyle w:val="PageNumber"/>
      </w:rPr>
      <w:t>4</w:t>
    </w:r>
    <w:r w:rsidRPr="00E05D08">
      <w:rPr>
        <w:rStyle w:val="PageNumber"/>
      </w:rPr>
      <w:fldChar w:fldCharType="end"/>
    </w:r>
    <w:r>
      <w:rPr>
        <w:rStyle w:val="PageNumber"/>
      </w:rPr>
      <w:tab/>
    </w:r>
    <w:r>
      <w:rPr>
        <w:noProof/>
        <w:lang w:val="en-GB" w:eastAsia="en-GB"/>
      </w:rPr>
      <w:drawing>
        <wp:inline distT="0" distB="0" distL="0" distR="0" wp14:anchorId="34827907" wp14:editId="0C69D9AA">
          <wp:extent cx="971550" cy="247650"/>
          <wp:effectExtent l="19050" t="0" r="0" b="0"/>
          <wp:docPr id="754"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0DA" w:rsidRPr="00611706" w:rsidRDefault="005570DA" w:rsidP="00E16522">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0953477"/>
      <w:docPartObj>
        <w:docPartGallery w:val="Page Numbers (Bottom of Page)"/>
        <w:docPartUnique/>
      </w:docPartObj>
    </w:sdtPr>
    <w:sdtEndPr>
      <w:rPr>
        <w:noProof/>
        <w:sz w:val="18"/>
        <w:szCs w:val="18"/>
      </w:rPr>
    </w:sdtEndPr>
    <w:sdtContent>
      <w:p w:rsidR="005570DA" w:rsidRPr="00611706" w:rsidRDefault="005570DA">
        <w:pPr>
          <w:pStyle w:val="Footer"/>
          <w:rPr>
            <w:sz w:val="18"/>
            <w:szCs w:val="18"/>
          </w:rPr>
        </w:pPr>
      </w:p>
    </w:sdtContent>
  </w:sdt>
  <w:p w:rsidR="005570DA" w:rsidRPr="006D33F1" w:rsidRDefault="005570DA" w:rsidP="00E165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0DA" w:rsidRPr="00431FF5" w:rsidRDefault="005570DA" w:rsidP="00431FF5">
    <w:pPr>
      <w:pStyle w:val="Footer"/>
      <w:spacing w:before="240"/>
      <w:rPr>
        <w:rStyle w:val="PageNumber"/>
        <w:rFonts w:eastAsiaTheme="majorEastAsia"/>
        <w:noProof/>
        <w:color w:val="373737"/>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0DA" w:rsidRPr="00150D5B" w:rsidRDefault="005570DA" w:rsidP="00E165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115571"/>
      <w:docPartObj>
        <w:docPartGallery w:val="Page Numbers (Bottom of Page)"/>
        <w:docPartUnique/>
      </w:docPartObj>
    </w:sdtPr>
    <w:sdtEndPr>
      <w:rPr>
        <w:rStyle w:val="PageNumber"/>
        <w:rFonts w:eastAsiaTheme="majorEastAsia"/>
        <w:color w:val="808080"/>
        <w:sz w:val="18"/>
        <w:szCs w:val="18"/>
      </w:rPr>
    </w:sdtEndPr>
    <w:sdtContent>
      <w:p w:rsidR="005570DA" w:rsidRDefault="005570DA">
        <w:pPr>
          <w:pStyle w:val="Footer"/>
          <w:spacing w:before="240"/>
          <w:rPr>
            <w:rStyle w:val="PageNumber"/>
            <w:rFonts w:eastAsiaTheme="majorEastAsia"/>
            <w:noProof/>
            <w:color w:val="373737"/>
            <w:szCs w:val="18"/>
          </w:rPr>
        </w:pPr>
        <w:r w:rsidRPr="00431FF5">
          <w:rPr>
            <w:rStyle w:val="PageNumber"/>
            <w:rFonts w:eastAsiaTheme="majorEastAsia"/>
            <w:color w:val="373737"/>
            <w:szCs w:val="18"/>
          </w:rPr>
          <w:fldChar w:fldCharType="begin"/>
        </w:r>
        <w:r w:rsidRPr="00431FF5">
          <w:rPr>
            <w:rStyle w:val="PageNumber"/>
            <w:rFonts w:eastAsiaTheme="majorEastAsia"/>
            <w:color w:val="373737"/>
            <w:szCs w:val="18"/>
          </w:rPr>
          <w:instrText xml:space="preserve"> PAGE   \* MERGEFORMAT </w:instrText>
        </w:r>
        <w:r w:rsidRPr="00431FF5">
          <w:rPr>
            <w:rStyle w:val="PageNumber"/>
            <w:rFonts w:eastAsiaTheme="majorEastAsia"/>
            <w:color w:val="373737"/>
            <w:szCs w:val="18"/>
          </w:rPr>
          <w:fldChar w:fldCharType="separate"/>
        </w:r>
        <w:r w:rsidR="009F33FD">
          <w:rPr>
            <w:rStyle w:val="PageNumber"/>
            <w:rFonts w:eastAsiaTheme="majorEastAsia"/>
            <w:noProof/>
            <w:color w:val="373737"/>
            <w:szCs w:val="18"/>
          </w:rPr>
          <w:t>2</w:t>
        </w:r>
        <w:r w:rsidRPr="00431FF5">
          <w:rPr>
            <w:rStyle w:val="PageNumber"/>
            <w:rFonts w:eastAsiaTheme="majorEastAsia"/>
            <w:color w:val="373737"/>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0DA" w:rsidRDefault="005570DA">
    <w:pPr>
      <w:pStyle w:val="Footer"/>
    </w:pPr>
    <w:r>
      <w:t xml:space="preserve">paġna </w:t>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rPr>
      <w:t>4</w:t>
    </w:r>
    <w:r>
      <w:rPr>
        <w:rStyle w:val="PageNumber"/>
        <w:rFonts w:eastAsiaTheme="majorEastAsia"/>
      </w:rPr>
      <w:fldChar w:fldCharType="end"/>
    </w:r>
    <w:r>
      <w:rPr>
        <w:rStyle w:val="PageNumber"/>
      </w:rPr>
      <w:tab/>
    </w:r>
    <w:r>
      <w:rPr>
        <w:noProof/>
        <w:lang w:val="en-GB" w:eastAsia="en-GB"/>
      </w:rPr>
      <w:drawing>
        <wp:inline distT="0" distB="0" distL="0" distR="0" wp14:anchorId="53CFF33F" wp14:editId="6BB3A355">
          <wp:extent cx="971550" cy="247650"/>
          <wp:effectExtent l="19050" t="0" r="0" b="0"/>
          <wp:docPr id="755"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0DA" w:rsidRPr="00611706" w:rsidRDefault="005570DA" w:rsidP="00485923">
    <w:pPr>
      <w:pStyle w:val="Footer"/>
      <w:spacing w:before="240"/>
      <w:rPr>
        <w:sz w:val="18"/>
        <w:szCs w:val="18"/>
      </w:rPr>
    </w:pPr>
    <w:r w:rsidRPr="00611706">
      <w:rPr>
        <w:rStyle w:val="PageNumber"/>
        <w:rFonts w:eastAsiaTheme="majorEastAsia"/>
        <w:color w:val="373737"/>
        <w:szCs w:val="18"/>
      </w:rPr>
      <w:fldChar w:fldCharType="begin"/>
    </w:r>
    <w:r w:rsidRPr="00611706">
      <w:rPr>
        <w:rStyle w:val="PageNumber"/>
        <w:rFonts w:eastAsiaTheme="majorEastAsia"/>
        <w:color w:val="373737"/>
        <w:szCs w:val="18"/>
      </w:rPr>
      <w:instrText xml:space="preserve"> PAGE </w:instrText>
    </w:r>
    <w:r w:rsidRPr="00611706">
      <w:rPr>
        <w:rStyle w:val="PageNumber"/>
        <w:rFonts w:eastAsiaTheme="majorEastAsia"/>
        <w:color w:val="373737"/>
        <w:szCs w:val="18"/>
      </w:rPr>
      <w:fldChar w:fldCharType="separate"/>
    </w:r>
    <w:r w:rsidR="009F33FD">
      <w:rPr>
        <w:rStyle w:val="PageNumber"/>
        <w:rFonts w:eastAsiaTheme="majorEastAsia"/>
        <w:noProof/>
        <w:color w:val="373737"/>
        <w:szCs w:val="18"/>
      </w:rPr>
      <w:t>28</w:t>
    </w:r>
    <w:r w:rsidRPr="00611706">
      <w:rPr>
        <w:rStyle w:val="PageNumber"/>
        <w:rFonts w:eastAsiaTheme="majorEastAsia"/>
        <w:color w:val="373737"/>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5147178"/>
      <w:docPartObj>
        <w:docPartGallery w:val="Page Numbers (Bottom of Page)"/>
        <w:docPartUnique/>
      </w:docPartObj>
    </w:sdtPr>
    <w:sdtEndPr>
      <w:rPr>
        <w:noProof/>
        <w:sz w:val="18"/>
        <w:szCs w:val="18"/>
      </w:rPr>
    </w:sdtEndPr>
    <w:sdtContent>
      <w:p w:rsidR="005570DA" w:rsidRDefault="005570DA">
        <w:pPr>
          <w:pStyle w:val="Footer"/>
          <w:rPr>
            <w:sz w:val="18"/>
            <w:szCs w:val="18"/>
          </w:rPr>
        </w:pPr>
        <w:r w:rsidRPr="00611706">
          <w:rPr>
            <w:sz w:val="18"/>
            <w:szCs w:val="18"/>
          </w:rPr>
          <w:fldChar w:fldCharType="begin"/>
        </w:r>
        <w:r w:rsidRPr="00611706">
          <w:rPr>
            <w:sz w:val="18"/>
            <w:szCs w:val="18"/>
          </w:rPr>
          <w:instrText xml:space="preserve"> PAGE   \* MERGEFORMAT </w:instrText>
        </w:r>
        <w:r w:rsidRPr="00611706">
          <w:rPr>
            <w:sz w:val="18"/>
            <w:szCs w:val="18"/>
          </w:rPr>
          <w:fldChar w:fldCharType="separate"/>
        </w:r>
        <w:r w:rsidR="009F33FD">
          <w:rPr>
            <w:noProof/>
            <w:sz w:val="18"/>
            <w:szCs w:val="18"/>
          </w:rPr>
          <w:t>70</w:t>
        </w:r>
        <w:r w:rsidRPr="00611706">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194D" w:rsidRPr="00CE2990" w:rsidRDefault="0006194D" w:rsidP="00E05D08">
      <w:pPr>
        <w:spacing w:after="0" w:line="240" w:lineRule="auto"/>
        <w:rPr>
          <w:color w:val="F07E31"/>
        </w:rPr>
      </w:pPr>
      <w:r>
        <w:rPr>
          <w:color w:val="F07E31"/>
        </w:rPr>
        <w:separator/>
      </w:r>
    </w:p>
  </w:footnote>
  <w:footnote w:type="continuationSeparator" w:id="0">
    <w:p w:rsidR="0006194D" w:rsidRDefault="0006194D" w:rsidP="00E05D08">
      <w:pPr>
        <w:spacing w:after="0" w:line="240" w:lineRule="auto"/>
      </w:pPr>
      <w:r>
        <w:continuationSeparator/>
      </w:r>
    </w:p>
  </w:footnote>
  <w:footnote w:id="1">
    <w:p w:rsidR="005570DA" w:rsidRPr="00194986" w:rsidRDefault="005570DA" w:rsidP="00E05D08">
      <w:pPr>
        <w:pStyle w:val="FootnoteText"/>
      </w:pPr>
      <w:r>
        <w:rPr>
          <w:rStyle w:val="FootnoteReference"/>
          <w:rFonts w:cs="Arial"/>
        </w:rPr>
        <w:footnoteRef/>
      </w:r>
      <w:r>
        <w:t xml:space="preserve">Iż-żewġ objettivi trażversali l-oħrajn huma l-ambjent u l-mitigazzjoni tat-tibdil fil-klima u l-adattament għalih. </w:t>
      </w:r>
    </w:p>
  </w:footnote>
  <w:footnote w:id="2">
    <w:p w:rsidR="005570DA" w:rsidRPr="00194986" w:rsidRDefault="005570DA" w:rsidP="00E05D08">
      <w:pPr>
        <w:pStyle w:val="FootnoteText"/>
      </w:pPr>
      <w:r>
        <w:rPr>
          <w:rStyle w:val="FootnoteReference"/>
          <w:rFonts w:cs="Arial"/>
        </w:rPr>
        <w:footnoteRef/>
      </w:r>
      <w:r>
        <w:t xml:space="preserve"> </w:t>
      </w:r>
      <w:r>
        <w:t>L-Art. 8(1)(ċ)(v) tar-Regolament (UE) Nru 1305/2013 u l-Anness I, il-Parti I.5(ċ) tar-Regolament (UE) Nru 808/2014</w:t>
      </w:r>
    </w:p>
  </w:footnote>
  <w:footnote w:id="3">
    <w:p w:rsidR="005570DA" w:rsidRPr="00B97B27" w:rsidRDefault="005570DA" w:rsidP="00E05D08">
      <w:pPr>
        <w:pStyle w:val="FootnoteText"/>
      </w:pPr>
      <w:r>
        <w:rPr>
          <w:rStyle w:val="FootnoteReference"/>
          <w:rFonts w:cs="Arial"/>
        </w:rPr>
        <w:footnoteRef/>
      </w:r>
      <w:r>
        <w:t xml:space="preserve"> </w:t>
      </w:r>
      <w:r>
        <w:t>L-Art. 68 tar-Regolament (UE) Nru 1305/2013</w:t>
      </w:r>
    </w:p>
  </w:footnote>
  <w:footnote w:id="4">
    <w:p w:rsidR="005570DA" w:rsidRDefault="005570DA" w:rsidP="000E1D4B">
      <w:pPr>
        <w:pStyle w:val="FootnoteText"/>
      </w:pPr>
      <w:r>
        <w:rPr>
          <w:rStyle w:val="FootnoteReference"/>
          <w:sz w:val="12"/>
          <w:szCs w:val="12"/>
        </w:rPr>
        <w:footnoteRef/>
      </w:r>
      <w:r>
        <w:t xml:space="preserve"> </w:t>
      </w:r>
      <w:r>
        <w:t>Linji gwida dwar il-programmazzjoni għall-innovazzjoni u l-implimentazzjoni tal-EIP għall-produttività u s-sostenibbiltà fil-qasam agrikolu</w:t>
      </w:r>
      <w:r>
        <w:rPr>
          <w:rStyle w:val="Hyperlink"/>
        </w:rPr>
        <w:t>https://ec.europa.eu/eip/agriculture/sites/agri-eip/files/pb_guidelines_eip_implementation_2014_en.pdf</w:t>
      </w:r>
    </w:p>
  </w:footnote>
  <w:footnote w:id="5">
    <w:p w:rsidR="005570DA" w:rsidRPr="00DC008D" w:rsidRDefault="005570DA" w:rsidP="00F74459">
      <w:pPr>
        <w:pStyle w:val="FootnoteText"/>
        <w:rPr>
          <w:rFonts w:eastAsia="Calibri"/>
        </w:rPr>
      </w:pPr>
      <w:r>
        <w:rPr>
          <w:rStyle w:val="FootnoteReference"/>
        </w:rPr>
        <w:footnoteRef/>
      </w:r>
      <w:r>
        <w:t xml:space="preserve"> </w:t>
      </w:r>
      <w:r>
        <w:t>Linji gwida dwar il-programmazzjoni għall-innovazzjoni u l-implimentazzjoni tal-EIP għall-produttività u s-sostenibbiltà fil-qasam agrikolu</w:t>
      </w:r>
      <w:hyperlink r:id="rId1" w:history="1">
        <w:r>
          <w:rPr>
            <w:rStyle w:val="Hyperlink"/>
          </w:rPr>
          <w:t>https://ec.europa.eu/eip/agriculture/sites/agri-eip/files/pb_guidelines_eip_implementation_2014_en.pdf</w:t>
        </w:r>
      </w:hyperlink>
    </w:p>
  </w:footnote>
  <w:footnote w:id="6">
    <w:p w:rsidR="005570DA" w:rsidRPr="008F676D" w:rsidRDefault="005570DA" w:rsidP="00F74459">
      <w:pPr>
        <w:pStyle w:val="FootnoteText"/>
      </w:pPr>
      <w:r>
        <w:rPr>
          <w:rStyle w:val="FootnoteReference"/>
        </w:rPr>
        <w:footnoteRef/>
      </w:r>
      <w:r>
        <w:t xml:space="preserve"> </w:t>
      </w:r>
      <w:r>
        <w:t>Orizzont 2020 jappoġġa bil-qawwa l-kunċett ta’ approċċ ta’ diversi atturi għar-riċerka, li jgħin lil bdiewa, konsulenti u prattikanti oħrajn fi sħubiji ma’ riċerkaturi joħolqu flimkien soluzzjonijiet jew jiżviluppaw opportunitajiet innovattivi bil-għan li jiffokaw ir-riċerka u l-innovazzjonijiet fuq il-ħtiġijiet tal-prattika agrikola, ara H2020 WP 2018-2020 paġna 8-9 għar-rekwiżiti għal proġetti b’diversi atturi (</w:t>
      </w:r>
      <w:hyperlink r:id="rId2" w:history="1">
        <w:r>
          <w:rPr>
            <w:rStyle w:val="Hyperlink"/>
          </w:rPr>
          <w:t>http://ec.europa.eu/research/participants/data/ref/h2020/wp/2018-2020/main/h2020-wp1820-food_en.pdf</w:t>
        </w:r>
      </w:hyperlink>
      <w:r>
        <w:t xml:space="preserve"> ) u l-fuljett tal-EIP dwar approċċ b’diversi atturi (</w:t>
      </w:r>
      <w:hyperlink r:id="rId3" w:history="1">
        <w:r>
          <w:rPr>
            <w:rStyle w:val="Hyperlink"/>
          </w:rPr>
          <w:t>https://ec.europa.eu/eip/agriculture/sites/agri-eip/files/eip-agri_brochure_multi-actor_projects_2017_en_web.pdf</w:t>
        </w:r>
      </w:hyperlink>
      <w:r>
        <w:t xml:space="preserve"> )</w:t>
      </w:r>
    </w:p>
  </w:footnote>
  <w:footnote w:id="7">
    <w:p w:rsidR="005570DA" w:rsidRDefault="005570DA" w:rsidP="00F74459">
      <w:pPr>
        <w:pStyle w:val="FootnoteText"/>
      </w:pPr>
      <w:r>
        <w:rPr>
          <w:rStyle w:val="FootnoteReference"/>
        </w:rPr>
        <w:footnoteRef/>
      </w:r>
      <w:r>
        <w:t xml:space="preserve"> </w:t>
      </w:r>
      <w:r>
        <w:t>Rapporti mill-Grupp ta’ Ħidma Strateġiku (SWG) tal-Kumitat Permanenti dwar ir-Riċerka Agrikola (KPRA) dwar is-Sistemi tal-għarfien u l-innovazzjoni agrikoli (AKIS):</w:t>
      </w:r>
    </w:p>
    <w:p w:rsidR="005570DA" w:rsidRDefault="005570DA" w:rsidP="00F74459">
      <w:pPr>
        <w:pStyle w:val="FootnoteText"/>
      </w:pPr>
      <w:r>
        <w:t>- Agricultural Knowledge and Innovation Systems Towards 2020 – an orientation paper on linking innovation and research (Sistemi tal-Għarfien u l-Innovazzjoni Agrikoli Lejn l-2020 – dokument ta’ orjentazzjoni dwar ir-rabta bejn l-innovazzjoni u r-riċerka)</w:t>
      </w:r>
    </w:p>
    <w:p w:rsidR="005570DA" w:rsidRDefault="005570DA" w:rsidP="00F74459">
      <w:pPr>
        <w:pStyle w:val="FootnoteText"/>
      </w:pPr>
      <w:hyperlink r:id="rId4" w:history="1">
        <w:r>
          <w:rPr>
            <w:rStyle w:val="Hyperlink"/>
          </w:rPr>
          <w:t xml:space="preserve">http://www.gppq.fct.pt/h2020/_docs/brochuras/bioeco/agricultural-knowledge-innovation-systems-towards-2020_en.pdf </w:t>
        </w:r>
      </w:hyperlink>
      <w:r>
        <w:t>(dwar il-bini tal-approċċ b’diversi atturi)</w:t>
      </w:r>
    </w:p>
    <w:p w:rsidR="005570DA" w:rsidRPr="009C39EE" w:rsidRDefault="005570DA" w:rsidP="00F74459">
      <w:pPr>
        <w:pStyle w:val="FootnoteText"/>
      </w:pPr>
      <w:r>
        <w:t xml:space="preserve">- Agricultural Knowledge and Innovation Systems towards the Future - A Foresight paper (Sistemi tal-Għarfien u l-Innovazzjoni Agrikoli lejn il-Ġejjieni - Dokument ta’ tbassir), </w:t>
      </w:r>
      <w:hyperlink r:id="rId5" w:anchor="view=fit&amp;pagemode=none" w:history="1">
        <w:r>
          <w:rPr>
            <w:rStyle w:val="Hyperlink"/>
          </w:rPr>
          <w:t>https://ec.europa.eu/research/scar/pdf/akis-3_end_report.pdf#view=fit&amp;pagemode=none</w:t>
        </w:r>
      </w:hyperlink>
      <w:r>
        <w:rPr>
          <w:rStyle w:val="Hyperlink"/>
        </w:rPr>
        <w:t xml:space="preserve"> </w:t>
      </w:r>
    </w:p>
  </w:footnote>
  <w:footnote w:id="8">
    <w:p w:rsidR="005570DA" w:rsidRPr="00B13D00" w:rsidRDefault="005570DA" w:rsidP="00F74459">
      <w:pPr>
        <w:pStyle w:val="FootnoteText"/>
      </w:pPr>
      <w:r>
        <w:rPr>
          <w:rStyle w:val="FootnoteReference"/>
          <w:color w:val="373737"/>
        </w:rPr>
        <w:footnoteRef/>
      </w:r>
      <w:r>
        <w:t xml:space="preserve"> </w:t>
      </w:r>
      <w:r>
        <w:t xml:space="preserve">Schot u Geels (2008) għal aktar dwar in-niċeċ soċjotekniċi. </w:t>
      </w:r>
    </w:p>
  </w:footnote>
  <w:footnote w:id="9">
    <w:p w:rsidR="005570DA" w:rsidRPr="00F74459" w:rsidRDefault="005570DA" w:rsidP="00F74459">
      <w:pPr>
        <w:pStyle w:val="FootnoteText"/>
      </w:pPr>
      <w:r>
        <w:rPr>
          <w:szCs w:val="16"/>
          <w:vertAlign w:val="superscript"/>
          <w:lang w:val="en-IE"/>
        </w:rPr>
        <w:footnoteRef/>
      </w:r>
      <w:r>
        <w:t xml:space="preserve"> </w:t>
      </w:r>
      <w:r>
        <w:t>ENRD (2013). Towards Successful Innovation Brokerage: Insights for the 2007-2013 Rural Development Programmes u Leeuwis C, Schut M, Waters-Bayer A, Mur R, Atta-Krah K u Douthwaite B. 2014. Capacity to innovate from a system CGIAR research program perspective. Penang, il-Malasja: CGIAR Research Program on Aquatic Agricultural Systems. Program Brief: AAS-2014-29.</w:t>
      </w:r>
    </w:p>
  </w:footnote>
  <w:footnote w:id="10">
    <w:p w:rsidR="005570DA" w:rsidRPr="00F74459" w:rsidRDefault="005570DA" w:rsidP="00F74459">
      <w:pPr>
        <w:pStyle w:val="FootnoteText"/>
      </w:pPr>
      <w:r>
        <w:rPr>
          <w:szCs w:val="16"/>
          <w:vertAlign w:val="superscript"/>
          <w:lang w:val="en-IE"/>
        </w:rPr>
        <w:footnoteRef/>
      </w:r>
      <w:r>
        <w:t xml:space="preserve"> </w:t>
      </w:r>
      <w:r>
        <w:t>L-ENRD (2013) jidentifika s-senserija tal-innovazzjoni bħala kapaċità tas-sistema ewlenija, jiġifieri, il-preżenza (u l-attività) ta’ dawk l-atturi li huma impenjati għall-bidla, u li huma kreattivi, proattivi, motivati, imparzjali, trasparenti u sensittivi għall-kuntest tal-innovazzjoni.</w:t>
      </w:r>
    </w:p>
  </w:footnote>
  <w:footnote w:id="11">
    <w:p w:rsidR="005570DA" w:rsidRDefault="005570DA" w:rsidP="00F74459">
      <w:pPr>
        <w:pStyle w:val="FootnoteText"/>
      </w:pPr>
      <w:r>
        <w:rPr>
          <w:szCs w:val="16"/>
          <w:vertAlign w:val="superscript"/>
          <w:lang w:val="en-IE"/>
        </w:rPr>
        <w:footnoteRef/>
      </w:r>
      <w:r>
        <w:t xml:space="preserve"> </w:t>
      </w:r>
      <w:r>
        <w:t>Douthwaite u Hoffecker (li jmiss) u Nemes u Augustyn (2017).</w:t>
      </w:r>
    </w:p>
  </w:footnote>
  <w:footnote w:id="12">
    <w:p w:rsidR="005570DA" w:rsidRPr="00B13D00" w:rsidRDefault="005570DA" w:rsidP="00E05D08">
      <w:pPr>
        <w:pStyle w:val="FootnoteText"/>
      </w:pPr>
      <w:r>
        <w:rPr>
          <w:vertAlign w:val="superscript"/>
        </w:rPr>
        <w:footnoteRef/>
      </w:r>
      <w:r>
        <w:t xml:space="preserve"> </w:t>
      </w:r>
      <w:r>
        <w:t>ENRD (2013). Towards Successful Innovation Brokerage: Insights for the 2007-2013 Rural Development Programmes (Lejn Senserija tal-Innovazzjoni b’Suċċess: Intuwizzjonijiet għall-Programmi tal-Iżvilupp Rurali 2007-2013)</w:t>
      </w:r>
    </w:p>
  </w:footnote>
  <w:footnote w:id="13">
    <w:p w:rsidR="005570DA" w:rsidRPr="00690E70" w:rsidRDefault="005570DA" w:rsidP="004508D0">
      <w:pPr>
        <w:pStyle w:val="FootnoteText"/>
        <w:rPr>
          <w:rStyle w:val="Hyperlink"/>
        </w:rPr>
      </w:pPr>
      <w:r>
        <w:rPr>
          <w:rStyle w:val="FootnoteReference"/>
        </w:rPr>
        <w:footnoteRef/>
      </w:r>
      <w:r>
        <w:t xml:space="preserve"> </w:t>
      </w:r>
      <w:r>
        <w:t xml:space="preserve">EIP AGRI (2016) Workshop on Cities and Food: Connecting Consumers and Producers (Workshop dwar il-Bliet u l-Ikel: Nikkollegaw il-Konsumaturi u l-Produtturi). Disponibbli fuq: </w:t>
      </w:r>
      <w:hyperlink r:id="rId6" w:history="1">
        <w:r>
          <w:rPr>
            <w:rStyle w:val="Hyperlink"/>
          </w:rPr>
          <w:t>https://ec.europa.eu/eip/agriculture/sites/agri-eip/files/eip-agri_factsheet_cities_and_food_en_web.pdf</w:t>
        </w:r>
      </w:hyperlink>
    </w:p>
  </w:footnote>
  <w:footnote w:id="14">
    <w:p w:rsidR="005570DA" w:rsidRPr="00B13D00" w:rsidRDefault="005570DA" w:rsidP="00E05D08">
      <w:pPr>
        <w:pStyle w:val="FootnoteText"/>
      </w:pPr>
      <w:r>
        <w:rPr>
          <w:rStyle w:val="FootnoteReference"/>
        </w:rPr>
        <w:footnoteRef/>
      </w:r>
      <w:r>
        <w:t xml:space="preserve"> </w:t>
      </w:r>
      <w:r>
        <w:t>Senge, P. M., &amp; Sterman, J. D. (1992). Systems thinking and organisational learning: Acting locally and thinking globally in the organisation of the future. Ġurnal Ewropew tar-riċerka operattiva, 59(1), 137-150.</w:t>
      </w:r>
    </w:p>
  </w:footnote>
  <w:footnote w:id="15">
    <w:p w:rsidR="005570DA" w:rsidRPr="00554BBB" w:rsidRDefault="005570DA" w:rsidP="00E05D08">
      <w:pPr>
        <w:pStyle w:val="FootnoteText"/>
      </w:pPr>
      <w:r>
        <w:rPr>
          <w:rStyle w:val="FootnoteReference"/>
        </w:rPr>
        <w:footnoteRef/>
      </w:r>
      <w:r>
        <w:rPr>
          <w:rFonts w:asciiTheme="minorHAnsi" w:hAnsiTheme="minorHAnsi"/>
          <w:color w:val="auto"/>
          <w:sz w:val="22"/>
          <w:szCs w:val="22"/>
        </w:rPr>
        <w:t xml:space="preserve"> </w:t>
      </w:r>
      <w:r>
        <w:t xml:space="preserve">Pawson, R. (2013). </w:t>
      </w:r>
      <w:r>
        <w:rPr>
          <w:i/>
          <w:iCs/>
        </w:rPr>
        <w:t>The science of evaluation: A realist manifesto</w:t>
      </w:r>
      <w:r>
        <w:t>. Londra, ir-Renju Unit: Sage Publications</w:t>
      </w:r>
    </w:p>
  </w:footnote>
  <w:footnote w:id="16">
    <w:p w:rsidR="005570DA" w:rsidRPr="00B13D00" w:rsidRDefault="005570DA" w:rsidP="00E05D08">
      <w:pPr>
        <w:pStyle w:val="FootnoteText"/>
      </w:pPr>
      <w:r>
        <w:rPr>
          <w:rStyle w:val="FootnoteReference"/>
        </w:rPr>
        <w:footnoteRef/>
      </w:r>
      <w:r>
        <w:t xml:space="preserve"> </w:t>
      </w:r>
      <w:r>
        <w:t>Orizzont 2020 huwa l-akbar programm ta’ riċerka u innovazzjoni tal-UE li għandu l-għan li jakkopja r-riċerka u l-innovazzjoni fis-setturi kollha, inklużi l-agrikoltura u l-forestrija, bħala mezz biex jinkisbu tkabbir u impjiegi intelliġenti, sostenibbli u inklużivi. Ħafna politiki oħrajn tal-UE li jindirizzaw l-innovazzjoni u l-iżvilupp tal-ħiliet jistgħu jikkontribwixxu wkoll għar-riċerka agrikola u l-innovazzjoni (il-Politika ta’ Koeżjoni, COSME, ERASMUS, LIFE+).</w:t>
      </w:r>
    </w:p>
  </w:footnote>
  <w:footnote w:id="17">
    <w:p w:rsidR="005570DA" w:rsidRPr="00B13D00" w:rsidRDefault="005570DA" w:rsidP="00E05D08">
      <w:pPr>
        <w:pStyle w:val="FootnoteText"/>
      </w:pPr>
      <w:r>
        <w:rPr>
          <w:rStyle w:val="FootnoteReference"/>
          <w:rFonts w:cs="Helvetica"/>
          <w:szCs w:val="16"/>
        </w:rPr>
        <w:footnoteRef/>
      </w:r>
      <w:r>
        <w:t xml:space="preserve"> </w:t>
      </w:r>
      <w:r>
        <w:t>Dan għandu l-għan li jindirizza sfidi soċjetali ewlenin, bħat-tibdil fil-klima u l-effiċjenza fir-riżorsi u jsaħħaħ ir-rabtiet fil-katina tal-innovazzjoni (</w:t>
      </w:r>
      <w:hyperlink r:id="rId7" w:history="1">
        <w:r>
          <w:rPr>
            <w:rStyle w:val="Hyperlink"/>
          </w:rPr>
          <w:t>http://ec.europa.eu/europe2020/europe-2020-in-a-nutshell/flagship-initiatives/index_en.htm</w:t>
        </w:r>
      </w:hyperlink>
      <w:r>
        <w:t xml:space="preserve">) </w:t>
      </w:r>
    </w:p>
  </w:footnote>
  <w:footnote w:id="18">
    <w:p w:rsidR="005570DA" w:rsidRPr="00275EE5" w:rsidRDefault="005570DA" w:rsidP="00E05D08">
      <w:pPr>
        <w:pStyle w:val="FootnoteText"/>
      </w:pPr>
      <w:r>
        <w:rPr>
          <w:rStyle w:val="FootnoteReference"/>
        </w:rPr>
        <w:footnoteRef/>
      </w:r>
      <w:r>
        <w:t xml:space="preserve"> </w:t>
      </w:r>
      <w:hyperlink r:id="rId8" w:history="1">
        <w:r>
          <w:rPr>
            <w:rStyle w:val="Hyperlink"/>
          </w:rPr>
          <w:t>http://ec.europa.eu/europe2020/europe-2020-in-a-nutshell/targets/index_en.htm</w:t>
        </w:r>
      </w:hyperlink>
      <w:r>
        <w:t xml:space="preserve"> </w:t>
      </w:r>
    </w:p>
  </w:footnote>
  <w:footnote w:id="19">
    <w:p w:rsidR="005570DA" w:rsidRPr="00B13D00" w:rsidRDefault="005570DA" w:rsidP="00E05D08">
      <w:pPr>
        <w:pStyle w:val="FootnoteText"/>
      </w:pPr>
      <w:r>
        <w:rPr>
          <w:rStyle w:val="FootnoteReference"/>
        </w:rPr>
        <w:footnoteRef/>
      </w:r>
      <w:r>
        <w:t xml:space="preserve"> </w:t>
      </w:r>
      <w:r>
        <w:t>L-Art. 5 tar-Regolament (UE) Nru 1305/2013</w:t>
      </w:r>
    </w:p>
  </w:footnote>
  <w:footnote w:id="20">
    <w:p w:rsidR="005570DA" w:rsidRPr="00171202" w:rsidRDefault="005570DA" w:rsidP="00E05D08">
      <w:pPr>
        <w:pStyle w:val="FootnoteText"/>
      </w:pPr>
      <w:r>
        <w:rPr>
          <w:rStyle w:val="FootnoteReference"/>
        </w:rPr>
        <w:footnoteRef/>
      </w:r>
      <w:r>
        <w:t xml:space="preserve"> </w:t>
      </w:r>
      <w:r>
        <w:t>L-Art. 8.1(ċ)(v) tar-Regolament 1305/2013</w:t>
      </w:r>
    </w:p>
  </w:footnote>
  <w:footnote w:id="21">
    <w:p w:rsidR="005570DA" w:rsidRPr="00171202" w:rsidRDefault="005570DA" w:rsidP="00E05D08">
      <w:pPr>
        <w:pStyle w:val="FootnoteText"/>
      </w:pPr>
      <w:r>
        <w:rPr>
          <w:rStyle w:val="FootnoteReference"/>
          <w:i/>
        </w:rPr>
        <w:footnoteRef/>
      </w:r>
      <w:r>
        <w:t xml:space="preserve"> </w:t>
      </w:r>
      <w:r>
        <w:t>L-Art. 8.1(b) tar-Regolament 1305/2013</w:t>
      </w:r>
    </w:p>
  </w:footnote>
  <w:footnote w:id="22">
    <w:p w:rsidR="005570DA" w:rsidRPr="00171202" w:rsidRDefault="005570DA" w:rsidP="00E05D08">
      <w:pPr>
        <w:pStyle w:val="FootnoteText"/>
      </w:pPr>
      <w:r>
        <w:rPr>
          <w:rStyle w:val="FootnoteReference"/>
          <w:i/>
        </w:rPr>
        <w:footnoteRef/>
      </w:r>
      <w:r>
        <w:t xml:space="preserve"> </w:t>
      </w:r>
      <w:r>
        <w:t>L-Art. 5 tar-Regolament 1305/2013</w:t>
      </w:r>
    </w:p>
  </w:footnote>
  <w:footnote w:id="23">
    <w:p w:rsidR="005570DA" w:rsidRPr="00D461AB" w:rsidRDefault="005570DA" w:rsidP="00D461AB">
      <w:pPr>
        <w:pStyle w:val="FootnoteText"/>
      </w:pPr>
      <w:r>
        <w:rPr>
          <w:rStyle w:val="FootnoteReference"/>
        </w:rPr>
        <w:footnoteRef/>
      </w:r>
      <w:r>
        <w:t xml:space="preserve"> </w:t>
      </w:r>
      <w:r>
        <w:t>Linji gwida dwar il-programmazzjoni għall-innovazzjoni u l-implimentazzjoni tal-EIP għall-produttività u s-sostenibbiltà fil-qasam agrikolu, taqsima 8.2, paġna 13</w:t>
      </w:r>
    </w:p>
  </w:footnote>
  <w:footnote w:id="24">
    <w:p w:rsidR="005570DA" w:rsidRPr="00171202" w:rsidRDefault="005570DA" w:rsidP="00E05D08">
      <w:pPr>
        <w:pStyle w:val="FootnoteText"/>
      </w:pPr>
      <w:r>
        <w:rPr>
          <w:rStyle w:val="FootnoteReference"/>
        </w:rPr>
        <w:footnoteRef/>
      </w:r>
      <w:r>
        <w:t xml:space="preserve"> </w:t>
      </w:r>
      <w:r>
        <w:t>Regolament (UE) Nru 1303/2013, Anness 1, il-Parti 5 tar-Regolament (UE) Nru 808/2014, u l-Linji Gwida dwar il-Programmazzjoni għall-innovazzjoni u l-implimentazzjoni tal-EIP għall-produttività u s-sostenibbiltà fil-qasam agrikolu (2014, p. 10)</w:t>
      </w:r>
    </w:p>
  </w:footnote>
  <w:footnote w:id="25">
    <w:p w:rsidR="005570DA" w:rsidRPr="00171202" w:rsidRDefault="005570DA" w:rsidP="00E05D08">
      <w:pPr>
        <w:pStyle w:val="FootnoteText"/>
      </w:pPr>
      <w:r>
        <w:rPr>
          <w:rStyle w:val="FootnoteReference"/>
        </w:rPr>
        <w:footnoteRef/>
      </w:r>
      <w:r>
        <w:t xml:space="preserve"> </w:t>
      </w:r>
      <w:r>
        <w:t>L-Art. 27 tar-Regolament (UE) Nru 1303/2013 u l-Anness 1, il-Parti 5 tar-Regolament (UE) Nru 808/2014</w:t>
      </w:r>
    </w:p>
  </w:footnote>
  <w:footnote w:id="26">
    <w:p w:rsidR="005570DA" w:rsidRPr="00171202" w:rsidRDefault="005570DA" w:rsidP="00E05D08">
      <w:pPr>
        <w:pStyle w:val="FootnoteText"/>
      </w:pPr>
      <w:r>
        <w:rPr>
          <w:rStyle w:val="FootnoteReference"/>
        </w:rPr>
        <w:footnoteRef/>
      </w:r>
      <w:r>
        <w:t xml:space="preserve"> </w:t>
      </w:r>
      <w:r>
        <w:t>L-Art. 32-34 tar-Regolament (UE) Nru 1303/2013 u l-Anness 1, il-Parti 5 tar-Regolament (UE) Nru 808/2014</w:t>
      </w:r>
    </w:p>
  </w:footnote>
  <w:footnote w:id="27">
    <w:p w:rsidR="005570DA" w:rsidRPr="00171202" w:rsidRDefault="005570DA" w:rsidP="00E05D08">
      <w:pPr>
        <w:pStyle w:val="FootnoteText"/>
      </w:pPr>
      <w:r>
        <w:rPr>
          <w:rStyle w:val="FootnoteReference"/>
        </w:rPr>
        <w:footnoteRef/>
      </w:r>
      <w:r>
        <w:t xml:space="preserve"> </w:t>
      </w:r>
      <w:r>
        <w:t>L-Art. 53 tar-Regolament (UE) Nru 1305/2013</w:t>
      </w:r>
    </w:p>
  </w:footnote>
  <w:footnote w:id="28">
    <w:p w:rsidR="005570DA" w:rsidRPr="00171202" w:rsidRDefault="005570DA" w:rsidP="00E05D08">
      <w:pPr>
        <w:pStyle w:val="FootnoteText"/>
      </w:pPr>
      <w:r>
        <w:rPr>
          <w:rStyle w:val="FootnoteReference"/>
        </w:rPr>
        <w:footnoteRef/>
      </w:r>
      <w:r>
        <w:t xml:space="preserve"> </w:t>
      </w:r>
      <w:r>
        <w:t>L-Art. 54(d) tar-Regolament (UE) Nru 1305/2013</w:t>
      </w:r>
    </w:p>
  </w:footnote>
  <w:footnote w:id="29">
    <w:p w:rsidR="005570DA" w:rsidRPr="00171202" w:rsidRDefault="005570DA" w:rsidP="00E05D08">
      <w:pPr>
        <w:pStyle w:val="FootnoteText"/>
      </w:pPr>
      <w:r>
        <w:rPr>
          <w:rStyle w:val="FootnoteReference"/>
        </w:rPr>
        <w:footnoteRef/>
      </w:r>
      <w:r>
        <w:t xml:space="preserve"> </w:t>
      </w:r>
      <w:r>
        <w:t>Linji gwida dwar il-Programmazzjoni għall-innovazzjoni u l-implimentazzjoni tal-EIP għall-produttività u s-sostenibbiltà fil-qasam agrikolu (2014, p. 13)</w:t>
      </w:r>
    </w:p>
  </w:footnote>
  <w:footnote w:id="30">
    <w:p w:rsidR="005570DA" w:rsidRPr="00171202" w:rsidRDefault="005570DA" w:rsidP="00E05D08">
      <w:pPr>
        <w:pStyle w:val="FootnoteText"/>
      </w:pPr>
      <w:r>
        <w:rPr>
          <w:rStyle w:val="FootnoteReference"/>
        </w:rPr>
        <w:footnoteRef/>
      </w:r>
      <w:r>
        <w:t xml:space="preserve"> </w:t>
      </w:r>
      <w:r>
        <w:t>L-Art. 54.3(b)(iv) tar-Regolament (UE) Nru 1305/2013</w:t>
      </w:r>
    </w:p>
  </w:footnote>
  <w:footnote w:id="31">
    <w:p w:rsidR="005570DA" w:rsidRPr="00171202" w:rsidRDefault="005570DA" w:rsidP="00E05D08">
      <w:pPr>
        <w:pStyle w:val="FootnoteText"/>
      </w:pPr>
      <w:r>
        <w:rPr>
          <w:rStyle w:val="FootnoteReference"/>
        </w:rPr>
        <w:footnoteRef/>
      </w:r>
      <w:r>
        <w:t xml:space="preserve"> </w:t>
      </w:r>
      <w:r>
        <w:t>L-Anness I, il-Parti 1, il-punt 9.3(a) tar-Regolament (UE) Nru 808/2014</w:t>
      </w:r>
    </w:p>
  </w:footnote>
  <w:footnote w:id="32">
    <w:p w:rsidR="005570DA" w:rsidRPr="00171202" w:rsidRDefault="005570DA" w:rsidP="00E05D08">
      <w:pPr>
        <w:pStyle w:val="FootnoteText"/>
      </w:pPr>
      <w:r>
        <w:rPr>
          <w:rStyle w:val="FootnoteReference"/>
        </w:rPr>
        <w:footnoteRef/>
      </w:r>
      <w:r>
        <w:t xml:space="preserve"> </w:t>
      </w:r>
      <w:r>
        <w:t>L-Anness VII, il-punt 2 tar-Regolament (UE) Nru 808/2014</w:t>
      </w:r>
    </w:p>
  </w:footnote>
  <w:footnote w:id="33">
    <w:p w:rsidR="005570DA" w:rsidRPr="005F1B3E" w:rsidRDefault="005570DA" w:rsidP="00E05D08">
      <w:pPr>
        <w:pStyle w:val="FootnoteText"/>
      </w:pPr>
      <w:r>
        <w:rPr>
          <w:rStyle w:val="FootnoteReference"/>
        </w:rPr>
        <w:footnoteRef/>
      </w:r>
      <w:r>
        <w:t xml:space="preserve"> </w:t>
      </w:r>
      <w:r>
        <w:t>L-Anness IV għar-Reg. (UE) 808/2014</w:t>
      </w:r>
    </w:p>
  </w:footnote>
  <w:footnote w:id="34">
    <w:p w:rsidR="005570DA" w:rsidRPr="00E14E11" w:rsidRDefault="005570DA" w:rsidP="00E05D08">
      <w:pPr>
        <w:pStyle w:val="FootnoteText"/>
      </w:pPr>
      <w:r>
        <w:rPr>
          <w:rStyle w:val="FootnoteReference"/>
        </w:rPr>
        <w:footnoteRef/>
      </w:r>
      <w:r>
        <w:t>Ara s-seminar tal-EIP dwar is-Sistemi tal-Għarfien u l-Innovazzjoni Interattiva:</w:t>
      </w:r>
      <w:r>
        <w:rPr>
          <w:rStyle w:val="Hyperlink"/>
        </w:rPr>
        <w:t xml:space="preserve"> </w:t>
      </w:r>
      <w:hyperlink r:id="rId9" w:history="1">
        <w:r>
          <w:rPr>
            <w:rStyle w:val="Hyperlink"/>
          </w:rPr>
          <w:t>https://ec.europa.eu/eip/agriculture/sites/agri-eip/files/field_event_attachments/sem-knowledge-20151203-pres02-inge_van_oost.pdf</w:t>
        </w:r>
      </w:hyperlink>
    </w:p>
  </w:footnote>
  <w:footnote w:id="35">
    <w:p w:rsidR="005570DA" w:rsidRPr="008F676D" w:rsidRDefault="005570DA" w:rsidP="00E05D08">
      <w:pPr>
        <w:pStyle w:val="FootnoteText"/>
      </w:pPr>
      <w:r>
        <w:rPr>
          <w:rStyle w:val="FootnoteReference"/>
        </w:rPr>
        <w:footnoteRef/>
      </w:r>
      <w:r>
        <w:t xml:space="preserve"> </w:t>
      </w:r>
      <w:r>
        <w:t xml:space="preserve">Aktar gwida hija pprovduta fil-linji gwida: Assessment of RDP results: how to prepare for reporting on evaluation findings in 2017, </w:t>
      </w:r>
      <w:hyperlink r:id="rId10" w:history="1">
        <w:r>
          <w:rPr>
            <w:rStyle w:val="Hyperlink"/>
          </w:rPr>
          <w:t>https://enrd.ec.europa.eu/evaluation/publications/guidelines-assessment-rdp-results-how-prepare-reporting-evaluation-2017_en</w:t>
        </w:r>
      </w:hyperlink>
    </w:p>
  </w:footnote>
  <w:footnote w:id="36">
    <w:p w:rsidR="005570DA" w:rsidRPr="00401F29" w:rsidRDefault="005570DA" w:rsidP="00E05D08">
      <w:pPr>
        <w:pStyle w:val="FootnoteText"/>
      </w:pPr>
      <w:r>
        <w:rPr>
          <w:rStyle w:val="FootnoteReference"/>
        </w:rPr>
        <w:footnoteRef/>
      </w:r>
      <w:r>
        <w:t xml:space="preserve"> </w:t>
      </w:r>
      <w:r>
        <w:t>L-Art. 66 tar-Regolament (UE) Nru 1305/2013 u l-Art. 15 u l-anness VII tar-Regolament (UE) Nru 808/2014</w:t>
      </w:r>
    </w:p>
  </w:footnote>
  <w:footnote w:id="37">
    <w:p w:rsidR="005570DA" w:rsidRPr="00576A73" w:rsidRDefault="005570DA" w:rsidP="00804433">
      <w:pPr>
        <w:pStyle w:val="FootnoteText"/>
      </w:pPr>
      <w:r>
        <w:rPr>
          <w:rStyle w:val="FootnoteReference"/>
        </w:rPr>
        <w:footnoteRef/>
      </w:r>
      <w:r>
        <w:t xml:space="preserve"> </w:t>
      </w:r>
      <w:r>
        <w:t xml:space="preserve">Ara l-Linji Gwida “Assessment of RDP results: How to prepare for reporting on evaluation in 2017”, Helpdesk ta’ Evalwazzjoni, Settembru 2016, </w:t>
      </w:r>
      <w:hyperlink r:id="rId11" w:history="1">
        <w:r>
          <w:rPr>
            <w:rStyle w:val="Hyperlink"/>
          </w:rPr>
          <w:t>https://enrd.ec.europa.eu/evaluation/publications/guidelines-assessment-rdp-results-how-prepare-reporting-evaluation-2017_en</w:t>
        </w:r>
      </w:hyperlink>
    </w:p>
  </w:footnote>
  <w:footnote w:id="38">
    <w:p w:rsidR="005570DA" w:rsidRPr="00626C0C" w:rsidRDefault="005570DA" w:rsidP="00583AC8">
      <w:pPr>
        <w:pStyle w:val="FootnoteText"/>
      </w:pPr>
      <w:r>
        <w:rPr>
          <w:rStyle w:val="FootnoteReference"/>
        </w:rPr>
        <w:footnoteRef/>
      </w:r>
      <w:r>
        <w:t xml:space="preserve"> </w:t>
      </w:r>
      <w:r>
        <w:t xml:space="preserve">Link għas-Segretarjat Svediż tal-Evalwazzjoni: </w:t>
      </w:r>
      <w:hyperlink r:id="rId12" w:history="1">
        <w:r>
          <w:rPr>
            <w:rStyle w:val="Hyperlink"/>
          </w:rPr>
          <w:t>https://www.jordbruksverket.se/utvardering</w:t>
        </w:r>
      </w:hyperlink>
    </w:p>
  </w:footnote>
  <w:footnote w:id="39">
    <w:p w:rsidR="005570DA" w:rsidRPr="00171202" w:rsidRDefault="005570DA" w:rsidP="00804433">
      <w:pPr>
        <w:pStyle w:val="FootnoteText"/>
      </w:pPr>
      <w:r>
        <w:rPr>
          <w:rStyle w:val="FootnoteReference"/>
        </w:rPr>
        <w:footnoteRef/>
      </w:r>
      <w:r>
        <w:t xml:space="preserve"> </w:t>
      </w:r>
      <w:r>
        <w:t>L-Anness VII, il-punt 7 tar-Regolament (UE) Nru 808/2014</w:t>
      </w:r>
    </w:p>
  </w:footnote>
  <w:footnote w:id="40">
    <w:p w:rsidR="005570DA" w:rsidRPr="00171202" w:rsidRDefault="005570DA" w:rsidP="00804433">
      <w:pPr>
        <w:pStyle w:val="FootnoteText"/>
      </w:pPr>
      <w:r>
        <w:rPr>
          <w:rStyle w:val="FootnoteReference"/>
        </w:rPr>
        <w:footnoteRef/>
      </w:r>
      <w:r>
        <w:t xml:space="preserve"> </w:t>
      </w:r>
      <w:r>
        <w:t>L-Anness IV, il-punt 2.3 u 4 tar-Regolament (UE) Nru 808/2014</w:t>
      </w:r>
    </w:p>
  </w:footnote>
  <w:footnote w:id="41">
    <w:p w:rsidR="005570DA" w:rsidRPr="00171202" w:rsidRDefault="005570DA" w:rsidP="00E05D08">
      <w:pPr>
        <w:pStyle w:val="FootnoteText"/>
      </w:pPr>
      <w:r>
        <w:rPr>
          <w:rStyle w:val="FootnoteReference"/>
        </w:rPr>
        <w:footnoteRef/>
      </w:r>
      <w:r>
        <w:t xml:space="preserve"> </w:t>
      </w:r>
      <w:r>
        <w:t>Il-kriterji tal-ġudizzju kif ipprovduti fid-Dokument ta’ ħidma: Common evaluation questions for Rural Development Programmes 2014-2020,</w:t>
      </w:r>
      <w:r>
        <w:rPr>
          <w:rStyle w:val="Hyperlink"/>
        </w:rPr>
        <w:t xml:space="preserve"> </w:t>
      </w:r>
      <w:hyperlink r:id="rId13" w:history="1">
        <w:r>
          <w:rPr>
            <w:rStyle w:val="Hyperlink"/>
          </w:rPr>
          <w:t>https://enrd.ec.europa.eu/evaluation/publications/working-document-common-evaluation-questions-rural-development-programmes_en</w:t>
        </w:r>
      </w:hyperlink>
    </w:p>
  </w:footnote>
  <w:footnote w:id="42">
    <w:p w:rsidR="005570DA" w:rsidRPr="00171202" w:rsidRDefault="005570DA" w:rsidP="00E05D08">
      <w:pPr>
        <w:pStyle w:val="FootnoteText"/>
      </w:pPr>
      <w:r>
        <w:rPr>
          <w:rStyle w:val="FootnoteReference"/>
        </w:rPr>
        <w:footnoteRef/>
      </w:r>
      <w:r>
        <w:t xml:space="preserve"> </w:t>
      </w:r>
      <w:r>
        <w:t>L-Anness IV tar-Regolament (UE) Nru 808/2014</w:t>
      </w:r>
    </w:p>
  </w:footnote>
  <w:footnote w:id="43">
    <w:p w:rsidR="005570DA" w:rsidRPr="00091F73" w:rsidRDefault="005570DA" w:rsidP="00E05D08">
      <w:pPr>
        <w:pStyle w:val="FootnoteText"/>
      </w:pPr>
      <w:r>
        <w:rPr>
          <w:rStyle w:val="FootnoteReference"/>
        </w:rPr>
        <w:footnoteRef/>
      </w:r>
      <w:r>
        <w:t xml:space="preserve"> </w:t>
      </w:r>
      <w:r>
        <w:t xml:space="preserve">Il-kriterji addizzjonali tal-ġudizzju jiġu żviluppati fl-Istati Membri flimkien ma’ dawk speċifikati fid-Dokument ta’ ħidma: Mistoqsijiet komuni tal-evalwazzjoni għall-Programmi tal-Iżvilupp Rurali 2014-2020 </w:t>
      </w:r>
    </w:p>
  </w:footnote>
  <w:footnote w:id="44">
    <w:p w:rsidR="005570DA" w:rsidRPr="00091F73" w:rsidRDefault="005570DA" w:rsidP="00E05D08">
      <w:pPr>
        <w:pStyle w:val="FootnoteText"/>
      </w:pPr>
      <w:r>
        <w:rPr>
          <w:rStyle w:val="FootnoteReference"/>
        </w:rPr>
        <w:footnoteRef/>
      </w:r>
      <w:r>
        <w:t xml:space="preserve"> </w:t>
      </w:r>
      <w:r>
        <w:t xml:space="preserve">Indikaturi addizzjonali huma dawk żviluppati fl-Istati Membri flimkien mal-indikaturi komuni, jekk dawk komuni ma jkunux biżżejjed sabiex jiġu mwieġba l-mistoqsijiet dwar l-evalwazzjoni kif speċifikati fil-kriterji tal-ġudizzju. Għal aktar gwida, ara l-linji gwida: Assessment of RDP results: how to prepare for reporting on evaluation findings in 2017, </w:t>
      </w:r>
      <w:hyperlink r:id="rId14" w:history="1">
        <w:r>
          <w:rPr>
            <w:rStyle w:val="Hyperlink"/>
          </w:rPr>
          <w:t>https://enrd.ec.europa.eu/evaluation/publications/guidelines-assessment-rdp-results-how-prepare-reporting-evaluation-2017_en</w:t>
        </w:r>
      </w:hyperlink>
    </w:p>
    <w:p w:rsidR="005570DA" w:rsidRPr="00091F73" w:rsidRDefault="005570DA" w:rsidP="00F74459">
      <w:pPr>
        <w:pStyle w:val="FootnoteText"/>
        <w:rPr>
          <w:lang w:val="sk-SK"/>
        </w:rPr>
      </w:pPr>
    </w:p>
  </w:footnote>
  <w:footnote w:id="45">
    <w:p w:rsidR="005570DA" w:rsidRPr="00576A73" w:rsidRDefault="005570DA">
      <w:pPr>
        <w:pStyle w:val="FootnoteText"/>
        <w:rPr>
          <w:sz w:val="12"/>
          <w:szCs w:val="12"/>
        </w:rPr>
      </w:pPr>
      <w:r>
        <w:rPr>
          <w:rStyle w:val="FootnoteReference"/>
          <w:szCs w:val="16"/>
        </w:rPr>
        <w:footnoteRef/>
      </w:r>
      <w:r>
        <w:rPr>
          <w:sz w:val="12"/>
          <w:szCs w:val="12"/>
        </w:rPr>
        <w:t xml:space="preserve"> </w:t>
      </w:r>
      <w:r>
        <w:t>L-Art. 15(4), (a)-(g)</w:t>
      </w:r>
    </w:p>
  </w:footnote>
  <w:footnote w:id="46">
    <w:p w:rsidR="005570DA" w:rsidRPr="00401F29" w:rsidRDefault="005570DA" w:rsidP="00E05D08">
      <w:pPr>
        <w:pStyle w:val="FootnoteText"/>
        <w:rPr>
          <w:rStyle w:val="Hyperlink"/>
        </w:rPr>
      </w:pPr>
      <w:r>
        <w:rPr>
          <w:rStyle w:val="FootnoteReference"/>
        </w:rPr>
        <w:footnoteRef/>
      </w:r>
      <w:r>
        <w:t xml:space="preserve"> </w:t>
      </w:r>
      <w:r>
        <w:t>Ara:</w:t>
      </w:r>
      <w:r>
        <w:rPr>
          <w:rStyle w:val="Hyperlink"/>
        </w:rPr>
        <w:t xml:space="preserve"> </w:t>
      </w:r>
      <w:hyperlink r:id="rId15" w:history="1">
        <w:r>
          <w:rPr>
            <w:rStyle w:val="Hyperlink"/>
          </w:rPr>
          <w:t>http://ec.europa.eu/europe2020/targets/eu-targets/index_mt.htm</w:t>
        </w:r>
      </w:hyperlink>
    </w:p>
  </w:footnote>
  <w:footnote w:id="47">
    <w:p w:rsidR="005570DA" w:rsidRPr="00401F29" w:rsidRDefault="005570DA" w:rsidP="00C3092C">
      <w:pPr>
        <w:pStyle w:val="FootnoteText"/>
      </w:pPr>
      <w:r>
        <w:rPr>
          <w:vertAlign w:val="superscript"/>
        </w:rPr>
        <w:footnoteRef/>
      </w:r>
      <w:r>
        <w:t xml:space="preserve"> </w:t>
      </w:r>
      <w:r>
        <w:t xml:space="preserve">WP: Common evaluation questions for RDPs 2014-2020, </w:t>
      </w:r>
      <w:hyperlink r:id="rId16" w:history="1">
        <w:r>
          <w:rPr>
            <w:rStyle w:val="Hyperlink"/>
          </w:rPr>
          <w:t>http://enrd.ec.europa.eu/evaluation/publications/working-document-common-evaluation-questions-rural-development-programmes_en</w:t>
        </w:r>
      </w:hyperlink>
    </w:p>
  </w:footnote>
  <w:footnote w:id="48">
    <w:p w:rsidR="005570DA" w:rsidRPr="00401F29" w:rsidRDefault="005570DA" w:rsidP="00E05D08">
      <w:pPr>
        <w:pStyle w:val="FootnoteText"/>
      </w:pPr>
      <w:r>
        <w:rPr>
          <w:rStyle w:val="FootnoteReference"/>
        </w:rPr>
        <w:footnoteRef/>
      </w:r>
      <w:r>
        <w:t xml:space="preserve"> </w:t>
      </w:r>
      <w:r>
        <w:t>Dawn l-artikoli huma elenkati fir-Regolament (UE) 1305/2013</w:t>
      </w:r>
    </w:p>
  </w:footnote>
  <w:footnote w:id="49">
    <w:p w:rsidR="005570DA" w:rsidRPr="00401F29" w:rsidRDefault="005570DA" w:rsidP="00E05D08">
      <w:pPr>
        <w:pStyle w:val="FootnoteText"/>
      </w:pPr>
      <w:r>
        <w:rPr>
          <w:rStyle w:val="FootnoteReference"/>
        </w:rPr>
        <w:footnoteRef/>
      </w:r>
      <w:r>
        <w:t xml:space="preserve"> </w:t>
      </w:r>
      <w:r>
        <w:t>L-Art. 15(4)(ċ) tar-Regolament (UE) 1305/2013</w:t>
      </w:r>
    </w:p>
  </w:footnote>
  <w:footnote w:id="50">
    <w:p w:rsidR="005570DA" w:rsidRPr="00401F29" w:rsidRDefault="005570DA" w:rsidP="00E05D08">
      <w:pPr>
        <w:pStyle w:val="FootnoteText"/>
      </w:pPr>
      <w:r>
        <w:rPr>
          <w:rStyle w:val="FootnoteReference"/>
        </w:rPr>
        <w:footnoteRef/>
      </w:r>
      <w:r>
        <w:t xml:space="preserve"> </w:t>
      </w:r>
      <w:r>
        <w:t>L-Art. 32 tar-Regolament (UE) Nru 1303/2013</w:t>
      </w:r>
    </w:p>
  </w:footnote>
  <w:footnote w:id="51">
    <w:p w:rsidR="005570DA" w:rsidRPr="00C3092C" w:rsidRDefault="005570DA" w:rsidP="00C3092C">
      <w:pPr>
        <w:pStyle w:val="FootnoteText"/>
      </w:pPr>
      <w:r>
        <w:rPr>
          <w:rStyle w:val="FootnoteReference"/>
        </w:rPr>
        <w:footnoteRef/>
      </w:r>
      <w:r>
        <w:t xml:space="preserve"> </w:t>
      </w:r>
      <w:r>
        <w:t>L-Art. 35(2)(b) tar-Regolament (UE) 1305/2013</w:t>
      </w:r>
    </w:p>
  </w:footnote>
  <w:footnote w:id="52">
    <w:p w:rsidR="005570DA" w:rsidRPr="0026694F" w:rsidRDefault="005570DA" w:rsidP="00E05D08">
      <w:pPr>
        <w:pStyle w:val="FootnoteText"/>
        <w:rPr>
          <w:color w:val="373737"/>
        </w:rPr>
      </w:pPr>
      <w:r>
        <w:rPr>
          <w:rStyle w:val="FootnoteReference"/>
        </w:rPr>
        <w:footnoteRef/>
      </w:r>
      <w:r>
        <w:t xml:space="preserve"> </w:t>
      </w:r>
      <w:r>
        <w:t>L-Art. 35 tar-Regolament (UE) 1305/2013. Id-dokument ta’ gwida « Cooperation measure » (verżjoni ta’ Novembru 2014) joffri l-lista kollha ta’ submiżuri tal-miżura ta’ kooperazzjoni fl-Anness I.,</w:t>
      </w:r>
      <w:r>
        <w:rPr>
          <w:color w:val="373737"/>
        </w:rPr>
        <w:t xml:space="preserve"> </w:t>
      </w:r>
      <w:hyperlink r:id="rId17" w:history="1">
        <w:r>
          <w:rPr>
            <w:rStyle w:val="Hyperlink"/>
          </w:rPr>
          <w:t>https://ec.europa.eu/eip/agriculture/sites/agri-eip/files/16_measure_fiche_art_35_co-operation.pdf</w:t>
        </w:r>
      </w:hyperlink>
    </w:p>
  </w:footnote>
  <w:footnote w:id="53">
    <w:p w:rsidR="005570DA" w:rsidRPr="00401F29" w:rsidRDefault="005570DA" w:rsidP="00E05D08">
      <w:pPr>
        <w:pStyle w:val="FootnoteText"/>
      </w:pPr>
      <w:r>
        <w:rPr>
          <w:rStyle w:val="FootnoteReference"/>
        </w:rPr>
        <w:footnoteRef/>
      </w:r>
      <w:r>
        <w:t xml:space="preserve"> </w:t>
      </w:r>
      <w:r>
        <w:t>L-Art. 35(1) tar-Regolament (UE) 1305/2013</w:t>
      </w:r>
    </w:p>
  </w:footnote>
  <w:footnote w:id="54">
    <w:p w:rsidR="005570DA" w:rsidRPr="00AB16BB" w:rsidRDefault="005570DA">
      <w:pPr>
        <w:pStyle w:val="FootnoteText"/>
        <w:rPr>
          <w:sz w:val="12"/>
          <w:szCs w:val="12"/>
        </w:rPr>
      </w:pPr>
      <w:r>
        <w:rPr>
          <w:rStyle w:val="FootnoteReference"/>
          <w:szCs w:val="16"/>
        </w:rPr>
        <w:footnoteRef/>
      </w:r>
      <w:r>
        <w:t xml:space="preserve">Preżentazzjoni ta’ eżempji ta’ programmazzjoni marbuta mal-prijoritajiet tal-FAEŻR P4 u P5. Disponibbli minn: </w:t>
      </w:r>
      <w:hyperlink r:id="rId18" w:history="1">
        <w:r>
          <w:rPr>
            <w:rStyle w:val="Hyperlink"/>
          </w:rPr>
          <w:t>http://enrd.ec.europa.eu/sites/enrd/files/w10_m16_finland_karlsson.pdf</w:t>
        </w:r>
      </w:hyperlink>
      <w:r>
        <w:rPr>
          <w:sz w:val="12"/>
          <w:szCs w:val="12"/>
        </w:rPr>
        <w:t xml:space="preserve"> </w:t>
      </w:r>
    </w:p>
  </w:footnote>
  <w:footnote w:id="55">
    <w:p w:rsidR="005570DA" w:rsidRPr="00A45935" w:rsidRDefault="005570DA">
      <w:pPr>
        <w:pStyle w:val="FootnoteText"/>
        <w:rPr>
          <w:szCs w:val="16"/>
        </w:rPr>
      </w:pPr>
      <w:r>
        <w:rPr>
          <w:rStyle w:val="FootnoteReference"/>
          <w:szCs w:val="16"/>
        </w:rPr>
        <w:footnoteRef/>
      </w:r>
      <w:r>
        <w:rPr>
          <w:rStyle w:val="Hyperlink"/>
        </w:rPr>
        <w:t xml:space="preserve"> </w:t>
      </w:r>
      <w:hyperlink r:id="rId19" w:history="1">
        <w:r>
          <w:rPr>
            <w:rStyle w:val="Hyperlink"/>
          </w:rPr>
          <w:t>https://ec.europa.eu/eip/agriculture/en/content/innovative-stable-reducing-ammonia-emissions</w:t>
        </w:r>
      </w:hyperlink>
    </w:p>
  </w:footnote>
  <w:footnote w:id="56">
    <w:p w:rsidR="005570DA" w:rsidRDefault="005570DA">
      <w:pPr>
        <w:pStyle w:val="FootnoteText"/>
      </w:pPr>
      <w:r>
        <w:rPr>
          <w:rStyle w:val="FootnoteReference"/>
          <w:szCs w:val="16"/>
        </w:rPr>
        <w:footnoteRef/>
      </w:r>
      <w:r>
        <w:t xml:space="preserve"> </w:t>
      </w:r>
      <w:r>
        <w:t xml:space="preserve">Preżentazzjoni ta’ eżempji ta’ programmazzjoni marbuta mal-prijoritajiet tal-FAEŻR P4 u P5. Disponibbli minn: </w:t>
      </w:r>
      <w:hyperlink r:id="rId20" w:history="1">
        <w:r>
          <w:rPr>
            <w:rStyle w:val="Hyperlink"/>
          </w:rPr>
          <w:t>http://enrd.ec.europa.eu/sites/enrd/files/w10_m16.5_hesse_de_vonkutzleben.pdf</w:t>
        </w:r>
      </w:hyperlink>
    </w:p>
  </w:footnote>
  <w:footnote w:id="57">
    <w:p w:rsidR="005570DA" w:rsidRPr="00401F29" w:rsidRDefault="005570DA" w:rsidP="00E05D08">
      <w:pPr>
        <w:pStyle w:val="FootnoteText"/>
      </w:pPr>
      <w:r>
        <w:rPr>
          <w:rStyle w:val="FootnoteReference"/>
        </w:rPr>
        <w:footnoteRef/>
      </w:r>
      <w:r>
        <w:t xml:space="preserve"> </w:t>
      </w:r>
      <w:r>
        <w:t>L-Art. 54(2) tar-Regolament (UE) 1305/2013.</w:t>
      </w:r>
    </w:p>
  </w:footnote>
  <w:footnote w:id="58">
    <w:p w:rsidR="005570DA" w:rsidRPr="002D11C3" w:rsidRDefault="005570DA" w:rsidP="00E05D08">
      <w:pPr>
        <w:pStyle w:val="FootnoteText"/>
      </w:pPr>
      <w:r>
        <w:rPr>
          <w:rStyle w:val="FootnoteReference"/>
        </w:rPr>
        <w:footnoteRef/>
      </w:r>
      <w:r>
        <w:t xml:space="preserve"> </w:t>
      </w:r>
      <w:r>
        <w:t xml:space="preserve">Il-gwida dwar kif tiġi mwieġba s-CEQ nru. 21 ġiet ipprovduta wkoll fil-linji gwida “Assessment of RDP results: how to prepare for reporting on evaluation in 2017” (“Valutazzjoni tar-riżultati tal-PŻR: kif tħejji għar-rapportar dwar l-evalwazzjoni fl-2017”), Anness 11, li fihom ġew ikkunsidrati l-objettivi kollha relatati man-NRN fir-rigward tat-tweġiba għas-CEQ, </w:t>
      </w:r>
      <w:hyperlink r:id="rId21" w:history="1">
        <w:r>
          <w:rPr>
            <w:rStyle w:val="Hyperlink"/>
          </w:rPr>
          <w:t>https://enrd.ec.europa.eu/evaluation/publications/guidelines-assessment-rdp-results-how-prepare-reporting-evaluation-2017_en</w:t>
        </w:r>
      </w:hyperlink>
    </w:p>
  </w:footnote>
  <w:footnote w:id="59">
    <w:p w:rsidR="005570DA" w:rsidRPr="00401F29" w:rsidRDefault="005570DA" w:rsidP="00E05D08">
      <w:pPr>
        <w:pStyle w:val="FootnoteText"/>
      </w:pPr>
      <w:r>
        <w:rPr>
          <w:rStyle w:val="FootnoteReference"/>
        </w:rPr>
        <w:footnoteRef/>
      </w:r>
      <w:r>
        <w:t xml:space="preserve"> </w:t>
      </w:r>
      <w:r>
        <w:t>L-Art. 54 tar-Regolament (UE) 1305/2013</w:t>
      </w:r>
    </w:p>
  </w:footnote>
  <w:footnote w:id="60">
    <w:p w:rsidR="005570DA" w:rsidRPr="00401F29" w:rsidRDefault="005570DA" w:rsidP="00E05D08">
      <w:pPr>
        <w:pStyle w:val="FootnoteText"/>
      </w:pPr>
      <w:r>
        <w:rPr>
          <w:rStyle w:val="FootnoteReference"/>
        </w:rPr>
        <w:footnoteRef/>
      </w:r>
      <w:r>
        <w:t xml:space="preserve"> </w:t>
      </w:r>
      <w:r>
        <w:t>L-Art. 54(3)(b) tar-Regolament (UE) 1305/2013</w:t>
      </w:r>
    </w:p>
  </w:footnote>
  <w:footnote w:id="61">
    <w:p w:rsidR="005570DA" w:rsidRPr="00401F29" w:rsidRDefault="005570DA" w:rsidP="00E05D08">
      <w:pPr>
        <w:pStyle w:val="FootnoteText"/>
      </w:pPr>
      <w:r>
        <w:rPr>
          <w:rStyle w:val="FootnoteReference"/>
        </w:rPr>
        <w:footnoteRef/>
      </w:r>
      <w:r>
        <w:t xml:space="preserve"> </w:t>
      </w:r>
      <w:r>
        <w:t>L-Art. 8.1(ċ)(v) tar-Regolament (UE) Nru 1305/2013 u l-Anness I, il-Parti I, il-punt 5(ċ) u (e) tar-Regolament (UE) Nru 808/2014</w:t>
      </w:r>
    </w:p>
  </w:footnote>
  <w:footnote w:id="62">
    <w:p w:rsidR="005570DA" w:rsidRPr="00401F29" w:rsidRDefault="005570DA" w:rsidP="00E05D08">
      <w:pPr>
        <w:pStyle w:val="FootnoteText"/>
      </w:pPr>
      <w:r>
        <w:rPr>
          <w:rStyle w:val="FootnoteReference"/>
        </w:rPr>
        <w:footnoteRef/>
      </w:r>
      <w:r>
        <w:t xml:space="preserve"> </w:t>
      </w:r>
      <w:r>
        <w:t>L-Art. 54 tar-Regolament (UE) 1305/2013.</w:t>
      </w:r>
    </w:p>
  </w:footnote>
  <w:footnote w:id="63">
    <w:p w:rsidR="005570DA" w:rsidRPr="00401F29" w:rsidRDefault="005570DA" w:rsidP="00E05D08">
      <w:pPr>
        <w:pStyle w:val="FootnoteText"/>
        <w:rPr>
          <w:rStyle w:val="Hyperlink"/>
        </w:rPr>
      </w:pPr>
      <w:r>
        <w:rPr>
          <w:rStyle w:val="FootnoteReference"/>
        </w:rPr>
        <w:footnoteRef/>
      </w:r>
      <w:r>
        <w:t xml:space="preserve"> </w:t>
      </w:r>
      <w:r>
        <w:t xml:space="preserve">Helpdesk ta’ Evalwazzjoni, Dokument ta’ Ħidma: Common Evaluation questions for RDPs 2014-2020 (Mistoqsijiet Komuni tal-Evalwazzjoni għall-PŻR 2014-2020), disponibbli minn </w:t>
      </w:r>
      <w:hyperlink r:id="rId22" w:history="1">
        <w:r>
          <w:rPr>
            <w:rStyle w:val="Hyperlink"/>
          </w:rPr>
          <w:t>http://enrd.ec.europa.eu/evaluation/publications/working-document-common-evaluation-questions-rural-development-programmes_en</w:t>
        </w:r>
      </w:hyperlink>
    </w:p>
  </w:footnote>
  <w:footnote w:id="64">
    <w:p w:rsidR="005570DA" w:rsidRPr="00401F29" w:rsidRDefault="005570DA" w:rsidP="00E05D08">
      <w:pPr>
        <w:pStyle w:val="FootnoteText"/>
      </w:pPr>
      <w:r>
        <w:rPr>
          <w:rStyle w:val="FootnoteReference"/>
        </w:rPr>
        <w:footnoteRef/>
      </w:r>
      <w:r>
        <w:t xml:space="preserve"> </w:t>
      </w:r>
      <w:r>
        <w:t>Idem</w:t>
      </w:r>
    </w:p>
  </w:footnote>
  <w:footnote w:id="65">
    <w:p w:rsidR="005570DA" w:rsidRPr="00401F29" w:rsidRDefault="005570DA" w:rsidP="00E05D08">
      <w:pPr>
        <w:pStyle w:val="FootnoteText"/>
      </w:pPr>
      <w:r>
        <w:rPr>
          <w:rStyle w:val="FootnoteReference"/>
        </w:rPr>
        <w:footnoteRef/>
      </w:r>
      <w:r>
        <w:t xml:space="preserve"> </w:t>
      </w:r>
      <w:r>
        <w:t>Allen u Seaman (2007)</w:t>
      </w:r>
    </w:p>
  </w:footnote>
  <w:footnote w:id="66">
    <w:p w:rsidR="005570DA" w:rsidRPr="00401F29" w:rsidRDefault="005570DA" w:rsidP="00E05D08">
      <w:pPr>
        <w:pStyle w:val="FootnoteText"/>
      </w:pPr>
      <w:r>
        <w:rPr>
          <w:rStyle w:val="FootnoteReference"/>
        </w:rPr>
        <w:footnoteRef/>
      </w:r>
      <w:r>
        <w:t xml:space="preserve"> </w:t>
      </w:r>
      <w:r>
        <w:t xml:space="preserve">Helpdesk ta’ Evalwazzjoni, Evalwazzjoni tal-Linji Gwida tan-NRN 2014-2020, 2016, il-Kapitolu 3.1.3 u l-Parti III. </w:t>
      </w:r>
      <w:r>
        <w:rPr>
          <w:rStyle w:val="Hyperlink"/>
        </w:rPr>
        <w:t>https://enrd.ec.europa.eu/evaluation/publications/guidelines-evaluation-national-rural-networks-</w:t>
      </w:r>
      <w:hyperlink r:id="rId23" w:history="1">
        <w:r>
          <w:rPr>
            <w:rStyle w:val="Hyperlink"/>
          </w:rPr>
          <w:t>2014</w:t>
        </w:r>
      </w:hyperlink>
      <w:r>
        <w:rPr>
          <w:rStyle w:val="Hyperlink"/>
        </w:rPr>
        <w:t>-</w:t>
      </w:r>
      <w:hyperlink r:id="rId24" w:history="1">
        <w:r>
          <w:rPr>
            <w:rStyle w:val="Hyperlink"/>
          </w:rPr>
          <w:t>2020</w:t>
        </w:r>
      </w:hyperlink>
      <w:r>
        <w:rPr>
          <w:rStyle w:val="Hyperlink"/>
        </w:rPr>
        <w:t>_en</w:t>
      </w:r>
    </w:p>
  </w:footnote>
  <w:footnote w:id="67">
    <w:p w:rsidR="005570DA" w:rsidRPr="00401F29" w:rsidRDefault="005570DA" w:rsidP="00E05D08">
      <w:pPr>
        <w:pStyle w:val="FootnoteText"/>
        <w:rPr>
          <w:rStyle w:val="Hyperlink"/>
        </w:rPr>
      </w:pPr>
      <w:r>
        <w:rPr>
          <w:rStyle w:val="FootnoteReference"/>
        </w:rPr>
        <w:footnoteRef/>
      </w:r>
      <w:r>
        <w:t xml:space="preserve"> </w:t>
      </w:r>
      <w:r>
        <w:t>Eżempju min-NRN Taljan.</w:t>
      </w:r>
      <w:r>
        <w:rPr>
          <w:rFonts w:ascii="Helvetica" w:hAnsi="Helvetica"/>
          <w:szCs w:val="16"/>
        </w:rPr>
        <w:t xml:space="preserve"> </w:t>
      </w:r>
      <w:hyperlink r:id="rId25" w:history="1">
        <w:r>
          <w:rPr>
            <w:rStyle w:val="Hyperlink"/>
          </w:rPr>
          <w:t>http://www.reterurale.it/flex/cm/pages/ServeBLOB.php/L/IT/IDPagina/16281</w:t>
        </w:r>
      </w:hyperlink>
    </w:p>
    <w:p w:rsidR="005570DA" w:rsidRPr="00F743D3" w:rsidRDefault="005570DA" w:rsidP="00F74459">
      <w:pPr>
        <w:pStyle w:val="FootnoteText"/>
        <w:rPr>
          <w:lang w:val="sk-SK"/>
        </w:rPr>
      </w:pPr>
    </w:p>
  </w:footnote>
  <w:footnote w:id="68">
    <w:p w:rsidR="005570DA" w:rsidRPr="00CE37B0" w:rsidRDefault="005570DA" w:rsidP="00E05D08">
      <w:pPr>
        <w:pStyle w:val="FootnoteText"/>
      </w:pPr>
      <w:r>
        <w:rPr>
          <w:rStyle w:val="FootnoteReference"/>
        </w:rPr>
        <w:footnoteRef/>
      </w:r>
      <w:r>
        <w:t xml:space="preserve"> </w:t>
      </w:r>
      <w:r>
        <w:t xml:space="preserve">EUROPE 2020, A strategy for smart, sustainable and inclusive growth (EWROPA 2020, Strateġija għal tkabbir intelliġenti, sostenibbli u inklussiv), </w:t>
      </w:r>
      <w:hyperlink r:id="rId26" w:history="1">
        <w:r>
          <w:rPr>
            <w:rStyle w:val="Hyperlink"/>
          </w:rPr>
          <w:t>http://eur-lex.europa.eu/legal-content/en/ALL/?uri=CELEX%3A52010DC2020</w:t>
        </w:r>
      </w:hyperlink>
    </w:p>
  </w:footnote>
  <w:footnote w:id="69">
    <w:p w:rsidR="005570DA" w:rsidRPr="0026694F" w:rsidRDefault="005570DA"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7" w:history="1">
        <w:r>
          <w:rPr>
            <w:rStyle w:val="Hyperlink"/>
          </w:rPr>
          <w:t>http://ec.europa.eu/europe2020/targets/eu-targets/index_mt.htm</w:t>
        </w:r>
      </w:hyperlink>
    </w:p>
  </w:footnote>
  <w:footnote w:id="70">
    <w:p w:rsidR="005570DA" w:rsidRPr="008F676D" w:rsidRDefault="005570DA" w:rsidP="00E05D08">
      <w:pPr>
        <w:pStyle w:val="FootnoteText"/>
      </w:pPr>
      <w:r>
        <w:rPr>
          <w:rStyle w:val="FootnoteReference"/>
        </w:rPr>
        <w:footnoteRef/>
      </w:r>
      <w:r>
        <w:t xml:space="preserve"> </w:t>
      </w:r>
      <w:hyperlink r:id="rId28" w:history="1">
        <w:r>
          <w:rPr>
            <w:rStyle w:val="Hyperlink"/>
          </w:rPr>
          <w:t>http://ec.europa.eu/eurostat/statistics-explained/index.php/R_%26_D_expenditure</w:t>
        </w:r>
      </w:hyperlink>
    </w:p>
  </w:footnote>
  <w:footnote w:id="71">
    <w:p w:rsidR="005570DA" w:rsidRPr="0026694F" w:rsidRDefault="005570DA"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9" w:history="1">
        <w:r>
          <w:rPr>
            <w:rStyle w:val="Hyperlink"/>
          </w:rPr>
          <w:t>http://www.oecd.org/publications/frascati-manual-2015-9789264239012-en.htm</w:t>
        </w:r>
      </w:hyperlink>
    </w:p>
  </w:footnote>
  <w:footnote w:id="72">
    <w:p w:rsidR="005570DA" w:rsidRPr="00401F29" w:rsidRDefault="005570DA" w:rsidP="00E05D08">
      <w:pPr>
        <w:pStyle w:val="FootnoteText"/>
      </w:pPr>
      <w:r>
        <w:rPr>
          <w:rStyle w:val="FootnoteReference"/>
          <w:rFonts w:cs="Helvetica"/>
          <w:szCs w:val="18"/>
        </w:rPr>
        <w:footnoteRef/>
      </w:r>
      <w:r>
        <w:rPr>
          <w:color w:val="373737"/>
          <w:szCs w:val="18"/>
        </w:rPr>
        <w:t xml:space="preserve"> </w:t>
      </w:r>
      <w:r>
        <w:t>Id-Deċiżjoni Nru. 1608/2003/KE tal-Parlament Ewropew u tal-Kunsill, ir-Regolament (KE) Nru. 753/2004 u r-Regolament (UE) Nru. 995/2012</w:t>
      </w:r>
    </w:p>
  </w:footnote>
  <w:footnote w:id="73">
    <w:p w:rsidR="005570DA" w:rsidRPr="008F676D" w:rsidRDefault="005570DA" w:rsidP="00E05D08">
      <w:pPr>
        <w:pStyle w:val="FootnoteText"/>
      </w:pPr>
      <w:r>
        <w:rPr>
          <w:rStyle w:val="FootnoteReference"/>
        </w:rPr>
        <w:footnoteRef/>
      </w:r>
      <w:r>
        <w:t xml:space="preserve"> </w:t>
      </w:r>
      <w:hyperlink r:id="rId30" w:history="1">
        <w:r>
          <w:rPr>
            <w:rStyle w:val="Hyperlink"/>
          </w:rPr>
          <w:t>http://ec.europa.eu/eurostat/statistics-explained/index.php/Glossary:Gross_domestic_expenditure_on_R_%26_D_(GERD)</w:t>
        </w:r>
      </w:hyperlink>
    </w:p>
  </w:footnote>
  <w:footnote w:id="74">
    <w:p w:rsidR="005570DA" w:rsidRPr="0026694F" w:rsidRDefault="005570DA" w:rsidP="00E05D08">
      <w:pPr>
        <w:pStyle w:val="FootnoteText"/>
        <w:rPr>
          <w:rFonts w:ascii="Helvetica" w:hAnsi="Helvetica" w:cs="Helvetica"/>
          <w:szCs w:val="16"/>
        </w:rPr>
      </w:pPr>
      <w:r>
        <w:rPr>
          <w:rStyle w:val="FootnoteReference"/>
          <w:rFonts w:cs="Arial"/>
          <w:szCs w:val="16"/>
        </w:rPr>
        <w:footnoteRef/>
      </w:r>
      <w:r>
        <w:rPr>
          <w:rFonts w:ascii="Helvetica" w:hAnsi="Helvetica"/>
          <w:szCs w:val="16"/>
        </w:rPr>
        <w:t xml:space="preserve"> </w:t>
      </w:r>
      <w:bookmarkStart w:id="124" w:name="_Hlk500419553"/>
      <w:r>
        <w:rPr>
          <w:rFonts w:ascii="Helvetica" w:hAnsi="Helvetica"/>
          <w:szCs w:val="16"/>
        </w:rPr>
        <w:t xml:space="preserve">Fil-Ġermanja, studju dwar l-evalwazzjonijiet ‘ex ante’, li (fost l-oħrajn) eżamina r-rilevanza tal-PŻR sabiex jintlaħqu l-miri tal-UE2020, wera li l-kontribut tal-PŻR għall-mira ewlenija ta’ 3 % huwa vvalutat bħala baxx ħafna. L-infiq se jkollu biss kontribut żgħir ħafna għan-nefqa fuq ir-riċerka u l-iżvilupp f’diversi Länder. </w:t>
      </w:r>
    </w:p>
    <w:bookmarkEnd w:id="124"/>
    <w:p w:rsidR="005570DA" w:rsidRPr="00E05D08" w:rsidRDefault="005570DA" w:rsidP="00F74459">
      <w:pPr>
        <w:pStyle w:val="FootnoteText"/>
        <w:rPr>
          <w:rFonts w:ascii="Calibri" w:hAnsi="Calibri"/>
          <w:lang w:val="sk-SK"/>
        </w:rPr>
      </w:pPr>
    </w:p>
  </w:footnote>
  <w:footnote w:id="75">
    <w:p w:rsidR="005570DA" w:rsidRPr="0026694F" w:rsidRDefault="005570DA" w:rsidP="00E05D08">
      <w:pPr>
        <w:pStyle w:val="FootnoteText"/>
        <w:rPr>
          <w:rFonts w:cs="Helvetica"/>
          <w:color w:val="373737"/>
        </w:rPr>
      </w:pPr>
      <w:r>
        <w:rPr>
          <w:rStyle w:val="FootnoteReference"/>
          <w:rFonts w:cs="Helvetica"/>
        </w:rPr>
        <w:footnoteRef/>
      </w:r>
      <w:r>
        <w:t xml:space="preserve"> </w:t>
      </w:r>
      <w:r>
        <w:t xml:space="preserve">Working Paper Common evaluation questions for RDPs 2014-2020 (Dokument ta’ Ħidma: Mistoqsijiet komuni tal-evalwazzjoni għall-PŻR 2014-2020), </w:t>
      </w:r>
      <w:hyperlink r:id="rId31" w:history="1">
        <w:r>
          <w:rPr>
            <w:rStyle w:val="Hyperlink"/>
          </w:rPr>
          <w:t>http://enrd.ec.europa.eu/evaluation/publications/working-document-common-evaluation-questions-rural-development-programmes_en</w:t>
        </w:r>
      </w:hyperlink>
    </w:p>
  </w:footnote>
  <w:footnote w:id="76">
    <w:p w:rsidR="005570DA" w:rsidRPr="00014A2E" w:rsidRDefault="005570DA" w:rsidP="00E05D08">
      <w:pPr>
        <w:pStyle w:val="FootnoteText"/>
      </w:pPr>
      <w:r>
        <w:rPr>
          <w:rStyle w:val="FootnoteReference"/>
        </w:rPr>
        <w:footnoteRef/>
      </w:r>
      <w:r>
        <w:t xml:space="preserve"> </w:t>
      </w:r>
      <w:r>
        <w:t>L-Art. 8.1 (ċ)(v) tar-Regolament (UE) Nru. 1305/2013 u l-Anness I, il-Parti I, il-punt 5 (ċ) u (e) tar-Regolament (UE) Nru. 808/2014</w:t>
      </w:r>
    </w:p>
  </w:footnote>
  <w:footnote w:id="77">
    <w:p w:rsidR="005570DA" w:rsidRPr="001D68A9" w:rsidRDefault="005570DA" w:rsidP="00E05D08">
      <w:pPr>
        <w:pStyle w:val="FootnoteText"/>
      </w:pPr>
      <w:r>
        <w:rPr>
          <w:rStyle w:val="FootnoteReference"/>
        </w:rPr>
        <w:footnoteRef/>
      </w:r>
      <w:r>
        <w:t xml:space="preserve"> </w:t>
      </w:r>
      <w:hyperlink r:id="rId32" w:history="1">
        <w:r>
          <w:rPr>
            <w:rStyle w:val="Hyperlink"/>
          </w:rPr>
          <w:t>http://www.analytictech.com/networks/whatis.htm</w:t>
        </w:r>
      </w:hyperlink>
    </w:p>
  </w:footnote>
  <w:footnote w:id="78">
    <w:p w:rsidR="005570DA" w:rsidRPr="00401F29" w:rsidRDefault="005570DA" w:rsidP="00E05D08">
      <w:pPr>
        <w:pStyle w:val="FootnoteText"/>
      </w:pPr>
      <w:r>
        <w:rPr>
          <w:rStyle w:val="FootnoteReference"/>
        </w:rPr>
        <w:footnoteRef/>
      </w:r>
      <w:r>
        <w:t xml:space="preserve"> </w:t>
      </w:r>
      <w:r>
        <w:t>Wilson-Grau, 2015 </w:t>
      </w:r>
    </w:p>
  </w:footnote>
  <w:footnote w:id="79">
    <w:p w:rsidR="005570DA" w:rsidRPr="00401F29" w:rsidRDefault="005570DA" w:rsidP="00E05D08">
      <w:pPr>
        <w:pStyle w:val="FootnoteText"/>
      </w:pPr>
      <w:r>
        <w:rPr>
          <w:rStyle w:val="FootnoteReference"/>
        </w:rPr>
        <w:footnoteRef/>
      </w:r>
      <w:r>
        <w:t xml:space="preserve"> </w:t>
      </w:r>
      <w:r>
        <w:t>Studju ta’ każ huwa metodu għat-tagħlim dwar każ kumpless, ibbażat fuq fehim komprensiv ta’ dak il-każ miksub b’deskrizzjoni u analiżi estensivi ta’ dak il-każ meqjus kollu kemm hu u fil-kuntest tiegħu” (GAO, 1990, p. 15).</w:t>
      </w:r>
    </w:p>
  </w:footnote>
  <w:footnote w:id="80">
    <w:p w:rsidR="005570DA" w:rsidRPr="00401F29" w:rsidRDefault="005570DA" w:rsidP="00E05D08">
      <w:pPr>
        <w:pStyle w:val="FootnoteText"/>
      </w:pPr>
      <w:r>
        <w:rPr>
          <w:rStyle w:val="FootnoteReference"/>
        </w:rPr>
        <w:footnoteRef/>
      </w:r>
      <w:r>
        <w:rPr>
          <w:rStyle w:val="FootnoteReference"/>
        </w:rPr>
        <w:t xml:space="preserve"> </w:t>
      </w:r>
      <w:r>
        <w:t>It-traċċar tal-proċess huwa approċċ ibbażat fuq każ għal inferenza kawżali li jiffoka fuq l-użu ta’ indikazzjonijiet f’każ (osservazzjonijiet ta’ proċess kawżali, CPOs) sabiex jiddeċiedi bejn spjegazzjonijiet alternattivi possibbli, aqra aktar</w:t>
      </w:r>
      <w:r>
        <w:rPr>
          <w:color w:val="373737"/>
          <w:szCs w:val="16"/>
          <w:shd w:val="clear" w:color="auto" w:fill="FFFFFF"/>
        </w:rPr>
        <w:t xml:space="preserve"> </w:t>
      </w:r>
      <w:hyperlink r:id="rId33" w:history="1">
        <w:r>
          <w:rPr>
            <w:rStyle w:val="Hyperlink"/>
            <w:szCs w:val="16"/>
            <w:shd w:val="clear" w:color="auto" w:fill="FFFFFF"/>
          </w:rPr>
          <w:t xml:space="preserve"> http://www.betterevaluation.org/en/evaluation-options/processtracing</w:t>
        </w:r>
      </w:hyperlink>
      <w:r>
        <w:rPr>
          <w:color w:val="373737"/>
          <w:szCs w:val="16"/>
        </w:rPr>
        <w:t xml:space="preserve"> ,</w:t>
      </w:r>
      <w:r>
        <w:t xml:space="preserve"> aqra wkoll Collier 2011, ara l-letteratura</w:t>
      </w:r>
    </w:p>
  </w:footnote>
  <w:footnote w:id="81">
    <w:p w:rsidR="005570DA" w:rsidRPr="00401F29" w:rsidRDefault="005570DA" w:rsidP="00E05D08">
      <w:pPr>
        <w:pStyle w:val="FootnoteText"/>
      </w:pPr>
      <w:r>
        <w:rPr>
          <w:rStyle w:val="FootnoteReference"/>
        </w:rPr>
        <w:footnoteRef/>
      </w:r>
      <w:r>
        <w:t xml:space="preserve"> </w:t>
      </w:r>
      <w:r>
        <w:t xml:space="preserve">“It-tħejjija ta’ “storja ta’ innovazzjoni” hija metodu għar-reġistrazzjoni u r-riflessjoni fuq proċess ta’ innovazzjoni. In-nies li kienu involuti fl-innovazzjoni jibnu b’mod konġunt rendikont dettaljat bil-miktub (li xi drabi ssir referenza għalih bħala “storja ta’ tagħlim”) ibbażat fuq il-memorji tagħhom u fuq dokumenti disponibbli.” Aqra aktar </w:t>
      </w:r>
      <w:hyperlink r:id="rId34" w:history="1">
        <w:r>
          <w:rPr>
            <w:rStyle w:val="Hyperlink"/>
          </w:rPr>
          <w:t>http://www.betterevaluation.org/en/resources/tools/innovation_history/innovation_timeline</w:t>
        </w:r>
      </w:hyperlink>
      <w:r>
        <w:t xml:space="preserve">, kif ukoll aqra Douthwaite u Ashby, 2005, ara l-letteratura </w:t>
      </w:r>
    </w:p>
  </w:footnote>
  <w:footnote w:id="82">
    <w:p w:rsidR="005570DA" w:rsidRPr="00A847F8" w:rsidRDefault="005570DA" w:rsidP="00A847F8">
      <w:pPr>
        <w:pStyle w:val="FootnoteText"/>
      </w:pPr>
      <w:r>
        <w:rPr>
          <w:rStyle w:val="FootnoteReference"/>
        </w:rPr>
        <w:footnoteRef/>
      </w:r>
      <w:r>
        <w:t xml:space="preserve"> </w:t>
      </w:r>
      <w:r>
        <w:t>Mayne, 2012, ara l-letteratura</w:t>
      </w:r>
    </w:p>
  </w:footnote>
  <w:footnote w:id="83">
    <w:p w:rsidR="005570DA" w:rsidRPr="00A847F8" w:rsidRDefault="005570DA" w:rsidP="00A847F8">
      <w:pPr>
        <w:pStyle w:val="FootnoteText"/>
      </w:pPr>
      <w:r>
        <w:rPr>
          <w:rStyle w:val="FootnoteReference"/>
        </w:rPr>
        <w:footnoteRef/>
      </w:r>
      <w:r>
        <w:t xml:space="preserve"> </w:t>
      </w:r>
      <w:r>
        <w:t>Hilton, 1996, ara l-letteratura.</w:t>
      </w:r>
    </w:p>
  </w:footnote>
  <w:footnote w:id="84">
    <w:p w:rsidR="005570DA" w:rsidRDefault="005570DA" w:rsidP="00A847F8">
      <w:pPr>
        <w:pStyle w:val="FootnoteText"/>
      </w:pPr>
      <w:r>
        <w:rPr>
          <w:rStyle w:val="FootnoteReference"/>
        </w:rPr>
        <w:footnoteRef/>
      </w:r>
      <w:r>
        <w:t xml:space="preserve"> </w:t>
      </w:r>
      <w:r>
        <w:t>Pawson et al., 2005, ara l-letteratura.</w:t>
      </w:r>
    </w:p>
  </w:footnote>
  <w:footnote w:id="85">
    <w:p w:rsidR="005570DA" w:rsidRDefault="005570DA" w:rsidP="00BA450C">
      <w:pPr>
        <w:pStyle w:val="FootnoteText"/>
      </w:pPr>
      <w:r>
        <w:rPr>
          <w:rStyle w:val="FootnoteReference"/>
          <w:szCs w:val="16"/>
        </w:rPr>
        <w:footnoteRef/>
      </w:r>
      <w:r>
        <w:t xml:space="preserve"> </w:t>
      </w:r>
      <w:hyperlink r:id="rId35" w:history="1">
        <w:r>
          <w:rPr>
            <w:rStyle w:val="Hyperlink"/>
          </w:rPr>
          <w:t>http://www.socialresearchmethods.net/kb/scallik.php</w:t>
        </w:r>
      </w:hyperlink>
      <w:r>
        <w:rPr>
          <w:color w:val="373737"/>
          <w:szCs w:val="16"/>
        </w:rPr>
        <w:t xml:space="preserve">, </w:t>
      </w:r>
      <w:r>
        <w:t>u Allen u Seaman (2007</w:t>
      </w:r>
      <w:r>
        <w:rPr>
          <w:color w:val="373737"/>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0DA" w:rsidRDefault="005570DA" w:rsidP="00400064">
    <w:pPr>
      <w:pStyle w:val="Header"/>
      <w:tabs>
        <w:tab w:val="clear" w:pos="4513"/>
        <w:tab w:val="clear" w:pos="9026"/>
      </w:tabs>
      <w:jc w:val="right"/>
    </w:pPr>
    <w:r>
      <w:t>Linji gwida: Evalwazzjoni tal-Innovazzjoni fil-Programmi tal-Iżvilupp Rurali</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0DA" w:rsidRPr="00400064" w:rsidRDefault="005570DA" w:rsidP="0025413B">
    <w:pPr>
      <w:jc w:val="right"/>
      <w:rPr>
        <w:color w:val="F07E31"/>
        <w:sz w:val="18"/>
        <w:szCs w:val="18"/>
      </w:rPr>
    </w:pPr>
    <w:r>
      <w:rPr>
        <w:color w:val="F07E31"/>
        <w:sz w:val="18"/>
        <w:szCs w:val="18"/>
      </w:rPr>
      <w:t>Linji gwida: Evalwazzjoni tal-Innovazzjoni fil-Programmi tal-Iżvilupp Rurali</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0DA" w:rsidRPr="00400064" w:rsidRDefault="005570DA" w:rsidP="00400064">
    <w:pPr>
      <w:jc w:val="right"/>
      <w:rPr>
        <w:color w:val="F07E31"/>
        <w:sz w:val="18"/>
        <w:szCs w:val="18"/>
      </w:rPr>
    </w:pPr>
    <w:r>
      <w:rPr>
        <w:color w:val="F07E31"/>
        <w:sz w:val="18"/>
        <w:szCs w:val="18"/>
      </w:rPr>
      <w:t>Linji gwida: Evalwazzjoni tal-Innovazzjoni fil-Programmi tal-Iżvilupp Rurali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0DA" w:rsidRDefault="005570DA" w:rsidP="00E165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0DA" w:rsidRPr="00E4509B" w:rsidRDefault="005570DA" w:rsidP="00D50EF0">
    <w:pPr>
      <w:pStyle w:val="Header"/>
      <w:tabs>
        <w:tab w:val="clear" w:pos="4513"/>
      </w:tabs>
    </w:pPr>
    <w:r>
      <w:tab/>
    </w:r>
    <w:bookmarkStart w:id="4" w:name="_Hlk503344243"/>
    <w:r>
      <w:t>Linji gwida: Evalwazzjoni tal-Innovazzjoni fil-Programmi tal-Iżvilupp Rurali</w:t>
    </w:r>
    <w:bookmarkEnd w:id="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0DA" w:rsidRPr="00400064" w:rsidRDefault="005570DA" w:rsidP="00400064">
    <w:pPr>
      <w:jc w:val="right"/>
      <w:rPr>
        <w:color w:val="F07E31"/>
        <w:sz w:val="18"/>
        <w:szCs w:val="18"/>
      </w:rPr>
    </w:pPr>
    <w:r>
      <w:rPr>
        <w:color w:val="F07E31"/>
        <w:sz w:val="18"/>
        <w:szCs w:val="18"/>
      </w:rPr>
      <w:t>Linji gwida: Evalwazzjoni tal-Innovazzjoni fil-Programmi tal-Iżvilupp Rurali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0DA" w:rsidRPr="00C947BA" w:rsidRDefault="005570DA" w:rsidP="00C947BA">
    <w:pPr>
      <w:jc w:val="right"/>
      <w:rPr>
        <w:color w:val="F07E31"/>
        <w:sz w:val="18"/>
        <w:szCs w:val="18"/>
      </w:rPr>
    </w:pPr>
    <w:r>
      <w:rPr>
        <w:color w:val="F07E31"/>
        <w:sz w:val="18"/>
        <w:szCs w:val="18"/>
      </w:rPr>
      <w:t>Linji gwida: Evalwazzjoni tal-Innovazzjoni fil-Programmi tal-Iżvilupp Rurali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0DA" w:rsidRDefault="005570DA" w:rsidP="00E165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0DA" w:rsidRPr="0052778E" w:rsidRDefault="005570DA" w:rsidP="00E16522">
    <w:pPr>
      <w:pStyle w:val="Header"/>
      <w:rPr>
        <w:sz w:val="24"/>
      </w:rPr>
    </w:pPr>
    <w:r>
      <w:tab/>
    </w:r>
  </w:p>
  <w:p w:rsidR="005570DA" w:rsidRPr="0047590C" w:rsidRDefault="005570DA" w:rsidP="00E16522">
    <w:pPr>
      <w:pStyle w:val="Header"/>
      <w:rPr>
        <w:color w:val="6F6F6F"/>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0DA" w:rsidRDefault="005570D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0DA" w:rsidRPr="00656719" w:rsidRDefault="005570DA" w:rsidP="00E16522">
    <w:pPr>
      <w:pStyle w:val="Header"/>
    </w:pPr>
    <w:r>
      <w:tab/>
    </w:r>
    <w:r>
      <w:t>Dokument ta’ sfond: Evalwazzjoni tal-Innovazzjoni fil-Programmi tal-Iżvilupp Rurali</w:t>
    </w:r>
  </w:p>
  <w:p w:rsidR="005570DA" w:rsidRPr="000C408D" w:rsidRDefault="005570DA" w:rsidP="00E16522">
    <w:pPr>
      <w:pStyle w:val="Header"/>
      <w:rPr>
        <w:sz w:val="24"/>
      </w:rPr>
    </w:pPr>
  </w:p>
  <w:p w:rsidR="005570DA" w:rsidRPr="0047590C" w:rsidRDefault="005570DA" w:rsidP="00E16522">
    <w:pPr>
      <w:pStyle w:val="Header"/>
      <w:rPr>
        <w:color w:val="6F6F6F"/>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366AC"/>
    <w:multiLevelType w:val="multilevel"/>
    <w:tmpl w:val="2068AE4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34EAD"/>
    <w:multiLevelType w:val="multilevel"/>
    <w:tmpl w:val="9998C6BA"/>
    <w:lvl w:ilvl="0">
      <w:start w:val="1"/>
      <w:numFmt w:val="decimal"/>
      <w:pStyle w:val="HHeading1"/>
      <w:lvlText w:val="%1."/>
      <w:lvlJc w:val="left"/>
      <w:pPr>
        <w:ind w:left="720" w:hanging="360"/>
      </w:pPr>
      <w:rPr>
        <w:rFonts w:ascii="Arial" w:hAnsi="Arial" w:hint="default"/>
        <w:color w:val="F07E31"/>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0B5324"/>
    <w:multiLevelType w:val="hybridMultilevel"/>
    <w:tmpl w:val="BDD4FD1A"/>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A066D"/>
    <w:multiLevelType w:val="hybridMultilevel"/>
    <w:tmpl w:val="67F0D85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5275F"/>
    <w:multiLevelType w:val="multilevel"/>
    <w:tmpl w:val="080C0025"/>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4722D3A"/>
    <w:multiLevelType w:val="multilevel"/>
    <w:tmpl w:val="A5CAE128"/>
    <w:lvl w:ilvl="0">
      <w:start w:val="1"/>
      <w:numFmt w:val="decimal"/>
      <w:lvlText w:val="%1"/>
      <w:lvlJc w:val="left"/>
      <w:pPr>
        <w:ind w:left="444" w:hanging="444"/>
      </w:pPr>
      <w:rPr>
        <w:rFonts w:hint="default"/>
        <w:color w:val="F07E31"/>
      </w:rPr>
    </w:lvl>
    <w:lvl w:ilvl="1">
      <w:start w:val="2"/>
      <w:numFmt w:val="decimal"/>
      <w:lvlText w:val="%1.%2"/>
      <w:lvlJc w:val="left"/>
      <w:pPr>
        <w:ind w:left="444" w:hanging="444"/>
      </w:pPr>
      <w:rPr>
        <w:rFonts w:hint="default"/>
        <w:color w:val="F07E31"/>
      </w:rPr>
    </w:lvl>
    <w:lvl w:ilvl="2">
      <w:start w:val="2"/>
      <w:numFmt w:val="decimal"/>
      <w:lvlText w:val="%1.%2.%3"/>
      <w:lvlJc w:val="left"/>
      <w:pPr>
        <w:ind w:left="720" w:hanging="720"/>
      </w:pPr>
      <w:rPr>
        <w:rFonts w:hint="default"/>
        <w:color w:val="F07E31"/>
      </w:rPr>
    </w:lvl>
    <w:lvl w:ilvl="3">
      <w:start w:val="1"/>
      <w:numFmt w:val="decimal"/>
      <w:lvlText w:val="%1.%2.%3.%4"/>
      <w:lvlJc w:val="left"/>
      <w:pPr>
        <w:ind w:left="720" w:hanging="720"/>
      </w:pPr>
      <w:rPr>
        <w:rFonts w:hint="default"/>
        <w:color w:val="F07E31"/>
      </w:rPr>
    </w:lvl>
    <w:lvl w:ilvl="4">
      <w:start w:val="1"/>
      <w:numFmt w:val="decimal"/>
      <w:lvlText w:val="%1.%2.%3.%4.%5"/>
      <w:lvlJc w:val="left"/>
      <w:pPr>
        <w:ind w:left="1080" w:hanging="1080"/>
      </w:pPr>
      <w:rPr>
        <w:rFonts w:hint="default"/>
        <w:color w:val="F07E31"/>
      </w:rPr>
    </w:lvl>
    <w:lvl w:ilvl="5">
      <w:start w:val="1"/>
      <w:numFmt w:val="decimal"/>
      <w:lvlText w:val="%1.%2.%3.%4.%5.%6"/>
      <w:lvlJc w:val="left"/>
      <w:pPr>
        <w:ind w:left="1080" w:hanging="1080"/>
      </w:pPr>
      <w:rPr>
        <w:rFonts w:hint="default"/>
        <w:color w:val="F07E31"/>
      </w:rPr>
    </w:lvl>
    <w:lvl w:ilvl="6">
      <w:start w:val="1"/>
      <w:numFmt w:val="decimal"/>
      <w:lvlText w:val="%1.%2.%3.%4.%5.%6.%7"/>
      <w:lvlJc w:val="left"/>
      <w:pPr>
        <w:ind w:left="1440" w:hanging="1440"/>
      </w:pPr>
      <w:rPr>
        <w:rFonts w:hint="default"/>
        <w:color w:val="F07E31"/>
      </w:rPr>
    </w:lvl>
    <w:lvl w:ilvl="7">
      <w:start w:val="1"/>
      <w:numFmt w:val="decimal"/>
      <w:lvlText w:val="%1.%2.%3.%4.%5.%6.%7.%8"/>
      <w:lvlJc w:val="left"/>
      <w:pPr>
        <w:ind w:left="1440" w:hanging="1440"/>
      </w:pPr>
      <w:rPr>
        <w:rFonts w:hint="default"/>
        <w:color w:val="F07E31"/>
      </w:rPr>
    </w:lvl>
    <w:lvl w:ilvl="8">
      <w:start w:val="1"/>
      <w:numFmt w:val="decimal"/>
      <w:lvlText w:val="%1.%2.%3.%4.%5.%6.%7.%8.%9"/>
      <w:lvlJc w:val="left"/>
      <w:pPr>
        <w:ind w:left="1800" w:hanging="1800"/>
      </w:pPr>
      <w:rPr>
        <w:rFonts w:hint="default"/>
        <w:color w:val="F07E31"/>
      </w:rPr>
    </w:lvl>
  </w:abstractNum>
  <w:abstractNum w:abstractNumId="7" w15:restartNumberingAfterBreak="0">
    <w:nsid w:val="06257611"/>
    <w:multiLevelType w:val="hybridMultilevel"/>
    <w:tmpl w:val="58EEF89A"/>
    <w:lvl w:ilvl="0" w:tplc="19F88068">
      <w:start w:val="1"/>
      <w:numFmt w:val="bullet"/>
      <w:lvlText w:val=""/>
      <w:lvlJc w:val="left"/>
      <w:pPr>
        <w:ind w:left="720" w:hanging="360"/>
      </w:pPr>
      <w:rPr>
        <w:rFonts w:ascii="Symbol" w:hAnsi="Symbol" w:hint="default"/>
        <w:b w:val="0"/>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B648B"/>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787D25"/>
    <w:multiLevelType w:val="hybridMultilevel"/>
    <w:tmpl w:val="7DB4D96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B544734"/>
    <w:multiLevelType w:val="hybridMultilevel"/>
    <w:tmpl w:val="B426A1C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54C06"/>
    <w:multiLevelType w:val="multilevel"/>
    <w:tmpl w:val="21E6DD94"/>
    <w:lvl w:ilvl="0">
      <w:start w:val="1"/>
      <w:numFmt w:val="decimal"/>
      <w:lvlText w:val="%1"/>
      <w:lvlJc w:val="left"/>
      <w:pPr>
        <w:ind w:left="432" w:hanging="432"/>
      </w:pPr>
      <w:rPr>
        <w:rFonts w:hint="default"/>
        <w:color w:val="F07E31"/>
        <w:sz w:val="24"/>
      </w:r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E422253"/>
    <w:multiLevelType w:val="hybridMultilevel"/>
    <w:tmpl w:val="26AE3D9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577D94"/>
    <w:multiLevelType w:val="multilevel"/>
    <w:tmpl w:val="B8C4BBDE"/>
    <w:lvl w:ilvl="0">
      <w:start w:val="1"/>
      <w:numFmt w:val="decimal"/>
      <w:lvlText w:val="%1."/>
      <w:lvlJc w:val="left"/>
      <w:pPr>
        <w:ind w:left="720" w:hanging="360"/>
      </w:pPr>
    </w:lvl>
    <w:lvl w:ilvl="1">
      <w:start w:val="1"/>
      <w:numFmt w:val="decimal"/>
      <w:isLgl/>
      <w:lvlText w:val="%1.%2"/>
      <w:lvlJc w:val="left"/>
      <w:pPr>
        <w:ind w:left="720" w:hanging="360"/>
      </w:pPr>
      <w:rPr>
        <w:rFonts w:ascii="Helvetica" w:hAnsi="Helvetica" w:cs="Times New Roman" w:hint="default"/>
      </w:rPr>
    </w:lvl>
    <w:lvl w:ilvl="2">
      <w:start w:val="1"/>
      <w:numFmt w:val="decimal"/>
      <w:isLgl/>
      <w:lvlText w:val="%1.%2.%3"/>
      <w:lvlJc w:val="left"/>
      <w:pPr>
        <w:ind w:left="1080" w:hanging="720"/>
      </w:pPr>
      <w:rPr>
        <w:rFonts w:ascii="Helvetica" w:hAnsi="Helvetica" w:cs="Times New Roman" w:hint="default"/>
      </w:rPr>
    </w:lvl>
    <w:lvl w:ilvl="3">
      <w:start w:val="1"/>
      <w:numFmt w:val="decimal"/>
      <w:isLgl/>
      <w:lvlText w:val="%1.%2.%3.%4"/>
      <w:lvlJc w:val="left"/>
      <w:pPr>
        <w:ind w:left="1080" w:hanging="720"/>
      </w:pPr>
      <w:rPr>
        <w:rFonts w:ascii="Helvetica" w:hAnsi="Helvetica" w:cs="Times New Roman" w:hint="default"/>
      </w:rPr>
    </w:lvl>
    <w:lvl w:ilvl="4">
      <w:start w:val="1"/>
      <w:numFmt w:val="decimal"/>
      <w:isLgl/>
      <w:lvlText w:val="%1.%2.%3.%4.%5"/>
      <w:lvlJc w:val="left"/>
      <w:pPr>
        <w:ind w:left="1440" w:hanging="1080"/>
      </w:pPr>
      <w:rPr>
        <w:rFonts w:ascii="Helvetica" w:hAnsi="Helvetica" w:cs="Times New Roman" w:hint="default"/>
      </w:rPr>
    </w:lvl>
    <w:lvl w:ilvl="5">
      <w:start w:val="1"/>
      <w:numFmt w:val="decimal"/>
      <w:isLgl/>
      <w:lvlText w:val="%1.%2.%3.%4.%5.%6"/>
      <w:lvlJc w:val="left"/>
      <w:pPr>
        <w:ind w:left="1440" w:hanging="1080"/>
      </w:pPr>
      <w:rPr>
        <w:rFonts w:ascii="Helvetica" w:hAnsi="Helvetica" w:cs="Times New Roman" w:hint="default"/>
      </w:rPr>
    </w:lvl>
    <w:lvl w:ilvl="6">
      <w:start w:val="1"/>
      <w:numFmt w:val="decimal"/>
      <w:isLgl/>
      <w:lvlText w:val="%1.%2.%3.%4.%5.%6.%7"/>
      <w:lvlJc w:val="left"/>
      <w:pPr>
        <w:ind w:left="1800" w:hanging="1440"/>
      </w:pPr>
      <w:rPr>
        <w:rFonts w:ascii="Helvetica" w:hAnsi="Helvetica" w:cs="Times New Roman" w:hint="default"/>
      </w:rPr>
    </w:lvl>
    <w:lvl w:ilvl="7">
      <w:start w:val="1"/>
      <w:numFmt w:val="decimal"/>
      <w:isLgl/>
      <w:lvlText w:val="%1.%2.%3.%4.%5.%6.%7.%8"/>
      <w:lvlJc w:val="left"/>
      <w:pPr>
        <w:ind w:left="1800" w:hanging="1440"/>
      </w:pPr>
      <w:rPr>
        <w:rFonts w:ascii="Helvetica" w:hAnsi="Helvetica" w:cs="Times New Roman" w:hint="default"/>
      </w:rPr>
    </w:lvl>
    <w:lvl w:ilvl="8">
      <w:start w:val="1"/>
      <w:numFmt w:val="decimal"/>
      <w:isLgl/>
      <w:lvlText w:val="%1.%2.%3.%4.%5.%6.%7.%8.%9"/>
      <w:lvlJc w:val="left"/>
      <w:pPr>
        <w:ind w:left="2160" w:hanging="1800"/>
      </w:pPr>
      <w:rPr>
        <w:rFonts w:ascii="Helvetica" w:hAnsi="Helvetica" w:cs="Times New Roman" w:hint="default"/>
      </w:rPr>
    </w:lvl>
  </w:abstractNum>
  <w:abstractNum w:abstractNumId="15" w15:restartNumberingAfterBreak="0">
    <w:nsid w:val="1133744B"/>
    <w:multiLevelType w:val="hybridMultilevel"/>
    <w:tmpl w:val="6438561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731114"/>
    <w:multiLevelType w:val="hybridMultilevel"/>
    <w:tmpl w:val="B4FCCAE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FF6F19"/>
    <w:multiLevelType w:val="multilevel"/>
    <w:tmpl w:val="F96673BE"/>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144314C7"/>
    <w:multiLevelType w:val="hybridMultilevel"/>
    <w:tmpl w:val="B2E2356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967DD2"/>
    <w:multiLevelType w:val="hybridMultilevel"/>
    <w:tmpl w:val="1586027E"/>
    <w:lvl w:ilvl="0" w:tplc="E96ED2EA">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22" w15:restartNumberingAfterBreak="0">
    <w:nsid w:val="167A77B0"/>
    <w:multiLevelType w:val="hybridMultilevel"/>
    <w:tmpl w:val="0D8AA23A"/>
    <w:lvl w:ilvl="0" w:tplc="19F88068">
      <w:start w:val="1"/>
      <w:numFmt w:val="bullet"/>
      <w:lvlText w:val=""/>
      <w:lvlJc w:val="left"/>
      <w:pPr>
        <w:ind w:left="720" w:hanging="360"/>
      </w:pPr>
      <w:rPr>
        <w:rFonts w:ascii="Symbol" w:hAnsi="Symbol" w:hint="default"/>
        <w:b w:val="0"/>
        <w:color w:val="57825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84C4892"/>
    <w:multiLevelType w:val="hybridMultilevel"/>
    <w:tmpl w:val="BBF06EE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9956A0"/>
    <w:multiLevelType w:val="hybridMultilevel"/>
    <w:tmpl w:val="075CAC38"/>
    <w:lvl w:ilvl="0" w:tplc="19F88068">
      <w:start w:val="1"/>
      <w:numFmt w:val="bullet"/>
      <w:lvlText w:val=""/>
      <w:lvlJc w:val="left"/>
      <w:pPr>
        <w:ind w:left="720" w:hanging="360"/>
      </w:pPr>
      <w:rPr>
        <w:rFonts w:ascii="Symbol" w:hAnsi="Symbol" w:hint="default"/>
        <w:b w:val="0"/>
        <w:color w:val="57825E"/>
      </w:rPr>
    </w:lvl>
    <w:lvl w:ilvl="1" w:tplc="815C4ED2">
      <w:start w:val="1"/>
      <w:numFmt w:val="bullet"/>
      <w:lvlText w:val="o"/>
      <w:lvlJc w:val="left"/>
      <w:pPr>
        <w:ind w:left="1069" w:hanging="360"/>
      </w:pPr>
      <w:rPr>
        <w:rFonts w:ascii="Courier New" w:hAnsi="Courier New" w:cs="Courier New" w:hint="default"/>
        <w:color w:val="F07E3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8C62B7E"/>
    <w:multiLevelType w:val="hybridMultilevel"/>
    <w:tmpl w:val="6722EF60"/>
    <w:lvl w:ilvl="0" w:tplc="D8142050">
      <w:start w:val="1"/>
      <w:numFmt w:val="decimal"/>
      <w:pStyle w:val="HHeadingtables"/>
      <w:lvlText w:val="Tabella %1."/>
      <w:lvlJc w:val="left"/>
      <w:pPr>
        <w:ind w:left="720" w:hanging="360"/>
      </w:pPr>
      <w:rPr>
        <w:rFonts w:ascii="Arial" w:hAnsi="Arial" w:cs="Times New Roman" w:hint="default"/>
        <w:b/>
        <w:bCs w:val="0"/>
        <w:i w:val="0"/>
        <w:iCs w:val="0"/>
        <w:caps w:val="0"/>
        <w:smallCaps w:val="0"/>
        <w:strike w:val="0"/>
        <w:dstrike w:val="0"/>
        <w:vanish w:val="0"/>
        <w:color w:val="6F6F6F"/>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9A46A7C"/>
    <w:multiLevelType w:val="hybridMultilevel"/>
    <w:tmpl w:val="D2F8EEE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49295C"/>
    <w:multiLevelType w:val="hybridMultilevel"/>
    <w:tmpl w:val="586CBF1C"/>
    <w:lvl w:ilvl="0" w:tplc="1756B346">
      <w:start w:val="1"/>
      <w:numFmt w:val="lowerLetter"/>
      <w:lvlText w:val="%1)"/>
      <w:lvlJc w:val="left"/>
      <w:pPr>
        <w:ind w:left="720" w:hanging="360"/>
      </w:pPr>
      <w:rPr>
        <w:rFonts w:ascii="Arial" w:hAnsi="Arial" w:cs="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1BC16E8F"/>
    <w:multiLevelType w:val="hybridMultilevel"/>
    <w:tmpl w:val="50BCC1DE"/>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1C122640"/>
    <w:multiLevelType w:val="hybridMultilevel"/>
    <w:tmpl w:val="D8061F8E"/>
    <w:lvl w:ilvl="0" w:tplc="D676FD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0"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FFC000"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1DFC7981"/>
    <w:multiLevelType w:val="multilevel"/>
    <w:tmpl w:val="6DB8B70A"/>
    <w:lvl w:ilvl="0">
      <w:start w:val="1"/>
      <w:numFmt w:val="decimal"/>
      <w:lvlText w:val="%1"/>
      <w:lvlJc w:val="left"/>
      <w:pPr>
        <w:ind w:left="432" w:hanging="432"/>
      </w:p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209659D1"/>
    <w:multiLevelType w:val="hybridMultilevel"/>
    <w:tmpl w:val="065A176A"/>
    <w:styleLink w:val="MaListe11"/>
    <w:lvl w:ilvl="0" w:tplc="3CF4E314">
      <w:numFmt w:val="bullet"/>
      <w:lvlText w:val="-"/>
      <w:lvlJc w:val="left"/>
      <w:pPr>
        <w:ind w:left="360" w:hanging="360"/>
      </w:pPr>
      <w:rPr>
        <w:rFonts w:ascii="Arial" w:eastAsia="Times New Roman" w:hAnsi="Arial" w:cs="Arial" w:hint="default"/>
        <w:color w:val="37373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253E7F11"/>
    <w:multiLevelType w:val="hybridMultilevel"/>
    <w:tmpl w:val="B5588146"/>
    <w:lvl w:ilvl="0" w:tplc="32DC940A">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15:restartNumberingAfterBreak="0">
    <w:nsid w:val="25BB2DAE"/>
    <w:multiLevelType w:val="hybridMultilevel"/>
    <w:tmpl w:val="2E5E2F7C"/>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624918"/>
    <w:multiLevelType w:val="hybridMultilevel"/>
    <w:tmpl w:val="28CC8C46"/>
    <w:lvl w:ilvl="0" w:tplc="D682C35C">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6704C1E"/>
    <w:multiLevelType w:val="hybridMultilevel"/>
    <w:tmpl w:val="DD103524"/>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000000"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465188"/>
    <w:multiLevelType w:val="hybridMultilevel"/>
    <w:tmpl w:val="FFAE6D38"/>
    <w:styleLink w:val="MaListe2"/>
    <w:lvl w:ilvl="0" w:tplc="EC10AAAC">
      <w:start w:val="1"/>
      <w:numFmt w:val="bullet"/>
      <w:lvlText w:val=""/>
      <w:lvlJc w:val="left"/>
      <w:pPr>
        <w:ind w:left="360" w:hanging="360"/>
      </w:pPr>
      <w:rPr>
        <w:rFonts w:ascii="Symbol" w:hAnsi="Symbol"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286A11E0"/>
    <w:multiLevelType w:val="hybridMultilevel"/>
    <w:tmpl w:val="A516C7C8"/>
    <w:lvl w:ilvl="0" w:tplc="19F88068">
      <w:start w:val="1"/>
      <w:numFmt w:val="bullet"/>
      <w:lvlText w:val=""/>
      <w:lvlJc w:val="left"/>
      <w:pPr>
        <w:ind w:left="928" w:hanging="360"/>
      </w:pPr>
      <w:rPr>
        <w:rFonts w:ascii="Symbol" w:hAnsi="Symbol" w:hint="default"/>
        <w:b w:val="0"/>
        <w:color w:val="57825E"/>
      </w:rPr>
    </w:lvl>
    <w:lvl w:ilvl="1" w:tplc="041B0003" w:tentative="1">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41" w15:restartNumberingAfterBreak="0">
    <w:nsid w:val="2894707C"/>
    <w:multiLevelType w:val="hybridMultilevel"/>
    <w:tmpl w:val="376ED63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B3D77C8"/>
    <w:multiLevelType w:val="hybridMultilevel"/>
    <w:tmpl w:val="5D5AC50E"/>
    <w:lvl w:ilvl="0" w:tplc="451CA430">
      <w:start w:val="1"/>
      <w:numFmt w:val="bullet"/>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2E1F1718"/>
    <w:multiLevelType w:val="multilevel"/>
    <w:tmpl w:val="9E6E52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2F837949"/>
    <w:multiLevelType w:val="hybridMultilevel"/>
    <w:tmpl w:val="7A5EC86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308C2F18"/>
    <w:multiLevelType w:val="hybridMultilevel"/>
    <w:tmpl w:val="5D4A425A"/>
    <w:lvl w:ilvl="0" w:tplc="FC4A4DC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10547BD"/>
    <w:multiLevelType w:val="hybridMultilevel"/>
    <w:tmpl w:val="5628C4EC"/>
    <w:styleLink w:val="MaListe1"/>
    <w:lvl w:ilvl="0" w:tplc="222EA85A">
      <w:start w:val="1"/>
      <w:numFmt w:val="decimal"/>
      <w:pStyle w:val="HHeadingfigures"/>
      <w:lvlText w:val="Figure %1."/>
      <w:lvlJc w:val="left"/>
      <w:pPr>
        <w:tabs>
          <w:tab w:val="num" w:pos="964"/>
        </w:tabs>
        <w:ind w:left="964" w:hanging="964"/>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31AA784A"/>
    <w:multiLevelType w:val="hybridMultilevel"/>
    <w:tmpl w:val="73A0446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1ED1ACE"/>
    <w:multiLevelType w:val="hybridMultilevel"/>
    <w:tmpl w:val="CD6645C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38D68EF"/>
    <w:multiLevelType w:val="hybridMultilevel"/>
    <w:tmpl w:val="D58C00F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9508B9"/>
    <w:multiLevelType w:val="hybridMultilevel"/>
    <w:tmpl w:val="93EC56A0"/>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3E063E2"/>
    <w:multiLevelType w:val="hybridMultilevel"/>
    <w:tmpl w:val="353CA438"/>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3" w15:restartNumberingAfterBreak="0">
    <w:nsid w:val="35820841"/>
    <w:multiLevelType w:val="hybridMultilevel"/>
    <w:tmpl w:val="57B299EE"/>
    <w:lvl w:ilvl="0" w:tplc="041B0015">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35B17A51"/>
    <w:multiLevelType w:val="hybridMultilevel"/>
    <w:tmpl w:val="B5260C7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7B97E50"/>
    <w:multiLevelType w:val="hybridMultilevel"/>
    <w:tmpl w:val="B53AFBD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38F839AF"/>
    <w:multiLevelType w:val="hybridMultilevel"/>
    <w:tmpl w:val="9332567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3B9D32B5"/>
    <w:multiLevelType w:val="hybridMultilevel"/>
    <w:tmpl w:val="55D2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1018AE8C">
      <w:start w:val="1"/>
      <w:numFmt w:val="bullet"/>
      <w:lvlText w:val="o"/>
      <w:lvlJc w:val="left"/>
      <w:pPr>
        <w:ind w:left="1211" w:hanging="360"/>
      </w:pPr>
      <w:rPr>
        <w:rFonts w:ascii="Courier New" w:hAnsi="Courier New" w:hint="default"/>
        <w:b w:val="0"/>
        <w:color w:val="6F6F6F"/>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3BBC6932"/>
    <w:multiLevelType w:val="hybridMultilevel"/>
    <w:tmpl w:val="A32A14BE"/>
    <w:lvl w:ilvl="0" w:tplc="58228422">
      <w:start w:val="1"/>
      <w:numFmt w:val="bullet"/>
      <w:pStyle w:val="Hlistbullet"/>
      <w:lvlText w:val=""/>
      <w:lvlJc w:val="left"/>
      <w:pPr>
        <w:ind w:left="644"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E4069F6"/>
    <w:multiLevelType w:val="hybridMultilevel"/>
    <w:tmpl w:val="9A58CBF8"/>
    <w:lvl w:ilvl="0" w:tplc="080C000F">
      <w:start w:val="1"/>
      <w:numFmt w:val="decimal"/>
      <w:lvlText w:val="%1."/>
      <w:lvlJc w:val="left"/>
      <w:pPr>
        <w:tabs>
          <w:tab w:val="num" w:pos="644"/>
        </w:tabs>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E8777F1"/>
    <w:multiLevelType w:val="hybridMultilevel"/>
    <w:tmpl w:val="7B8418E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FE60C9C"/>
    <w:multiLevelType w:val="hybridMultilevel"/>
    <w:tmpl w:val="C614772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0DB5C2A"/>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41133071"/>
    <w:multiLevelType w:val="hybridMultilevel"/>
    <w:tmpl w:val="8AA2E132"/>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42A74F4C"/>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15:restartNumberingAfterBreak="0">
    <w:nsid w:val="43A72027"/>
    <w:multiLevelType w:val="hybridMultilevel"/>
    <w:tmpl w:val="F614F7F8"/>
    <w:lvl w:ilvl="0" w:tplc="AC0495B6">
      <w:start w:val="1"/>
      <w:numFmt w:val="decimal"/>
      <w:lvlText w:val="Table %1."/>
      <w:lvlJc w:val="left"/>
      <w:pPr>
        <w:ind w:left="360" w:hanging="360"/>
      </w:pPr>
      <w:rPr>
        <w:rFonts w:ascii="Arial" w:hAnsi="Arial" w:cs="Times New Roman" w:hint="default"/>
        <w:b/>
        <w:bCs w:val="0"/>
        <w:i w:val="0"/>
        <w:iCs w:val="0"/>
        <w:caps w:val="0"/>
        <w:smallCaps w:val="0"/>
        <w:strike w:val="0"/>
        <w:dstrike w:val="0"/>
        <w:noProof w:val="0"/>
        <w:vanish w:val="0"/>
        <w:color w:val="6F6F6F"/>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6" w15:restartNumberingAfterBreak="0">
    <w:nsid w:val="440E0359"/>
    <w:multiLevelType w:val="hybridMultilevel"/>
    <w:tmpl w:val="5AD0635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46D44EA"/>
    <w:multiLevelType w:val="hybridMultilevel"/>
    <w:tmpl w:val="C306574C"/>
    <w:lvl w:ilvl="0" w:tplc="9ACAE082">
      <w:start w:val="1"/>
      <w:numFmt w:val="bullet"/>
      <w:lvlText w:val=""/>
      <w:lvlJc w:val="left"/>
      <w:pPr>
        <w:ind w:left="720" w:hanging="360"/>
      </w:pPr>
      <w:rPr>
        <w:rFonts w:ascii="Symbol" w:hAnsi="Symbol" w:hint="default"/>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45C7219B"/>
    <w:multiLevelType w:val="hybridMultilevel"/>
    <w:tmpl w:val="056C6044"/>
    <w:lvl w:ilvl="0" w:tplc="19F88068">
      <w:start w:val="1"/>
      <w:numFmt w:val="bullet"/>
      <w:lvlText w:val=""/>
      <w:lvlJc w:val="left"/>
      <w:pPr>
        <w:ind w:left="233" w:hanging="360"/>
      </w:pPr>
      <w:rPr>
        <w:rFonts w:ascii="Symbol" w:hAnsi="Symbol" w:hint="default"/>
        <w:b w:val="0"/>
        <w:color w:val="57825E"/>
      </w:rPr>
    </w:lvl>
    <w:lvl w:ilvl="1" w:tplc="0C0A0003">
      <w:start w:val="1"/>
      <w:numFmt w:val="bullet"/>
      <w:lvlText w:val="o"/>
      <w:lvlJc w:val="left"/>
      <w:pPr>
        <w:ind w:left="1029" w:hanging="360"/>
      </w:pPr>
      <w:rPr>
        <w:rFonts w:ascii="Courier New" w:hAnsi="Courier New" w:cs="Courier New" w:hint="default"/>
      </w:rPr>
    </w:lvl>
    <w:lvl w:ilvl="2" w:tplc="0C0A0005" w:tentative="1">
      <w:start w:val="1"/>
      <w:numFmt w:val="bullet"/>
      <w:lvlText w:val=""/>
      <w:lvlJc w:val="left"/>
      <w:pPr>
        <w:ind w:left="1749" w:hanging="360"/>
      </w:pPr>
      <w:rPr>
        <w:rFonts w:ascii="Wingdings" w:hAnsi="Wingdings" w:hint="default"/>
      </w:rPr>
    </w:lvl>
    <w:lvl w:ilvl="3" w:tplc="0C0A0001" w:tentative="1">
      <w:start w:val="1"/>
      <w:numFmt w:val="bullet"/>
      <w:lvlText w:val=""/>
      <w:lvlJc w:val="left"/>
      <w:pPr>
        <w:ind w:left="2469" w:hanging="360"/>
      </w:pPr>
      <w:rPr>
        <w:rFonts w:ascii="Symbol" w:hAnsi="Symbol" w:hint="default"/>
      </w:rPr>
    </w:lvl>
    <w:lvl w:ilvl="4" w:tplc="0C0A0003" w:tentative="1">
      <w:start w:val="1"/>
      <w:numFmt w:val="bullet"/>
      <w:lvlText w:val="o"/>
      <w:lvlJc w:val="left"/>
      <w:pPr>
        <w:ind w:left="3189" w:hanging="360"/>
      </w:pPr>
      <w:rPr>
        <w:rFonts w:ascii="Courier New" w:hAnsi="Courier New" w:cs="Courier New" w:hint="default"/>
      </w:rPr>
    </w:lvl>
    <w:lvl w:ilvl="5" w:tplc="0C0A0005" w:tentative="1">
      <w:start w:val="1"/>
      <w:numFmt w:val="bullet"/>
      <w:lvlText w:val=""/>
      <w:lvlJc w:val="left"/>
      <w:pPr>
        <w:ind w:left="3909" w:hanging="360"/>
      </w:pPr>
      <w:rPr>
        <w:rFonts w:ascii="Wingdings" w:hAnsi="Wingdings" w:hint="default"/>
      </w:rPr>
    </w:lvl>
    <w:lvl w:ilvl="6" w:tplc="0C0A0001" w:tentative="1">
      <w:start w:val="1"/>
      <w:numFmt w:val="bullet"/>
      <w:lvlText w:val=""/>
      <w:lvlJc w:val="left"/>
      <w:pPr>
        <w:ind w:left="4629" w:hanging="360"/>
      </w:pPr>
      <w:rPr>
        <w:rFonts w:ascii="Symbol" w:hAnsi="Symbol" w:hint="default"/>
      </w:rPr>
    </w:lvl>
    <w:lvl w:ilvl="7" w:tplc="0C0A0003" w:tentative="1">
      <w:start w:val="1"/>
      <w:numFmt w:val="bullet"/>
      <w:lvlText w:val="o"/>
      <w:lvlJc w:val="left"/>
      <w:pPr>
        <w:ind w:left="5349" w:hanging="360"/>
      </w:pPr>
      <w:rPr>
        <w:rFonts w:ascii="Courier New" w:hAnsi="Courier New" w:cs="Courier New" w:hint="default"/>
      </w:rPr>
    </w:lvl>
    <w:lvl w:ilvl="8" w:tplc="0C0A0005" w:tentative="1">
      <w:start w:val="1"/>
      <w:numFmt w:val="bullet"/>
      <w:lvlText w:val=""/>
      <w:lvlJc w:val="left"/>
      <w:pPr>
        <w:ind w:left="6069" w:hanging="360"/>
      </w:pPr>
      <w:rPr>
        <w:rFonts w:ascii="Wingdings" w:hAnsi="Wingdings" w:hint="default"/>
      </w:rPr>
    </w:lvl>
  </w:abstractNum>
  <w:abstractNum w:abstractNumId="69" w15:restartNumberingAfterBreak="0">
    <w:nsid w:val="47321CEC"/>
    <w:multiLevelType w:val="hybridMultilevel"/>
    <w:tmpl w:val="67A48DD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7486776"/>
    <w:multiLevelType w:val="hybridMultilevel"/>
    <w:tmpl w:val="E6D404F4"/>
    <w:styleLink w:val="1111111"/>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7F8294A"/>
    <w:multiLevelType w:val="hybridMultilevel"/>
    <w:tmpl w:val="C256F138"/>
    <w:lvl w:ilvl="0" w:tplc="080C000F">
      <w:start w:val="1"/>
      <w:numFmt w:val="decimal"/>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15:restartNumberingAfterBreak="0">
    <w:nsid w:val="49224E69"/>
    <w:multiLevelType w:val="hybridMultilevel"/>
    <w:tmpl w:val="6998647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3" w15:restartNumberingAfterBreak="0">
    <w:nsid w:val="4A990DBB"/>
    <w:multiLevelType w:val="hybridMultilevel"/>
    <w:tmpl w:val="2BACE0C6"/>
    <w:lvl w:ilvl="0" w:tplc="8B1EA1A2">
      <w:start w:val="2"/>
      <w:numFmt w:val="decimal"/>
      <w:lvlText w:val="Figure %1"/>
      <w:lvlJc w:val="left"/>
      <w:pPr>
        <w:ind w:left="360"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74" w15:restartNumberingAfterBreak="0">
    <w:nsid w:val="4C06418D"/>
    <w:multiLevelType w:val="hybridMultilevel"/>
    <w:tmpl w:val="092C4B7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C663347"/>
    <w:multiLevelType w:val="hybridMultilevel"/>
    <w:tmpl w:val="35F8E64E"/>
    <w:lvl w:ilvl="0" w:tplc="9FF4DBA8">
      <w:start w:val="1"/>
      <w:numFmt w:val="bullet"/>
      <w:pStyle w:val="Hlistbullet2"/>
      <w:lvlText w:val="o"/>
      <w:lvlJc w:val="left"/>
      <w:pPr>
        <w:ind w:left="927" w:hanging="360"/>
      </w:pPr>
      <w:rPr>
        <w:rFonts w:ascii="Courier New" w:hAnsi="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E666CB3"/>
    <w:multiLevelType w:val="hybridMultilevel"/>
    <w:tmpl w:val="C88642F4"/>
    <w:lvl w:ilvl="0" w:tplc="04F8FAD0">
      <w:start w:val="1"/>
      <w:numFmt w:val="bullet"/>
      <w:lvlText w:val=""/>
      <w:lvlJc w:val="left"/>
      <w:pPr>
        <w:ind w:left="720" w:hanging="360"/>
      </w:pPr>
      <w:rPr>
        <w:rFonts w:ascii="Symbol" w:hAnsi="Symbol" w:hint="default"/>
        <w:color w:val="57825E"/>
      </w:rPr>
    </w:lvl>
    <w:lvl w:ilvl="1" w:tplc="1BBC3D0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B45F1E"/>
    <w:multiLevelType w:val="hybridMultilevel"/>
    <w:tmpl w:val="7496236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3B9325D"/>
    <w:multiLevelType w:val="hybridMultilevel"/>
    <w:tmpl w:val="3F7CF02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49766DA"/>
    <w:multiLevelType w:val="hybridMultilevel"/>
    <w:tmpl w:val="2BD858C0"/>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0" w15:restartNumberingAfterBreak="0">
    <w:nsid w:val="54A9135C"/>
    <w:multiLevelType w:val="hybridMultilevel"/>
    <w:tmpl w:val="FC12F41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4BD0BEC"/>
    <w:multiLevelType w:val="singleLevel"/>
    <w:tmpl w:val="72D6F376"/>
    <w:lvl w:ilvl="0">
      <w:numFmt w:val="decimal"/>
      <w:lvlText w:val=""/>
      <w:lvlJc w:val="left"/>
    </w:lvl>
  </w:abstractNum>
  <w:abstractNum w:abstractNumId="82" w15:restartNumberingAfterBreak="0">
    <w:nsid w:val="54E945CD"/>
    <w:multiLevelType w:val="hybridMultilevel"/>
    <w:tmpl w:val="1D92E8BE"/>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02047D"/>
    <w:multiLevelType w:val="hybridMultilevel"/>
    <w:tmpl w:val="AEC89BBC"/>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54873BA"/>
    <w:multiLevelType w:val="hybridMultilevel"/>
    <w:tmpl w:val="C9D69012"/>
    <w:lvl w:ilvl="0" w:tplc="D370F804">
      <w:start w:val="1"/>
      <w:numFmt w:val="bullet"/>
      <w:lvlText w:val=""/>
      <w:lvlJc w:val="left"/>
      <w:pPr>
        <w:ind w:left="786"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70E03BF"/>
    <w:multiLevelType w:val="hybridMultilevel"/>
    <w:tmpl w:val="D428C23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800382B"/>
    <w:multiLevelType w:val="hybridMultilevel"/>
    <w:tmpl w:val="10D8A58A"/>
    <w:lvl w:ilvl="0" w:tplc="9DFAE80C">
      <w:start w:val="1"/>
      <w:numFmt w:val="decimal"/>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87" w15:restartNumberingAfterBreak="0">
    <w:nsid w:val="58B972A6"/>
    <w:multiLevelType w:val="multilevel"/>
    <w:tmpl w:val="97A0497A"/>
    <w:lvl w:ilvl="0">
      <w:start w:val="1"/>
      <w:numFmt w:val="decimal"/>
      <w:lvlText w:val="%1"/>
      <w:lvlJc w:val="left"/>
      <w:pPr>
        <w:tabs>
          <w:tab w:val="num" w:pos="474"/>
        </w:tabs>
        <w:ind w:left="262" w:hanging="148"/>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8" w15:restartNumberingAfterBreak="0">
    <w:nsid w:val="596C4FB4"/>
    <w:multiLevelType w:val="hybridMultilevel"/>
    <w:tmpl w:val="0E006A16"/>
    <w:lvl w:ilvl="0" w:tplc="3DC41A04">
      <w:start w:val="1"/>
      <w:numFmt w:val="bullet"/>
      <w:lvlText w:val="o"/>
      <w:lvlJc w:val="left"/>
      <w:pPr>
        <w:ind w:left="1346" w:hanging="360"/>
      </w:pPr>
      <w:rPr>
        <w:rFonts w:ascii="Courier New" w:hAnsi="Courier New" w:hint="default"/>
        <w:color w:val="6F6F6F"/>
      </w:rPr>
    </w:lvl>
    <w:lvl w:ilvl="1" w:tplc="041B0003" w:tentative="1">
      <w:start w:val="1"/>
      <w:numFmt w:val="bullet"/>
      <w:lvlText w:val="o"/>
      <w:lvlJc w:val="left"/>
      <w:pPr>
        <w:ind w:left="2066" w:hanging="360"/>
      </w:pPr>
      <w:rPr>
        <w:rFonts w:ascii="Courier New" w:hAnsi="Courier New" w:cs="Courier New" w:hint="default"/>
      </w:rPr>
    </w:lvl>
    <w:lvl w:ilvl="2" w:tplc="041B0005" w:tentative="1">
      <w:start w:val="1"/>
      <w:numFmt w:val="bullet"/>
      <w:lvlText w:val=""/>
      <w:lvlJc w:val="left"/>
      <w:pPr>
        <w:ind w:left="2786" w:hanging="360"/>
      </w:pPr>
      <w:rPr>
        <w:rFonts w:ascii="Wingdings" w:hAnsi="Wingdings" w:hint="default"/>
      </w:rPr>
    </w:lvl>
    <w:lvl w:ilvl="3" w:tplc="041B0001" w:tentative="1">
      <w:start w:val="1"/>
      <w:numFmt w:val="bullet"/>
      <w:lvlText w:val=""/>
      <w:lvlJc w:val="left"/>
      <w:pPr>
        <w:ind w:left="3506" w:hanging="360"/>
      </w:pPr>
      <w:rPr>
        <w:rFonts w:ascii="Symbol" w:hAnsi="Symbol" w:hint="default"/>
      </w:rPr>
    </w:lvl>
    <w:lvl w:ilvl="4" w:tplc="041B0003" w:tentative="1">
      <w:start w:val="1"/>
      <w:numFmt w:val="bullet"/>
      <w:lvlText w:val="o"/>
      <w:lvlJc w:val="left"/>
      <w:pPr>
        <w:ind w:left="4226" w:hanging="360"/>
      </w:pPr>
      <w:rPr>
        <w:rFonts w:ascii="Courier New" w:hAnsi="Courier New" w:cs="Courier New" w:hint="default"/>
      </w:rPr>
    </w:lvl>
    <w:lvl w:ilvl="5" w:tplc="041B0005" w:tentative="1">
      <w:start w:val="1"/>
      <w:numFmt w:val="bullet"/>
      <w:lvlText w:val=""/>
      <w:lvlJc w:val="left"/>
      <w:pPr>
        <w:ind w:left="4946" w:hanging="360"/>
      </w:pPr>
      <w:rPr>
        <w:rFonts w:ascii="Wingdings" w:hAnsi="Wingdings" w:hint="default"/>
      </w:rPr>
    </w:lvl>
    <w:lvl w:ilvl="6" w:tplc="041B0001" w:tentative="1">
      <w:start w:val="1"/>
      <w:numFmt w:val="bullet"/>
      <w:lvlText w:val=""/>
      <w:lvlJc w:val="left"/>
      <w:pPr>
        <w:ind w:left="5666" w:hanging="360"/>
      </w:pPr>
      <w:rPr>
        <w:rFonts w:ascii="Symbol" w:hAnsi="Symbol" w:hint="default"/>
      </w:rPr>
    </w:lvl>
    <w:lvl w:ilvl="7" w:tplc="041B0003" w:tentative="1">
      <w:start w:val="1"/>
      <w:numFmt w:val="bullet"/>
      <w:lvlText w:val="o"/>
      <w:lvlJc w:val="left"/>
      <w:pPr>
        <w:ind w:left="6386" w:hanging="360"/>
      </w:pPr>
      <w:rPr>
        <w:rFonts w:ascii="Courier New" w:hAnsi="Courier New" w:cs="Courier New" w:hint="default"/>
      </w:rPr>
    </w:lvl>
    <w:lvl w:ilvl="8" w:tplc="041B0005" w:tentative="1">
      <w:start w:val="1"/>
      <w:numFmt w:val="bullet"/>
      <w:lvlText w:val=""/>
      <w:lvlJc w:val="left"/>
      <w:pPr>
        <w:ind w:left="7106" w:hanging="360"/>
      </w:pPr>
      <w:rPr>
        <w:rFonts w:ascii="Wingdings" w:hAnsi="Wingdings" w:hint="default"/>
      </w:rPr>
    </w:lvl>
  </w:abstractNum>
  <w:abstractNum w:abstractNumId="89" w15:restartNumberingAfterBreak="0">
    <w:nsid w:val="5B534780"/>
    <w:multiLevelType w:val="hybridMultilevel"/>
    <w:tmpl w:val="6B143708"/>
    <w:lvl w:ilvl="0" w:tplc="856277F8">
      <w:start w:val="1"/>
      <w:numFmt w:val="bullet"/>
      <w:lvlText w:val=""/>
      <w:lvlJc w:val="left"/>
      <w:pPr>
        <w:ind w:left="720" w:hanging="360"/>
      </w:pPr>
      <w:rPr>
        <w:rFonts w:ascii="Symbol" w:hAnsi="Symbol" w:hint="default"/>
        <w:color w:val="57825E"/>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0" w15:restartNumberingAfterBreak="0">
    <w:nsid w:val="5B94771E"/>
    <w:multiLevelType w:val="hybridMultilevel"/>
    <w:tmpl w:val="F4A049B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BB74C2B"/>
    <w:multiLevelType w:val="hybridMultilevel"/>
    <w:tmpl w:val="972E6AD0"/>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D7E6AE3"/>
    <w:multiLevelType w:val="hybridMultilevel"/>
    <w:tmpl w:val="A1164C12"/>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F79730C"/>
    <w:multiLevelType w:val="hybridMultilevel"/>
    <w:tmpl w:val="F9D6390A"/>
    <w:lvl w:ilvl="0" w:tplc="0E4CE200">
      <w:start w:val="1"/>
      <w:numFmt w:val="decimal"/>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4" w15:restartNumberingAfterBreak="0">
    <w:nsid w:val="60D46F84"/>
    <w:multiLevelType w:val="hybridMultilevel"/>
    <w:tmpl w:val="FA229D98"/>
    <w:lvl w:ilvl="0" w:tplc="19F88068">
      <w:start w:val="1"/>
      <w:numFmt w:val="bullet"/>
      <w:lvlText w:val=""/>
      <w:lvlJc w:val="left"/>
      <w:pPr>
        <w:ind w:left="720" w:hanging="360"/>
      </w:pPr>
      <w:rPr>
        <w:rFonts w:ascii="Symbol" w:hAnsi="Symbol" w:hint="default"/>
        <w:b w:val="0"/>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60E6226F"/>
    <w:multiLevelType w:val="hybridMultilevel"/>
    <w:tmpl w:val="12D03418"/>
    <w:lvl w:ilvl="0" w:tplc="D370F804">
      <w:start w:val="1"/>
      <w:numFmt w:val="bullet"/>
      <w:lvlText w:val=""/>
      <w:lvlJc w:val="left"/>
      <w:pPr>
        <w:ind w:left="720" w:hanging="360"/>
      </w:pPr>
      <w:rPr>
        <w:rFonts w:ascii="Symbol" w:hAnsi="Symbol" w:hint="default"/>
        <w:color w:val="57825E"/>
      </w:rPr>
    </w:lvl>
    <w:lvl w:ilvl="1" w:tplc="8E2A8284">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E86B2F"/>
    <w:multiLevelType w:val="hybridMultilevel"/>
    <w:tmpl w:val="4DC62D2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0F5675E"/>
    <w:multiLevelType w:val="hybridMultilevel"/>
    <w:tmpl w:val="CE2AA926"/>
    <w:lvl w:ilvl="0" w:tplc="9620B144">
      <w:start w:val="1"/>
      <w:numFmt w:val="decimal"/>
      <w:lvlText w:val="Figure %1."/>
      <w:lvlJc w:val="left"/>
      <w:pPr>
        <w:ind w:left="720" w:hanging="720"/>
      </w:pPr>
      <w:rPr>
        <w:rFonts w:ascii="Arial" w:hAnsi="Arial" w:cs="Arial" w:hint="default"/>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8" w15:restartNumberingAfterBreak="0">
    <w:nsid w:val="614B4869"/>
    <w:multiLevelType w:val="hybridMultilevel"/>
    <w:tmpl w:val="94D06336"/>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5C0517A"/>
    <w:multiLevelType w:val="hybridMultilevel"/>
    <w:tmpl w:val="DFE01904"/>
    <w:lvl w:ilvl="0" w:tplc="856277F8">
      <w:start w:val="1"/>
      <w:numFmt w:val="bullet"/>
      <w:lvlText w:val=""/>
      <w:lvlJc w:val="left"/>
      <w:pPr>
        <w:ind w:left="720" w:hanging="360"/>
      </w:pPr>
      <w:rPr>
        <w:rFonts w:ascii="Symbol" w:hAnsi="Symbol" w:hint="default"/>
        <w:b w:val="0"/>
        <w:color w:val="57825E"/>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65E42A7E"/>
    <w:multiLevelType w:val="hybridMultilevel"/>
    <w:tmpl w:val="9E92BDA6"/>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5E71B08"/>
    <w:multiLevelType w:val="hybridMultilevel"/>
    <w:tmpl w:val="500EB49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85A06D6"/>
    <w:multiLevelType w:val="hybridMultilevel"/>
    <w:tmpl w:val="74C2C470"/>
    <w:lvl w:ilvl="0" w:tplc="8F4488EC">
      <w:start w:val="1"/>
      <w:numFmt w:val="decimal"/>
      <w:lvlText w:val="3.1.%1."/>
      <w:lvlJc w:val="left"/>
      <w:pPr>
        <w:ind w:left="-351" w:hanging="360"/>
      </w:pPr>
      <w:rPr>
        <w:rFonts w:hint="default"/>
      </w:rPr>
    </w:lvl>
    <w:lvl w:ilvl="1" w:tplc="040C0019" w:tentative="1">
      <w:start w:val="1"/>
      <w:numFmt w:val="lowerLetter"/>
      <w:lvlText w:val="%2."/>
      <w:lvlJc w:val="left"/>
      <w:pPr>
        <w:ind w:left="369" w:hanging="360"/>
      </w:pPr>
    </w:lvl>
    <w:lvl w:ilvl="2" w:tplc="040C001B" w:tentative="1">
      <w:start w:val="1"/>
      <w:numFmt w:val="lowerRoman"/>
      <w:lvlText w:val="%3."/>
      <w:lvlJc w:val="right"/>
      <w:pPr>
        <w:ind w:left="1089" w:hanging="180"/>
      </w:pPr>
    </w:lvl>
    <w:lvl w:ilvl="3" w:tplc="040C000F" w:tentative="1">
      <w:start w:val="1"/>
      <w:numFmt w:val="decimal"/>
      <w:lvlText w:val="%4."/>
      <w:lvlJc w:val="left"/>
      <w:pPr>
        <w:ind w:left="1809" w:hanging="360"/>
      </w:pPr>
    </w:lvl>
    <w:lvl w:ilvl="4" w:tplc="040C0019" w:tentative="1">
      <w:start w:val="1"/>
      <w:numFmt w:val="lowerLetter"/>
      <w:lvlText w:val="%5."/>
      <w:lvlJc w:val="left"/>
      <w:pPr>
        <w:ind w:left="2529" w:hanging="360"/>
      </w:pPr>
    </w:lvl>
    <w:lvl w:ilvl="5" w:tplc="040C001B" w:tentative="1">
      <w:start w:val="1"/>
      <w:numFmt w:val="lowerRoman"/>
      <w:lvlText w:val="%6."/>
      <w:lvlJc w:val="right"/>
      <w:pPr>
        <w:ind w:left="3249" w:hanging="180"/>
      </w:pPr>
    </w:lvl>
    <w:lvl w:ilvl="6" w:tplc="040C000F" w:tentative="1">
      <w:start w:val="1"/>
      <w:numFmt w:val="decimal"/>
      <w:lvlText w:val="%7."/>
      <w:lvlJc w:val="left"/>
      <w:pPr>
        <w:ind w:left="3969" w:hanging="360"/>
      </w:pPr>
    </w:lvl>
    <w:lvl w:ilvl="7" w:tplc="040C0019" w:tentative="1">
      <w:start w:val="1"/>
      <w:numFmt w:val="lowerLetter"/>
      <w:lvlText w:val="%8."/>
      <w:lvlJc w:val="left"/>
      <w:pPr>
        <w:ind w:left="4689" w:hanging="360"/>
      </w:pPr>
    </w:lvl>
    <w:lvl w:ilvl="8" w:tplc="040C001B" w:tentative="1">
      <w:start w:val="1"/>
      <w:numFmt w:val="lowerRoman"/>
      <w:lvlText w:val="%9."/>
      <w:lvlJc w:val="right"/>
      <w:pPr>
        <w:ind w:left="5409" w:hanging="180"/>
      </w:pPr>
    </w:lvl>
  </w:abstractNum>
  <w:abstractNum w:abstractNumId="103"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4" w15:restartNumberingAfterBreak="0">
    <w:nsid w:val="6A8414DE"/>
    <w:multiLevelType w:val="hybridMultilevel"/>
    <w:tmpl w:val="42EA82F8"/>
    <w:lvl w:ilvl="0" w:tplc="04F8FAD0">
      <w:start w:val="1"/>
      <w:numFmt w:val="bullet"/>
      <w:lvlText w:val=""/>
      <w:lvlJc w:val="left"/>
      <w:pPr>
        <w:ind w:left="720" w:hanging="360"/>
      </w:pPr>
      <w:rPr>
        <w:rFonts w:ascii="Symbol" w:hAnsi="Symbol" w:hint="default"/>
        <w:color w:val="57825E"/>
      </w:rPr>
    </w:lvl>
    <w:lvl w:ilvl="1" w:tplc="C6727AD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AF80D1A"/>
    <w:multiLevelType w:val="hybridMultilevel"/>
    <w:tmpl w:val="C3063384"/>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B8649F6"/>
    <w:multiLevelType w:val="hybridMultilevel"/>
    <w:tmpl w:val="3DA2C9EA"/>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EB7292D"/>
    <w:multiLevelType w:val="hybridMultilevel"/>
    <w:tmpl w:val="40EAC38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8" w15:restartNumberingAfterBreak="0">
    <w:nsid w:val="70400FB1"/>
    <w:multiLevelType w:val="hybridMultilevel"/>
    <w:tmpl w:val="221E570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10476E0"/>
    <w:multiLevelType w:val="hybridMultilevel"/>
    <w:tmpl w:val="E078F38C"/>
    <w:lvl w:ilvl="0" w:tplc="056C506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15049D7"/>
    <w:multiLevelType w:val="hybridMultilevel"/>
    <w:tmpl w:val="E11C8244"/>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3E31B34"/>
    <w:multiLevelType w:val="hybridMultilevel"/>
    <w:tmpl w:val="BAEA5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9F88068">
      <w:start w:val="1"/>
      <w:numFmt w:val="bullet"/>
      <w:lvlText w:val=""/>
      <w:lvlJc w:val="left"/>
      <w:pPr>
        <w:ind w:left="644" w:hanging="360"/>
      </w:pPr>
      <w:rPr>
        <w:rFonts w:ascii="Symbol" w:hAnsi="Symbol" w:hint="default"/>
        <w:b w:val="0"/>
        <w:color w:val="57825E"/>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74DA29D5"/>
    <w:multiLevelType w:val="hybridMultilevel"/>
    <w:tmpl w:val="363622A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4F2AD8"/>
    <w:multiLevelType w:val="hybridMultilevel"/>
    <w:tmpl w:val="C14AB89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5B27B66"/>
    <w:multiLevelType w:val="hybridMultilevel"/>
    <w:tmpl w:val="A7FC041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73A35E5"/>
    <w:multiLevelType w:val="hybridMultilevel"/>
    <w:tmpl w:val="81725234"/>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95D33D3"/>
    <w:multiLevelType w:val="multilevel"/>
    <w:tmpl w:val="4C5A8196"/>
    <w:lvl w:ilvl="0">
      <w:start w:val="1"/>
      <w:numFmt w:val="decimal"/>
      <w:lvlText w:val="%1"/>
      <w:lvlJc w:val="left"/>
      <w:pPr>
        <w:tabs>
          <w:tab w:val="num" w:pos="474"/>
        </w:tabs>
        <w:ind w:left="262" w:hanging="148"/>
      </w:pPr>
      <w:rPr>
        <w:rFonts w:hint="default"/>
      </w:rPr>
    </w:lvl>
    <w:lvl w:ilvl="1">
      <w:start w:val="1"/>
      <w:numFmt w:val="decimal"/>
      <w:pStyle w:val="HHeading2"/>
      <w:lvlText w:val="%1.%2"/>
      <w:lvlJc w:val="left"/>
      <w:pPr>
        <w:tabs>
          <w:tab w:val="num" w:pos="567"/>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17" w15:restartNumberingAfterBreak="0">
    <w:nsid w:val="7B803FCC"/>
    <w:multiLevelType w:val="hybridMultilevel"/>
    <w:tmpl w:val="5156C62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257008"/>
    <w:multiLevelType w:val="hybridMultilevel"/>
    <w:tmpl w:val="5B1A4896"/>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C3303CD"/>
    <w:multiLevelType w:val="hybridMultilevel"/>
    <w:tmpl w:val="DBC83430"/>
    <w:lvl w:ilvl="0" w:tplc="19F88068">
      <w:start w:val="1"/>
      <w:numFmt w:val="bullet"/>
      <w:lvlText w:val=""/>
      <w:lvlJc w:val="left"/>
      <w:pPr>
        <w:ind w:left="720" w:hanging="360"/>
      </w:pPr>
      <w:rPr>
        <w:rFonts w:ascii="Symbol" w:hAnsi="Symbol" w:hint="default"/>
        <w:b w:val="0"/>
        <w:color w:val="57825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7E752836"/>
    <w:multiLevelType w:val="hybridMultilevel"/>
    <w:tmpl w:val="0FC8E3A2"/>
    <w:lvl w:ilvl="0" w:tplc="7A1AAC92">
      <w:start w:val="1"/>
      <w:numFmt w:val="bullet"/>
      <w:pStyle w:val="Htablebullet"/>
      <w:lvlText w:val=""/>
      <w:lvlJc w:val="left"/>
      <w:pPr>
        <w:ind w:left="360" w:hanging="360"/>
      </w:pPr>
      <w:rPr>
        <w:rFonts w:ascii="Symbol" w:hAnsi="Symbol" w:hint="default"/>
        <w:color w:val="57825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8"/>
  </w:num>
  <w:num w:numId="3">
    <w:abstractNumId w:val="71"/>
  </w:num>
  <w:num w:numId="4">
    <w:abstractNumId w:val="37"/>
  </w:num>
  <w:num w:numId="5">
    <w:abstractNumId w:val="120"/>
  </w:num>
  <w:num w:numId="6">
    <w:abstractNumId w:val="116"/>
  </w:num>
  <w:num w:numId="7">
    <w:abstractNumId w:val="65"/>
  </w:num>
  <w:num w:numId="8">
    <w:abstractNumId w:val="46"/>
    <w:lvlOverride w:ilvl="0">
      <w:lvl w:ilvl="0" w:tplc="222EA85A">
        <w:start w:val="1"/>
        <w:numFmt w:val="decimal"/>
        <w:pStyle w:val="HHeadingfigures"/>
        <w:lvlText w:val="Figura %1."/>
        <w:lvlJc w:val="left"/>
        <w:pPr>
          <w:ind w:left="964" w:hanging="360"/>
        </w:pPr>
        <w:rPr>
          <w:rFonts w:ascii="Arial" w:hAnsi="Arial" w:hint="default"/>
          <w:b/>
          <w:bCs w:val="0"/>
          <w:i w:val="0"/>
          <w:iCs w:val="0"/>
          <w:caps w:val="0"/>
          <w:strike w:val="0"/>
          <w:dstrike w:val="0"/>
          <w:outline w:val="0"/>
          <w:shadow w:val="0"/>
          <w:emboss w:val="0"/>
          <w:imprint w:val="0"/>
          <w:vanish w:val="0"/>
          <w:color w:val="373737"/>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070019" w:tentative="1">
        <w:start w:val="1"/>
        <w:numFmt w:val="lowerLetter"/>
        <w:lvlText w:val="%2."/>
        <w:lvlJc w:val="left"/>
        <w:pPr>
          <w:ind w:left="1684" w:hanging="360"/>
        </w:pPr>
      </w:lvl>
    </w:lvlOverride>
    <w:lvlOverride w:ilvl="2">
      <w:lvl w:ilvl="2" w:tplc="0407001B" w:tentative="1">
        <w:start w:val="1"/>
        <w:numFmt w:val="lowerRoman"/>
        <w:lvlText w:val="%3."/>
        <w:lvlJc w:val="right"/>
        <w:pPr>
          <w:ind w:left="2404" w:hanging="180"/>
        </w:pPr>
      </w:lvl>
    </w:lvlOverride>
    <w:lvlOverride w:ilvl="3">
      <w:lvl w:ilvl="3" w:tplc="0407000F" w:tentative="1">
        <w:start w:val="1"/>
        <w:numFmt w:val="decimal"/>
        <w:lvlText w:val="%4."/>
        <w:lvlJc w:val="left"/>
        <w:pPr>
          <w:ind w:left="3124" w:hanging="360"/>
        </w:pPr>
      </w:lvl>
    </w:lvlOverride>
    <w:lvlOverride w:ilvl="4">
      <w:lvl w:ilvl="4" w:tplc="04070019" w:tentative="1">
        <w:start w:val="1"/>
        <w:numFmt w:val="lowerLetter"/>
        <w:lvlText w:val="%5."/>
        <w:lvlJc w:val="left"/>
        <w:pPr>
          <w:ind w:left="3844" w:hanging="360"/>
        </w:pPr>
      </w:lvl>
    </w:lvlOverride>
    <w:lvlOverride w:ilvl="5">
      <w:lvl w:ilvl="5" w:tplc="0407001B" w:tentative="1">
        <w:start w:val="1"/>
        <w:numFmt w:val="lowerRoman"/>
        <w:lvlText w:val="%6."/>
        <w:lvlJc w:val="right"/>
        <w:pPr>
          <w:ind w:left="4564" w:hanging="180"/>
        </w:pPr>
      </w:lvl>
    </w:lvlOverride>
    <w:lvlOverride w:ilvl="6">
      <w:lvl w:ilvl="6" w:tplc="0407000F" w:tentative="1">
        <w:start w:val="1"/>
        <w:numFmt w:val="decimal"/>
        <w:lvlText w:val="%7."/>
        <w:lvlJc w:val="left"/>
        <w:pPr>
          <w:ind w:left="5284" w:hanging="360"/>
        </w:pPr>
      </w:lvl>
    </w:lvlOverride>
    <w:lvlOverride w:ilvl="7">
      <w:lvl w:ilvl="7" w:tplc="04070019" w:tentative="1">
        <w:start w:val="1"/>
        <w:numFmt w:val="lowerLetter"/>
        <w:lvlText w:val="%8."/>
        <w:lvlJc w:val="left"/>
        <w:pPr>
          <w:ind w:left="6004" w:hanging="360"/>
        </w:pPr>
      </w:lvl>
    </w:lvlOverride>
    <w:lvlOverride w:ilvl="8">
      <w:lvl w:ilvl="8" w:tplc="0407001B" w:tentative="1">
        <w:start w:val="1"/>
        <w:numFmt w:val="lowerRoman"/>
        <w:lvlText w:val="%9."/>
        <w:lvlJc w:val="right"/>
        <w:pPr>
          <w:ind w:left="6724" w:hanging="180"/>
        </w:pPr>
      </w:lvl>
    </w:lvlOverride>
  </w:num>
  <w:num w:numId="9">
    <w:abstractNumId w:val="10"/>
  </w:num>
  <w:num w:numId="10">
    <w:abstractNumId w:val="0"/>
  </w:num>
  <w:num w:numId="11">
    <w:abstractNumId w:val="30"/>
  </w:num>
  <w:num w:numId="12">
    <w:abstractNumId w:val="75"/>
  </w:num>
  <w:num w:numId="13">
    <w:abstractNumId w:val="38"/>
  </w:num>
  <w:num w:numId="14">
    <w:abstractNumId w:val="42"/>
  </w:num>
  <w:num w:numId="15">
    <w:abstractNumId w:val="39"/>
  </w:num>
  <w:num w:numId="16">
    <w:abstractNumId w:val="68"/>
  </w:num>
  <w:num w:numId="17">
    <w:abstractNumId w:val="56"/>
  </w:num>
  <w:num w:numId="18">
    <w:abstractNumId w:val="99"/>
  </w:num>
  <w:num w:numId="19">
    <w:abstractNumId w:val="107"/>
  </w:num>
  <w:num w:numId="20">
    <w:abstractNumId w:val="22"/>
  </w:num>
  <w:num w:numId="21">
    <w:abstractNumId w:val="24"/>
  </w:num>
  <w:num w:numId="22">
    <w:abstractNumId w:val="98"/>
  </w:num>
  <w:num w:numId="23">
    <w:abstractNumId w:val="70"/>
  </w:num>
  <w:num w:numId="24">
    <w:abstractNumId w:val="40"/>
  </w:num>
  <w:num w:numId="25">
    <w:abstractNumId w:val="43"/>
  </w:num>
  <w:num w:numId="26">
    <w:abstractNumId w:val="63"/>
  </w:num>
  <w:num w:numId="27">
    <w:abstractNumId w:val="14"/>
  </w:num>
  <w:num w:numId="28">
    <w:abstractNumId w:val="51"/>
  </w:num>
  <w:num w:numId="29">
    <w:abstractNumId w:val="119"/>
  </w:num>
  <w:num w:numId="30">
    <w:abstractNumId w:val="18"/>
  </w:num>
  <w:num w:numId="31">
    <w:abstractNumId w:val="81"/>
  </w:num>
  <w:num w:numId="32">
    <w:abstractNumId w:val="73"/>
  </w:num>
  <w:num w:numId="33">
    <w:abstractNumId w:val="52"/>
  </w:num>
  <w:num w:numId="34">
    <w:abstractNumId w:val="44"/>
  </w:num>
  <w:num w:numId="35">
    <w:abstractNumId w:val="93"/>
  </w:num>
  <w:num w:numId="36">
    <w:abstractNumId w:val="27"/>
  </w:num>
  <w:num w:numId="37">
    <w:abstractNumId w:val="103"/>
  </w:num>
  <w:num w:numId="38">
    <w:abstractNumId w:val="97"/>
  </w:num>
  <w:num w:numId="39">
    <w:abstractNumId w:val="86"/>
  </w:num>
  <w:num w:numId="40">
    <w:abstractNumId w:val="94"/>
  </w:num>
  <w:num w:numId="41">
    <w:abstractNumId w:val="53"/>
  </w:num>
  <w:num w:numId="42">
    <w:abstractNumId w:val="102"/>
  </w:num>
  <w:num w:numId="43">
    <w:abstractNumId w:val="111"/>
  </w:num>
  <w:num w:numId="44">
    <w:abstractNumId w:val="57"/>
  </w:num>
  <w:num w:numId="45">
    <w:abstractNumId w:val="33"/>
  </w:num>
  <w:num w:numId="46">
    <w:abstractNumId w:val="72"/>
  </w:num>
  <w:num w:numId="47">
    <w:abstractNumId w:val="32"/>
  </w:num>
  <w:num w:numId="48">
    <w:abstractNumId w:val="88"/>
  </w:num>
  <w:num w:numId="49">
    <w:abstractNumId w:val="67"/>
  </w:num>
  <w:num w:numId="50">
    <w:abstractNumId w:val="110"/>
  </w:num>
  <w:num w:numId="51">
    <w:abstractNumId w:val="29"/>
  </w:num>
  <w:num w:numId="52">
    <w:abstractNumId w:val="17"/>
  </w:num>
  <w:num w:numId="53">
    <w:abstractNumId w:val="55"/>
  </w:num>
  <w:num w:numId="54">
    <w:abstractNumId w:val="105"/>
  </w:num>
  <w:num w:numId="55">
    <w:abstractNumId w:val="85"/>
  </w:num>
  <w:num w:numId="56">
    <w:abstractNumId w:val="48"/>
  </w:num>
  <w:num w:numId="57">
    <w:abstractNumId w:val="79"/>
  </w:num>
  <w:num w:numId="58">
    <w:abstractNumId w:val="28"/>
  </w:num>
  <w:num w:numId="59">
    <w:abstractNumId w:val="100"/>
  </w:num>
  <w:num w:numId="60">
    <w:abstractNumId w:val="23"/>
  </w:num>
  <w:num w:numId="61">
    <w:abstractNumId w:val="78"/>
  </w:num>
  <w:num w:numId="62">
    <w:abstractNumId w:val="80"/>
  </w:num>
  <w:num w:numId="63">
    <w:abstractNumId w:val="89"/>
  </w:num>
  <w:num w:numId="64">
    <w:abstractNumId w:val="47"/>
  </w:num>
  <w:num w:numId="65">
    <w:abstractNumId w:val="36"/>
  </w:num>
  <w:num w:numId="66">
    <w:abstractNumId w:val="118"/>
  </w:num>
  <w:num w:numId="67">
    <w:abstractNumId w:val="117"/>
  </w:num>
  <w:num w:numId="68">
    <w:abstractNumId w:val="108"/>
  </w:num>
  <w:num w:numId="69">
    <w:abstractNumId w:val="66"/>
  </w:num>
  <w:num w:numId="70">
    <w:abstractNumId w:val="113"/>
  </w:num>
  <w:num w:numId="71">
    <w:abstractNumId w:val="34"/>
  </w:num>
  <w:num w:numId="72">
    <w:abstractNumId w:val="95"/>
  </w:num>
  <w:num w:numId="73">
    <w:abstractNumId w:val="69"/>
  </w:num>
  <w:num w:numId="74">
    <w:abstractNumId w:val="26"/>
  </w:num>
  <w:num w:numId="75">
    <w:abstractNumId w:val="112"/>
  </w:num>
  <w:num w:numId="76">
    <w:abstractNumId w:val="61"/>
  </w:num>
  <w:num w:numId="77">
    <w:abstractNumId w:val="84"/>
  </w:num>
  <w:num w:numId="78">
    <w:abstractNumId w:val="90"/>
  </w:num>
  <w:num w:numId="79">
    <w:abstractNumId w:val="106"/>
  </w:num>
  <w:num w:numId="80">
    <w:abstractNumId w:val="77"/>
  </w:num>
  <w:num w:numId="81">
    <w:abstractNumId w:val="101"/>
  </w:num>
  <w:num w:numId="82">
    <w:abstractNumId w:val="41"/>
  </w:num>
  <w:num w:numId="83">
    <w:abstractNumId w:val="91"/>
  </w:num>
  <w:num w:numId="84">
    <w:abstractNumId w:val="4"/>
  </w:num>
  <w:num w:numId="85">
    <w:abstractNumId w:val="92"/>
  </w:num>
  <w:num w:numId="86">
    <w:abstractNumId w:val="49"/>
  </w:num>
  <w:num w:numId="87">
    <w:abstractNumId w:val="60"/>
  </w:num>
  <w:num w:numId="88">
    <w:abstractNumId w:val="104"/>
  </w:num>
  <w:num w:numId="89">
    <w:abstractNumId w:val="13"/>
  </w:num>
  <w:num w:numId="90">
    <w:abstractNumId w:val="115"/>
  </w:num>
  <w:num w:numId="91">
    <w:abstractNumId w:val="9"/>
  </w:num>
  <w:num w:numId="92">
    <w:abstractNumId w:val="50"/>
  </w:num>
  <w:num w:numId="93">
    <w:abstractNumId w:val="16"/>
  </w:num>
  <w:num w:numId="94">
    <w:abstractNumId w:val="83"/>
  </w:num>
  <w:num w:numId="95">
    <w:abstractNumId w:val="114"/>
  </w:num>
  <w:num w:numId="96">
    <w:abstractNumId w:val="11"/>
  </w:num>
  <w:num w:numId="97">
    <w:abstractNumId w:val="74"/>
  </w:num>
  <w:num w:numId="98">
    <w:abstractNumId w:val="82"/>
  </w:num>
  <w:num w:numId="99">
    <w:abstractNumId w:val="76"/>
  </w:num>
  <w:num w:numId="100">
    <w:abstractNumId w:val="15"/>
  </w:num>
  <w:num w:numId="101">
    <w:abstractNumId w:val="54"/>
  </w:num>
  <w:num w:numId="102">
    <w:abstractNumId w:val="19"/>
  </w:num>
  <w:num w:numId="103">
    <w:abstractNumId w:val="96"/>
  </w:num>
  <w:num w:numId="104">
    <w:abstractNumId w:val="109"/>
  </w:num>
  <w:num w:numId="105">
    <w:abstractNumId w:val="35"/>
  </w:num>
  <w:num w:numId="106">
    <w:abstractNumId w:val="45"/>
  </w:num>
  <w:num w:numId="107">
    <w:abstractNumId w:val="20"/>
  </w:num>
  <w:num w:numId="108">
    <w:abstractNumId w:val="3"/>
  </w:num>
  <w:num w:numId="109">
    <w:abstractNumId w:val="46"/>
  </w:num>
  <w:num w:numId="110">
    <w:abstractNumId w:val="7"/>
  </w:num>
  <w:num w:numId="111">
    <w:abstractNumId w:val="5"/>
  </w:num>
  <w:num w:numId="112">
    <w:abstractNumId w:val="6"/>
  </w:num>
  <w:num w:numId="113">
    <w:abstractNumId w:val="12"/>
  </w:num>
  <w:num w:numId="114">
    <w:abstractNumId w:val="1"/>
  </w:num>
  <w:num w:numId="115">
    <w:abstractNumId w:val="31"/>
  </w:num>
  <w:num w:numId="116">
    <w:abstractNumId w:val="62"/>
  </w:num>
  <w:num w:numId="117">
    <w:abstractNumId w:val="8"/>
  </w:num>
  <w:num w:numId="118">
    <w:abstractNumId w:val="64"/>
  </w:num>
  <w:num w:numId="119">
    <w:abstractNumId w:val="2"/>
  </w:num>
  <w:num w:numId="120">
    <w:abstractNumId w:val="87"/>
  </w:num>
  <w:num w:numId="12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9"/>
  </w:num>
  <w:num w:numId="124">
    <w:abstractNumId w:val="2"/>
    <w:lvlOverride w:ilvl="0">
      <w:startOverride w:val="2"/>
    </w:lvlOverride>
    <w:lvlOverride w:ilvl="1">
      <w:startOverride w:val="4"/>
    </w:lvlOverride>
    <w:lvlOverride w:ilvl="2">
      <w:startOverride w:val="4"/>
    </w:lvlOverride>
  </w:num>
  <w:num w:numId="125">
    <w:abstractNumId w:val="2"/>
    <w:lvlOverride w:ilvl="0">
      <w:startOverride w:val="2"/>
    </w:lvlOverride>
    <w:lvlOverride w:ilvl="1">
      <w:startOverride w:val="4"/>
    </w:lvlOverride>
    <w:lvlOverride w:ilvl="2">
      <w:startOverride w:val="5"/>
    </w:lvlOverride>
  </w:num>
  <w:num w:numId="126">
    <w:abstractNumId w:val="25"/>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proofState w:grammar="clean"/>
  <w:defaultTabStop w:val="720"/>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E05D08"/>
    <w:rsid w:val="000026C6"/>
    <w:rsid w:val="00015AA7"/>
    <w:rsid w:val="00021844"/>
    <w:rsid w:val="00021A55"/>
    <w:rsid w:val="00022CA7"/>
    <w:rsid w:val="00027AF3"/>
    <w:rsid w:val="000324A5"/>
    <w:rsid w:val="00036912"/>
    <w:rsid w:val="00037CA6"/>
    <w:rsid w:val="000520DE"/>
    <w:rsid w:val="00053109"/>
    <w:rsid w:val="00055039"/>
    <w:rsid w:val="0006194D"/>
    <w:rsid w:val="000828C6"/>
    <w:rsid w:val="00093161"/>
    <w:rsid w:val="000A1399"/>
    <w:rsid w:val="000A14B3"/>
    <w:rsid w:val="000A250D"/>
    <w:rsid w:val="000A307F"/>
    <w:rsid w:val="000A43B7"/>
    <w:rsid w:val="000A718F"/>
    <w:rsid w:val="000B1654"/>
    <w:rsid w:val="000B6304"/>
    <w:rsid w:val="000C408D"/>
    <w:rsid w:val="000D7245"/>
    <w:rsid w:val="000E0645"/>
    <w:rsid w:val="000E0FE4"/>
    <w:rsid w:val="000E1023"/>
    <w:rsid w:val="000E1D4B"/>
    <w:rsid w:val="000E3675"/>
    <w:rsid w:val="000E5544"/>
    <w:rsid w:val="000F0497"/>
    <w:rsid w:val="000F0841"/>
    <w:rsid w:val="000F23A8"/>
    <w:rsid w:val="00106570"/>
    <w:rsid w:val="00110179"/>
    <w:rsid w:val="00111ADE"/>
    <w:rsid w:val="001120E4"/>
    <w:rsid w:val="001126AE"/>
    <w:rsid w:val="00116EF8"/>
    <w:rsid w:val="001244F9"/>
    <w:rsid w:val="00125266"/>
    <w:rsid w:val="001275FF"/>
    <w:rsid w:val="00130EA0"/>
    <w:rsid w:val="001319A0"/>
    <w:rsid w:val="001327F5"/>
    <w:rsid w:val="0013321C"/>
    <w:rsid w:val="0013661C"/>
    <w:rsid w:val="001427A5"/>
    <w:rsid w:val="00142A64"/>
    <w:rsid w:val="00151D94"/>
    <w:rsid w:val="001524F5"/>
    <w:rsid w:val="00155E3F"/>
    <w:rsid w:val="00161D7E"/>
    <w:rsid w:val="00164489"/>
    <w:rsid w:val="00165BF1"/>
    <w:rsid w:val="001744D0"/>
    <w:rsid w:val="00177C4F"/>
    <w:rsid w:val="00183E9B"/>
    <w:rsid w:val="001865CA"/>
    <w:rsid w:val="0018705F"/>
    <w:rsid w:val="001954EB"/>
    <w:rsid w:val="001A12C3"/>
    <w:rsid w:val="001A184E"/>
    <w:rsid w:val="001A1ED5"/>
    <w:rsid w:val="001A2952"/>
    <w:rsid w:val="001A2A93"/>
    <w:rsid w:val="001A2DEC"/>
    <w:rsid w:val="001A6C7C"/>
    <w:rsid w:val="001A7B15"/>
    <w:rsid w:val="001B58A1"/>
    <w:rsid w:val="001C039D"/>
    <w:rsid w:val="001C03A3"/>
    <w:rsid w:val="001E1B68"/>
    <w:rsid w:val="001E4AE1"/>
    <w:rsid w:val="001F6140"/>
    <w:rsid w:val="001F626E"/>
    <w:rsid w:val="001F6F07"/>
    <w:rsid w:val="001F7296"/>
    <w:rsid w:val="0020060A"/>
    <w:rsid w:val="0021105B"/>
    <w:rsid w:val="002126B4"/>
    <w:rsid w:val="002271D9"/>
    <w:rsid w:val="00230C31"/>
    <w:rsid w:val="00232CF1"/>
    <w:rsid w:val="00235D46"/>
    <w:rsid w:val="00237EDF"/>
    <w:rsid w:val="002403DE"/>
    <w:rsid w:val="00241663"/>
    <w:rsid w:val="002466B2"/>
    <w:rsid w:val="00253803"/>
    <w:rsid w:val="0025413B"/>
    <w:rsid w:val="00260B97"/>
    <w:rsid w:val="00266A8E"/>
    <w:rsid w:val="002803D8"/>
    <w:rsid w:val="00282948"/>
    <w:rsid w:val="00283811"/>
    <w:rsid w:val="00290F11"/>
    <w:rsid w:val="002964ED"/>
    <w:rsid w:val="002B36F9"/>
    <w:rsid w:val="002B4923"/>
    <w:rsid w:val="002B590B"/>
    <w:rsid w:val="002B5B92"/>
    <w:rsid w:val="002C2419"/>
    <w:rsid w:val="002C2C15"/>
    <w:rsid w:val="002C3A1C"/>
    <w:rsid w:val="002C4556"/>
    <w:rsid w:val="002D1C8F"/>
    <w:rsid w:val="002D399D"/>
    <w:rsid w:val="002E1723"/>
    <w:rsid w:val="002F0ABF"/>
    <w:rsid w:val="002F11D9"/>
    <w:rsid w:val="002F520A"/>
    <w:rsid w:val="00300AA0"/>
    <w:rsid w:val="0030377F"/>
    <w:rsid w:val="00304961"/>
    <w:rsid w:val="00310F20"/>
    <w:rsid w:val="00310FA9"/>
    <w:rsid w:val="00311624"/>
    <w:rsid w:val="00320AA0"/>
    <w:rsid w:val="00320B7D"/>
    <w:rsid w:val="003224A2"/>
    <w:rsid w:val="00324C42"/>
    <w:rsid w:val="00330136"/>
    <w:rsid w:val="00331223"/>
    <w:rsid w:val="0034028A"/>
    <w:rsid w:val="003411D5"/>
    <w:rsid w:val="0034160A"/>
    <w:rsid w:val="00347A2C"/>
    <w:rsid w:val="00350B30"/>
    <w:rsid w:val="0035138C"/>
    <w:rsid w:val="003544DC"/>
    <w:rsid w:val="00364255"/>
    <w:rsid w:val="003737FE"/>
    <w:rsid w:val="00374290"/>
    <w:rsid w:val="003766ED"/>
    <w:rsid w:val="00382BE4"/>
    <w:rsid w:val="00385368"/>
    <w:rsid w:val="00387226"/>
    <w:rsid w:val="003A1316"/>
    <w:rsid w:val="003A5A53"/>
    <w:rsid w:val="003B44A9"/>
    <w:rsid w:val="003B7EB7"/>
    <w:rsid w:val="003C170B"/>
    <w:rsid w:val="003D242C"/>
    <w:rsid w:val="003D5EED"/>
    <w:rsid w:val="003E2CE0"/>
    <w:rsid w:val="003E55F2"/>
    <w:rsid w:val="003F416E"/>
    <w:rsid w:val="003F6478"/>
    <w:rsid w:val="003F6AF1"/>
    <w:rsid w:val="00400064"/>
    <w:rsid w:val="00405B0B"/>
    <w:rsid w:val="00406C98"/>
    <w:rsid w:val="00412D26"/>
    <w:rsid w:val="0042403E"/>
    <w:rsid w:val="00426618"/>
    <w:rsid w:val="00431FF5"/>
    <w:rsid w:val="00447906"/>
    <w:rsid w:val="004508D0"/>
    <w:rsid w:val="00451BFA"/>
    <w:rsid w:val="00452B13"/>
    <w:rsid w:val="00471221"/>
    <w:rsid w:val="00472162"/>
    <w:rsid w:val="00474BE1"/>
    <w:rsid w:val="00485923"/>
    <w:rsid w:val="0048755C"/>
    <w:rsid w:val="00490F5A"/>
    <w:rsid w:val="00497AC7"/>
    <w:rsid w:val="004A2B05"/>
    <w:rsid w:val="004B5B60"/>
    <w:rsid w:val="004C17C9"/>
    <w:rsid w:val="004C2BB4"/>
    <w:rsid w:val="004C2E9B"/>
    <w:rsid w:val="004C32F7"/>
    <w:rsid w:val="004C7474"/>
    <w:rsid w:val="004D352C"/>
    <w:rsid w:val="004E272E"/>
    <w:rsid w:val="004E38AA"/>
    <w:rsid w:val="004E3DD3"/>
    <w:rsid w:val="004F3384"/>
    <w:rsid w:val="004F414C"/>
    <w:rsid w:val="00500604"/>
    <w:rsid w:val="00500D52"/>
    <w:rsid w:val="00501827"/>
    <w:rsid w:val="0050721E"/>
    <w:rsid w:val="0051700B"/>
    <w:rsid w:val="00530DA6"/>
    <w:rsid w:val="00533971"/>
    <w:rsid w:val="00534954"/>
    <w:rsid w:val="00535A54"/>
    <w:rsid w:val="005374E0"/>
    <w:rsid w:val="005411F9"/>
    <w:rsid w:val="00541A7D"/>
    <w:rsid w:val="00544F2D"/>
    <w:rsid w:val="00545C6C"/>
    <w:rsid w:val="00547012"/>
    <w:rsid w:val="005474FA"/>
    <w:rsid w:val="00551AB1"/>
    <w:rsid w:val="005520BA"/>
    <w:rsid w:val="00554723"/>
    <w:rsid w:val="00556FC4"/>
    <w:rsid w:val="005570DA"/>
    <w:rsid w:val="00560E46"/>
    <w:rsid w:val="005626E0"/>
    <w:rsid w:val="005671F4"/>
    <w:rsid w:val="00570507"/>
    <w:rsid w:val="00576A73"/>
    <w:rsid w:val="00580A51"/>
    <w:rsid w:val="00582F60"/>
    <w:rsid w:val="00583AC8"/>
    <w:rsid w:val="00591CB3"/>
    <w:rsid w:val="0059228D"/>
    <w:rsid w:val="0059311F"/>
    <w:rsid w:val="00595D16"/>
    <w:rsid w:val="00596A5B"/>
    <w:rsid w:val="00597107"/>
    <w:rsid w:val="005A0605"/>
    <w:rsid w:val="005A0DA2"/>
    <w:rsid w:val="005A5457"/>
    <w:rsid w:val="005B3685"/>
    <w:rsid w:val="005C3481"/>
    <w:rsid w:val="005D0347"/>
    <w:rsid w:val="005E1D93"/>
    <w:rsid w:val="005F09BC"/>
    <w:rsid w:val="00600BE3"/>
    <w:rsid w:val="0060261A"/>
    <w:rsid w:val="00604B7A"/>
    <w:rsid w:val="00612D54"/>
    <w:rsid w:val="00615785"/>
    <w:rsid w:val="00617D7B"/>
    <w:rsid w:val="00623618"/>
    <w:rsid w:val="006239C7"/>
    <w:rsid w:val="00624393"/>
    <w:rsid w:val="00626C0C"/>
    <w:rsid w:val="006418CA"/>
    <w:rsid w:val="00642394"/>
    <w:rsid w:val="00643DF6"/>
    <w:rsid w:val="00644398"/>
    <w:rsid w:val="006450B6"/>
    <w:rsid w:val="0064682B"/>
    <w:rsid w:val="00647766"/>
    <w:rsid w:val="006501D4"/>
    <w:rsid w:val="00651F1C"/>
    <w:rsid w:val="00653B72"/>
    <w:rsid w:val="00654F10"/>
    <w:rsid w:val="0066160E"/>
    <w:rsid w:val="00665417"/>
    <w:rsid w:val="0067340B"/>
    <w:rsid w:val="00673E3D"/>
    <w:rsid w:val="00674A4B"/>
    <w:rsid w:val="00676750"/>
    <w:rsid w:val="00676B41"/>
    <w:rsid w:val="006803A8"/>
    <w:rsid w:val="00682C8C"/>
    <w:rsid w:val="006871D2"/>
    <w:rsid w:val="00690469"/>
    <w:rsid w:val="00690E70"/>
    <w:rsid w:val="00695A11"/>
    <w:rsid w:val="00697455"/>
    <w:rsid w:val="006A092E"/>
    <w:rsid w:val="006A1B78"/>
    <w:rsid w:val="006A32EF"/>
    <w:rsid w:val="006A4AEC"/>
    <w:rsid w:val="006B72BF"/>
    <w:rsid w:val="006C085A"/>
    <w:rsid w:val="006C63CD"/>
    <w:rsid w:val="006D0B02"/>
    <w:rsid w:val="006D209F"/>
    <w:rsid w:val="006E0E48"/>
    <w:rsid w:val="006E2A31"/>
    <w:rsid w:val="006E592C"/>
    <w:rsid w:val="006E597D"/>
    <w:rsid w:val="006F0B79"/>
    <w:rsid w:val="006F1601"/>
    <w:rsid w:val="006F3FC1"/>
    <w:rsid w:val="006F63C5"/>
    <w:rsid w:val="00703AD9"/>
    <w:rsid w:val="00705712"/>
    <w:rsid w:val="00710753"/>
    <w:rsid w:val="0071141A"/>
    <w:rsid w:val="00712357"/>
    <w:rsid w:val="00717885"/>
    <w:rsid w:val="00725801"/>
    <w:rsid w:val="00734B11"/>
    <w:rsid w:val="007372CD"/>
    <w:rsid w:val="007441E3"/>
    <w:rsid w:val="00757688"/>
    <w:rsid w:val="007603A8"/>
    <w:rsid w:val="00764D33"/>
    <w:rsid w:val="00767F5C"/>
    <w:rsid w:val="007707EC"/>
    <w:rsid w:val="0078182B"/>
    <w:rsid w:val="00782C87"/>
    <w:rsid w:val="0079071D"/>
    <w:rsid w:val="00794C2E"/>
    <w:rsid w:val="007A450E"/>
    <w:rsid w:val="007B0E8B"/>
    <w:rsid w:val="007B323F"/>
    <w:rsid w:val="007B4A6D"/>
    <w:rsid w:val="007B4D84"/>
    <w:rsid w:val="007C2C6A"/>
    <w:rsid w:val="007C69CD"/>
    <w:rsid w:val="007C7A64"/>
    <w:rsid w:val="007D2A0C"/>
    <w:rsid w:val="007D301C"/>
    <w:rsid w:val="007D4038"/>
    <w:rsid w:val="007D62E6"/>
    <w:rsid w:val="007E16DD"/>
    <w:rsid w:val="007E63EF"/>
    <w:rsid w:val="007E7353"/>
    <w:rsid w:val="007F0B5B"/>
    <w:rsid w:val="007F4DD3"/>
    <w:rsid w:val="00803501"/>
    <w:rsid w:val="00804314"/>
    <w:rsid w:val="00804433"/>
    <w:rsid w:val="00805EDF"/>
    <w:rsid w:val="00807A63"/>
    <w:rsid w:val="0081188E"/>
    <w:rsid w:val="00812586"/>
    <w:rsid w:val="00814B95"/>
    <w:rsid w:val="008164E6"/>
    <w:rsid w:val="0081791E"/>
    <w:rsid w:val="00826484"/>
    <w:rsid w:val="008518F2"/>
    <w:rsid w:val="00857495"/>
    <w:rsid w:val="00857D5C"/>
    <w:rsid w:val="00863DB0"/>
    <w:rsid w:val="00864D7B"/>
    <w:rsid w:val="00866B4D"/>
    <w:rsid w:val="00876579"/>
    <w:rsid w:val="0088190F"/>
    <w:rsid w:val="008873D9"/>
    <w:rsid w:val="00890C92"/>
    <w:rsid w:val="00891109"/>
    <w:rsid w:val="00893616"/>
    <w:rsid w:val="00897804"/>
    <w:rsid w:val="008A0CFF"/>
    <w:rsid w:val="008A260B"/>
    <w:rsid w:val="008B008F"/>
    <w:rsid w:val="008B1A09"/>
    <w:rsid w:val="008C0B17"/>
    <w:rsid w:val="008C3EAC"/>
    <w:rsid w:val="008D05D4"/>
    <w:rsid w:val="008D178A"/>
    <w:rsid w:val="008D63A8"/>
    <w:rsid w:val="008E4AA6"/>
    <w:rsid w:val="008F1F04"/>
    <w:rsid w:val="0090245E"/>
    <w:rsid w:val="009044EE"/>
    <w:rsid w:val="009106EA"/>
    <w:rsid w:val="00912430"/>
    <w:rsid w:val="00916AB5"/>
    <w:rsid w:val="00916BE2"/>
    <w:rsid w:val="00920CB9"/>
    <w:rsid w:val="009320B3"/>
    <w:rsid w:val="009414CC"/>
    <w:rsid w:val="00942585"/>
    <w:rsid w:val="00946806"/>
    <w:rsid w:val="00946DD8"/>
    <w:rsid w:val="00951524"/>
    <w:rsid w:val="0095292E"/>
    <w:rsid w:val="0095336D"/>
    <w:rsid w:val="009567F6"/>
    <w:rsid w:val="00963A81"/>
    <w:rsid w:val="009648DB"/>
    <w:rsid w:val="00965042"/>
    <w:rsid w:val="00966DF2"/>
    <w:rsid w:val="00967CFD"/>
    <w:rsid w:val="009722AA"/>
    <w:rsid w:val="009837FF"/>
    <w:rsid w:val="00987055"/>
    <w:rsid w:val="00990BF3"/>
    <w:rsid w:val="009968A7"/>
    <w:rsid w:val="00997571"/>
    <w:rsid w:val="009A02D3"/>
    <w:rsid w:val="009A27E2"/>
    <w:rsid w:val="009A2DAD"/>
    <w:rsid w:val="009A64EA"/>
    <w:rsid w:val="009B603C"/>
    <w:rsid w:val="009C2EC2"/>
    <w:rsid w:val="009C70F8"/>
    <w:rsid w:val="009C734C"/>
    <w:rsid w:val="009C743B"/>
    <w:rsid w:val="009D0C0A"/>
    <w:rsid w:val="009D3A3F"/>
    <w:rsid w:val="009D479A"/>
    <w:rsid w:val="009D56E6"/>
    <w:rsid w:val="009D5768"/>
    <w:rsid w:val="009F145D"/>
    <w:rsid w:val="009F1589"/>
    <w:rsid w:val="009F33FD"/>
    <w:rsid w:val="009F5AB5"/>
    <w:rsid w:val="00A008D3"/>
    <w:rsid w:val="00A04209"/>
    <w:rsid w:val="00A1327D"/>
    <w:rsid w:val="00A209BF"/>
    <w:rsid w:val="00A304B0"/>
    <w:rsid w:val="00A31D39"/>
    <w:rsid w:val="00A35C6D"/>
    <w:rsid w:val="00A43434"/>
    <w:rsid w:val="00A43EFD"/>
    <w:rsid w:val="00A45935"/>
    <w:rsid w:val="00A51882"/>
    <w:rsid w:val="00A60495"/>
    <w:rsid w:val="00A610F6"/>
    <w:rsid w:val="00A63C2E"/>
    <w:rsid w:val="00A66638"/>
    <w:rsid w:val="00A66F3C"/>
    <w:rsid w:val="00A6785E"/>
    <w:rsid w:val="00A71A31"/>
    <w:rsid w:val="00A7690F"/>
    <w:rsid w:val="00A77E99"/>
    <w:rsid w:val="00A807A5"/>
    <w:rsid w:val="00A823A8"/>
    <w:rsid w:val="00A847F8"/>
    <w:rsid w:val="00A90171"/>
    <w:rsid w:val="00A92E91"/>
    <w:rsid w:val="00A961A7"/>
    <w:rsid w:val="00AA5817"/>
    <w:rsid w:val="00AA7F79"/>
    <w:rsid w:val="00AB16BB"/>
    <w:rsid w:val="00AB2BDF"/>
    <w:rsid w:val="00AB45F8"/>
    <w:rsid w:val="00AB6603"/>
    <w:rsid w:val="00AB74DA"/>
    <w:rsid w:val="00AC1B3E"/>
    <w:rsid w:val="00AC664B"/>
    <w:rsid w:val="00AC75B9"/>
    <w:rsid w:val="00AC7DDF"/>
    <w:rsid w:val="00AD39B9"/>
    <w:rsid w:val="00AD3CD7"/>
    <w:rsid w:val="00AD72DD"/>
    <w:rsid w:val="00AE3E85"/>
    <w:rsid w:val="00AE68CA"/>
    <w:rsid w:val="00AE704F"/>
    <w:rsid w:val="00B05B45"/>
    <w:rsid w:val="00B10B3C"/>
    <w:rsid w:val="00B17568"/>
    <w:rsid w:val="00B24679"/>
    <w:rsid w:val="00B311E6"/>
    <w:rsid w:val="00B35581"/>
    <w:rsid w:val="00B36B77"/>
    <w:rsid w:val="00B37E2A"/>
    <w:rsid w:val="00B40DBF"/>
    <w:rsid w:val="00B41573"/>
    <w:rsid w:val="00B421B9"/>
    <w:rsid w:val="00B51B3B"/>
    <w:rsid w:val="00B5530E"/>
    <w:rsid w:val="00B63DE8"/>
    <w:rsid w:val="00B64C7D"/>
    <w:rsid w:val="00B737D4"/>
    <w:rsid w:val="00B76BA4"/>
    <w:rsid w:val="00B91D56"/>
    <w:rsid w:val="00BA248B"/>
    <w:rsid w:val="00BA2C5D"/>
    <w:rsid w:val="00BA450C"/>
    <w:rsid w:val="00BA4FCD"/>
    <w:rsid w:val="00BA5122"/>
    <w:rsid w:val="00BA6A33"/>
    <w:rsid w:val="00BB0A98"/>
    <w:rsid w:val="00BB551B"/>
    <w:rsid w:val="00BC211C"/>
    <w:rsid w:val="00BC2432"/>
    <w:rsid w:val="00BC406C"/>
    <w:rsid w:val="00BC471E"/>
    <w:rsid w:val="00BC5B1D"/>
    <w:rsid w:val="00BD475B"/>
    <w:rsid w:val="00BD7227"/>
    <w:rsid w:val="00BE0462"/>
    <w:rsid w:val="00BE1F31"/>
    <w:rsid w:val="00BE70EE"/>
    <w:rsid w:val="00C013AD"/>
    <w:rsid w:val="00C02FCB"/>
    <w:rsid w:val="00C046E8"/>
    <w:rsid w:val="00C16E3D"/>
    <w:rsid w:val="00C202EC"/>
    <w:rsid w:val="00C20C97"/>
    <w:rsid w:val="00C3092C"/>
    <w:rsid w:val="00C31DF0"/>
    <w:rsid w:val="00C3302E"/>
    <w:rsid w:val="00C3334D"/>
    <w:rsid w:val="00C35A25"/>
    <w:rsid w:val="00C37C7A"/>
    <w:rsid w:val="00C477ED"/>
    <w:rsid w:val="00C5127D"/>
    <w:rsid w:val="00C51F59"/>
    <w:rsid w:val="00C5764F"/>
    <w:rsid w:val="00C61277"/>
    <w:rsid w:val="00C621C4"/>
    <w:rsid w:val="00C6361D"/>
    <w:rsid w:val="00C64B64"/>
    <w:rsid w:val="00C67E9D"/>
    <w:rsid w:val="00C8095B"/>
    <w:rsid w:val="00C84B5B"/>
    <w:rsid w:val="00C93A35"/>
    <w:rsid w:val="00C947BA"/>
    <w:rsid w:val="00C9522B"/>
    <w:rsid w:val="00C95BD6"/>
    <w:rsid w:val="00CA12E6"/>
    <w:rsid w:val="00CA28E6"/>
    <w:rsid w:val="00CA3A48"/>
    <w:rsid w:val="00CA6EC8"/>
    <w:rsid w:val="00CB3AD0"/>
    <w:rsid w:val="00CB4818"/>
    <w:rsid w:val="00CB68D9"/>
    <w:rsid w:val="00CC53B5"/>
    <w:rsid w:val="00CD3BC8"/>
    <w:rsid w:val="00CE2990"/>
    <w:rsid w:val="00CF37F0"/>
    <w:rsid w:val="00CF4822"/>
    <w:rsid w:val="00CF6D0E"/>
    <w:rsid w:val="00D010F5"/>
    <w:rsid w:val="00D05E3A"/>
    <w:rsid w:val="00D076E7"/>
    <w:rsid w:val="00D10FA6"/>
    <w:rsid w:val="00D13817"/>
    <w:rsid w:val="00D201A2"/>
    <w:rsid w:val="00D32DA8"/>
    <w:rsid w:val="00D32E53"/>
    <w:rsid w:val="00D35751"/>
    <w:rsid w:val="00D4053E"/>
    <w:rsid w:val="00D461AB"/>
    <w:rsid w:val="00D50380"/>
    <w:rsid w:val="00D50EF0"/>
    <w:rsid w:val="00D55226"/>
    <w:rsid w:val="00D57D0A"/>
    <w:rsid w:val="00D612DC"/>
    <w:rsid w:val="00D62992"/>
    <w:rsid w:val="00D62ED4"/>
    <w:rsid w:val="00D66182"/>
    <w:rsid w:val="00D66501"/>
    <w:rsid w:val="00D73319"/>
    <w:rsid w:val="00D7340E"/>
    <w:rsid w:val="00D77B96"/>
    <w:rsid w:val="00D815E7"/>
    <w:rsid w:val="00D85FF6"/>
    <w:rsid w:val="00D91213"/>
    <w:rsid w:val="00D91569"/>
    <w:rsid w:val="00D930A2"/>
    <w:rsid w:val="00D96C8F"/>
    <w:rsid w:val="00DA22EB"/>
    <w:rsid w:val="00DB1887"/>
    <w:rsid w:val="00DC1C77"/>
    <w:rsid w:val="00DC20D6"/>
    <w:rsid w:val="00DC2840"/>
    <w:rsid w:val="00DC6C4F"/>
    <w:rsid w:val="00DD247A"/>
    <w:rsid w:val="00DD473C"/>
    <w:rsid w:val="00DD4C4C"/>
    <w:rsid w:val="00DE256D"/>
    <w:rsid w:val="00DE2C82"/>
    <w:rsid w:val="00DF68E2"/>
    <w:rsid w:val="00E03826"/>
    <w:rsid w:val="00E05D08"/>
    <w:rsid w:val="00E16522"/>
    <w:rsid w:val="00E30E27"/>
    <w:rsid w:val="00E33F37"/>
    <w:rsid w:val="00E34FAC"/>
    <w:rsid w:val="00E36F81"/>
    <w:rsid w:val="00E54013"/>
    <w:rsid w:val="00E54929"/>
    <w:rsid w:val="00E634DC"/>
    <w:rsid w:val="00E64309"/>
    <w:rsid w:val="00E71021"/>
    <w:rsid w:val="00E713B8"/>
    <w:rsid w:val="00E72529"/>
    <w:rsid w:val="00E80699"/>
    <w:rsid w:val="00E8197A"/>
    <w:rsid w:val="00E849E7"/>
    <w:rsid w:val="00EA0618"/>
    <w:rsid w:val="00EA0974"/>
    <w:rsid w:val="00EB77F2"/>
    <w:rsid w:val="00EB7915"/>
    <w:rsid w:val="00EC468B"/>
    <w:rsid w:val="00EC4AF4"/>
    <w:rsid w:val="00EC5172"/>
    <w:rsid w:val="00ED1295"/>
    <w:rsid w:val="00ED1649"/>
    <w:rsid w:val="00ED27A4"/>
    <w:rsid w:val="00ED47C5"/>
    <w:rsid w:val="00EE3543"/>
    <w:rsid w:val="00EF0A96"/>
    <w:rsid w:val="00EF1B0F"/>
    <w:rsid w:val="00EF4540"/>
    <w:rsid w:val="00F01E0F"/>
    <w:rsid w:val="00F0545B"/>
    <w:rsid w:val="00F117CA"/>
    <w:rsid w:val="00F13B45"/>
    <w:rsid w:val="00F200A2"/>
    <w:rsid w:val="00F250EC"/>
    <w:rsid w:val="00F31494"/>
    <w:rsid w:val="00F31AD6"/>
    <w:rsid w:val="00F32874"/>
    <w:rsid w:val="00F37A59"/>
    <w:rsid w:val="00F4055A"/>
    <w:rsid w:val="00F5230D"/>
    <w:rsid w:val="00F60A36"/>
    <w:rsid w:val="00F64797"/>
    <w:rsid w:val="00F66623"/>
    <w:rsid w:val="00F6793F"/>
    <w:rsid w:val="00F73706"/>
    <w:rsid w:val="00F74459"/>
    <w:rsid w:val="00F74623"/>
    <w:rsid w:val="00F74C18"/>
    <w:rsid w:val="00F8743F"/>
    <w:rsid w:val="00F9406A"/>
    <w:rsid w:val="00F94F86"/>
    <w:rsid w:val="00FA12EA"/>
    <w:rsid w:val="00FA6691"/>
    <w:rsid w:val="00FB417B"/>
    <w:rsid w:val="00FB51EF"/>
    <w:rsid w:val="00FB5B14"/>
    <w:rsid w:val="00FC1408"/>
    <w:rsid w:val="00FC14FF"/>
    <w:rsid w:val="00FC7364"/>
    <w:rsid w:val="00FF02C1"/>
    <w:rsid w:val="00FF15CC"/>
    <w:rsid w:val="00FF4353"/>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A8933"/>
  <w15:docId w15:val="{8883914D-96B1-4B3D-AC1E-58D0EC6FC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mt-M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5E"/>
    <w:pPr>
      <w:jc w:val="both"/>
    </w:pPr>
    <w:rPr>
      <w:rFonts w:ascii="Arial" w:hAnsi="Arial"/>
      <w:color w:val="373737"/>
      <w:sz w:val="20"/>
    </w:rPr>
  </w:style>
  <w:style w:type="paragraph" w:styleId="Heading1">
    <w:name w:val="heading 1"/>
    <w:basedOn w:val="Normal"/>
    <w:next w:val="Normal"/>
    <w:link w:val="Heading1Char"/>
    <w:uiPriority w:val="9"/>
    <w:qFormat/>
    <w:rsid w:val="00E05D08"/>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eastAsia="Times New Roman" w:cs="Arial"/>
      <w:b/>
      <w:bCs/>
      <w:kern w:val="32"/>
      <w:sz w:val="24"/>
      <w:szCs w:val="32"/>
      <w:lang w:eastAsia="de-DE"/>
    </w:rPr>
  </w:style>
  <w:style w:type="paragraph" w:styleId="Heading2">
    <w:name w:val="heading 2"/>
    <w:aliases w:val="Titre B,no vale,Heading 2 Char1,Heading 2 Char Char"/>
    <w:basedOn w:val="Normal"/>
    <w:next w:val="Normal"/>
    <w:link w:val="Heading2Char"/>
    <w:uiPriority w:val="9"/>
    <w:qFormat/>
    <w:rsid w:val="00E05D08"/>
    <w:pPr>
      <w:keepNext/>
      <w:numPr>
        <w:ilvl w:val="1"/>
        <w:numId w:val="1"/>
      </w:numPr>
      <w:tabs>
        <w:tab w:val="clear" w:pos="360"/>
        <w:tab w:val="left" w:pos="454"/>
      </w:tabs>
      <w:suppressAutoHyphens/>
      <w:spacing w:before="240" w:after="140" w:line="260" w:lineRule="exact"/>
      <w:ind w:left="454" w:hanging="454"/>
      <w:outlineLvl w:val="1"/>
    </w:pPr>
    <w:rPr>
      <w:rFonts w:eastAsia="Times New Roman" w:cs="Arial"/>
      <w:b/>
      <w:bCs/>
      <w:iCs/>
      <w:szCs w:val="28"/>
      <w:lang w:eastAsia="de-DE"/>
    </w:rPr>
  </w:style>
  <w:style w:type="paragraph" w:styleId="Heading3">
    <w:name w:val="heading 3"/>
    <w:aliases w:val="H3,no vale1,no vale1 Car"/>
    <w:basedOn w:val="Normal"/>
    <w:next w:val="Normal"/>
    <w:link w:val="Heading3Char"/>
    <w:qFormat/>
    <w:rsid w:val="00E05D08"/>
    <w:pPr>
      <w:keepNext/>
      <w:numPr>
        <w:ilvl w:val="2"/>
        <w:numId w:val="1"/>
      </w:numPr>
      <w:tabs>
        <w:tab w:val="clear" w:pos="720"/>
        <w:tab w:val="left" w:pos="567"/>
      </w:tabs>
      <w:suppressAutoHyphens/>
      <w:spacing w:before="240" w:after="140" w:line="240" w:lineRule="exact"/>
      <w:ind w:left="567" w:hanging="567"/>
      <w:outlineLvl w:val="2"/>
    </w:pPr>
    <w:rPr>
      <w:rFonts w:eastAsia="Times New Roman" w:cs="Arial"/>
      <w:b/>
      <w:bCs/>
      <w:color w:val="5F5F5F"/>
      <w:szCs w:val="26"/>
      <w:lang w:eastAsia="de-DE"/>
    </w:rPr>
  </w:style>
  <w:style w:type="paragraph" w:styleId="Heading4">
    <w:name w:val="heading 4"/>
    <w:aliases w:val="Heading 4 Char1,Título 4 Car,Heading 4 Char1 Car,no vale 2,no vale 2 Car"/>
    <w:basedOn w:val="Normal"/>
    <w:next w:val="Normal"/>
    <w:link w:val="Heading4Char"/>
    <w:uiPriority w:val="99"/>
    <w:qFormat/>
    <w:rsid w:val="00E05D08"/>
    <w:pPr>
      <w:keepNext/>
      <w:numPr>
        <w:ilvl w:val="3"/>
        <w:numId w:val="1"/>
      </w:numPr>
      <w:tabs>
        <w:tab w:val="clear" w:pos="1080"/>
        <w:tab w:val="left" w:pos="680"/>
      </w:tabs>
      <w:suppressAutoHyphens/>
      <w:spacing w:before="240" w:after="140" w:line="220" w:lineRule="atLeast"/>
      <w:ind w:left="680" w:hanging="680"/>
      <w:outlineLvl w:val="3"/>
    </w:pPr>
    <w:rPr>
      <w:rFonts w:eastAsia="Times New Roman" w:cs="Times New Roman"/>
      <w:b/>
      <w:bCs/>
      <w:color w:val="5F5F5F"/>
      <w:sz w:val="18"/>
      <w:szCs w:val="28"/>
      <w:lang w:eastAsia="de-DE"/>
    </w:rPr>
  </w:style>
  <w:style w:type="paragraph" w:styleId="Heading5">
    <w:name w:val="heading 5"/>
    <w:basedOn w:val="Normal"/>
    <w:next w:val="Normal"/>
    <w:link w:val="Heading5Char"/>
    <w:uiPriority w:val="99"/>
    <w:qFormat/>
    <w:rsid w:val="00E05D08"/>
    <w:pPr>
      <w:suppressAutoHyphens/>
      <w:spacing w:before="200" w:after="100" w:line="220" w:lineRule="atLeast"/>
      <w:outlineLvl w:val="4"/>
    </w:pPr>
    <w:rPr>
      <w:rFonts w:eastAsia="Times New Roman" w:cs="Times New Roman"/>
      <w:b/>
      <w:bCs/>
      <w:iCs/>
      <w:color w:val="5F5F5F"/>
      <w:sz w:val="18"/>
      <w:szCs w:val="26"/>
      <w:lang w:eastAsia="de-DE"/>
    </w:rPr>
  </w:style>
  <w:style w:type="paragraph" w:styleId="Heading6">
    <w:name w:val="heading 6"/>
    <w:basedOn w:val="Normal"/>
    <w:next w:val="Normal"/>
    <w:link w:val="Heading6Char"/>
    <w:uiPriority w:val="99"/>
    <w:qFormat/>
    <w:rsid w:val="00E05D08"/>
    <w:pPr>
      <w:suppressAutoHyphens/>
      <w:spacing w:before="140" w:after="140" w:line="200" w:lineRule="exact"/>
      <w:outlineLvl w:val="5"/>
    </w:pPr>
    <w:rPr>
      <w:rFonts w:eastAsia="Times New Roman" w:cs="Times New Roman"/>
      <w:b/>
      <w:bCs/>
      <w:color w:val="808080"/>
      <w:sz w:val="16"/>
      <w:lang w:eastAsia="de-DE"/>
    </w:rPr>
  </w:style>
  <w:style w:type="paragraph" w:styleId="Heading7">
    <w:name w:val="heading 7"/>
    <w:basedOn w:val="Normal"/>
    <w:next w:val="Normal"/>
    <w:link w:val="Heading7Char"/>
    <w:rsid w:val="00E05D08"/>
    <w:pPr>
      <w:suppressAutoHyphens/>
      <w:spacing w:before="140" w:after="140" w:line="200" w:lineRule="exact"/>
      <w:outlineLvl w:val="6"/>
    </w:pPr>
    <w:rPr>
      <w:rFonts w:eastAsia="Times New Roman" w:cs="Times New Roman"/>
      <w:b/>
      <w:color w:val="808080"/>
      <w:sz w:val="16"/>
      <w:szCs w:val="24"/>
      <w:lang w:eastAsia="de-DE"/>
    </w:rPr>
  </w:style>
  <w:style w:type="paragraph" w:styleId="Heading8">
    <w:name w:val="heading 8"/>
    <w:basedOn w:val="Normal"/>
    <w:next w:val="Normal"/>
    <w:link w:val="Heading8Char"/>
    <w:rsid w:val="00E05D08"/>
    <w:pPr>
      <w:suppressAutoHyphens/>
      <w:spacing w:before="140" w:after="140" w:line="200" w:lineRule="exact"/>
      <w:outlineLvl w:val="7"/>
    </w:pPr>
    <w:rPr>
      <w:rFonts w:eastAsia="Times New Roman" w:cs="Times New Roman"/>
      <w:b/>
      <w:iCs/>
      <w:color w:val="808080"/>
      <w:sz w:val="16"/>
      <w:szCs w:val="24"/>
      <w:lang w:eastAsia="de-DE"/>
    </w:rPr>
  </w:style>
  <w:style w:type="paragraph" w:styleId="Heading9">
    <w:name w:val="heading 9"/>
    <w:basedOn w:val="Heading1"/>
    <w:next w:val="Normal"/>
    <w:link w:val="Heading9Char"/>
    <w:rsid w:val="00E05D08"/>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D08"/>
    <w:rPr>
      <w:rFonts w:ascii="Arial" w:eastAsia="Times New Roman" w:hAnsi="Arial" w:cs="Arial"/>
      <w:b/>
      <w:bCs/>
      <w:kern w:val="32"/>
      <w:sz w:val="24"/>
      <w:szCs w:val="32"/>
      <w:lang w:eastAsia="de-DE"/>
    </w:rPr>
  </w:style>
  <w:style w:type="character" w:customStyle="1" w:styleId="Heading2Char">
    <w:name w:val="Heading 2 Char"/>
    <w:aliases w:val="Titre B Char,no vale Char,Heading 2 Char1 Char,Heading 2 Char Char Char"/>
    <w:basedOn w:val="DefaultParagraphFont"/>
    <w:link w:val="Heading2"/>
    <w:uiPriority w:val="9"/>
    <w:rsid w:val="00E05D08"/>
    <w:rPr>
      <w:rFonts w:ascii="Arial" w:eastAsia="Times New Roman" w:hAnsi="Arial" w:cs="Arial"/>
      <w:b/>
      <w:bCs/>
      <w:iCs/>
      <w:szCs w:val="28"/>
      <w:lang w:eastAsia="de-DE"/>
    </w:rPr>
  </w:style>
  <w:style w:type="character" w:customStyle="1" w:styleId="Heading3Char">
    <w:name w:val="Heading 3 Char"/>
    <w:aliases w:val="H3 Char,no vale1 Char,no vale1 Car Char"/>
    <w:basedOn w:val="DefaultParagraphFont"/>
    <w:link w:val="Heading3"/>
    <w:rsid w:val="00E05D08"/>
    <w:rPr>
      <w:rFonts w:ascii="Arial" w:eastAsia="Times New Roman" w:hAnsi="Arial" w:cs="Arial"/>
      <w:b/>
      <w:bCs/>
      <w:color w:val="5F5F5F"/>
      <w:sz w:val="20"/>
      <w:szCs w:val="26"/>
      <w:lang w:eastAsia="de-DE"/>
    </w:rPr>
  </w:style>
  <w:style w:type="paragraph" w:styleId="ListParagraph">
    <w:name w:val="List Paragraph"/>
    <w:basedOn w:val="Normal"/>
    <w:uiPriority w:val="34"/>
    <w:qFormat/>
    <w:rsid w:val="00B421B9"/>
    <w:pPr>
      <w:ind w:left="720"/>
      <w:contextualSpacing/>
    </w:pPr>
  </w:style>
  <w:style w:type="character" w:customStyle="1" w:styleId="Heading5Char">
    <w:name w:val="Heading 5 Char"/>
    <w:basedOn w:val="DefaultParagraphFont"/>
    <w:link w:val="Heading5"/>
    <w:uiPriority w:val="99"/>
    <w:rsid w:val="00E05D08"/>
    <w:rPr>
      <w:rFonts w:ascii="Arial" w:eastAsia="Times New Roman" w:hAnsi="Arial" w:cs="Times New Roman"/>
      <w:b/>
      <w:bCs/>
      <w:iCs/>
      <w:color w:val="5F5F5F"/>
      <w:sz w:val="18"/>
      <w:szCs w:val="26"/>
      <w:lang w:val="mt-MT" w:eastAsia="de-DE"/>
    </w:rPr>
  </w:style>
  <w:style w:type="character" w:customStyle="1" w:styleId="Heading6Char">
    <w:name w:val="Heading 6 Char"/>
    <w:basedOn w:val="DefaultParagraphFont"/>
    <w:link w:val="Heading6"/>
    <w:uiPriority w:val="99"/>
    <w:rsid w:val="00E05D08"/>
    <w:rPr>
      <w:rFonts w:ascii="Arial" w:eastAsia="Times New Roman" w:hAnsi="Arial" w:cs="Times New Roman"/>
      <w:b/>
      <w:bCs/>
      <w:color w:val="808080"/>
      <w:sz w:val="16"/>
      <w:lang w:eastAsia="de-DE"/>
    </w:rPr>
  </w:style>
  <w:style w:type="character" w:customStyle="1" w:styleId="Heading7Char">
    <w:name w:val="Heading 7 Char"/>
    <w:basedOn w:val="DefaultParagraphFont"/>
    <w:link w:val="Heading7"/>
    <w:rsid w:val="00E05D08"/>
    <w:rPr>
      <w:rFonts w:ascii="Arial" w:eastAsia="Times New Roman" w:hAnsi="Arial" w:cs="Times New Roman"/>
      <w:b/>
      <w:color w:val="808080"/>
      <w:sz w:val="16"/>
      <w:szCs w:val="24"/>
      <w:lang w:eastAsia="de-DE"/>
    </w:rPr>
  </w:style>
  <w:style w:type="character" w:customStyle="1" w:styleId="Heading8Char">
    <w:name w:val="Heading 8 Char"/>
    <w:basedOn w:val="DefaultParagraphFont"/>
    <w:link w:val="Heading8"/>
    <w:rsid w:val="00E05D08"/>
    <w:rPr>
      <w:rFonts w:ascii="Arial" w:eastAsia="Times New Roman" w:hAnsi="Arial" w:cs="Times New Roman"/>
      <w:b/>
      <w:iCs/>
      <w:color w:val="808080"/>
      <w:sz w:val="16"/>
      <w:szCs w:val="24"/>
      <w:lang w:eastAsia="de-DE"/>
    </w:rPr>
  </w:style>
  <w:style w:type="character" w:customStyle="1" w:styleId="Heading9Char">
    <w:name w:val="Heading 9 Char"/>
    <w:basedOn w:val="DefaultParagraphFont"/>
    <w:link w:val="Heading9"/>
    <w:rsid w:val="00E05D08"/>
    <w:rPr>
      <w:rFonts w:ascii="Arial" w:eastAsia="Times New Roman" w:hAnsi="Arial" w:cs="Arial"/>
      <w:b/>
      <w:bCs/>
      <w:kern w:val="32"/>
      <w:sz w:val="24"/>
      <w:lang w:eastAsia="de-DE"/>
    </w:rPr>
  </w:style>
  <w:style w:type="numbering" w:customStyle="1" w:styleId="NoList1">
    <w:name w:val="No List1"/>
    <w:next w:val="NoList"/>
    <w:uiPriority w:val="99"/>
    <w:semiHidden/>
    <w:unhideWhenUsed/>
    <w:rsid w:val="00E05D08"/>
  </w:style>
  <w:style w:type="paragraph" w:styleId="TOC1">
    <w:name w:val="toc 1"/>
    <w:basedOn w:val="Normal"/>
    <w:next w:val="Normal"/>
    <w:autoRedefine/>
    <w:uiPriority w:val="39"/>
    <w:unhideWhenUsed/>
    <w:rsid w:val="009837FF"/>
    <w:pPr>
      <w:spacing w:after="100"/>
      <w:ind w:left="567" w:hanging="567"/>
    </w:pPr>
    <w:rPr>
      <w:b/>
      <w:caps/>
    </w:rPr>
  </w:style>
  <w:style w:type="paragraph" w:styleId="TOC2">
    <w:name w:val="toc 2"/>
    <w:basedOn w:val="Normal"/>
    <w:next w:val="Normal"/>
    <w:autoRedefine/>
    <w:uiPriority w:val="39"/>
    <w:unhideWhenUsed/>
    <w:rsid w:val="00266A8E"/>
    <w:pPr>
      <w:tabs>
        <w:tab w:val="left" w:pos="1100"/>
        <w:tab w:val="right" w:leader="dot" w:pos="9040"/>
      </w:tabs>
      <w:spacing w:after="100"/>
      <w:ind w:left="567" w:hanging="567"/>
    </w:pPr>
  </w:style>
  <w:style w:type="paragraph" w:styleId="Footer">
    <w:name w:val="footer"/>
    <w:link w:val="FooterChar"/>
    <w:uiPriority w:val="99"/>
    <w:rsid w:val="00E05D08"/>
    <w:pPr>
      <w:tabs>
        <w:tab w:val="right" w:pos="8618"/>
      </w:tabs>
      <w:spacing w:after="0" w:line="240" w:lineRule="auto"/>
      <w:ind w:left="-907" w:right="-907"/>
      <w:jc w:val="center"/>
    </w:pPr>
    <w:rPr>
      <w:rFonts w:ascii="Arial" w:eastAsia="Times New Roman" w:hAnsi="Arial" w:cs="Times New Roman"/>
      <w:color w:val="373737"/>
      <w:szCs w:val="20"/>
      <w:lang w:eastAsia="de-DE"/>
    </w:rPr>
  </w:style>
  <w:style w:type="character" w:customStyle="1" w:styleId="FooterChar">
    <w:name w:val="Footer Char"/>
    <w:basedOn w:val="DefaultParagraphFont"/>
    <w:link w:val="Footer"/>
    <w:uiPriority w:val="99"/>
    <w:rsid w:val="00E05D08"/>
    <w:rPr>
      <w:rFonts w:ascii="Arial" w:eastAsia="Times New Roman" w:hAnsi="Arial" w:cs="Times New Roman"/>
      <w:color w:val="373737"/>
      <w:szCs w:val="20"/>
      <w:lang w:eastAsia="de-DE"/>
    </w:rPr>
  </w:style>
  <w:style w:type="character" w:styleId="PageNumber">
    <w:name w:val="page number"/>
    <w:basedOn w:val="DefaultParagraphFont"/>
    <w:semiHidden/>
    <w:rsid w:val="00E05D08"/>
    <w:rPr>
      <w:rFonts w:ascii="Arial" w:hAnsi="Arial"/>
      <w:color w:val="808080"/>
      <w:sz w:val="18"/>
    </w:rPr>
  </w:style>
  <w:style w:type="paragraph" w:customStyle="1" w:styleId="HTitle2">
    <w:name w:val="H_Title2"/>
    <w:basedOn w:val="Normal"/>
    <w:qFormat/>
    <w:rsid w:val="00E05D08"/>
    <w:pPr>
      <w:autoSpaceDE w:val="0"/>
      <w:autoSpaceDN w:val="0"/>
      <w:adjustRightInd w:val="0"/>
      <w:spacing w:after="120" w:line="280" w:lineRule="atLeast"/>
    </w:pPr>
    <w:rPr>
      <w:rFonts w:eastAsia="Times New Roman" w:cs="Times New Roman"/>
      <w:smallCaps/>
      <w:sz w:val="44"/>
      <w:szCs w:val="52"/>
      <w:lang w:eastAsia="de-DE"/>
    </w:rPr>
  </w:style>
  <w:style w:type="paragraph" w:customStyle="1" w:styleId="Hlistbullet">
    <w:name w:val="H_list_bullet"/>
    <w:uiPriority w:val="99"/>
    <w:rsid w:val="00EA0974"/>
    <w:pPr>
      <w:numPr>
        <w:numId w:val="2"/>
      </w:numPr>
      <w:spacing w:after="120" w:line="280" w:lineRule="atLeast"/>
      <w:ind w:left="567" w:hanging="567"/>
      <w:jc w:val="both"/>
    </w:pPr>
    <w:rPr>
      <w:rFonts w:ascii="Arial" w:eastAsia="Times New Roman" w:hAnsi="Arial" w:cs="Times New Roman"/>
      <w:color w:val="373737"/>
      <w:sz w:val="20"/>
      <w:szCs w:val="20"/>
      <w:lang w:eastAsia="de-DE"/>
    </w:rPr>
  </w:style>
  <w:style w:type="paragraph" w:customStyle="1" w:styleId="Hlistbullet2">
    <w:name w:val="H_list_bullet2"/>
    <w:basedOn w:val="Hlistbullet"/>
    <w:next w:val="HStandard"/>
    <w:rsid w:val="00EA0974"/>
    <w:pPr>
      <w:numPr>
        <w:numId w:val="12"/>
      </w:numPr>
      <w:ind w:left="1134" w:hanging="567"/>
    </w:pPr>
  </w:style>
  <w:style w:type="paragraph" w:customStyle="1" w:styleId="Hlistabc">
    <w:name w:val="H_list_abc"/>
    <w:rsid w:val="00E05D08"/>
    <w:pPr>
      <w:spacing w:after="120" w:line="280" w:lineRule="atLeast"/>
      <w:mirrorIndents/>
      <w:jc w:val="both"/>
    </w:pPr>
    <w:rPr>
      <w:rFonts w:ascii="Arial" w:eastAsia="Times New Roman" w:hAnsi="Arial" w:cs="Times New Roman"/>
      <w:color w:val="373737"/>
      <w:sz w:val="20"/>
      <w:szCs w:val="20"/>
      <w:lang w:eastAsia="de-DE"/>
    </w:rPr>
  </w:style>
  <w:style w:type="paragraph" w:customStyle="1" w:styleId="Hlistabc2">
    <w:name w:val="H_list_abc_2"/>
    <w:basedOn w:val="Hlistabc"/>
    <w:next w:val="HStandard"/>
    <w:rsid w:val="00E05D08"/>
    <w:pPr>
      <w:spacing w:after="140"/>
    </w:pPr>
  </w:style>
  <w:style w:type="paragraph" w:customStyle="1" w:styleId="HTitle1">
    <w:name w:val="H_Title1"/>
    <w:basedOn w:val="Normal"/>
    <w:rsid w:val="00E05D08"/>
    <w:pPr>
      <w:autoSpaceDE w:val="0"/>
      <w:autoSpaceDN w:val="0"/>
      <w:adjustRightInd w:val="0"/>
      <w:spacing w:after="120" w:line="280" w:lineRule="atLeast"/>
    </w:pPr>
    <w:rPr>
      <w:rFonts w:eastAsia="Times New Roman" w:cs="Times New Roman"/>
      <w:bCs/>
      <w:smallCaps/>
      <w:color w:val="F07E31"/>
      <w:sz w:val="60"/>
      <w:szCs w:val="32"/>
      <w:lang w:eastAsia="de-DE"/>
    </w:rPr>
  </w:style>
  <w:style w:type="paragraph" w:customStyle="1" w:styleId="Autor">
    <w:name w:val="Autor"/>
    <w:basedOn w:val="Normal"/>
    <w:rsid w:val="00E05D08"/>
    <w:pPr>
      <w:spacing w:after="0" w:line="280" w:lineRule="exact"/>
    </w:pPr>
    <w:rPr>
      <w:rFonts w:eastAsia="Times New Roman" w:cs="Times New Roman"/>
      <w:szCs w:val="24"/>
      <w:lang w:eastAsia="de-DE"/>
    </w:rPr>
  </w:style>
  <w:style w:type="paragraph" w:customStyle="1" w:styleId="HTitle3">
    <w:name w:val="H_Title3"/>
    <w:basedOn w:val="Autor"/>
    <w:rsid w:val="00E05D08"/>
    <w:rPr>
      <w:smallCaps/>
      <w:sz w:val="28"/>
    </w:rPr>
  </w:style>
  <w:style w:type="paragraph" w:styleId="TOC3">
    <w:name w:val="toc 3"/>
    <w:basedOn w:val="Normal"/>
    <w:next w:val="Normal"/>
    <w:autoRedefine/>
    <w:uiPriority w:val="39"/>
    <w:unhideWhenUsed/>
    <w:rsid w:val="009837FF"/>
    <w:pPr>
      <w:spacing w:after="100"/>
      <w:ind w:left="567" w:hanging="567"/>
    </w:pPr>
  </w:style>
  <w:style w:type="paragraph" w:styleId="TOC4">
    <w:name w:val="toc 4"/>
    <w:basedOn w:val="Normal"/>
    <w:next w:val="Normal"/>
    <w:autoRedefine/>
    <w:uiPriority w:val="39"/>
    <w:unhideWhenUsed/>
    <w:rsid w:val="00A7690F"/>
    <w:pPr>
      <w:keepLines/>
      <w:tabs>
        <w:tab w:val="left" w:pos="1100"/>
        <w:tab w:val="right" w:leader="dot" w:pos="9040"/>
      </w:tabs>
      <w:spacing w:after="100"/>
    </w:pPr>
    <w:rPr>
      <w:noProof/>
    </w:rPr>
  </w:style>
  <w:style w:type="paragraph" w:customStyle="1" w:styleId="Fuzeilequerformat">
    <w:name w:val="Fußzeile_querformat"/>
    <w:basedOn w:val="Footer"/>
    <w:rsid w:val="00E05D08"/>
    <w:pPr>
      <w:tabs>
        <w:tab w:val="clear" w:pos="8618"/>
        <w:tab w:val="right" w:pos="12871"/>
      </w:tabs>
    </w:pPr>
  </w:style>
  <w:style w:type="paragraph" w:styleId="TableofFigures">
    <w:name w:val="table of figures"/>
    <w:next w:val="HStandard"/>
    <w:uiPriority w:val="99"/>
    <w:rsid w:val="00E05D08"/>
    <w:pPr>
      <w:spacing w:after="0"/>
      <w:ind w:left="400" w:hanging="400"/>
    </w:pPr>
    <w:rPr>
      <w:smallCaps/>
      <w:color w:val="373737"/>
      <w:sz w:val="20"/>
      <w:szCs w:val="20"/>
    </w:rPr>
  </w:style>
  <w:style w:type="paragraph" w:customStyle="1" w:styleId="Hlistline3">
    <w:name w:val="H_list_line3"/>
    <w:rsid w:val="00E05D08"/>
    <w:pPr>
      <w:numPr>
        <w:numId w:val="4"/>
      </w:numPr>
      <w:spacing w:before="60" w:after="60" w:line="220" w:lineRule="atLeast"/>
      <w:ind w:left="851" w:hanging="284"/>
    </w:pPr>
    <w:rPr>
      <w:rFonts w:ascii="Arial" w:eastAsia="Times New Roman" w:hAnsi="Arial" w:cs="Times New Roman"/>
      <w:color w:val="373737"/>
      <w:sz w:val="20"/>
      <w:szCs w:val="20"/>
      <w:lang w:eastAsia="de-DE"/>
    </w:rPr>
  </w:style>
  <w:style w:type="paragraph" w:customStyle="1" w:styleId="Hlistline4">
    <w:name w:val="H_list_line4"/>
    <w:basedOn w:val="Hlistline3"/>
    <w:next w:val="HStandard"/>
    <w:rsid w:val="00E05D08"/>
    <w:pPr>
      <w:ind w:left="1135"/>
    </w:pPr>
  </w:style>
  <w:style w:type="paragraph" w:customStyle="1" w:styleId="HSource">
    <w:name w:val="H_Source"/>
    <w:next w:val="HStandard"/>
    <w:rsid w:val="00E05D08"/>
    <w:pPr>
      <w:suppressAutoHyphens/>
      <w:spacing w:before="60" w:after="140" w:line="240" w:lineRule="auto"/>
      <w:ind w:left="1134" w:right="1134"/>
      <w:mirrorIndents/>
      <w:jc w:val="center"/>
    </w:pPr>
    <w:rPr>
      <w:rFonts w:ascii="Arial" w:eastAsia="Times New Roman" w:hAnsi="Arial" w:cs="Times New Roman"/>
      <w:i/>
      <w:color w:val="373737"/>
      <w:sz w:val="16"/>
      <w:szCs w:val="20"/>
      <w:lang w:eastAsia="de-DE"/>
    </w:rPr>
  </w:style>
  <w:style w:type="paragraph" w:customStyle="1" w:styleId="Htableleft">
    <w:name w:val="H_table_left"/>
    <w:rsid w:val="00E05D08"/>
    <w:pPr>
      <w:suppressAutoHyphens/>
      <w:spacing w:before="40" w:after="40" w:line="240" w:lineRule="auto"/>
    </w:pPr>
    <w:rPr>
      <w:rFonts w:ascii="Arial" w:eastAsia="Times New Roman" w:hAnsi="Arial" w:cs="Times New Roman"/>
      <w:color w:val="373737"/>
      <w:sz w:val="18"/>
      <w:szCs w:val="20"/>
      <w:lang w:eastAsia="de-DE"/>
    </w:rPr>
  </w:style>
  <w:style w:type="paragraph" w:customStyle="1" w:styleId="Htablecentered">
    <w:name w:val="H_table_centered"/>
    <w:basedOn w:val="Htableleft"/>
    <w:rsid w:val="00E05D08"/>
    <w:pPr>
      <w:jc w:val="center"/>
    </w:pPr>
  </w:style>
  <w:style w:type="paragraph" w:customStyle="1" w:styleId="Htableleftbolt">
    <w:name w:val="H_table_left_bolt"/>
    <w:basedOn w:val="Htableleft"/>
    <w:rsid w:val="00E05D08"/>
    <w:rPr>
      <w:b/>
      <w:color w:val="FFFFFF"/>
    </w:rPr>
  </w:style>
  <w:style w:type="paragraph" w:customStyle="1" w:styleId="Htablecenteredbolt">
    <w:name w:val="H_table_centered_bolt"/>
    <w:basedOn w:val="Htablecentered"/>
    <w:rsid w:val="00E05D08"/>
    <w:rPr>
      <w:b/>
      <w:color w:val="FFFFFF"/>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F74459"/>
    <w:pPr>
      <w:spacing w:after="0" w:line="180" w:lineRule="exact"/>
    </w:pPr>
    <w:rPr>
      <w:rFonts w:ascii="Arial" w:eastAsia="Times New Roman" w:hAnsi="Arial" w:cs="Times New Roman"/>
      <w:color w:val="808080"/>
      <w:sz w:val="16"/>
      <w:szCs w:val="20"/>
      <w:lang w:eastAsia="de-DE"/>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F74459"/>
    <w:rPr>
      <w:rFonts w:ascii="Arial" w:eastAsia="Times New Roman" w:hAnsi="Arial" w:cs="Times New Roman"/>
      <w:color w:val="808080"/>
      <w:sz w:val="16"/>
      <w:szCs w:val="20"/>
      <w:lang w:eastAsia="de-DE"/>
    </w:rPr>
  </w:style>
  <w:style w:type="paragraph" w:customStyle="1" w:styleId="Htablebullet">
    <w:name w:val="H_table_bullet"/>
    <w:basedOn w:val="Htableleft"/>
    <w:rsid w:val="00E05D08"/>
    <w:pPr>
      <w:numPr>
        <w:numId w:val="5"/>
      </w:numPr>
    </w:pPr>
  </w:style>
  <w:style w:type="paragraph" w:customStyle="1" w:styleId="HContent">
    <w:name w:val="H_Content"/>
    <w:basedOn w:val="Heading1"/>
    <w:next w:val="HStandard"/>
    <w:rsid w:val="00E05D08"/>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582F60"/>
    <w:pPr>
      <w:keepNext/>
      <w:keepLines/>
      <w:pageBreakBefore/>
      <w:numPr>
        <w:numId w:val="119"/>
      </w:numPr>
      <w:tabs>
        <w:tab w:val="left" w:pos="567"/>
      </w:tabs>
      <w:spacing w:before="360" w:after="360" w:line="280" w:lineRule="atLeast"/>
      <w:ind w:left="567" w:hanging="567"/>
      <w:mirrorIndents/>
      <w:outlineLvl w:val="0"/>
    </w:pPr>
    <w:rPr>
      <w:rFonts w:ascii="Arial" w:eastAsia="Times New Roman" w:hAnsi="Arial" w:cs="Times New Roman"/>
      <w:b/>
      <w:caps/>
      <w:color w:val="F07E31"/>
      <w:sz w:val="20"/>
      <w:szCs w:val="20"/>
      <w:lang w:eastAsia="de-DE"/>
    </w:rPr>
  </w:style>
  <w:style w:type="paragraph" w:customStyle="1" w:styleId="HHeading2">
    <w:name w:val="H_Heading 2"/>
    <w:next w:val="HStandard"/>
    <w:rsid w:val="00E05D08"/>
    <w:pPr>
      <w:keepNext/>
      <w:keepLines/>
      <w:numPr>
        <w:ilvl w:val="1"/>
        <w:numId w:val="6"/>
      </w:numPr>
      <w:tabs>
        <w:tab w:val="left" w:pos="567"/>
      </w:tabs>
      <w:spacing w:before="240" w:after="140" w:line="260" w:lineRule="exact"/>
      <w:mirrorIndents/>
      <w:outlineLvl w:val="1"/>
    </w:pPr>
    <w:rPr>
      <w:rFonts w:ascii="Arial" w:eastAsia="Times New Roman" w:hAnsi="Arial" w:cs="Times New Roman"/>
      <w:b/>
      <w:color w:val="373737"/>
      <w:sz w:val="20"/>
      <w:szCs w:val="20"/>
      <w:lang w:eastAsia="de-DE"/>
    </w:rPr>
  </w:style>
  <w:style w:type="paragraph" w:customStyle="1" w:styleId="HHeading3">
    <w:name w:val="H_Heading 3"/>
    <w:next w:val="HStandard"/>
    <w:rsid w:val="009B603C"/>
    <w:pPr>
      <w:keepNext/>
      <w:keepLines/>
      <w:numPr>
        <w:ilvl w:val="2"/>
        <w:numId w:val="6"/>
      </w:numPr>
      <w:tabs>
        <w:tab w:val="left" w:pos="567"/>
      </w:tabs>
      <w:spacing w:before="240" w:after="140" w:line="240" w:lineRule="exact"/>
      <w:ind w:left="567" w:hanging="567"/>
      <w:mirrorIndents/>
      <w:outlineLvl w:val="2"/>
    </w:pPr>
    <w:rPr>
      <w:rFonts w:ascii="Arial" w:eastAsia="Times New Roman" w:hAnsi="Arial" w:cs="Times New Roman"/>
      <w:b/>
      <w:color w:val="F07E31"/>
      <w:sz w:val="20"/>
      <w:szCs w:val="20"/>
      <w:lang w:eastAsia="de-DE"/>
    </w:rPr>
  </w:style>
  <w:style w:type="paragraph" w:customStyle="1" w:styleId="HHeading4">
    <w:name w:val="H_Heading 4"/>
    <w:next w:val="HStandard"/>
    <w:rsid w:val="00E05D08"/>
    <w:pPr>
      <w:keepNext/>
      <w:keepLines/>
      <w:tabs>
        <w:tab w:val="left" w:pos="680"/>
      </w:tabs>
      <w:spacing w:before="240" w:after="240" w:line="280" w:lineRule="atLeast"/>
      <w:mirrorIndents/>
      <w:outlineLvl w:val="3"/>
    </w:pPr>
    <w:rPr>
      <w:rFonts w:ascii="Arial" w:eastAsia="Times New Roman" w:hAnsi="Arial" w:cs="Times New Roman"/>
      <w:b/>
      <w:color w:val="57825E"/>
      <w:sz w:val="20"/>
      <w:szCs w:val="20"/>
      <w:lang w:eastAsia="de-DE"/>
    </w:rPr>
  </w:style>
  <w:style w:type="character" w:styleId="Hyperlink">
    <w:name w:val="Hyperlink"/>
    <w:basedOn w:val="DefaultParagraphFont"/>
    <w:uiPriority w:val="99"/>
    <w:rsid w:val="00E05D08"/>
    <w:rPr>
      <w:rFonts w:ascii="Arial" w:hAnsi="Arial"/>
      <w:color w:val="F07E31"/>
      <w:sz w:val="16"/>
      <w:u w:val="single"/>
      <w:lang w:val="mt-MT"/>
    </w:rPr>
  </w:style>
  <w:style w:type="paragraph" w:customStyle="1" w:styleId="HStandard">
    <w:name w:val="H_Standard"/>
    <w:rsid w:val="000E1D4B"/>
    <w:pPr>
      <w:spacing w:after="120" w:line="280" w:lineRule="atLeast"/>
      <w:jc w:val="both"/>
    </w:pPr>
    <w:rPr>
      <w:rFonts w:ascii="Arial" w:eastAsia="Times New Roman" w:hAnsi="Arial" w:cs="Times New Roman"/>
      <w:color w:val="373737"/>
      <w:sz w:val="20"/>
      <w:szCs w:val="20"/>
      <w:lang w:eastAsia="de-DE"/>
    </w:rPr>
  </w:style>
  <w:style w:type="paragraph" w:styleId="BalloonText">
    <w:name w:val="Balloon Text"/>
    <w:basedOn w:val="Normal"/>
    <w:link w:val="BalloonTextChar"/>
    <w:uiPriority w:val="99"/>
    <w:semiHidden/>
    <w:unhideWhenUsed/>
    <w:rsid w:val="00E05D08"/>
    <w:pPr>
      <w:spacing w:after="0" w:line="240" w:lineRule="auto"/>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uiPriority w:val="99"/>
    <w:semiHidden/>
    <w:rsid w:val="00E05D08"/>
    <w:rPr>
      <w:rFonts w:ascii="Tahoma" w:eastAsia="Times New Roman" w:hAnsi="Tahoma" w:cs="Tahoma"/>
      <w:sz w:val="16"/>
      <w:szCs w:val="16"/>
      <w:lang w:eastAsia="de-DE"/>
    </w:rPr>
  </w:style>
  <w:style w:type="table" w:styleId="TableGrid">
    <w:name w:val="Table Grid"/>
    <w:basedOn w:val="TableNormal"/>
    <w:uiPriority w:val="39"/>
    <w:rsid w:val="00E05D0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E05D08"/>
    <w:pPr>
      <w:numPr>
        <w:numId w:val="126"/>
      </w:numPr>
      <w:spacing w:before="200" w:after="140" w:line="240" w:lineRule="auto"/>
    </w:pPr>
    <w:rPr>
      <w:rFonts w:ascii="Arial" w:eastAsia="Times New Roman" w:hAnsi="Arial" w:cs="Times New Roman"/>
      <w:b/>
      <w:color w:val="373737"/>
      <w:sz w:val="16"/>
      <w:szCs w:val="20"/>
      <w:lang w:eastAsia="de-DE"/>
    </w:rPr>
  </w:style>
  <w:style w:type="paragraph" w:customStyle="1" w:styleId="HHeadingfigures">
    <w:name w:val="H_Heading_figures"/>
    <w:basedOn w:val="HHeadingtables"/>
    <w:next w:val="HStandard"/>
    <w:qFormat/>
    <w:rsid w:val="00E05D08"/>
    <w:pPr>
      <w:numPr>
        <w:numId w:val="8"/>
      </w:numPr>
      <w:tabs>
        <w:tab w:val="num" w:pos="964"/>
      </w:tabs>
    </w:pPr>
  </w:style>
  <w:style w:type="paragraph" w:customStyle="1" w:styleId="HHeadingmaps">
    <w:name w:val="H_Heading_maps"/>
    <w:basedOn w:val="HHeadingtables"/>
    <w:next w:val="HStandard"/>
    <w:qFormat/>
    <w:rsid w:val="00E05D08"/>
    <w:pPr>
      <w:keepNext/>
      <w:keepLines/>
      <w:numPr>
        <w:numId w:val="9"/>
      </w:numPr>
      <w:outlineLvl w:val="5"/>
    </w:pPr>
  </w:style>
  <w:style w:type="paragraph" w:customStyle="1" w:styleId="HHeadingboxes">
    <w:name w:val="H_Heading_boxes"/>
    <w:basedOn w:val="HHeadingtables"/>
    <w:next w:val="HStandard"/>
    <w:qFormat/>
    <w:rsid w:val="00E05D08"/>
    <w:pPr>
      <w:numPr>
        <w:numId w:val="10"/>
      </w:numPr>
      <w:ind w:left="851" w:hanging="851"/>
    </w:pPr>
  </w:style>
  <w:style w:type="paragraph" w:customStyle="1" w:styleId="HBox">
    <w:name w:val="H_Box"/>
    <w:next w:val="HStandard"/>
    <w:qFormat/>
    <w:rsid w:val="00E05D08"/>
    <w:pPr>
      <w:framePr w:wrap="notBeside" w:vAnchor="text" w:hAnchor="text" w:y="1"/>
      <w:spacing w:after="120" w:line="260" w:lineRule="atLeast"/>
      <w:jc w:val="both"/>
    </w:pPr>
    <w:rPr>
      <w:rFonts w:ascii="Arial" w:eastAsia="Times New Roman" w:hAnsi="Arial" w:cs="Times New Roman"/>
      <w:color w:val="373737"/>
      <w:sz w:val="18"/>
      <w:szCs w:val="20"/>
      <w:lang w:eastAsia="de-DE"/>
    </w:rPr>
  </w:style>
  <w:style w:type="paragraph" w:customStyle="1" w:styleId="HBoxbullet">
    <w:name w:val="H_Box_bullet"/>
    <w:next w:val="HStandard"/>
    <w:qFormat/>
    <w:rsid w:val="00E05D08"/>
    <w:pPr>
      <w:numPr>
        <w:numId w:val="11"/>
      </w:numPr>
      <w:pBdr>
        <w:top w:val="single" w:sz="4" w:space="4" w:color="F07E31"/>
        <w:left w:val="single" w:sz="4" w:space="8" w:color="F07E31"/>
        <w:bottom w:val="single" w:sz="4" w:space="4" w:color="F07E31"/>
        <w:right w:val="single" w:sz="4" w:space="4" w:color="F07E31"/>
      </w:pBdr>
      <w:shd w:val="clear" w:color="auto" w:fill="FCE5D5"/>
      <w:spacing w:after="0" w:line="240" w:lineRule="auto"/>
      <w:ind w:left="363" w:hanging="284"/>
      <w:jc w:val="both"/>
    </w:pPr>
    <w:rPr>
      <w:rFonts w:ascii="Arial" w:eastAsia="Times New Roman" w:hAnsi="Arial" w:cs="Times New Roman"/>
      <w:color w:val="373737"/>
      <w:sz w:val="20"/>
      <w:szCs w:val="20"/>
      <w:lang w:eastAsia="de-DE"/>
    </w:rPr>
  </w:style>
  <w:style w:type="paragraph" w:customStyle="1" w:styleId="Hdisclaimer">
    <w:name w:val="H_disclaimer"/>
    <w:qFormat/>
    <w:rsid w:val="00E05D08"/>
    <w:pPr>
      <w:spacing w:after="120" w:line="280" w:lineRule="atLeast"/>
      <w:jc w:val="both"/>
    </w:pPr>
    <w:rPr>
      <w:rFonts w:ascii="Arial" w:eastAsia="Times New Roman" w:hAnsi="Arial" w:cs="Arial"/>
      <w:color w:val="373737"/>
      <w:sz w:val="18"/>
      <w:szCs w:val="18"/>
      <w:lang w:eastAsia="de-DE"/>
    </w:rPr>
  </w:style>
  <w:style w:type="character" w:styleId="SubtleReference">
    <w:name w:val="Subtle Reference"/>
    <w:uiPriority w:val="31"/>
    <w:qFormat/>
    <w:rsid w:val="00C37C7A"/>
    <w:rPr>
      <w:rFonts w:eastAsia="Times New Roman" w:cs="Times New Roman"/>
      <w:szCs w:val="20"/>
      <w:lang w:eastAsia="de-DE"/>
    </w:rPr>
  </w:style>
  <w:style w:type="table" w:customStyle="1" w:styleId="TableGrid1">
    <w:name w:val="Table Grid1"/>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CommentSubject">
    <w:name w:val="annotation subject"/>
    <w:basedOn w:val="Normal"/>
    <w:next w:val="Normal"/>
    <w:link w:val="CommentSubjectChar"/>
    <w:uiPriority w:val="99"/>
    <w:semiHidden/>
    <w:unhideWhenUsed/>
    <w:rsid w:val="00C37C7A"/>
    <w:pPr>
      <w:spacing w:before="60" w:after="140" w:line="240" w:lineRule="auto"/>
    </w:pPr>
    <w:rPr>
      <w:rFonts w:eastAsia="Times New Roman" w:cs="Times New Roman"/>
      <w:b/>
      <w:bCs/>
      <w:szCs w:val="20"/>
      <w:lang w:eastAsia="de-DE"/>
    </w:rPr>
  </w:style>
  <w:style w:type="character" w:customStyle="1" w:styleId="CommentSubjectChar">
    <w:name w:val="Comment Subject Char"/>
    <w:basedOn w:val="DefaultParagraphFont"/>
    <w:link w:val="CommentSubject"/>
    <w:uiPriority w:val="99"/>
    <w:semiHidden/>
    <w:rsid w:val="00C37C7A"/>
    <w:rPr>
      <w:rFonts w:ascii="Arial" w:eastAsia="Times New Roman" w:hAnsi="Arial" w:cs="Times New Roman"/>
      <w:b/>
      <w:bCs/>
      <w:sz w:val="20"/>
      <w:szCs w:val="20"/>
      <w:lang w:eastAsia="de-DE"/>
    </w:rPr>
  </w:style>
  <w:style w:type="paragraph" w:customStyle="1" w:styleId="Normal12PTcouleurgris">
    <w:name w:val="Normal + 12PT couleur gris"/>
    <w:basedOn w:val="Normal"/>
    <w:qFormat/>
    <w:rsid w:val="00E05D08"/>
    <w:pPr>
      <w:spacing w:after="0" w:line="280" w:lineRule="atLeast"/>
    </w:pPr>
    <w:rPr>
      <w:rFonts w:eastAsia="Times New Roman" w:cs="Arial"/>
      <w:szCs w:val="18"/>
      <w:lang w:eastAsia="de-DE"/>
    </w:rPr>
  </w:style>
  <w:style w:type="numbering" w:customStyle="1" w:styleId="MaListe">
    <w:name w:val="MaListe"/>
    <w:uiPriority w:val="99"/>
    <w:rsid w:val="00E05D08"/>
    <w:pPr>
      <w:numPr>
        <w:numId w:val="15"/>
      </w:numPr>
    </w:pPr>
  </w:style>
  <w:style w:type="character" w:styleId="HTMLCite">
    <w:name w:val="HTML Cite"/>
    <w:uiPriority w:val="99"/>
    <w:semiHidden/>
    <w:rsid w:val="00E05D08"/>
    <w:rPr>
      <w:i/>
    </w:rPr>
  </w:style>
  <w:style w:type="paragraph" w:styleId="Subtitle">
    <w:name w:val="Subtitle"/>
    <w:basedOn w:val="Normal"/>
    <w:link w:val="SubtitleChar"/>
    <w:uiPriority w:val="99"/>
    <w:qFormat/>
    <w:rsid w:val="00E05D08"/>
    <w:pPr>
      <w:numPr>
        <w:numId w:val="33"/>
      </w:numPr>
      <w:spacing w:before="60" w:after="60" w:line="240" w:lineRule="auto"/>
      <w:ind w:left="4897"/>
      <w:outlineLvl w:val="1"/>
    </w:pPr>
    <w:rPr>
      <w:rFonts w:ascii="Helvetica" w:eastAsia="Times New Roman" w:hAnsi="Helvetica" w:cs="Times New Roman"/>
      <w:b/>
      <w:snapToGrid w:val="0"/>
      <w:color w:val="9B3930"/>
      <w:sz w:val="16"/>
      <w:szCs w:val="16"/>
      <w:lang w:eastAsia="de-DE"/>
    </w:rPr>
  </w:style>
  <w:style w:type="character" w:customStyle="1" w:styleId="SubtitleChar">
    <w:name w:val="Subtitle Char"/>
    <w:basedOn w:val="DefaultParagraphFont"/>
    <w:link w:val="Subtitle"/>
    <w:uiPriority w:val="99"/>
    <w:rsid w:val="00E05D08"/>
    <w:rPr>
      <w:rFonts w:ascii="Helvetica" w:eastAsia="Times New Roman" w:hAnsi="Helvetica" w:cs="Times New Roman"/>
      <w:b/>
      <w:snapToGrid w:val="0"/>
      <w:color w:val="9B3930"/>
      <w:sz w:val="16"/>
      <w:szCs w:val="16"/>
      <w:lang w:eastAsia="de-DE"/>
    </w:rPr>
  </w:style>
  <w:style w:type="character" w:styleId="Emphasis">
    <w:name w:val="Emphasis"/>
    <w:uiPriority w:val="20"/>
    <w:qFormat/>
    <w:rsid w:val="00E05D08"/>
    <w:rPr>
      <w:i/>
    </w:rPr>
  </w:style>
  <w:style w:type="character" w:customStyle="1" w:styleId="Heading4Char">
    <w:name w:val="Heading 4 Char"/>
    <w:aliases w:val="Heading 4 Char1 Char,Título 4 Car Char,Heading 4 Char1 Car Char,no vale 2 Char,no vale 2 Car Char"/>
    <w:link w:val="Heading4"/>
    <w:uiPriority w:val="99"/>
    <w:locked/>
    <w:rsid w:val="00E05D08"/>
    <w:rPr>
      <w:rFonts w:ascii="Arial" w:eastAsia="Times New Roman" w:hAnsi="Arial" w:cs="Times New Roman"/>
      <w:b/>
      <w:bCs/>
      <w:color w:val="5F5F5F"/>
      <w:sz w:val="18"/>
      <w:szCs w:val="28"/>
      <w:lang w:eastAsia="de-DE"/>
    </w:rPr>
  </w:style>
  <w:style w:type="character" w:styleId="FollowedHyperlink">
    <w:name w:val="FollowedHyperlink"/>
    <w:uiPriority w:val="99"/>
    <w:semiHidden/>
    <w:rsid w:val="00E05D08"/>
    <w:rPr>
      <w:rFonts w:cs="Times New Roman"/>
      <w:color w:val="800080"/>
      <w:u w:val="single"/>
    </w:rPr>
  </w:style>
  <w:style w:type="paragraph" w:customStyle="1" w:styleId="Style">
    <w:name w:val="Style"/>
    <w:uiPriority w:val="99"/>
    <w:rsid w:val="00E05D08"/>
    <w:pPr>
      <w:spacing w:after="0" w:line="240" w:lineRule="auto"/>
    </w:pPr>
    <w:rPr>
      <w:rFonts w:ascii="Calibri" w:eastAsia="Times New Roman" w:hAnsi="Calibri" w:cs="Times New Roman"/>
      <w:sz w:val="24"/>
      <w:szCs w:val="24"/>
      <w:lang w:eastAsia="da-DK"/>
    </w:rPr>
  </w:style>
  <w:style w:type="table" w:customStyle="1" w:styleId="Tabellenraster11">
    <w:name w:val="Tabellenraster11"/>
    <w:uiPriority w:val="99"/>
    <w:rsid w:val="00E05D0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link w:val="QuoteChar"/>
    <w:uiPriority w:val="99"/>
    <w:rsid w:val="00E05D08"/>
    <w:pPr>
      <w:spacing w:after="120" w:line="280" w:lineRule="atLeast"/>
    </w:pPr>
    <w:rPr>
      <w:rFonts w:ascii="Helvetica" w:eastAsia="Times New Roman" w:hAnsi="Helvetica" w:cs="Times New Roman"/>
      <w:i/>
      <w:iCs/>
      <w:snapToGrid w:val="0"/>
      <w:color w:val="000000"/>
      <w:lang w:eastAsia="de-DE"/>
    </w:rPr>
  </w:style>
  <w:style w:type="character" w:customStyle="1" w:styleId="QuoteChar">
    <w:name w:val="Quote Char"/>
    <w:link w:val="Quote1"/>
    <w:uiPriority w:val="99"/>
    <w:locked/>
    <w:rsid w:val="00E05D08"/>
    <w:rPr>
      <w:rFonts w:ascii="Helvetica" w:eastAsia="Times New Roman" w:hAnsi="Helvetica" w:cs="Times New Roman"/>
      <w:i/>
      <w:iCs/>
      <w:snapToGrid w:val="0"/>
      <w:color w:val="000000"/>
      <w:lang w:eastAsia="de-DE"/>
    </w:rPr>
  </w:style>
  <w:style w:type="numbering" w:styleId="111111">
    <w:name w:val="Outline List 2"/>
    <w:basedOn w:val="NoList"/>
    <w:uiPriority w:val="99"/>
    <w:rsid w:val="00E05D08"/>
    <w:pPr>
      <w:numPr>
        <w:numId w:val="30"/>
      </w:numPr>
    </w:pPr>
  </w:style>
  <w:style w:type="paragraph" w:customStyle="1" w:styleId="Revision1">
    <w:name w:val="Revision1"/>
    <w:hidden/>
    <w:uiPriority w:val="99"/>
    <w:semiHidden/>
    <w:rsid w:val="00E05D08"/>
    <w:pPr>
      <w:spacing w:after="0" w:line="240" w:lineRule="auto"/>
    </w:pPr>
    <w:rPr>
      <w:rFonts w:ascii="Arial" w:eastAsia="Times New Roman" w:hAnsi="Arial" w:cs="Times New Roman"/>
      <w:sz w:val="20"/>
      <w:lang w:eastAsia="de-DE"/>
    </w:rPr>
  </w:style>
  <w:style w:type="paragraph" w:customStyle="1" w:styleId="TOCHeading2">
    <w:name w:val="TOC Heading2"/>
    <w:basedOn w:val="Heading1"/>
    <w:next w:val="Normal"/>
    <w:uiPriority w:val="99"/>
    <w:semiHidden/>
    <w:unhideWhenUsed/>
    <w:qFormat/>
    <w:rsid w:val="00E05D08"/>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lang w:eastAsia="de-AT"/>
    </w:rPr>
  </w:style>
  <w:style w:type="paragraph" w:styleId="Revision">
    <w:name w:val="Revision"/>
    <w:hidden/>
    <w:uiPriority w:val="99"/>
    <w:semiHidden/>
    <w:rsid w:val="00E05D08"/>
    <w:pPr>
      <w:spacing w:after="0" w:line="240" w:lineRule="auto"/>
    </w:pPr>
    <w:rPr>
      <w:rFonts w:ascii="Arial" w:eastAsia="Times New Roman" w:hAnsi="Arial" w:cs="Times New Roman"/>
      <w:sz w:val="20"/>
      <w:lang w:eastAsia="de-DE"/>
    </w:rPr>
  </w:style>
  <w:style w:type="paragraph" w:customStyle="1" w:styleId="Red2Red">
    <w:name w:val="Red2Red"/>
    <w:basedOn w:val="Normal"/>
    <w:link w:val="Red2RedCar"/>
    <w:uiPriority w:val="99"/>
    <w:qFormat/>
    <w:rsid w:val="00E05D08"/>
    <w:pPr>
      <w:spacing w:before="60" w:after="60" w:line="288" w:lineRule="auto"/>
    </w:pPr>
    <w:rPr>
      <w:rFonts w:ascii="Helvetica" w:eastAsia="Times New Roman" w:hAnsi="Helvetica" w:cs="Times New Roman"/>
      <w:sz w:val="32"/>
      <w:szCs w:val="24"/>
      <w:lang w:eastAsia="es-ES"/>
    </w:rPr>
  </w:style>
  <w:style w:type="character" w:customStyle="1" w:styleId="Red2RedCar">
    <w:name w:val="Red2Red Car"/>
    <w:basedOn w:val="DefaultParagraphFont"/>
    <w:link w:val="Red2Red"/>
    <w:uiPriority w:val="99"/>
    <w:rsid w:val="00E05D08"/>
    <w:rPr>
      <w:rFonts w:ascii="Helvetica" w:eastAsia="Times New Roman" w:hAnsi="Helvetica" w:cs="Times New Roman"/>
      <w:sz w:val="32"/>
      <w:szCs w:val="24"/>
      <w:lang w:val="mt-MT" w:eastAsia="es-ES"/>
    </w:rPr>
  </w:style>
  <w:style w:type="table" w:customStyle="1" w:styleId="MediumShading2-Accent31">
    <w:name w:val="Medium Shading 2 - Accent 31"/>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paragraph" w:customStyle="1" w:styleId="Normal22PT">
    <w:name w:val="Normal + 22PT"/>
    <w:aliases w:val="couleur Orange"/>
    <w:basedOn w:val="Normal"/>
    <w:qFormat/>
    <w:rsid w:val="00E05D08"/>
    <w:pPr>
      <w:spacing w:after="120" w:line="280" w:lineRule="atLeast"/>
    </w:pPr>
    <w:rPr>
      <w:rFonts w:ascii="Helvetica" w:eastAsia="Times New Roman" w:hAnsi="Helvetica" w:cs="Arial"/>
      <w:bCs/>
      <w:smallCaps/>
      <w:color w:val="DF6532"/>
      <w:sz w:val="44"/>
      <w:szCs w:val="44"/>
      <w:lang w:eastAsia="de-DE"/>
    </w:rPr>
  </w:style>
  <w:style w:type="paragraph" w:customStyle="1" w:styleId="H-Table">
    <w:name w:val="H-Table"/>
    <w:next w:val="Normal"/>
    <w:uiPriority w:val="99"/>
    <w:qFormat/>
    <w:rsid w:val="00E05D08"/>
    <w:pPr>
      <w:numPr>
        <w:numId w:val="37"/>
      </w:numPr>
      <w:spacing w:after="0" w:line="240" w:lineRule="auto"/>
      <w:ind w:left="510" w:hanging="510"/>
    </w:pPr>
    <w:rPr>
      <w:rFonts w:ascii="Helvetica" w:eastAsia="Times New Roman" w:hAnsi="Helvetica" w:cs="Times New Roman"/>
      <w:b/>
      <w:bCs/>
      <w:color w:val="6F6F6F"/>
      <w:sz w:val="16"/>
      <w:szCs w:val="20"/>
      <w:lang w:eastAsia="de-DE"/>
    </w:rPr>
  </w:style>
  <w:style w:type="table" w:customStyle="1" w:styleId="Grilledutableau1">
    <w:name w:val="Grille du tableau1"/>
    <w:basedOn w:val="TableNormal"/>
    <w:next w:val="TableGrid"/>
    <w:uiPriority w:val="59"/>
    <w:rsid w:val="00E0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Normal"/>
    <w:next w:val="TableNormal"/>
    <w:uiPriority w:val="40"/>
    <w:rsid w:val="00E05D0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LineNumber">
    <w:name w:val="line number"/>
    <w:basedOn w:val="DefaultParagraphFont"/>
    <w:semiHidden/>
    <w:unhideWhenUsed/>
    <w:rsid w:val="00E05D08"/>
  </w:style>
  <w:style w:type="character" w:customStyle="1" w:styleId="Erwhnung1">
    <w:name w:val="Erwähnung1"/>
    <w:basedOn w:val="DefaultParagraphFont"/>
    <w:uiPriority w:val="99"/>
    <w:semiHidden/>
    <w:unhideWhenUsed/>
    <w:rsid w:val="00E05D08"/>
    <w:rPr>
      <w:color w:val="2B579A"/>
      <w:shd w:val="clear" w:color="auto" w:fill="E6E6E6"/>
    </w:rPr>
  </w:style>
  <w:style w:type="character" w:customStyle="1" w:styleId="Erwhnung2">
    <w:name w:val="Erwähnung2"/>
    <w:basedOn w:val="DefaultParagraphFont"/>
    <w:uiPriority w:val="99"/>
    <w:semiHidden/>
    <w:unhideWhenUsed/>
    <w:rsid w:val="00E05D08"/>
    <w:rPr>
      <w:color w:val="2B579A"/>
      <w:shd w:val="clear" w:color="auto" w:fill="E6E6E6"/>
    </w:rPr>
  </w:style>
  <w:style w:type="table" w:customStyle="1" w:styleId="TableGrid2">
    <w:name w:val="Table Grid2"/>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MaListe1">
    <w:name w:val="MaListe1"/>
    <w:uiPriority w:val="99"/>
    <w:rsid w:val="00E05D08"/>
    <w:pPr>
      <w:numPr>
        <w:numId w:val="109"/>
      </w:numPr>
    </w:pPr>
  </w:style>
  <w:style w:type="table" w:customStyle="1" w:styleId="TableGrid3">
    <w:name w:val="Table Grid3"/>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Header">
    <w:name w:val="header"/>
    <w:basedOn w:val="Normal"/>
    <w:link w:val="HeaderChar"/>
    <w:uiPriority w:val="99"/>
    <w:unhideWhenUsed/>
    <w:rsid w:val="009837FF"/>
    <w:pPr>
      <w:tabs>
        <w:tab w:val="center" w:pos="4513"/>
        <w:tab w:val="right" w:pos="9026"/>
      </w:tabs>
      <w:spacing w:after="0" w:line="240" w:lineRule="auto"/>
    </w:pPr>
    <w:rPr>
      <w:color w:val="F07E31"/>
      <w:sz w:val="18"/>
    </w:rPr>
  </w:style>
  <w:style w:type="character" w:customStyle="1" w:styleId="HeaderChar">
    <w:name w:val="Header Char"/>
    <w:basedOn w:val="DefaultParagraphFont"/>
    <w:link w:val="Header"/>
    <w:uiPriority w:val="99"/>
    <w:rsid w:val="009837FF"/>
    <w:rPr>
      <w:rFonts w:ascii="Arial" w:hAnsi="Arial"/>
      <w:color w:val="F07E31"/>
      <w:sz w:val="1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unhideWhenUsed/>
    <w:rsid w:val="00E05D08"/>
    <w:rPr>
      <w:vertAlign w:val="superscript"/>
    </w:rPr>
  </w:style>
  <w:style w:type="table" w:styleId="MediumShading2-Accent3">
    <w:name w:val="Medium Shading 2 Accent 3"/>
    <w:basedOn w:val="TableNormal"/>
    <w:uiPriority w:val="64"/>
    <w:semiHidden/>
    <w:unhideWhenUsed/>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3">
    <w:name w:val="Medium Shading 1 Accent 3"/>
    <w:basedOn w:val="TableNormal"/>
    <w:uiPriority w:val="63"/>
    <w:semiHidden/>
    <w:unhideWhenUsed/>
    <w:rsid w:val="00E05D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E05D08"/>
  </w:style>
  <w:style w:type="numbering" w:customStyle="1" w:styleId="MaListe2">
    <w:name w:val="MaListe2"/>
    <w:uiPriority w:val="99"/>
    <w:rsid w:val="00E05D08"/>
    <w:pPr>
      <w:numPr>
        <w:numId w:val="13"/>
      </w:numPr>
    </w:pPr>
  </w:style>
  <w:style w:type="numbering" w:customStyle="1" w:styleId="1111111">
    <w:name w:val="1 / 1.1 / 1.1.11"/>
    <w:basedOn w:val="NoList"/>
    <w:next w:val="111111"/>
    <w:uiPriority w:val="99"/>
    <w:rsid w:val="00E05D08"/>
    <w:pPr>
      <w:numPr>
        <w:numId w:val="23"/>
      </w:numPr>
    </w:pPr>
  </w:style>
  <w:style w:type="table" w:customStyle="1" w:styleId="MediumShading2-Accent32">
    <w:name w:val="Medium Shading 2 - Accent 32"/>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Cuadrculadetablaclara11">
    <w:name w:val="Cuadrícula de tabla clara11"/>
    <w:basedOn w:val="TableNormal"/>
    <w:rsid w:val="00E05D08"/>
    <w:pPr>
      <w:spacing w:after="0" w:line="240" w:lineRule="auto"/>
    </w:pPr>
    <w:rPr>
      <w:rFonts w:ascii="Times New Roman" w:eastAsia="Times New Roman" w:hAnsi="Times New Roman" w:cs="Times New Roman"/>
      <w:sz w:val="20"/>
      <w:szCs w:val="20"/>
      <w:lang w:eastAsia="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MaListe11">
    <w:name w:val="MaListe11"/>
    <w:uiPriority w:val="99"/>
    <w:rsid w:val="00E05D08"/>
    <w:pPr>
      <w:numPr>
        <w:numId w:val="47"/>
      </w:numPr>
    </w:pPr>
  </w:style>
  <w:style w:type="character" w:customStyle="1" w:styleId="UnresolvedMention1">
    <w:name w:val="Unresolved Mention1"/>
    <w:basedOn w:val="DefaultParagraphFont"/>
    <w:uiPriority w:val="99"/>
    <w:semiHidden/>
    <w:unhideWhenUsed/>
    <w:rsid w:val="00E05D08"/>
    <w:rPr>
      <w:color w:val="808080"/>
      <w:shd w:val="clear" w:color="auto" w:fill="E6E6E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Arial" w:hAnsi="Arial"/>
      <w:color w:val="373737"/>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H-Standard">
    <w:name w:val="H-Standard"/>
    <w:basedOn w:val="Normal12PTcouleurgris"/>
    <w:qFormat/>
    <w:rsid w:val="00863DB0"/>
    <w:pPr>
      <w:spacing w:after="120"/>
    </w:pPr>
    <w:rPr>
      <w:rFonts w:eastAsia="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42330">
      <w:bodyDiv w:val="1"/>
      <w:marLeft w:val="0"/>
      <w:marRight w:val="0"/>
      <w:marTop w:val="0"/>
      <w:marBottom w:val="0"/>
      <w:divBdr>
        <w:top w:val="none" w:sz="0" w:space="0" w:color="auto"/>
        <w:left w:val="none" w:sz="0" w:space="0" w:color="auto"/>
        <w:bottom w:val="none" w:sz="0" w:space="0" w:color="auto"/>
        <w:right w:val="none" w:sz="0" w:space="0" w:color="auto"/>
      </w:divBdr>
    </w:div>
    <w:div w:id="638732370">
      <w:bodyDiv w:val="1"/>
      <w:marLeft w:val="0"/>
      <w:marRight w:val="0"/>
      <w:marTop w:val="0"/>
      <w:marBottom w:val="0"/>
      <w:divBdr>
        <w:top w:val="none" w:sz="0" w:space="0" w:color="auto"/>
        <w:left w:val="none" w:sz="0" w:space="0" w:color="auto"/>
        <w:bottom w:val="none" w:sz="0" w:space="0" w:color="auto"/>
        <w:right w:val="none" w:sz="0" w:space="0" w:color="auto"/>
      </w:divBdr>
    </w:div>
    <w:div w:id="656803589">
      <w:bodyDiv w:val="1"/>
      <w:marLeft w:val="0"/>
      <w:marRight w:val="0"/>
      <w:marTop w:val="0"/>
      <w:marBottom w:val="0"/>
      <w:divBdr>
        <w:top w:val="none" w:sz="0" w:space="0" w:color="auto"/>
        <w:left w:val="none" w:sz="0" w:space="0" w:color="auto"/>
        <w:bottom w:val="none" w:sz="0" w:space="0" w:color="auto"/>
        <w:right w:val="none" w:sz="0" w:space="0" w:color="auto"/>
      </w:divBdr>
      <w:divsChild>
        <w:div w:id="811171820">
          <w:marLeft w:val="0"/>
          <w:marRight w:val="0"/>
          <w:marTop w:val="0"/>
          <w:marBottom w:val="0"/>
          <w:divBdr>
            <w:top w:val="none" w:sz="0" w:space="0" w:color="auto"/>
            <w:left w:val="none" w:sz="0" w:space="0" w:color="auto"/>
            <w:bottom w:val="none" w:sz="0" w:space="0" w:color="auto"/>
            <w:right w:val="none" w:sz="0" w:space="0" w:color="auto"/>
          </w:divBdr>
        </w:div>
      </w:divsChild>
    </w:div>
    <w:div w:id="1139106666">
      <w:bodyDiv w:val="1"/>
      <w:marLeft w:val="0"/>
      <w:marRight w:val="0"/>
      <w:marTop w:val="0"/>
      <w:marBottom w:val="0"/>
      <w:divBdr>
        <w:top w:val="none" w:sz="0" w:space="0" w:color="auto"/>
        <w:left w:val="none" w:sz="0" w:space="0" w:color="auto"/>
        <w:bottom w:val="none" w:sz="0" w:space="0" w:color="auto"/>
        <w:right w:val="none" w:sz="0" w:space="0" w:color="auto"/>
      </w:divBdr>
    </w:div>
    <w:div w:id="1379625291">
      <w:bodyDiv w:val="1"/>
      <w:marLeft w:val="0"/>
      <w:marRight w:val="0"/>
      <w:marTop w:val="0"/>
      <w:marBottom w:val="0"/>
      <w:divBdr>
        <w:top w:val="none" w:sz="0" w:space="0" w:color="auto"/>
        <w:left w:val="none" w:sz="0" w:space="0" w:color="auto"/>
        <w:bottom w:val="none" w:sz="0" w:space="0" w:color="auto"/>
        <w:right w:val="none" w:sz="0" w:space="0" w:color="auto"/>
      </w:divBdr>
      <w:divsChild>
        <w:div w:id="156441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ageconsearch.umn.edu/bitstream/52515/2/ILAC_Brief05_Histories.pdf" TargetMode="External"/><Relationship Id="rId21" Type="http://schemas.openxmlformats.org/officeDocument/2006/relationships/footer" Target="footer5.xml"/><Relationship Id="rId42" Type="http://schemas.openxmlformats.org/officeDocument/2006/relationships/hyperlink" Target="https://enrd.ec.europa.eu/evaluation/publications/guidelines-assessment-rdp-results-how-prepare-reporting-evaluation-2017_en" TargetMode="External"/><Relationship Id="rId47" Type="http://schemas.openxmlformats.org/officeDocument/2006/relationships/hyperlink" Target="https://enrd.ec.europa.eu/evaluation/publications/guidelines-assessment-rdp-results-how-prepare-reporting-evaluation-2017_en" TargetMode="External"/><Relationship Id="rId63" Type="http://schemas.openxmlformats.org/officeDocument/2006/relationships/hyperlink" Target="https://enrd.ec.europa.eu/evaluation/publications/guidelines-evaluation-national-rural-networks-2014-2020_en" TargetMode="External"/><Relationship Id="rId68" Type="http://schemas.openxmlformats.org/officeDocument/2006/relationships/hyperlink" Target="https://enrd.ec.europa.eu/sites/enrd/files/twg-02-nrn-july2016.pdf" TargetMode="External"/><Relationship Id="rId84" Type="http://schemas.openxmlformats.org/officeDocument/2006/relationships/hyperlink" Target="http://www.men-d.de/index.php?id=81&amp;tx_ttnews%5btt_news%5d=150&amp;tx_ttnews%5bbackPid%5d=85&amp;cHash=41ecd4ea5c" TargetMode="External"/><Relationship Id="rId89" Type="http://schemas.openxmlformats.org/officeDocument/2006/relationships/hyperlink" Target="http://www.men-d.de/uploads/media/MEN-D_Jahresveranstaltung_2017.pdf" TargetMode="External"/><Relationship Id="rId112" Type="http://schemas.openxmlformats.org/officeDocument/2006/relationships/hyperlink" Target="http://journals.sagepub.com/doi/abs/10.1177/1356389012451663" TargetMode="External"/><Relationship Id="rId133" Type="http://schemas.openxmlformats.org/officeDocument/2006/relationships/hyperlink" Target="http://enrd.ec.europa.eu/enrd-static/app_templates/enrd_assets/pdf/guidebook/nrn_handbook_webversion.pdf" TargetMode="External"/><Relationship Id="rId16" Type="http://schemas.openxmlformats.org/officeDocument/2006/relationships/header" Target="header3.xml"/><Relationship Id="rId107" Type="http://schemas.openxmlformats.org/officeDocument/2006/relationships/hyperlink" Target="https://www.gao.gov/products/GAO/PEMD-10.1.9" TargetMode="External"/><Relationship Id="rId11" Type="http://schemas.openxmlformats.org/officeDocument/2006/relationships/image" Target="media/image2.jpeg"/><Relationship Id="rId32" Type="http://schemas.openxmlformats.org/officeDocument/2006/relationships/hyperlink" Target="https://enrd.ec.europa.eu/sites/enrd/files/uploaded-files/wp_evaluation_questions_2015.pdf" TargetMode="External"/><Relationship Id="rId37" Type="http://schemas.openxmlformats.org/officeDocument/2006/relationships/footer" Target="footer9.xml"/><Relationship Id="rId53" Type="http://schemas.openxmlformats.org/officeDocument/2006/relationships/hyperlink" Target="https://enrd.ec.europa.eu/evaluation/publications/guidelines-assessment-rdp-results-how-prepare-reporting-evaluation-2017_en" TargetMode="External"/><Relationship Id="rId58" Type="http://schemas.openxmlformats.org/officeDocument/2006/relationships/hyperlink" Target="https://enrd.ec.europa.eu/evaluation/publications/guidelines-assessment-rdp-results-how-prepare-reporting-evaluation-2017_en" TargetMode="External"/><Relationship Id="rId74" Type="http://schemas.openxmlformats.org/officeDocument/2006/relationships/hyperlink" Target="http://enrd.ec.europa.eu/enrd-static/app_templates/enrd_assets/pdf/guidebook/nrn_handbook_webversion.pdf" TargetMode="External"/><Relationship Id="rId79" Type="http://schemas.openxmlformats.org/officeDocument/2006/relationships/hyperlink" Target="https://enrd.ec.europa.eu/sites/enrd/files/uploaded-files/wp_evaluation_questions_2015.pdf" TargetMode="External"/><Relationship Id="rId102" Type="http://schemas.openxmlformats.org/officeDocument/2006/relationships/header" Target="header10.xml"/><Relationship Id="rId123" Type="http://schemas.openxmlformats.org/officeDocument/2006/relationships/hyperlink" Target="http://journals.sagepub.com/doi/abs/10.1177/1356389012451663" TargetMode="External"/><Relationship Id="rId128" Type="http://schemas.openxmlformats.org/officeDocument/2006/relationships/hyperlink" Target="http://ec.europa.eu/eip/agriculture/sites/agri-eip/files/eip-guidelines-july-2014_en.pdf" TargetMode="External"/><Relationship Id="rId5" Type="http://schemas.openxmlformats.org/officeDocument/2006/relationships/webSettings" Target="webSettings.xml"/><Relationship Id="rId90" Type="http://schemas.openxmlformats.org/officeDocument/2006/relationships/hyperlink" Target="http://www.men-d.de/index.php?id=81&amp;tx_ttnews%5btt_news%5d=150&amp;tx_ttnews%5bbackPid%5d=85&amp;cHash=41ecd4ea5c" TargetMode="External"/><Relationship Id="rId95" Type="http://schemas.openxmlformats.org/officeDocument/2006/relationships/hyperlink" Target="https://enrd.ec.europa.eu/sites/enrd/files/uploaded-files/wp_evaluation_questions_2015.pdf" TargetMode="Externa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7.xml"/><Relationship Id="rId43" Type="http://schemas.openxmlformats.org/officeDocument/2006/relationships/hyperlink" Target="https://enrd.ec.europa.eu/evaluation/publications/guidelines-assessment-rdp-results-how-prepare-reporting-evaluation-2017_en" TargetMode="External"/><Relationship Id="rId48" Type="http://schemas.openxmlformats.org/officeDocument/2006/relationships/hyperlink" Target="https://ec.europa.eu/eip/agriculture/sites/agri-eip/files/16_measure_fiche_art_35_co-operation.pdf" TargetMode="External"/><Relationship Id="rId56" Type="http://schemas.openxmlformats.org/officeDocument/2006/relationships/hyperlink" Target="http://enrd.ec.europa.eu/news-events/events/enrd-workshop-measure-16-cooperation_en" TargetMode="External"/><Relationship Id="rId64" Type="http://schemas.openxmlformats.org/officeDocument/2006/relationships/header" Target="header7.xml"/><Relationship Id="rId69" Type="http://schemas.openxmlformats.org/officeDocument/2006/relationships/hyperlink" Target="https://ec.europa.eu/eip/agriculture/en/publications/guidelines-programming-innovation-and" TargetMode="External"/><Relationship Id="rId77" Type="http://schemas.openxmlformats.org/officeDocument/2006/relationships/hyperlink" Target="http://enrd.ec.europa.eu/enrd-static/evaluation/good-practices-workshops/national-rural-networks/en/national-rural-networks_en.html" TargetMode="External"/><Relationship Id="rId100" Type="http://schemas.openxmlformats.org/officeDocument/2006/relationships/hyperlink" Target="http://www.hnvlink.eu/download/D1.3BAcomplete.pdf" TargetMode="External"/><Relationship Id="rId105" Type="http://schemas.openxmlformats.org/officeDocument/2006/relationships/hyperlink" Target="http://ageconsearch.umn.edu/bitstream/52515/2/ILAC_Brief05_Histories.pdf" TargetMode="External"/><Relationship Id="rId113" Type="http://schemas.openxmlformats.org/officeDocument/2006/relationships/hyperlink" Target="https://www.ncbi.nlm.nih.gov/pubmed/16053581" TargetMode="External"/><Relationship Id="rId118" Type="http://schemas.openxmlformats.org/officeDocument/2006/relationships/hyperlink" Target="https://www.gao.gov/products/GAO/PEMD-10.1.9" TargetMode="External"/><Relationship Id="rId126" Type="http://schemas.openxmlformats.org/officeDocument/2006/relationships/hyperlink" Target="http://betterevaluation.org/plan/approach/outcome_harvesting" TargetMode="External"/><Relationship Id="rId134" Type="http://schemas.openxmlformats.org/officeDocument/2006/relationships/header" Target="header11.xml"/><Relationship Id="rId8" Type="http://schemas.openxmlformats.org/officeDocument/2006/relationships/hyperlink" Target="https://enrd.ec.europa.eu/evaluation/publications/evaluation-innovation-rural-development-programmes-2014-2020_en" TargetMode="External"/><Relationship Id="rId51" Type="http://schemas.openxmlformats.org/officeDocument/2006/relationships/hyperlink" Target="https://enrd.ec.europa.eu/evaluation/publications/guidelines-assessment-rdp-results-how-prepare-reporting-evaluation-2017_en" TargetMode="External"/><Relationship Id="rId72" Type="http://schemas.openxmlformats.org/officeDocument/2006/relationships/hyperlink" Target="https://enrd.ec.europa.eu/evaluation/publications/guidelines-assessment-rdp-results-how-prepare-reporting-evaluation-2017_en" TargetMode="External"/><Relationship Id="rId80" Type="http://schemas.openxmlformats.org/officeDocument/2006/relationships/hyperlink" Target="http://eur-lex.europa.eu/LexUriServ/LexUriServ.do?uri=COM:2010:2020:FIN:MT:PDF" TargetMode="External"/><Relationship Id="rId85" Type="http://schemas.openxmlformats.org/officeDocument/2006/relationships/hyperlink" Target="http://www.men-d.de/index.php?id=81&amp;tx_ttnews%5btt_news%5d=195&amp;tx_ttnews%5bbackPid%5d=85&amp;cHash=08539b2ad7" TargetMode="External"/><Relationship Id="rId93" Type="http://schemas.openxmlformats.org/officeDocument/2006/relationships/header" Target="header8.xml"/><Relationship Id="rId98" Type="http://schemas.openxmlformats.org/officeDocument/2006/relationships/hyperlink" Target="http://www.hnvlink.eu/download/D1.3BAcomplete.pdf" TargetMode="External"/><Relationship Id="rId121" Type="http://schemas.openxmlformats.org/officeDocument/2006/relationships/hyperlink" Target="http://www.tandfonline.com/doi/abs/10.1080/135467896394447"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enrd.ec.europa.eu/evaluation/publications/guidelines-assessment-rdp-results-how-prepare-reporting-evaluation-2017_en" TargetMode="External"/><Relationship Id="rId38" Type="http://schemas.openxmlformats.org/officeDocument/2006/relationships/image" Target="media/image13.png"/><Relationship Id="rId46" Type="http://schemas.openxmlformats.org/officeDocument/2006/relationships/hyperlink" Target="https://enrd.ec.europa.eu/evaluation/publications/guidelines-assessment-rdp-results-how-prepare-reporting-evaluation-2017_en" TargetMode="External"/><Relationship Id="rId59" Type="http://schemas.openxmlformats.org/officeDocument/2006/relationships/hyperlink" Target="https://ec.europa.eu/eip/agriculture/sites/agri-eip/files/16_measure_fiche_art_35_co-operation.pdf" TargetMode="External"/><Relationship Id="rId67" Type="http://schemas.openxmlformats.org/officeDocument/2006/relationships/hyperlink" Target="http://enrd.ec.europa.eu/enrd-static/app_templates/enrd_assets/pdf/guidebook/nrn_handbook_webversion.pdf" TargetMode="External"/><Relationship Id="rId103" Type="http://schemas.openxmlformats.org/officeDocument/2006/relationships/hyperlink" Target="http://asq.org/quality-progress/2007/07/statistics/likert-scales-and-data-analyses.html" TargetMode="External"/><Relationship Id="rId108" Type="http://schemas.openxmlformats.org/officeDocument/2006/relationships/hyperlink" Target="http://www.tandfonline.com/doi/abs/10.1080/135467896394447" TargetMode="External"/><Relationship Id="rId116" Type="http://schemas.openxmlformats.org/officeDocument/2006/relationships/hyperlink" Target="https://www.cambridge.org/core/journals/ps-political-science-and-politics/article/understanding-process-tracing/183A057AD6A36783E678CB37440346D1" TargetMode="External"/><Relationship Id="rId124" Type="http://schemas.openxmlformats.org/officeDocument/2006/relationships/hyperlink" Target="http://journals.sagepub.com/doi/abs/10.1177/1356389012451663" TargetMode="External"/><Relationship Id="rId129" Type="http://schemas.openxmlformats.org/officeDocument/2006/relationships/hyperlink" Target="http://ec.europa.eu/eip/agriculture/sites/agri-eip/files/16_measure_fiche_art_35_co-operation.pdf" TargetMode="External"/><Relationship Id="rId20" Type="http://schemas.openxmlformats.org/officeDocument/2006/relationships/header" Target="header5.xml"/><Relationship Id="rId41" Type="http://schemas.openxmlformats.org/officeDocument/2006/relationships/image" Target="media/image14.jpg"/><Relationship Id="rId54" Type="http://schemas.openxmlformats.org/officeDocument/2006/relationships/hyperlink" Target="https://enrd.ec.europa.eu/evaluation/publications/guidelines-assessment-rdp-results-how-prepare-reporting-evaluation-2017_en" TargetMode="External"/><Relationship Id="rId62" Type="http://schemas.openxmlformats.org/officeDocument/2006/relationships/hyperlink" Target="https://enrd.ec.europa.eu/evaluation/publications/guidelines-evaluation-national-rural-networks-2014-2020_en" TargetMode="External"/><Relationship Id="rId70" Type="http://schemas.openxmlformats.org/officeDocument/2006/relationships/hyperlink" Target="http://enrd.ec.europa.eu/enrd-static/evaluation/good-practices-workshops/national-rural-networks/en/national-rural-networks_en.html" TargetMode="External"/><Relationship Id="rId75" Type="http://schemas.openxmlformats.org/officeDocument/2006/relationships/hyperlink" Target="https://enrd.ec.europa.eu/sites/enrd/files/twg-02-nrn-july2016.pdf" TargetMode="External"/><Relationship Id="rId83" Type="http://schemas.openxmlformats.org/officeDocument/2006/relationships/hyperlink" Target="http://www.men-d.de/uploads/media/MEN-D_Jahresveranstaltung_2017.pdf" TargetMode="External"/><Relationship Id="rId88" Type="http://schemas.openxmlformats.org/officeDocument/2006/relationships/hyperlink" Target="http://ec.europa.eu/eurostat/statistics-explained/index.php/Smarter,_greener,_more_inclusive_-_indicators_to_support_the_Europe_2020_strategy" TargetMode="External"/><Relationship Id="rId91" Type="http://schemas.openxmlformats.org/officeDocument/2006/relationships/hyperlink" Target="http://www.men-d.de/index.php?id=81&amp;tx_ttnews%5btt_news%5d=195&amp;tx_ttnews%5bbackPid%5d=85&amp;cHash=08539b2ad7" TargetMode="External"/><Relationship Id="rId96" Type="http://schemas.openxmlformats.org/officeDocument/2006/relationships/hyperlink" Target="https://enrd.ec.europa.eu/sites/enrd/files/uploaded-files/wp_evaluation_questions_2015.pdf" TargetMode="External"/><Relationship Id="rId111" Type="http://schemas.openxmlformats.org/officeDocument/2006/relationships/hyperlink" Target="http://journals.sagepub.com/doi/abs/10.1177/1356389012451663" TargetMode="External"/><Relationship Id="rId132" Type="http://schemas.openxmlformats.org/officeDocument/2006/relationships/hyperlink" Target="https://ec.europa.eu/eip/agriculture/sites/agri-eip/files/communication_on_eip_-_e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9.png"/><Relationship Id="rId36" Type="http://schemas.openxmlformats.org/officeDocument/2006/relationships/footer" Target="footer8.xml"/><Relationship Id="rId49" Type="http://schemas.openxmlformats.org/officeDocument/2006/relationships/hyperlink" Target="http://enrd.ec.europa.eu/news-events/events/enrd-workshop-measure-16-cooperation_en" TargetMode="External"/><Relationship Id="rId57" Type="http://schemas.openxmlformats.org/officeDocument/2006/relationships/hyperlink" Target="https://enrd.ec.europa.eu/evaluation/publications/guidelines-assessment-rdp-results-how-prepare-reporting-evaluation-2017_en" TargetMode="External"/><Relationship Id="rId106" Type="http://schemas.openxmlformats.org/officeDocument/2006/relationships/hyperlink" Target="https://www.gao.gov/products/GAO/PEMD-10.1.9" TargetMode="External"/><Relationship Id="rId114" Type="http://schemas.openxmlformats.org/officeDocument/2006/relationships/hyperlink" Target="http://betterevaluation.org/plan/approach/outcome_harvesting" TargetMode="External"/><Relationship Id="rId119" Type="http://schemas.openxmlformats.org/officeDocument/2006/relationships/hyperlink" Target="https://www.gao.gov/products/GAO/PEMD-10.1.9" TargetMode="External"/><Relationship Id="rId127" Type="http://schemas.openxmlformats.org/officeDocument/2006/relationships/hyperlink" Target="https://ec.europa.eu/eip/agriculture/en/content/innovation-support-services" TargetMode="External"/><Relationship Id="rId10" Type="http://schemas.openxmlformats.org/officeDocument/2006/relationships/image" Target="media/image1.jpg"/><Relationship Id="rId31" Type="http://schemas.openxmlformats.org/officeDocument/2006/relationships/image" Target="media/image12.png"/><Relationship Id="rId44" Type="http://schemas.openxmlformats.org/officeDocument/2006/relationships/hyperlink" Target="https://ec.europa.eu/eip/agriculture/sites/agri-eip/files/16_measure_fiche_art_35_co-operation.pdf" TargetMode="External"/><Relationship Id="rId52" Type="http://schemas.openxmlformats.org/officeDocument/2006/relationships/hyperlink" Target="https://enrd.ec.europa.eu/evaluation/publications/guidelines-assessment-rdp-results-how-prepare-reporting-evaluation-2017_en" TargetMode="External"/><Relationship Id="rId60" Type="http://schemas.openxmlformats.org/officeDocument/2006/relationships/hyperlink" Target="http://enrd.ec.europa.eu/news-events/events/enrd-workshop-measure-16-cooperation_en" TargetMode="External"/><Relationship Id="rId65" Type="http://schemas.openxmlformats.org/officeDocument/2006/relationships/hyperlink" Target="https://enrd.ec.europa.eu/evaluation/publications/guidelines-assessment-rdp-results-how-prepare-reporting-evaluation-2017_en" TargetMode="External"/><Relationship Id="rId73" Type="http://schemas.openxmlformats.org/officeDocument/2006/relationships/hyperlink" Target="https://enrd.ec.europa.eu/evaluation/publications/guidelines-assessment-rdp-results-how-prepare-reporting-evaluation-2017_en" TargetMode="External"/><Relationship Id="rId78" Type="http://schemas.openxmlformats.org/officeDocument/2006/relationships/hyperlink" Target="http://enrd.ec.europa.eu/enrd-static/evaluation/good-practices-workshops/national-rural-networks/en/national-rural-networks_en.html" TargetMode="External"/><Relationship Id="rId81" Type="http://schemas.openxmlformats.org/officeDocument/2006/relationships/hyperlink" Target="http://ec.europa.eu/eurostat/statistics-explained/index.php/Smarter,_greener,_more_inclusive_-_indicators_to_support_the_Europe_2020_strategy" TargetMode="External"/><Relationship Id="rId86" Type="http://schemas.openxmlformats.org/officeDocument/2006/relationships/hyperlink" Target="http://eur-lex.europa.eu/LexUriServ/LexUriServ.do?uri=COM:2010:2020:FIN:MT:PDF" TargetMode="External"/><Relationship Id="rId94" Type="http://schemas.openxmlformats.org/officeDocument/2006/relationships/header" Target="header9.xml"/><Relationship Id="rId99" Type="http://schemas.openxmlformats.org/officeDocument/2006/relationships/hyperlink" Target="http://www.hnvlink.eu/" TargetMode="External"/><Relationship Id="rId101" Type="http://schemas.openxmlformats.org/officeDocument/2006/relationships/hyperlink" Target="https://enrd.ec.europa.eu/sites/enrd/files/uploaded-files/wp_evaluation_questions_2015.pdf" TargetMode="External"/><Relationship Id="rId122" Type="http://schemas.openxmlformats.org/officeDocument/2006/relationships/hyperlink" Target="http://journals.sagepub.com/doi/abs/10.1177/1356389012451663" TargetMode="External"/><Relationship Id="rId130" Type="http://schemas.openxmlformats.org/officeDocument/2006/relationships/hyperlink" Target="https://ec.europa.eu/eip/agriculture/en/content/innovation-support-services"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rd.ec.europa.eu/evaluation/publications/evaluation-innovation-rural-development-programmes-2014-2020_en"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enrd.ec.europa.eu/evaluation/publications/guidelines-assessment-rdp-results-how-prepare-reporting-evaluation-2017_en" TargetMode="External"/><Relationship Id="rId109" Type="http://schemas.openxmlformats.org/officeDocument/2006/relationships/hyperlink" Target="http://www.tandfonline.com/doi/abs/10.1080/135467896394447" TargetMode="External"/><Relationship Id="rId34" Type="http://schemas.openxmlformats.org/officeDocument/2006/relationships/header" Target="header6.xml"/><Relationship Id="rId50" Type="http://schemas.openxmlformats.org/officeDocument/2006/relationships/image" Target="media/image15.png"/><Relationship Id="rId55" Type="http://schemas.openxmlformats.org/officeDocument/2006/relationships/hyperlink" Target="https://ec.europa.eu/eip/agriculture/sites/agri-eip/files/16_measure_fiche_art_35_co-operation.pdf" TargetMode="External"/><Relationship Id="rId76" Type="http://schemas.openxmlformats.org/officeDocument/2006/relationships/hyperlink" Target="https://ec.europa.eu/eip/agriculture/en/publications/guidelines-programming-innovation-and" TargetMode="External"/><Relationship Id="rId97" Type="http://schemas.openxmlformats.org/officeDocument/2006/relationships/hyperlink" Target="http://www.hnvlink.eu/" TargetMode="External"/><Relationship Id="rId104" Type="http://schemas.openxmlformats.org/officeDocument/2006/relationships/hyperlink" Target="https://www.cambridge.org/core/journals/ps-political-science-and-politics/article/understanding-process-tracing/183A057AD6A36783E678CB37440346D1" TargetMode="External"/><Relationship Id="rId120" Type="http://schemas.openxmlformats.org/officeDocument/2006/relationships/hyperlink" Target="http://www.tandfonline.com/doi/abs/10.1080/135467896394447" TargetMode="External"/><Relationship Id="rId125" Type="http://schemas.openxmlformats.org/officeDocument/2006/relationships/hyperlink" Target="https://www.ncbi.nlm.nih.gov/pubmed/16053581" TargetMode="External"/><Relationship Id="rId7" Type="http://schemas.openxmlformats.org/officeDocument/2006/relationships/endnotes" Target="endnotes.xml"/><Relationship Id="rId71" Type="http://schemas.openxmlformats.org/officeDocument/2006/relationships/hyperlink" Target="http://enrd.ec.europa.eu/enrd-static/evaluation/good-practices-workshops/national-rural-networks/en/national-rural-networks_en.html" TargetMode="External"/><Relationship Id="rId92" Type="http://schemas.openxmlformats.org/officeDocument/2006/relationships/image" Target="media/image17.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hyperlink" Target="https://enrd.ec.europa.eu/evaluation/publications/guidelines-assessment-rdp-results-how-prepare-reporting-evaluation-2017_en" TargetMode="External"/><Relationship Id="rId45" Type="http://schemas.openxmlformats.org/officeDocument/2006/relationships/hyperlink" Target="http://enrd.ec.europa.eu/news-events/events/enrd-workshop-measure-16-cooperation_en" TargetMode="External"/><Relationship Id="rId66" Type="http://schemas.openxmlformats.org/officeDocument/2006/relationships/hyperlink" Target="https://enrd.ec.europa.eu/evaluation/publications/guidelines-assessment-rdp-results-how-prepare-reporting-evaluation-2017_en" TargetMode="External"/><Relationship Id="rId87" Type="http://schemas.openxmlformats.org/officeDocument/2006/relationships/hyperlink" Target="http://ec.europa.eu/eurostat/statistics-explained/index.php/Smarter,_greener,_more_inclusive_-_indicators_to_support_the_Europe_2020_strategy" TargetMode="External"/><Relationship Id="rId110" Type="http://schemas.openxmlformats.org/officeDocument/2006/relationships/hyperlink" Target="http://journals.sagepub.com/doi/abs/10.1177/1356389012451663" TargetMode="External"/><Relationship Id="rId115" Type="http://schemas.openxmlformats.org/officeDocument/2006/relationships/hyperlink" Target="http://asq.org/quality-progress/2007/07/statistics/likert-scales-and-data-analyses.html" TargetMode="External"/><Relationship Id="rId131" Type="http://schemas.openxmlformats.org/officeDocument/2006/relationships/hyperlink" Target="https://ec.europa.eu/research/innovation-union/pdf/innovation-union-communication_en.pdf" TargetMode="External"/><Relationship Id="rId136" Type="http://schemas.openxmlformats.org/officeDocument/2006/relationships/theme" Target="theme/theme1.xml"/><Relationship Id="rId61" Type="http://schemas.openxmlformats.org/officeDocument/2006/relationships/image" Target="media/image16.png"/><Relationship Id="rId82" Type="http://schemas.openxmlformats.org/officeDocument/2006/relationships/hyperlink" Target="http://ec.europa.eu/eurostat/statistics-explained/index.php/Smarter,_greener,_more_inclusive_-_indicators_to_support_the_Europe_2020_strategy" TargetMode="External"/><Relationship Id="rId19"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pe2020/europe-2020-in-a-nutshell/targets/index_en.htm" TargetMode="External"/><Relationship Id="rId13" Type="http://schemas.openxmlformats.org/officeDocument/2006/relationships/hyperlink" Target="https://enrd.ec.europa.eu/evaluation/publications/working-document-common-evaluation-questions-rural-development-programmes_en" TargetMode="External"/><Relationship Id="rId18" Type="http://schemas.openxmlformats.org/officeDocument/2006/relationships/hyperlink" Target="http://enrd.ec.europa.eu/sites/enrd/files/w10_m16_finland_karlsson.pdf" TargetMode="External"/><Relationship Id="rId26" Type="http://schemas.openxmlformats.org/officeDocument/2006/relationships/hyperlink" Target="http://eur-lex.europa.eu/legal-content/en/ALL/?uri=CELEX:52010DC2020" TargetMode="External"/><Relationship Id="rId3" Type="http://schemas.openxmlformats.org/officeDocument/2006/relationships/hyperlink" Target="https://ec.europa.eu/eip/agriculture/sites/agri-eip/files/eip-agri_brochure_multi-actor_projects_2017_en_web.pdf" TargetMode="External"/><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hyperlink" Target="http://www.betterevaluation.org/en/resources/tools/innovation_history/innovation_timeline" TargetMode="External"/><Relationship Id="rId7" Type="http://schemas.openxmlformats.org/officeDocument/2006/relationships/hyperlink" Target="http://ec.europa.eu/europe2020/europe-2020-in-a-nutshell/flagship-initiatives/index_en.htm" TargetMode="External"/><Relationship Id="rId12" Type="http://schemas.openxmlformats.org/officeDocument/2006/relationships/hyperlink" Target="https://www.jordbruksverket.se/utvardering" TargetMode="External"/><Relationship Id="rId17" Type="http://schemas.openxmlformats.org/officeDocument/2006/relationships/hyperlink" Target="https://ec.europa.eu/eip/agriculture/sites/agri-eip/files/16_measure_fiche_art_35_co-operation.pdf" TargetMode="External"/><Relationship Id="rId25" Type="http://schemas.openxmlformats.org/officeDocument/2006/relationships/hyperlink" Target="http://www.reterurale.it/flex/cm/pages/ServeBLOB.php/L/IT/IDPagina/16281" TargetMode="External"/><Relationship Id="rId33" Type="http://schemas.openxmlformats.org/officeDocument/2006/relationships/hyperlink" Target="http://www.betterevaluation.org/en/evaluation-options/processtracing" TargetMode="External"/><Relationship Id="rId2" Type="http://schemas.openxmlformats.org/officeDocument/2006/relationships/hyperlink" Target="http://ec.europa.eu/research/participants/data/ref/h2020/wp/2018-2020/main/h2020-wp1820-food_en.pdf" TargetMode="External"/><Relationship Id="rId16" Type="http://schemas.openxmlformats.org/officeDocument/2006/relationships/hyperlink" Target="http://enrd.ec.europa.eu/evaluation/publications/working-document-common-evaluation-questions-rural-development-programmes_en" TargetMode="External"/><Relationship Id="rId20" Type="http://schemas.openxmlformats.org/officeDocument/2006/relationships/hyperlink" Target="http://enrd.ec.europa.eu/sites/enrd/files/w10_m16.5_hesse_de_vonkutzleben.pdf" TargetMode="External"/><Relationship Id="rId29" Type="http://schemas.openxmlformats.org/officeDocument/2006/relationships/hyperlink" Target="http://www.oecd.org/publications/frascati-manual-2015-9789264239012-en.htm" TargetMode="External"/><Relationship Id="rId1" Type="http://schemas.openxmlformats.org/officeDocument/2006/relationships/hyperlink" Target="https://ec.europa.eu/eip/agriculture/sites/agri-eip/files/pb_guidelines_eip_implementation_2014_en.pdf" TargetMode="External"/><Relationship Id="rId6" Type="http://schemas.openxmlformats.org/officeDocument/2006/relationships/hyperlink" Target="https://ec.europa.eu/eip/agriculture/sites/agri-eip/files/eip-agri_factsheet_cities_and_food_en_web.pdf" TargetMode="Externa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hyperlink" Target="https://enrd.ec.europa.eu/evaluation/publications/guidelines-evaluation-national-rural-networks-2014-2020_en" TargetMode="External"/><Relationship Id="rId32" Type="http://schemas.openxmlformats.org/officeDocument/2006/relationships/hyperlink" Target="http://www.analytictech.com/networks/whatis.htm" TargetMode="External"/><Relationship Id="rId5" Type="http://schemas.openxmlformats.org/officeDocument/2006/relationships/hyperlink" Target="https://ec.europa.eu/research/scar/pdf/akis-3_end_report.pdf" TargetMode="External"/><Relationship Id="rId15" Type="http://schemas.openxmlformats.org/officeDocument/2006/relationships/hyperlink" Target="http://ec.europa.eu/europe2020/targets/eu-targets/index_mt.htm" TargetMode="External"/><Relationship Id="rId23" Type="http://schemas.openxmlformats.org/officeDocument/2006/relationships/hyperlink" Target="https://enrd.ec.europa.eu/evaluation/publications/guidelines-evaluation-national-rural-networks-2014-2020_en" TargetMode="External"/><Relationship Id="rId28" Type="http://schemas.openxmlformats.org/officeDocument/2006/relationships/hyperlink" Target="http://ec.europa.eu/eurostat/statistics-explained/index.php/R_&amp;_D_expenditure" TargetMode="External"/><Relationship Id="rId10" Type="http://schemas.openxmlformats.org/officeDocument/2006/relationships/hyperlink" Target="https://enrd.ec.europa.eu/evaluation/publications/guidelines-assessment-rdp-results-how-prepare-reporting-evaluation-2017_en" TargetMode="External"/><Relationship Id="rId19" Type="http://schemas.openxmlformats.org/officeDocument/2006/relationships/hyperlink" Target="https://ec.europa.eu/eip/agriculture/en/content/innovative-stable-reducing-ammonia-emissions" TargetMode="External"/><Relationship Id="rId31" Type="http://schemas.openxmlformats.org/officeDocument/2006/relationships/hyperlink" Target="http://enrd.ec.europa.eu/evaluation/publications/working-document-common-evaluation-questions-rural-development-programmes_en" TargetMode="External"/><Relationship Id="rId4" Type="http://schemas.openxmlformats.org/officeDocument/2006/relationships/hyperlink" Target="http://www.gppq.fct.pt/h2020/_docs/brochuras/bioeco/agricultural-knowledge-innovation-systems-towards-2020_en.pdf" TargetMode="External"/><Relationship Id="rId9" Type="http://schemas.openxmlformats.org/officeDocument/2006/relationships/hyperlink" Target="https://ec.europa.eu/eip/agriculture/sites/agri-eip/files/field_event_attachments/sem-knowledge-20151203-pres02-inge_van_oost.pdf" TargetMode="External"/><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enrd.ec.europa.eu/evaluation/publications/working-document-common-evaluation-questions-rural-development-programmes_en" TargetMode="External"/><Relationship Id="rId27" Type="http://schemas.openxmlformats.org/officeDocument/2006/relationships/hyperlink" Target="http://ec.europa.eu/europe2020/targets/eu-targets/index_mt.htm" TargetMode="External"/><Relationship Id="rId30" Type="http://schemas.openxmlformats.org/officeDocument/2006/relationships/hyperlink" Target="http://ec.europa.eu/eurostat/statistics-explained/index.php/Glossary:Gross_domestic_expenditure_on_R_&amp;_D_(GERD)" TargetMode="External"/><Relationship Id="rId35" Type="http://schemas.openxmlformats.org/officeDocument/2006/relationships/hyperlink" Target="http://www.socialresearchmethods.net/kb/scallik.php"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F07E3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cap="flat" cmpd="sng" algn="ctr">
          <a:solidFill>
            <a:srgbClr val="BE4A35"/>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615C2-709C-4DAB-87E7-F0AC90DCE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82</Pages>
  <Words>22251</Words>
  <Characters>126833</Characters>
  <Application>Microsoft Office Word</Application>
  <DocSecurity>0</DocSecurity>
  <Lines>1056</Lines>
  <Paragraphs>297</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European Commission</Company>
  <LinksUpToDate>false</LinksUpToDate>
  <CharactersWithSpaces>148787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Myles Stiffler</dc:creator>
  <cp:lastModifiedBy>Valerie Dumont</cp:lastModifiedBy>
  <cp:revision>4</cp:revision>
  <cp:lastPrinted>2018-01-12T09:16:00Z</cp:lastPrinted>
  <dcterms:created xsi:type="dcterms:W3CDTF">2018-03-20T08:18:00Z</dcterms:created>
  <dcterms:modified xsi:type="dcterms:W3CDTF">2018-03-20T09:05:00Z</dcterms:modified>
</cp:coreProperties>
</file>