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D08" w:rsidRPr="00E05D08" w:rsidRDefault="00E05D08" w:rsidP="00E05D08">
      <w:pPr>
        <w:spacing w:after="120" w:line="280" w:lineRule="atLeast"/>
        <w:mirrorIndents/>
        <w:rPr>
          <w:rFonts w:eastAsia="Times New Roman" w:cs="Times New Roman"/>
          <w:szCs w:val="20"/>
        </w:rPr>
      </w:pPr>
      <w:bookmarkStart w:id="0" w:name="_Hlk503275930"/>
      <w:r>
        <w:rPr>
          <w:rFonts w:eastAsia="Times New Roman" w:cs="Times New Roman"/>
          <w:noProof/>
          <w:szCs w:val="24"/>
          <w:lang w:val="en-GB" w:eastAsia="en-GB"/>
        </w:rPr>
        <mc:AlternateContent>
          <mc:Choice Requires="wps">
            <w:drawing>
              <wp:anchor distT="0" distB="0" distL="114300" distR="114300" simplePos="0" relativeHeight="251660288" behindDoc="1" locked="0" layoutInCell="1" allowOverlap="1" wp14:anchorId="41CF359A" wp14:editId="45482904">
                <wp:simplePos x="0" y="0"/>
                <wp:positionH relativeFrom="page">
                  <wp:posOffset>2052320</wp:posOffset>
                </wp:positionH>
                <wp:positionV relativeFrom="page">
                  <wp:posOffset>5022850</wp:posOffset>
                </wp:positionV>
                <wp:extent cx="4958080" cy="3855720"/>
                <wp:effectExtent l="0" t="0" r="13970" b="11430"/>
                <wp:wrapTight wrapText="bothSides">
                  <wp:wrapPolygon edited="0">
                    <wp:start x="0" y="0"/>
                    <wp:lineTo x="0" y="21557"/>
                    <wp:lineTo x="21578" y="21557"/>
                    <wp:lineTo x="21578"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7E3" w:rsidRPr="00DD6E53" w:rsidRDefault="001F67E3" w:rsidP="00E05D08">
                            <w:pPr>
                              <w:pStyle w:val="HTitle1"/>
                            </w:pPr>
                            <w:r>
                              <w:t xml:space="preserve">Gairės </w:t>
                            </w:r>
                          </w:p>
                          <w:p w:rsidR="001F67E3" w:rsidRPr="00DD6E53" w:rsidRDefault="001F67E3" w:rsidP="00C947BA">
                            <w:pPr>
                              <w:pStyle w:val="HTitle2"/>
                              <w:jc w:val="left"/>
                            </w:pPr>
                            <w:bookmarkStart w:id="1" w:name="_Hlk501355929"/>
                            <w:r>
                              <w:t xml:space="preserve">Inovacijų </w:t>
                            </w:r>
                            <w:r w:rsidR="004202DF">
                              <w:t>2014–2020 M. Kaimo Plėtros Programose Vertinimas</w:t>
                            </w:r>
                            <w:bookmarkEnd w:id="1"/>
                            <w:r w:rsidR="004202DF">
                              <w:t xml:space="preserve"> </w:t>
                            </w:r>
                          </w:p>
                          <w:p w:rsidR="001F67E3" w:rsidRPr="00DD6E53" w:rsidRDefault="001F67E3" w:rsidP="00E05D08">
                            <w:pPr>
                              <w:rPr>
                                <w:color w:val="6F6F6F"/>
                                <w:sz w:val="28"/>
                                <w:szCs w:val="28"/>
                              </w:rPr>
                            </w:pPr>
                          </w:p>
                          <w:p w:rsidR="001F67E3" w:rsidRDefault="001F67E3" w:rsidP="00E05D08">
                            <w:pPr>
                              <w:pStyle w:val="HTitle3"/>
                            </w:pPr>
                            <w:r>
                              <w:t xml:space="preserve">2017 m. gruodžio mėn. </w:t>
                            </w:r>
                          </w:p>
                          <w:p w:rsidR="001F67E3" w:rsidRDefault="001F67E3" w:rsidP="00E05D08">
                            <w:pPr>
                              <w:pStyle w:val="HTitle3"/>
                            </w:pPr>
                          </w:p>
                          <w:p w:rsidR="001F67E3" w:rsidRDefault="001F67E3" w:rsidP="00E05D08">
                            <w:pPr>
                              <w:pStyle w:val="HTitle3"/>
                            </w:pPr>
                          </w:p>
                          <w:p w:rsidR="001F67E3" w:rsidRDefault="001F67E3" w:rsidP="00E05D08">
                            <w:pPr>
                              <w:pStyle w:val="HTitle3"/>
                            </w:pPr>
                          </w:p>
                          <w:p w:rsidR="001F67E3" w:rsidRPr="00912430" w:rsidRDefault="001F67E3" w:rsidP="00912430">
                            <w:pPr>
                              <w:rPr>
                                <w:color w:val="auto"/>
                                <w:sz w:val="18"/>
                                <w:szCs w:val="18"/>
                              </w:rPr>
                            </w:pPr>
                            <w:r>
                              <w:rPr>
                                <w:i/>
                                <w:sz w:val="18"/>
                                <w:szCs w:val="18"/>
                              </w:rPr>
                              <w:t>Šiame dokumente pateikiamas 2017 m. gruodžio mėn. redakcijos gairių vertimas. „Inovacijų 2014–2020 m. kaimo plėtros programose vertinimas“. Šios gairės išverstos siekiant, kad jos būtų naudingesnės ir prieinamesnės visiems suinteresuotiesiems subjektams. Tekstas anglų kalba turėtų būti naudojamas kaip galutinis informacinis tekstas</w:t>
                            </w:r>
                            <w:r w:rsidRPr="00FF4D19">
                              <w:rPr>
                                <w:iCs/>
                                <w:sz w:val="18"/>
                                <w:szCs w:val="18"/>
                              </w:rPr>
                              <w:t xml:space="preserve">. </w:t>
                            </w:r>
                            <w:r w:rsidRPr="00FF4D19">
                              <w:rPr>
                                <w:i/>
                              </w:rPr>
                              <w:t>Tekstas</w:t>
                            </w:r>
                            <w:r w:rsidRPr="00FF4D19">
                              <w:rPr>
                                <w:iCs/>
                                <w:sz w:val="18"/>
                                <w:szCs w:val="18"/>
                              </w:rPr>
                              <w:t xml:space="preserve"> anglų</w:t>
                            </w:r>
                            <w:r>
                              <w:rPr>
                                <w:i/>
                                <w:sz w:val="18"/>
                                <w:szCs w:val="18"/>
                              </w:rPr>
                              <w:t xml:space="preserve"> kalba pateikiamas </w:t>
                            </w:r>
                            <w:hyperlink r:id="rId8" w:tgtFrame="_blank" w:history="1">
                              <w:r>
                                <w:rPr>
                                  <w:rStyle w:val="Hyperlink"/>
                                  <w:i/>
                                  <w:sz w:val="18"/>
                                  <w:szCs w:val="18"/>
                                </w:rPr>
                                <w:t>šiuo adresu</w:t>
                              </w:r>
                            </w:hyperlink>
                            <w:r>
                              <w:rPr>
                                <w:rStyle w:val="Hyperlink"/>
                                <w:color w:val="auto"/>
                                <w:sz w:val="18"/>
                                <w:szCs w:val="18"/>
                                <w:u w:val="no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F359A" id="_x0000_t202" coordsize="21600,21600" o:spt="202" path="m,l,21600r21600,l21600,xe">
                <v:stroke joinstyle="miter"/>
                <v:path gradientshapeok="t" o:connecttype="rect"/>
              </v:shapetype>
              <v:shape id="Text Box 5" o:spid="_x0000_s1026" type="#_x0000_t202" style="position:absolute;left:0;text-align:left;margin-left:161.6pt;margin-top:395.5pt;width:390.4pt;height:30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DQ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" filled="f" stroked="f">
                <v:textbox inset="0,0,0,0">
                  <w:txbxContent>
                    <w:p w:rsidR="001F67E3" w:rsidRPr="00DD6E53" w:rsidRDefault="001F67E3" w:rsidP="00E05D08">
                      <w:pPr>
                        <w:pStyle w:val="HTitle1"/>
                      </w:pPr>
                      <w:r>
                        <w:t xml:space="preserve">Gairės </w:t>
                      </w:r>
                    </w:p>
                    <w:p w:rsidR="001F67E3" w:rsidRPr="00DD6E53" w:rsidRDefault="001F67E3" w:rsidP="00C947BA">
                      <w:pPr>
                        <w:pStyle w:val="HTitle2"/>
                        <w:jc w:val="left"/>
                      </w:pPr>
                      <w:bookmarkStart w:id="2" w:name="_Hlk501355929"/>
                      <w:r>
                        <w:t xml:space="preserve">Inovacijų </w:t>
                      </w:r>
                      <w:r w:rsidR="004202DF">
                        <w:t>2014–2020 M. Kaimo Plėtros Programose Vertinimas</w:t>
                      </w:r>
                      <w:bookmarkEnd w:id="2"/>
                      <w:r w:rsidR="004202DF">
                        <w:t xml:space="preserve"> </w:t>
                      </w:r>
                    </w:p>
                    <w:p w:rsidR="001F67E3" w:rsidRPr="00DD6E53" w:rsidRDefault="001F67E3" w:rsidP="00E05D08">
                      <w:pPr>
                        <w:rPr>
                          <w:color w:val="6F6F6F"/>
                          <w:sz w:val="28"/>
                          <w:szCs w:val="28"/>
                        </w:rPr>
                      </w:pPr>
                    </w:p>
                    <w:p w:rsidR="001F67E3" w:rsidRDefault="001F67E3" w:rsidP="00E05D08">
                      <w:pPr>
                        <w:pStyle w:val="HTitle3"/>
                      </w:pPr>
                      <w:r>
                        <w:t xml:space="preserve">2017 m. gruodžio mėn. </w:t>
                      </w:r>
                    </w:p>
                    <w:p w:rsidR="001F67E3" w:rsidRDefault="001F67E3" w:rsidP="00E05D08">
                      <w:pPr>
                        <w:pStyle w:val="HTitle3"/>
                      </w:pPr>
                    </w:p>
                    <w:p w:rsidR="001F67E3" w:rsidRDefault="001F67E3" w:rsidP="00E05D08">
                      <w:pPr>
                        <w:pStyle w:val="HTitle3"/>
                      </w:pPr>
                    </w:p>
                    <w:p w:rsidR="001F67E3" w:rsidRDefault="001F67E3" w:rsidP="00E05D08">
                      <w:pPr>
                        <w:pStyle w:val="HTitle3"/>
                      </w:pPr>
                    </w:p>
                    <w:p w:rsidR="001F67E3" w:rsidRPr="00912430" w:rsidRDefault="001F67E3" w:rsidP="00912430">
                      <w:pPr>
                        <w:rPr>
                          <w:color w:val="auto"/>
                          <w:sz w:val="18"/>
                          <w:szCs w:val="18"/>
                        </w:rPr>
                      </w:pPr>
                      <w:r>
                        <w:rPr>
                          <w:i/>
                          <w:sz w:val="18"/>
                          <w:szCs w:val="18"/>
                        </w:rPr>
                        <w:t>Šiame dokumente pateikiamas 2017 m. gruodžio mėn. redakcijos gairių vertimas. „Inovacijų 2014–2020 m. kaimo plėtros programose vertinimas“. Šios gairės išverstos siekiant, kad jos būtų naudingesnės ir prieinamesnės visiems suinteresuotiesiems subjektams. Tekstas anglų kalba turėtų būti naudojamas kaip galutinis informacinis tekstas</w:t>
                      </w:r>
                      <w:r w:rsidRPr="00FF4D19">
                        <w:rPr>
                          <w:iCs/>
                          <w:sz w:val="18"/>
                          <w:szCs w:val="18"/>
                        </w:rPr>
                        <w:t xml:space="preserve">. </w:t>
                      </w:r>
                      <w:r w:rsidRPr="00FF4D19">
                        <w:rPr>
                          <w:i/>
                        </w:rPr>
                        <w:t>Tekstas</w:t>
                      </w:r>
                      <w:r w:rsidRPr="00FF4D19">
                        <w:rPr>
                          <w:iCs/>
                          <w:sz w:val="18"/>
                          <w:szCs w:val="18"/>
                        </w:rPr>
                        <w:t xml:space="preserve"> anglų</w:t>
                      </w:r>
                      <w:r>
                        <w:rPr>
                          <w:i/>
                          <w:sz w:val="18"/>
                          <w:szCs w:val="18"/>
                        </w:rPr>
                        <w:t xml:space="preserve"> kalba pateikiamas </w:t>
                      </w:r>
                      <w:hyperlink r:id="rId9" w:tgtFrame="_blank" w:history="1">
                        <w:r>
                          <w:rPr>
                            <w:rStyle w:val="Hyperlink"/>
                            <w:i/>
                            <w:sz w:val="18"/>
                            <w:szCs w:val="18"/>
                          </w:rPr>
                          <w:t>šiuo adresu</w:t>
                        </w:r>
                      </w:hyperlink>
                      <w:r>
                        <w:rPr>
                          <w:rStyle w:val="Hyperlink"/>
                          <w:color w:val="auto"/>
                          <w:sz w:val="18"/>
                          <w:szCs w:val="18"/>
                          <w:u w:val="none"/>
                        </w:rPr>
                        <w:t>.</w:t>
                      </w:r>
                    </w:p>
                  </w:txbxContent>
                </v:textbox>
                <w10:wrap type="tight" anchorx="page" anchory="page"/>
              </v:shape>
            </w:pict>
          </mc:Fallback>
        </mc:AlternateContent>
      </w:r>
      <w:r>
        <w:br w:type="page"/>
      </w: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61312" behindDoc="0" locked="0" layoutInCell="1" allowOverlap="1" wp14:anchorId="7DDF63B1" wp14:editId="7E007B2D">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1F67E3" w:rsidRPr="007F1B7F" w:rsidRDefault="001F67E3" w:rsidP="00E05D08">
                            <w:pPr>
                              <w:pStyle w:val="Normal12PTcouleurgris"/>
                              <w:rPr>
                                <w:sz w:val="18"/>
                              </w:rPr>
                            </w:pPr>
                            <w:r>
                              <w:rPr>
                                <w:sz w:val="18"/>
                              </w:rPr>
                              <w:t>Informacija apie autorių teises</w:t>
                            </w:r>
                          </w:p>
                          <w:p w:rsidR="001F67E3" w:rsidRPr="007F1B7F" w:rsidRDefault="001F67E3" w:rsidP="00E05D08">
                            <w:pPr>
                              <w:pStyle w:val="Normal12PTcouleurgris"/>
                              <w:rPr>
                                <w:sz w:val="18"/>
                              </w:rPr>
                            </w:pPr>
                            <w:r>
                              <w:rPr>
                                <w:sz w:val="18"/>
                              </w:rPr>
                              <w:t>© Europos Sąjunga, 2017</w:t>
                            </w:r>
                          </w:p>
                          <w:p w:rsidR="001F67E3" w:rsidRPr="007F1B7F" w:rsidRDefault="001F67E3" w:rsidP="00E05D08">
                            <w:pPr>
                              <w:pStyle w:val="Normal12PTcouleurgris"/>
                              <w:rPr>
                                <w:sz w:val="18"/>
                              </w:rPr>
                            </w:pPr>
                            <w:r>
                              <w:rPr>
                                <w:sz w:val="18"/>
                              </w:rPr>
                              <w:t>Leidžiama atgaminti nurodžius šaltinį.</w:t>
                            </w:r>
                          </w:p>
                          <w:p w:rsidR="001F67E3" w:rsidRPr="0002668A" w:rsidRDefault="001F67E3" w:rsidP="00E05D08">
                            <w:pPr>
                              <w:pStyle w:val="Normal12PTcouleurgris"/>
                              <w:rPr>
                                <w:sz w:val="18"/>
                              </w:rPr>
                            </w:pPr>
                            <w:r>
                              <w:rPr>
                                <w:bCs/>
                                <w:sz w:val="18"/>
                                <w:u w:val="single"/>
                              </w:rPr>
                              <w:t>Rekomenduojama nuoroda</w:t>
                            </w:r>
                            <w:r>
                              <w:rPr>
                                <w:bCs/>
                                <w:sz w:val="18"/>
                              </w:rPr>
                              <w:t>:</w:t>
                            </w:r>
                            <w:r>
                              <w:rPr>
                                <w:sz w:val="18"/>
                              </w:rPr>
                              <w:t xml:space="preserve"> </w:t>
                            </w:r>
                          </w:p>
                          <w:p w:rsidR="001F67E3" w:rsidRPr="0002668A" w:rsidRDefault="001F67E3" w:rsidP="00E05D08">
                            <w:pPr>
                              <w:pStyle w:val="Normal12PTcouleurgris"/>
                              <w:rPr>
                                <w:sz w:val="18"/>
                              </w:rPr>
                            </w:pPr>
                            <w:r>
                              <w:rPr>
                                <w:sz w:val="18"/>
                              </w:rPr>
                              <w:t>EUROPOS KOMISIJA. Žemės ūkio ir kaimo plėtros generalinis direktoratas. C.4 skyrius (2017 m.). Gairės. Inovacijų 2014–2020 m. kaimo plėtros programose vertinimas.</w:t>
                            </w:r>
                          </w:p>
                          <w:p w:rsidR="001F67E3" w:rsidRPr="0002668A" w:rsidRDefault="001F67E3" w:rsidP="00E05D08">
                            <w:pPr>
                              <w:pStyle w:val="Normal12PTcouleurgris"/>
                              <w:rPr>
                                <w:bCs/>
                                <w:sz w:val="18"/>
                                <w:u w:val="single"/>
                              </w:rPr>
                            </w:pPr>
                            <w:r>
                              <w:rPr>
                                <w:bCs/>
                                <w:sz w:val="18"/>
                                <w:u w:val="single"/>
                              </w:rPr>
                              <w:t>Atsakomybės ribojimo pareiškimas</w:t>
                            </w:r>
                          </w:p>
                          <w:p w:rsidR="001F67E3" w:rsidRPr="0002668A" w:rsidRDefault="001F67E3" w:rsidP="00E05D08">
                            <w:pPr>
                              <w:pStyle w:val="Normal12PTcouleurgris"/>
                              <w:rPr>
                                <w:sz w:val="18"/>
                              </w:rPr>
                            </w:pPr>
                            <w:r>
                              <w:rPr>
                                <w:sz w:val="18"/>
                              </w:rPr>
                              <w:t>Šioje ataskaitoje pateikiama tik jos autoriaus (-ių) informacija ir nuomonė, ir jos  nebūtinai atitinka oficialią Komisijos nuomonę. Komisija negarantuoja į šią ataskaitą įtrauktų duomenų tikslumo. Nei Komisija, nei joks Komisijos vardu veikiantis asmuo negali būti laikomas atsakingu už tai, kaip galėtų būti naudojama šiame leidinyje pateikta informacija.</w:t>
                            </w:r>
                          </w:p>
                          <w:p w:rsidR="001F67E3" w:rsidRPr="000B1DDA" w:rsidRDefault="001F67E3" w:rsidP="00E05D08">
                            <w:pPr>
                              <w:pStyle w:val="Normal12PTcouleurgris"/>
                            </w:pPr>
                          </w:p>
                          <w:p w:rsidR="001F67E3" w:rsidRPr="004D4D87" w:rsidRDefault="001F67E3" w:rsidP="00E05D08">
                            <w:pPr>
                              <w:pStyle w:val="Normal12PTcouleurgris"/>
                            </w:pPr>
                            <w:r>
                              <w:rPr>
                                <w:noProof/>
                                <w:lang w:val="en-GB"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1F67E3" w:rsidRPr="00E05D08" w:rsidRDefault="001F67E3" w:rsidP="00E05D08">
                            <w:pPr>
                              <w:pStyle w:val="Normal12PTcouleurgris"/>
                              <w:rPr>
                                <w:color w:val="BFBFBF"/>
                              </w:rPr>
                            </w:pPr>
                          </w:p>
                          <w:p w:rsidR="001F67E3" w:rsidRPr="007F1B7F" w:rsidRDefault="001F67E3" w:rsidP="00E05D08">
                            <w:pPr>
                              <w:pStyle w:val="Normal12PTcouleurgris"/>
                              <w:rPr>
                                <w:sz w:val="18"/>
                              </w:rPr>
                            </w:pPr>
                            <w:r>
                              <w:rPr>
                                <w:sz w:val="18"/>
                              </w:rPr>
                              <w:t>Vertinimo pagalbos tarnyba yra atsakinga už Europos kaimo plėtros tinkle (EKPT) atliekamą vertinimo užduotį ir teikia gaires dėl kaimo plėtros programų ir Europos Komisijos (EK) Žemės ūkio ir kaimo plėtros GD C.4 skyriaus (Stebėsena ir vertinimas) kompetencijai ir priežiūrai priklausančios politikos vertinimo. Kad pagerintų ES kaimo plėtros politikos vertinimą, Vertinimo pagalbos tarnyba remia visus vertinime dalyvaujančius suinteresuotuosius subjektus, visų pirma Žemės ūkio ir kaimo plėtros GD, nacionalines institucijas, kaimo plėtros programų vadovaujančiąsias institucijas ir vertintojus: kuria ir platina tinkamus metodus ir priemones, kaupia gerąją patirtį ir ja keičiasi, stiprina gebėjimus ir palaiko ryšius su tinklo nariais su vertinimu susijusiais klausimais.</w:t>
                            </w:r>
                          </w:p>
                          <w:p w:rsidR="001F67E3" w:rsidRPr="007F1B7F" w:rsidRDefault="001F67E3" w:rsidP="00E05D08">
                            <w:pPr>
                              <w:pStyle w:val="Normal12PTcouleurgris"/>
                              <w:rPr>
                                <w:sz w:val="18"/>
                              </w:rPr>
                            </w:pPr>
                            <w:r>
                              <w:rPr>
                                <w:sz w:val="18"/>
                              </w:rPr>
                              <w:t>Daugiau informacijos apie Europos kaimo plėtros vertinimo pagalbos tarnybos veiklą pateikta internete, serveryje EUROPA (http://enrd.ec.europa.eu).</w:t>
                            </w:r>
                          </w:p>
                          <w:p w:rsidR="001F67E3" w:rsidRPr="00811EF1" w:rsidRDefault="001F67E3" w:rsidP="00E05D08">
                            <w:pPr>
                              <w:pStyle w:val="H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63B1" id="Text Box 7" o:spid="_x0000_s1027" type="#_x0000_t202" style="position:absolute;left:0;text-align:left;margin-left:-33.55pt;margin-top:322.45pt;width:518.4pt;height:406.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" stroked="f">
                <v:fill opacity="0"/>
                <v:textbox>
                  <w:txbxContent>
                    <w:p w:rsidR="001F67E3" w:rsidRPr="007F1B7F" w:rsidRDefault="001F67E3" w:rsidP="00E05D08">
                      <w:pPr>
                        <w:pStyle w:val="Normal12PTcouleurgris"/>
                        <w:rPr>
                          <w:sz w:val="18"/>
                        </w:rPr>
                      </w:pPr>
                      <w:r>
                        <w:rPr>
                          <w:sz w:val="18"/>
                        </w:rPr>
                        <w:t>Informacija apie autorių teises</w:t>
                      </w:r>
                    </w:p>
                    <w:p w:rsidR="001F67E3" w:rsidRPr="007F1B7F" w:rsidRDefault="001F67E3" w:rsidP="00E05D08">
                      <w:pPr>
                        <w:pStyle w:val="Normal12PTcouleurgris"/>
                        <w:rPr>
                          <w:sz w:val="18"/>
                        </w:rPr>
                      </w:pPr>
                      <w:r>
                        <w:rPr>
                          <w:sz w:val="18"/>
                        </w:rPr>
                        <w:t>© Europos Sąjunga, 2017</w:t>
                      </w:r>
                    </w:p>
                    <w:p w:rsidR="001F67E3" w:rsidRPr="007F1B7F" w:rsidRDefault="001F67E3" w:rsidP="00E05D08">
                      <w:pPr>
                        <w:pStyle w:val="Normal12PTcouleurgris"/>
                        <w:rPr>
                          <w:sz w:val="18"/>
                        </w:rPr>
                      </w:pPr>
                      <w:r>
                        <w:rPr>
                          <w:sz w:val="18"/>
                        </w:rPr>
                        <w:t>Leidžiama atgaminti nurodžius šaltinį.</w:t>
                      </w:r>
                    </w:p>
                    <w:p w:rsidR="001F67E3" w:rsidRPr="0002668A" w:rsidRDefault="001F67E3" w:rsidP="00E05D08">
                      <w:pPr>
                        <w:pStyle w:val="Normal12PTcouleurgris"/>
                        <w:rPr>
                          <w:sz w:val="18"/>
                        </w:rPr>
                      </w:pPr>
                      <w:r>
                        <w:rPr>
                          <w:bCs/>
                          <w:sz w:val="18"/>
                          <w:u w:val="single"/>
                        </w:rPr>
                        <w:t>Rekomenduojama nuoroda</w:t>
                      </w:r>
                      <w:r>
                        <w:rPr>
                          <w:bCs/>
                          <w:sz w:val="18"/>
                        </w:rPr>
                        <w:t>:</w:t>
                      </w:r>
                      <w:r>
                        <w:rPr>
                          <w:sz w:val="18"/>
                        </w:rPr>
                        <w:t xml:space="preserve"> </w:t>
                      </w:r>
                    </w:p>
                    <w:p w:rsidR="001F67E3" w:rsidRPr="0002668A" w:rsidRDefault="001F67E3" w:rsidP="00E05D08">
                      <w:pPr>
                        <w:pStyle w:val="Normal12PTcouleurgris"/>
                        <w:rPr>
                          <w:sz w:val="18"/>
                        </w:rPr>
                      </w:pPr>
                      <w:r>
                        <w:rPr>
                          <w:sz w:val="18"/>
                        </w:rPr>
                        <w:t>EUROPOS KOMISIJA. Žemės ūkio ir kaimo plėtros generalinis direktoratas. C.4 skyrius (2017 m.). Gairės. Inovacijų 2014–2020 m. kaimo plėtros programose vertinimas.</w:t>
                      </w:r>
                    </w:p>
                    <w:p w:rsidR="001F67E3" w:rsidRPr="0002668A" w:rsidRDefault="001F67E3" w:rsidP="00E05D08">
                      <w:pPr>
                        <w:pStyle w:val="Normal12PTcouleurgris"/>
                        <w:rPr>
                          <w:bCs/>
                          <w:sz w:val="18"/>
                          <w:u w:val="single"/>
                        </w:rPr>
                      </w:pPr>
                      <w:r>
                        <w:rPr>
                          <w:bCs/>
                          <w:sz w:val="18"/>
                          <w:u w:val="single"/>
                        </w:rPr>
                        <w:t>Atsakomybės ribojimo pareiškimas</w:t>
                      </w:r>
                    </w:p>
                    <w:p w:rsidR="001F67E3" w:rsidRPr="0002668A" w:rsidRDefault="001F67E3" w:rsidP="00E05D08">
                      <w:pPr>
                        <w:pStyle w:val="Normal12PTcouleurgris"/>
                        <w:rPr>
                          <w:sz w:val="18"/>
                        </w:rPr>
                      </w:pPr>
                      <w:r>
                        <w:rPr>
                          <w:sz w:val="18"/>
                        </w:rPr>
                        <w:t>Šioje ataskaitoje pateikiama tik jos autoriaus (-ių) informacija ir nuomonė, ir jos  nebūtinai atitinka oficialią Komisijos nuomonę. Komisija negarantuoja į šią ataskaitą įtrauktų duomenų tikslumo. Nei Komisija, nei joks Komisijos vardu veikiantis asmuo negali būti laikomas atsakingu už tai, kaip galėtų būti naudojama šiame leidinyje pateikta informacija.</w:t>
                      </w:r>
                    </w:p>
                    <w:p w:rsidR="001F67E3" w:rsidRPr="000B1DDA" w:rsidRDefault="001F67E3" w:rsidP="00E05D08">
                      <w:pPr>
                        <w:pStyle w:val="Normal12PTcouleurgris"/>
                      </w:pPr>
                    </w:p>
                    <w:p w:rsidR="001F67E3" w:rsidRPr="004D4D87" w:rsidRDefault="001F67E3" w:rsidP="00E05D08">
                      <w:pPr>
                        <w:pStyle w:val="Normal12PTcouleurgris"/>
                      </w:pPr>
                      <w:r>
                        <w:rPr>
                          <w:noProof/>
                          <w:lang w:val="en-GB"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1F67E3" w:rsidRPr="00E05D08" w:rsidRDefault="001F67E3" w:rsidP="00E05D08">
                      <w:pPr>
                        <w:pStyle w:val="Normal12PTcouleurgris"/>
                        <w:rPr>
                          <w:color w:val="BFBFBF"/>
                        </w:rPr>
                      </w:pPr>
                    </w:p>
                    <w:p w:rsidR="001F67E3" w:rsidRPr="007F1B7F" w:rsidRDefault="001F67E3" w:rsidP="00E05D08">
                      <w:pPr>
                        <w:pStyle w:val="Normal12PTcouleurgris"/>
                        <w:rPr>
                          <w:sz w:val="18"/>
                        </w:rPr>
                      </w:pPr>
                      <w:r>
                        <w:rPr>
                          <w:sz w:val="18"/>
                        </w:rPr>
                        <w:t>Vertinimo pagalbos tarnyba yra atsakinga už Europos kaimo plėtros tinkle (EKPT) atliekamą vertinimo užduotį ir teikia gaires dėl kaimo plėtros programų ir Europos Komisijos (EK) Žemės ūkio ir kaimo plėtros GD C.4 skyriaus (Stebėsena ir vertinimas) kompetencijai ir priežiūrai priklausančios politikos vertinimo. Kad pagerintų ES kaimo plėtros politikos vertinimą, Vertinimo pagalbos tarnyba remia visus vertinime dalyvaujančius suinteresuotuosius subjektus, visų pirma Žemės ūkio ir kaimo plėtros GD, nacionalines institucijas, kaimo plėtros programų vadovaujančiąsias institucijas ir vertintojus: kuria ir platina tinkamus metodus ir priemones, kaupia gerąją patirtį ir ja keičiasi, stiprina gebėjimus ir palaiko ryšius su tinklo nariais su vertinimu susijusiais klausimais.</w:t>
                      </w:r>
                    </w:p>
                    <w:p w:rsidR="001F67E3" w:rsidRPr="007F1B7F" w:rsidRDefault="001F67E3" w:rsidP="00E05D08">
                      <w:pPr>
                        <w:pStyle w:val="Normal12PTcouleurgris"/>
                        <w:rPr>
                          <w:sz w:val="18"/>
                        </w:rPr>
                      </w:pPr>
                      <w:r>
                        <w:rPr>
                          <w:sz w:val="18"/>
                        </w:rPr>
                        <w:t>Daugiau informacijos apie Europos kaimo plėtros vertinimo pagalbos tarnybos veiklą pateikta internete, serveryje EUROPA (http://enrd.ec.europa.eu).</w:t>
                      </w:r>
                    </w:p>
                    <w:p w:rsidR="001F67E3" w:rsidRPr="00811EF1" w:rsidRDefault="001F67E3" w:rsidP="00E05D08">
                      <w:pPr>
                        <w:pStyle w:val="Hdisclaimer"/>
                      </w:pPr>
                    </w:p>
                  </w:txbxContent>
                </v:textbox>
                <w10:wrap anchorx="margin"/>
              </v:shape>
            </w:pict>
          </mc:Fallback>
        </mc:AlternateContent>
      </w:r>
      <w:r>
        <w:br w:type="page"/>
      </w: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62336" behindDoc="1" locked="0" layoutInCell="1" allowOverlap="1" wp14:anchorId="7382738B" wp14:editId="6E97819F">
                <wp:simplePos x="0" y="0"/>
                <wp:positionH relativeFrom="page">
                  <wp:posOffset>2204720</wp:posOffset>
                </wp:positionH>
                <wp:positionV relativeFrom="page">
                  <wp:posOffset>5175250</wp:posOffset>
                </wp:positionV>
                <wp:extent cx="4958080" cy="3855720"/>
                <wp:effectExtent l="4445" t="3175" r="0" b="0"/>
                <wp:wrapTight wrapText="bothSides">
                  <wp:wrapPolygon edited="0">
                    <wp:start x="0" y="0"/>
                    <wp:lineTo x="21600" y="0"/>
                    <wp:lineTo x="21600" y="21600"/>
                    <wp:lineTo x="0" y="2160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7E3" w:rsidRPr="002D3552" w:rsidRDefault="001F67E3" w:rsidP="00E05D08">
                            <w:pPr>
                              <w:pStyle w:val="HTitle1"/>
                            </w:pPr>
                            <w:r>
                              <w:t xml:space="preserve">Gairės </w:t>
                            </w:r>
                          </w:p>
                          <w:p w:rsidR="001F67E3" w:rsidRPr="00DD6E53" w:rsidRDefault="001F67E3" w:rsidP="00C947BA">
                            <w:pPr>
                              <w:pStyle w:val="HTitle2"/>
                              <w:jc w:val="left"/>
                            </w:pPr>
                            <w:r>
                              <w:t xml:space="preserve">Inovacijų </w:t>
                            </w:r>
                            <w:r w:rsidR="00687D39">
                              <w:t xml:space="preserve">2014–2020 M. Kaimo Plėtros Programose </w:t>
                            </w:r>
                            <w:r w:rsidR="00687D39">
                              <w:br/>
                              <w:t xml:space="preserve">Vertinimas </w:t>
                            </w:r>
                          </w:p>
                          <w:p w:rsidR="001F67E3" w:rsidRPr="00DD6E53" w:rsidRDefault="001F67E3" w:rsidP="00E05D08">
                            <w:pPr>
                              <w:rPr>
                                <w:color w:val="6F6F6F"/>
                                <w:sz w:val="28"/>
                                <w:szCs w:val="28"/>
                              </w:rPr>
                            </w:pPr>
                          </w:p>
                          <w:p w:rsidR="001F67E3" w:rsidRDefault="001F67E3" w:rsidP="00E05D08">
                            <w:pPr>
                              <w:pStyle w:val="HTitle3"/>
                            </w:pPr>
                            <w:r>
                              <w:t xml:space="preserve">2017 m. gruodžio mėn. </w:t>
                            </w:r>
                          </w:p>
                          <w:p w:rsidR="001F67E3" w:rsidRPr="00BE49CF" w:rsidRDefault="001F67E3" w:rsidP="00E05D08">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738B" id="Text Box 16" o:spid="_x0000_s1028" type="#_x0000_t202" style="position:absolute;left:0;text-align:left;margin-left:173.6pt;margin-top:407.5pt;width:390.4pt;height:30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inset="0,0,0,0">
                  <w:txbxContent>
                    <w:p w:rsidR="001F67E3" w:rsidRPr="002D3552" w:rsidRDefault="001F67E3" w:rsidP="00E05D08">
                      <w:pPr>
                        <w:pStyle w:val="HTitle1"/>
                      </w:pPr>
                      <w:r>
                        <w:t xml:space="preserve">Gairės </w:t>
                      </w:r>
                    </w:p>
                    <w:p w:rsidR="001F67E3" w:rsidRPr="00DD6E53" w:rsidRDefault="001F67E3" w:rsidP="00C947BA">
                      <w:pPr>
                        <w:pStyle w:val="HTitle2"/>
                        <w:jc w:val="left"/>
                      </w:pPr>
                      <w:r>
                        <w:t xml:space="preserve">Inovacijų </w:t>
                      </w:r>
                      <w:r w:rsidR="00687D39">
                        <w:t xml:space="preserve">2014–2020 M. Kaimo Plėtros Programose </w:t>
                      </w:r>
                      <w:r w:rsidR="00687D39">
                        <w:br/>
                        <w:t xml:space="preserve">Vertinimas </w:t>
                      </w:r>
                    </w:p>
                    <w:p w:rsidR="001F67E3" w:rsidRPr="00DD6E53" w:rsidRDefault="001F67E3" w:rsidP="00E05D08">
                      <w:pPr>
                        <w:rPr>
                          <w:color w:val="6F6F6F"/>
                          <w:sz w:val="28"/>
                          <w:szCs w:val="28"/>
                        </w:rPr>
                      </w:pPr>
                    </w:p>
                    <w:p w:rsidR="001F67E3" w:rsidRDefault="001F67E3" w:rsidP="00E05D08">
                      <w:pPr>
                        <w:pStyle w:val="HTitle3"/>
                      </w:pPr>
                      <w:r>
                        <w:t xml:space="preserve">2017 m. gruodžio mėn. </w:t>
                      </w:r>
                    </w:p>
                    <w:p w:rsidR="001F67E3" w:rsidRPr="00BE49CF" w:rsidRDefault="001F67E3" w:rsidP="00E05D08">
                      <w:pPr>
                        <w:pStyle w:val="HTitle3"/>
                      </w:pPr>
                    </w:p>
                  </w:txbxContent>
                </v:textbox>
                <w10:wrap type="tight" anchorx="page" anchory="page"/>
              </v:shape>
            </w:pict>
          </mc:Fallback>
        </mc:AlternateContent>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BC211C">
          <w:headerReference w:type="default" r:id="rId12"/>
          <w:endnotePr>
            <w:numFmt w:val="decimal"/>
          </w:endnotePr>
          <w:pgSz w:w="11906" w:h="16838" w:code="9"/>
          <w:pgMar w:top="1440" w:right="1440" w:bottom="1134" w:left="1440" w:header="624" w:footer="709" w:gutter="0"/>
          <w:cols w:space="708"/>
          <w:titlePg/>
          <w:docGrid w:linePitch="360"/>
        </w:sectPr>
      </w:pPr>
    </w:p>
    <w:p w:rsidR="00405B0B" w:rsidRDefault="00405B0B"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lastRenderedPageBreak/>
        <w:br w:type="page"/>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Turinys</w:t>
      </w:r>
    </w:p>
    <w:p w:rsidR="00400614" w:rsidRDefault="009837FF">
      <w:pPr>
        <w:pStyle w:val="TOC1"/>
        <w:tabs>
          <w:tab w:val="right" w:leader="dot" w:pos="9040"/>
        </w:tabs>
        <w:rPr>
          <w:rFonts w:asciiTheme="minorHAnsi" w:eastAsiaTheme="minorEastAsia" w:hAnsiTheme="minorHAnsi"/>
          <w:b w:val="0"/>
          <w:caps w:val="0"/>
          <w:noProof/>
          <w:color w:val="auto"/>
          <w:sz w:val="22"/>
          <w:lang w:val="en-GB" w:eastAsia="en-GB"/>
        </w:rPr>
      </w:pPr>
      <w:r>
        <w:rPr>
          <w:rFonts w:ascii="Helvetica LT Pro" w:eastAsia="Times New Roman" w:hAnsi="Helvetica LT Pro" w:cs="Times New Roman"/>
          <w:caps w:val="0"/>
          <w:color w:val="000000" w:themeColor="text1"/>
          <w:szCs w:val="20"/>
        </w:rPr>
        <w:fldChar w:fldCharType="begin"/>
      </w:r>
      <w:r>
        <w:rPr>
          <w:rFonts w:ascii="Helvetica LT Pro" w:eastAsia="Times New Roman" w:hAnsi="Helvetica LT Pro" w:cs="Times New Roman"/>
          <w:caps w:val="0"/>
          <w:color w:val="000000" w:themeColor="text1"/>
          <w:szCs w:val="20"/>
        </w:rPr>
        <w:instrText xml:space="preserve"> TOC \h \z \t "H_Heading 1;1;H_Heading 2;2;H_Heading 3;3" </w:instrText>
      </w:r>
      <w:r>
        <w:rPr>
          <w:rFonts w:ascii="Helvetica LT Pro" w:eastAsia="Times New Roman" w:hAnsi="Helvetica LT Pro" w:cs="Times New Roman"/>
          <w:caps w:val="0"/>
          <w:color w:val="000000" w:themeColor="text1"/>
          <w:szCs w:val="20"/>
        </w:rPr>
        <w:fldChar w:fldCharType="separate"/>
      </w:r>
      <w:hyperlink w:anchor="_Toc508976517" w:history="1">
        <w:r w:rsidR="00400614" w:rsidRPr="00F412E2">
          <w:rPr>
            <w:rStyle w:val="Hyperlink"/>
            <w:noProof/>
          </w:rPr>
          <w:t>1.</w:t>
        </w:r>
        <w:r w:rsidR="00400614">
          <w:rPr>
            <w:rFonts w:asciiTheme="minorHAnsi" w:eastAsiaTheme="minorEastAsia" w:hAnsiTheme="minorHAnsi"/>
            <w:b w:val="0"/>
            <w:caps w:val="0"/>
            <w:noProof/>
            <w:color w:val="auto"/>
            <w:sz w:val="22"/>
            <w:lang w:val="en-GB" w:eastAsia="en-GB"/>
          </w:rPr>
          <w:tab/>
        </w:r>
        <w:r w:rsidR="00400614" w:rsidRPr="00F412E2">
          <w:rPr>
            <w:rStyle w:val="Hyperlink"/>
            <w:noProof/>
          </w:rPr>
          <w:t>KONCEPTUALI SISTEMA</w:t>
        </w:r>
        <w:r w:rsidR="00400614">
          <w:rPr>
            <w:noProof/>
            <w:webHidden/>
          </w:rPr>
          <w:tab/>
        </w:r>
        <w:r w:rsidR="00400614">
          <w:rPr>
            <w:noProof/>
            <w:webHidden/>
          </w:rPr>
          <w:fldChar w:fldCharType="begin"/>
        </w:r>
        <w:r w:rsidR="00400614">
          <w:rPr>
            <w:noProof/>
            <w:webHidden/>
          </w:rPr>
          <w:instrText xml:space="preserve"> PAGEREF _Toc508976517 \h </w:instrText>
        </w:r>
        <w:r w:rsidR="00400614">
          <w:rPr>
            <w:noProof/>
            <w:webHidden/>
          </w:rPr>
        </w:r>
        <w:r w:rsidR="00400614">
          <w:rPr>
            <w:noProof/>
            <w:webHidden/>
          </w:rPr>
          <w:fldChar w:fldCharType="separate"/>
        </w:r>
        <w:r w:rsidR="00DD2637">
          <w:rPr>
            <w:noProof/>
            <w:webHidden/>
          </w:rPr>
          <w:t>3</w:t>
        </w:r>
        <w:r w:rsidR="00400614">
          <w:rPr>
            <w:noProof/>
            <w:webHidden/>
          </w:rPr>
          <w:fldChar w:fldCharType="end"/>
        </w:r>
      </w:hyperlink>
    </w:p>
    <w:p w:rsidR="00400614" w:rsidRDefault="007C6E17" w:rsidP="00E540C7">
      <w:pPr>
        <w:pStyle w:val="TOC2"/>
        <w:rPr>
          <w:rFonts w:asciiTheme="minorHAnsi" w:eastAsiaTheme="minorEastAsia" w:hAnsiTheme="minorHAnsi"/>
          <w:noProof/>
          <w:color w:val="auto"/>
          <w:sz w:val="22"/>
          <w:lang w:val="en-GB" w:eastAsia="en-GB"/>
        </w:rPr>
      </w:pPr>
      <w:hyperlink w:anchor="_Toc508976518" w:history="1">
        <w:r w:rsidR="00400614" w:rsidRPr="00F412E2">
          <w:rPr>
            <w:rStyle w:val="Hyperlink"/>
            <w:noProof/>
          </w:rPr>
          <w:t>1.1</w:t>
        </w:r>
        <w:r w:rsidR="00400614">
          <w:rPr>
            <w:rFonts w:asciiTheme="minorHAnsi" w:eastAsiaTheme="minorEastAsia" w:hAnsiTheme="minorHAnsi"/>
            <w:noProof/>
            <w:color w:val="auto"/>
            <w:sz w:val="22"/>
            <w:lang w:val="en-GB" w:eastAsia="en-GB"/>
          </w:rPr>
          <w:tab/>
        </w:r>
        <w:r w:rsidR="00400614" w:rsidRPr="00F412E2">
          <w:rPr>
            <w:rStyle w:val="Hyperlink"/>
            <w:noProof/>
          </w:rPr>
          <w:t>Inovacijos ir kaimo plėtra</w:t>
        </w:r>
        <w:r w:rsidR="00400614">
          <w:rPr>
            <w:noProof/>
            <w:webHidden/>
          </w:rPr>
          <w:tab/>
        </w:r>
        <w:r w:rsidR="00400614">
          <w:rPr>
            <w:noProof/>
            <w:webHidden/>
          </w:rPr>
          <w:fldChar w:fldCharType="begin"/>
        </w:r>
        <w:r w:rsidR="00400614">
          <w:rPr>
            <w:noProof/>
            <w:webHidden/>
          </w:rPr>
          <w:instrText xml:space="preserve"> PAGEREF _Toc508976518 \h </w:instrText>
        </w:r>
        <w:r w:rsidR="00400614">
          <w:rPr>
            <w:noProof/>
            <w:webHidden/>
          </w:rPr>
        </w:r>
        <w:r w:rsidR="00400614">
          <w:rPr>
            <w:noProof/>
            <w:webHidden/>
          </w:rPr>
          <w:fldChar w:fldCharType="separate"/>
        </w:r>
        <w:r w:rsidR="00DD2637">
          <w:rPr>
            <w:noProof/>
            <w:webHidden/>
          </w:rPr>
          <w:t>3</w:t>
        </w:r>
        <w:r w:rsidR="00400614">
          <w:rPr>
            <w:noProof/>
            <w:webHidden/>
          </w:rPr>
          <w:fldChar w:fldCharType="end"/>
        </w:r>
      </w:hyperlink>
    </w:p>
    <w:p w:rsidR="00400614" w:rsidRDefault="007C6E17" w:rsidP="00E540C7">
      <w:pPr>
        <w:pStyle w:val="TOC2"/>
        <w:rPr>
          <w:rFonts w:asciiTheme="minorHAnsi" w:eastAsiaTheme="minorEastAsia" w:hAnsiTheme="minorHAnsi"/>
          <w:noProof/>
          <w:color w:val="auto"/>
          <w:sz w:val="22"/>
          <w:lang w:val="en-GB" w:eastAsia="en-GB"/>
        </w:rPr>
      </w:pPr>
      <w:hyperlink w:anchor="_Toc508976519" w:history="1">
        <w:r w:rsidR="00400614" w:rsidRPr="00F412E2">
          <w:rPr>
            <w:rStyle w:val="Hyperlink"/>
            <w:noProof/>
          </w:rPr>
          <w:t>1.2</w:t>
        </w:r>
        <w:r w:rsidR="00400614">
          <w:rPr>
            <w:rFonts w:asciiTheme="minorHAnsi" w:eastAsiaTheme="minorEastAsia" w:hAnsiTheme="minorHAnsi"/>
            <w:noProof/>
            <w:color w:val="auto"/>
            <w:sz w:val="22"/>
            <w:lang w:val="en-GB" w:eastAsia="en-GB"/>
          </w:rPr>
          <w:tab/>
        </w:r>
        <w:r w:rsidR="00400614" w:rsidRPr="00F412E2">
          <w:rPr>
            <w:rStyle w:val="Hyperlink"/>
            <w:noProof/>
          </w:rPr>
          <w:t>ES politikos sistema</w:t>
        </w:r>
        <w:r w:rsidR="00400614">
          <w:rPr>
            <w:noProof/>
            <w:webHidden/>
          </w:rPr>
          <w:tab/>
        </w:r>
        <w:r w:rsidR="00400614">
          <w:rPr>
            <w:noProof/>
            <w:webHidden/>
          </w:rPr>
          <w:fldChar w:fldCharType="begin"/>
        </w:r>
        <w:r w:rsidR="00400614">
          <w:rPr>
            <w:noProof/>
            <w:webHidden/>
          </w:rPr>
          <w:instrText xml:space="preserve"> PAGEREF _Toc508976519 \h </w:instrText>
        </w:r>
        <w:r w:rsidR="00400614">
          <w:rPr>
            <w:noProof/>
            <w:webHidden/>
          </w:rPr>
        </w:r>
        <w:r w:rsidR="00400614">
          <w:rPr>
            <w:noProof/>
            <w:webHidden/>
          </w:rPr>
          <w:fldChar w:fldCharType="separate"/>
        </w:r>
        <w:r w:rsidR="00DD2637">
          <w:rPr>
            <w:noProof/>
            <w:webHidden/>
          </w:rPr>
          <w:t>9</w:t>
        </w:r>
        <w:r w:rsidR="00400614">
          <w:rPr>
            <w:noProof/>
            <w:webHidden/>
          </w:rPr>
          <w:fldChar w:fldCharType="end"/>
        </w:r>
      </w:hyperlink>
    </w:p>
    <w:p w:rsidR="00400614" w:rsidRDefault="007C6E17">
      <w:pPr>
        <w:pStyle w:val="TOC3"/>
        <w:tabs>
          <w:tab w:val="right" w:leader="dot" w:pos="9040"/>
        </w:tabs>
        <w:rPr>
          <w:rFonts w:asciiTheme="minorHAnsi" w:eastAsiaTheme="minorEastAsia" w:hAnsiTheme="minorHAnsi"/>
          <w:noProof/>
          <w:color w:val="auto"/>
          <w:sz w:val="22"/>
          <w:lang w:val="en-GB" w:eastAsia="en-GB"/>
        </w:rPr>
      </w:pPr>
      <w:hyperlink w:anchor="_Toc508976520" w:history="1">
        <w:r w:rsidR="00400614" w:rsidRPr="00F412E2">
          <w:rPr>
            <w:rStyle w:val="Hyperlink"/>
            <w:noProof/>
          </w:rPr>
          <w:t>1.2.1</w:t>
        </w:r>
        <w:r w:rsidR="00400614">
          <w:rPr>
            <w:rFonts w:asciiTheme="minorHAnsi" w:eastAsiaTheme="minorEastAsia" w:hAnsiTheme="minorHAnsi"/>
            <w:noProof/>
            <w:color w:val="auto"/>
            <w:sz w:val="22"/>
            <w:lang w:val="en-GB" w:eastAsia="en-GB"/>
          </w:rPr>
          <w:tab/>
        </w:r>
        <w:r w:rsidR="00400614" w:rsidRPr="00F412E2">
          <w:rPr>
            <w:rStyle w:val="Hyperlink"/>
            <w:noProof/>
          </w:rPr>
          <w:t>ES inovacijų politikos sistema ir kaimo plėtros politika</w:t>
        </w:r>
        <w:r w:rsidR="00400614">
          <w:rPr>
            <w:noProof/>
            <w:webHidden/>
          </w:rPr>
          <w:tab/>
        </w:r>
        <w:r w:rsidR="00400614">
          <w:rPr>
            <w:noProof/>
            <w:webHidden/>
          </w:rPr>
          <w:fldChar w:fldCharType="begin"/>
        </w:r>
        <w:r w:rsidR="00400614">
          <w:rPr>
            <w:noProof/>
            <w:webHidden/>
          </w:rPr>
          <w:instrText xml:space="preserve"> PAGEREF _Toc508976520 \h </w:instrText>
        </w:r>
        <w:r w:rsidR="00400614">
          <w:rPr>
            <w:noProof/>
            <w:webHidden/>
          </w:rPr>
        </w:r>
        <w:r w:rsidR="00400614">
          <w:rPr>
            <w:noProof/>
            <w:webHidden/>
          </w:rPr>
          <w:fldChar w:fldCharType="separate"/>
        </w:r>
        <w:r w:rsidR="00DD2637">
          <w:rPr>
            <w:noProof/>
            <w:webHidden/>
          </w:rPr>
          <w:t>9</w:t>
        </w:r>
        <w:r w:rsidR="00400614">
          <w:rPr>
            <w:noProof/>
            <w:webHidden/>
          </w:rPr>
          <w:fldChar w:fldCharType="end"/>
        </w:r>
      </w:hyperlink>
    </w:p>
    <w:p w:rsidR="00400614" w:rsidRDefault="007C6E17">
      <w:pPr>
        <w:pStyle w:val="TOC3"/>
        <w:tabs>
          <w:tab w:val="right" w:leader="dot" w:pos="9040"/>
        </w:tabs>
        <w:rPr>
          <w:rFonts w:asciiTheme="minorHAnsi" w:eastAsiaTheme="minorEastAsia" w:hAnsiTheme="minorHAnsi"/>
          <w:noProof/>
          <w:color w:val="auto"/>
          <w:sz w:val="22"/>
          <w:lang w:val="en-GB" w:eastAsia="en-GB"/>
        </w:rPr>
      </w:pPr>
      <w:hyperlink w:anchor="_Toc508976521" w:history="1">
        <w:r w:rsidR="00400614" w:rsidRPr="00F412E2">
          <w:rPr>
            <w:rStyle w:val="Hyperlink"/>
            <w:noProof/>
          </w:rPr>
          <w:t>1.2.2</w:t>
        </w:r>
        <w:r w:rsidR="00400614">
          <w:rPr>
            <w:rFonts w:asciiTheme="minorHAnsi" w:eastAsiaTheme="minorEastAsia" w:hAnsiTheme="minorHAnsi"/>
            <w:noProof/>
            <w:color w:val="auto"/>
            <w:sz w:val="22"/>
            <w:lang w:val="en-GB" w:eastAsia="en-GB"/>
          </w:rPr>
          <w:tab/>
        </w:r>
        <w:r w:rsidR="00400614" w:rsidRPr="00F412E2">
          <w:rPr>
            <w:rStyle w:val="Hyperlink"/>
            <w:noProof/>
          </w:rPr>
          <w:t>Bendrieji inovacijų vertinimo elementai</w:t>
        </w:r>
        <w:r w:rsidR="00400614">
          <w:rPr>
            <w:noProof/>
            <w:webHidden/>
          </w:rPr>
          <w:tab/>
        </w:r>
        <w:r w:rsidR="00400614">
          <w:rPr>
            <w:noProof/>
            <w:webHidden/>
          </w:rPr>
          <w:fldChar w:fldCharType="begin"/>
        </w:r>
        <w:r w:rsidR="00400614">
          <w:rPr>
            <w:noProof/>
            <w:webHidden/>
          </w:rPr>
          <w:instrText xml:space="preserve"> PAGEREF _Toc508976521 \h </w:instrText>
        </w:r>
        <w:r w:rsidR="00400614">
          <w:rPr>
            <w:noProof/>
            <w:webHidden/>
          </w:rPr>
        </w:r>
        <w:r w:rsidR="00400614">
          <w:rPr>
            <w:noProof/>
            <w:webHidden/>
          </w:rPr>
          <w:fldChar w:fldCharType="separate"/>
        </w:r>
        <w:r w:rsidR="00DD2637">
          <w:rPr>
            <w:noProof/>
            <w:webHidden/>
          </w:rPr>
          <w:t>12</w:t>
        </w:r>
        <w:r w:rsidR="00400614">
          <w:rPr>
            <w:noProof/>
            <w:webHidden/>
          </w:rPr>
          <w:fldChar w:fldCharType="end"/>
        </w:r>
      </w:hyperlink>
    </w:p>
    <w:p w:rsidR="00400614" w:rsidRDefault="007C6E17" w:rsidP="00E540C7">
      <w:pPr>
        <w:pStyle w:val="TOC2"/>
        <w:rPr>
          <w:rFonts w:asciiTheme="minorHAnsi" w:eastAsiaTheme="minorEastAsia" w:hAnsiTheme="minorHAnsi"/>
          <w:noProof/>
          <w:color w:val="auto"/>
          <w:sz w:val="22"/>
          <w:lang w:val="en-GB" w:eastAsia="en-GB"/>
        </w:rPr>
      </w:pPr>
      <w:hyperlink w:anchor="_Toc508976522" w:history="1">
        <w:r w:rsidR="00400614" w:rsidRPr="00F412E2">
          <w:rPr>
            <w:rStyle w:val="Hyperlink"/>
            <w:noProof/>
          </w:rPr>
          <w:t>1.3</w:t>
        </w:r>
        <w:r w:rsidR="00400614">
          <w:rPr>
            <w:rFonts w:asciiTheme="minorHAnsi" w:eastAsiaTheme="minorEastAsia" w:hAnsiTheme="minorHAnsi"/>
            <w:noProof/>
            <w:color w:val="auto"/>
            <w:sz w:val="22"/>
            <w:lang w:val="en-GB" w:eastAsia="en-GB"/>
          </w:rPr>
          <w:tab/>
        </w:r>
        <w:r w:rsidR="00400614" w:rsidRPr="00F412E2">
          <w:rPr>
            <w:rStyle w:val="Hyperlink"/>
            <w:noProof/>
          </w:rPr>
          <w:t>Inovacijų vertinimo iššūkiai</w:t>
        </w:r>
        <w:r w:rsidR="00400614">
          <w:rPr>
            <w:noProof/>
            <w:webHidden/>
          </w:rPr>
          <w:tab/>
        </w:r>
        <w:r w:rsidR="00400614">
          <w:rPr>
            <w:noProof/>
            <w:webHidden/>
          </w:rPr>
          <w:fldChar w:fldCharType="begin"/>
        </w:r>
        <w:r w:rsidR="00400614">
          <w:rPr>
            <w:noProof/>
            <w:webHidden/>
          </w:rPr>
          <w:instrText xml:space="preserve"> PAGEREF _Toc508976522 \h </w:instrText>
        </w:r>
        <w:r w:rsidR="00400614">
          <w:rPr>
            <w:noProof/>
            <w:webHidden/>
          </w:rPr>
        </w:r>
        <w:r w:rsidR="00400614">
          <w:rPr>
            <w:noProof/>
            <w:webHidden/>
          </w:rPr>
          <w:fldChar w:fldCharType="separate"/>
        </w:r>
        <w:r w:rsidR="00DD2637">
          <w:rPr>
            <w:noProof/>
            <w:webHidden/>
          </w:rPr>
          <w:t>14</w:t>
        </w:r>
        <w:r w:rsidR="00400614">
          <w:rPr>
            <w:noProof/>
            <w:webHidden/>
          </w:rPr>
          <w:fldChar w:fldCharType="end"/>
        </w:r>
      </w:hyperlink>
    </w:p>
    <w:p w:rsidR="00400614" w:rsidRDefault="007C6E17">
      <w:pPr>
        <w:pStyle w:val="TOC1"/>
        <w:tabs>
          <w:tab w:val="right" w:leader="dot" w:pos="9040"/>
        </w:tabs>
        <w:rPr>
          <w:rFonts w:asciiTheme="minorHAnsi" w:eastAsiaTheme="minorEastAsia" w:hAnsiTheme="minorHAnsi"/>
          <w:b w:val="0"/>
          <w:caps w:val="0"/>
          <w:noProof/>
          <w:color w:val="auto"/>
          <w:sz w:val="22"/>
          <w:lang w:val="en-GB" w:eastAsia="en-GB"/>
        </w:rPr>
      </w:pPr>
      <w:hyperlink w:anchor="_Toc508976523" w:history="1">
        <w:r w:rsidR="00400614" w:rsidRPr="00F412E2">
          <w:rPr>
            <w:rStyle w:val="Hyperlink"/>
            <w:noProof/>
          </w:rPr>
          <w:t>2.</w:t>
        </w:r>
        <w:r w:rsidR="00400614">
          <w:rPr>
            <w:rFonts w:asciiTheme="minorHAnsi" w:eastAsiaTheme="minorEastAsia" w:hAnsiTheme="minorHAnsi"/>
            <w:b w:val="0"/>
            <w:caps w:val="0"/>
            <w:noProof/>
            <w:color w:val="auto"/>
            <w:sz w:val="22"/>
            <w:lang w:val="en-GB" w:eastAsia="en-GB"/>
          </w:rPr>
          <w:tab/>
        </w:r>
        <w:r w:rsidR="00400614" w:rsidRPr="00F412E2">
          <w:rPr>
            <w:rStyle w:val="Hyperlink"/>
            <w:noProof/>
          </w:rPr>
          <w:t>Kaip įvertinti inovacijas kaimo plėtros programose (KPP)?</w:t>
        </w:r>
        <w:r w:rsidR="00400614">
          <w:rPr>
            <w:noProof/>
            <w:webHidden/>
          </w:rPr>
          <w:tab/>
        </w:r>
        <w:r w:rsidR="00400614">
          <w:rPr>
            <w:noProof/>
            <w:webHidden/>
          </w:rPr>
          <w:fldChar w:fldCharType="begin"/>
        </w:r>
        <w:r w:rsidR="00400614">
          <w:rPr>
            <w:noProof/>
            <w:webHidden/>
          </w:rPr>
          <w:instrText xml:space="preserve"> PAGEREF _Toc508976523 \h </w:instrText>
        </w:r>
        <w:r w:rsidR="00400614">
          <w:rPr>
            <w:noProof/>
            <w:webHidden/>
          </w:rPr>
        </w:r>
        <w:r w:rsidR="00400614">
          <w:rPr>
            <w:noProof/>
            <w:webHidden/>
          </w:rPr>
          <w:fldChar w:fldCharType="separate"/>
        </w:r>
        <w:r w:rsidR="00DD2637">
          <w:rPr>
            <w:noProof/>
            <w:webHidden/>
          </w:rPr>
          <w:t>15</w:t>
        </w:r>
        <w:r w:rsidR="00400614">
          <w:rPr>
            <w:noProof/>
            <w:webHidden/>
          </w:rPr>
          <w:fldChar w:fldCharType="end"/>
        </w:r>
      </w:hyperlink>
    </w:p>
    <w:p w:rsidR="00400614" w:rsidRDefault="007C6E17" w:rsidP="00E540C7">
      <w:pPr>
        <w:pStyle w:val="TOC2"/>
        <w:rPr>
          <w:rFonts w:asciiTheme="minorHAnsi" w:eastAsiaTheme="minorEastAsia" w:hAnsiTheme="minorHAnsi"/>
          <w:noProof/>
          <w:color w:val="auto"/>
          <w:sz w:val="22"/>
          <w:lang w:val="en-GB" w:eastAsia="en-GB"/>
        </w:rPr>
      </w:pPr>
      <w:hyperlink w:anchor="_Toc508976524" w:history="1">
        <w:r w:rsidR="00400614" w:rsidRPr="00F412E2">
          <w:rPr>
            <w:rStyle w:val="Hyperlink"/>
            <w:noProof/>
          </w:rPr>
          <w:t>2.1</w:t>
        </w:r>
        <w:r w:rsidR="00400614">
          <w:rPr>
            <w:rFonts w:asciiTheme="minorHAnsi" w:eastAsiaTheme="minorEastAsia" w:hAnsiTheme="minorHAnsi"/>
            <w:noProof/>
            <w:color w:val="auto"/>
            <w:sz w:val="22"/>
            <w:lang w:val="en-GB" w:eastAsia="en-GB"/>
          </w:rPr>
          <w:tab/>
        </w:r>
        <w:r w:rsidR="00400614" w:rsidRPr="00F412E2">
          <w:rPr>
            <w:rStyle w:val="Hyperlink"/>
            <w:noProof/>
          </w:rPr>
          <w:t>Siūlomas inovacijų 2014–2020 m. kaimo plėtros programose (KPP) vertinimo metodas (apžvalga)</w:t>
        </w:r>
        <w:r w:rsidR="00400614">
          <w:rPr>
            <w:noProof/>
            <w:webHidden/>
          </w:rPr>
          <w:tab/>
        </w:r>
        <w:r w:rsidR="00400614">
          <w:rPr>
            <w:noProof/>
            <w:webHidden/>
          </w:rPr>
          <w:fldChar w:fldCharType="begin"/>
        </w:r>
        <w:r w:rsidR="00400614">
          <w:rPr>
            <w:noProof/>
            <w:webHidden/>
          </w:rPr>
          <w:instrText xml:space="preserve"> PAGEREF _Toc508976524 \h </w:instrText>
        </w:r>
        <w:r w:rsidR="00400614">
          <w:rPr>
            <w:noProof/>
            <w:webHidden/>
          </w:rPr>
        </w:r>
        <w:r w:rsidR="00400614">
          <w:rPr>
            <w:noProof/>
            <w:webHidden/>
          </w:rPr>
          <w:fldChar w:fldCharType="separate"/>
        </w:r>
        <w:r w:rsidR="00DD2637">
          <w:rPr>
            <w:noProof/>
            <w:webHidden/>
          </w:rPr>
          <w:t>15</w:t>
        </w:r>
        <w:r w:rsidR="00400614">
          <w:rPr>
            <w:noProof/>
            <w:webHidden/>
          </w:rPr>
          <w:fldChar w:fldCharType="end"/>
        </w:r>
      </w:hyperlink>
    </w:p>
    <w:p w:rsidR="00400614" w:rsidRDefault="007C6E17" w:rsidP="00E540C7">
      <w:pPr>
        <w:pStyle w:val="TOC2"/>
        <w:rPr>
          <w:rFonts w:asciiTheme="minorHAnsi" w:eastAsiaTheme="minorEastAsia" w:hAnsiTheme="minorHAnsi"/>
          <w:noProof/>
          <w:color w:val="auto"/>
          <w:sz w:val="22"/>
          <w:lang w:val="en-GB" w:eastAsia="en-GB"/>
        </w:rPr>
      </w:pPr>
      <w:hyperlink w:anchor="_Toc508976525" w:history="1">
        <w:r w:rsidR="00400614" w:rsidRPr="00F412E2">
          <w:rPr>
            <w:rStyle w:val="Hyperlink"/>
            <w:noProof/>
          </w:rPr>
          <w:t>2.2</w:t>
        </w:r>
        <w:r w:rsidR="00400614">
          <w:rPr>
            <w:rFonts w:asciiTheme="minorHAnsi" w:eastAsiaTheme="minorEastAsia" w:hAnsiTheme="minorHAnsi"/>
            <w:noProof/>
            <w:color w:val="auto"/>
            <w:sz w:val="22"/>
            <w:lang w:val="en-GB" w:eastAsia="en-GB"/>
          </w:rPr>
          <w:tab/>
        </w:r>
        <w:r w:rsidR="00400614" w:rsidRPr="00F412E2">
          <w:rPr>
            <w:rStyle w:val="Hyperlink"/>
            <w:noProof/>
          </w:rPr>
          <w:t>KPP priemonių / pagalbinių priemonių inovacijų skatinimo potencialo analizė (rekomenduojama)</w:t>
        </w:r>
        <w:r w:rsidR="00400614">
          <w:rPr>
            <w:noProof/>
            <w:webHidden/>
          </w:rPr>
          <w:tab/>
        </w:r>
        <w:r w:rsidR="00400614">
          <w:rPr>
            <w:noProof/>
            <w:webHidden/>
          </w:rPr>
          <w:fldChar w:fldCharType="begin"/>
        </w:r>
        <w:r w:rsidR="00400614">
          <w:rPr>
            <w:noProof/>
            <w:webHidden/>
          </w:rPr>
          <w:instrText xml:space="preserve"> PAGEREF _Toc508976525 \h </w:instrText>
        </w:r>
        <w:r w:rsidR="00400614">
          <w:rPr>
            <w:noProof/>
            <w:webHidden/>
          </w:rPr>
        </w:r>
        <w:r w:rsidR="00400614">
          <w:rPr>
            <w:noProof/>
            <w:webHidden/>
          </w:rPr>
          <w:fldChar w:fldCharType="separate"/>
        </w:r>
        <w:r w:rsidR="00DD2637">
          <w:rPr>
            <w:noProof/>
            <w:webHidden/>
          </w:rPr>
          <w:t>18</w:t>
        </w:r>
        <w:r w:rsidR="00400614">
          <w:rPr>
            <w:noProof/>
            <w:webHidden/>
          </w:rPr>
          <w:fldChar w:fldCharType="end"/>
        </w:r>
      </w:hyperlink>
    </w:p>
    <w:p w:rsidR="00400614" w:rsidRDefault="007C6E17" w:rsidP="00E540C7">
      <w:pPr>
        <w:pStyle w:val="TOC2"/>
        <w:rPr>
          <w:rFonts w:asciiTheme="minorHAnsi" w:eastAsiaTheme="minorEastAsia" w:hAnsiTheme="minorHAnsi"/>
          <w:noProof/>
          <w:color w:val="auto"/>
          <w:sz w:val="22"/>
          <w:lang w:val="en-GB" w:eastAsia="en-GB"/>
        </w:rPr>
      </w:pPr>
      <w:hyperlink w:anchor="_Toc508976526" w:history="1">
        <w:r w:rsidR="00400614" w:rsidRPr="00F412E2">
          <w:rPr>
            <w:rStyle w:val="Hyperlink"/>
            <w:noProof/>
          </w:rPr>
          <w:t>2.3</w:t>
        </w:r>
        <w:r w:rsidR="00400614">
          <w:rPr>
            <w:rFonts w:asciiTheme="minorHAnsi" w:eastAsiaTheme="minorEastAsia" w:hAnsiTheme="minorHAnsi"/>
            <w:noProof/>
            <w:color w:val="auto"/>
            <w:sz w:val="22"/>
            <w:lang w:val="en-GB" w:eastAsia="en-GB"/>
          </w:rPr>
          <w:tab/>
        </w:r>
        <w:r w:rsidR="00400614" w:rsidRPr="00F412E2">
          <w:rPr>
            <w:rStyle w:val="Hyperlink"/>
            <w:noProof/>
          </w:rPr>
          <w:t>Bendrųjų inovacijų vertinimo elementų papildymas (rekomenduojama)</w:t>
        </w:r>
        <w:r w:rsidR="00400614">
          <w:rPr>
            <w:noProof/>
            <w:webHidden/>
          </w:rPr>
          <w:tab/>
        </w:r>
        <w:r w:rsidR="00400614">
          <w:rPr>
            <w:noProof/>
            <w:webHidden/>
          </w:rPr>
          <w:fldChar w:fldCharType="begin"/>
        </w:r>
        <w:r w:rsidR="00400614">
          <w:rPr>
            <w:noProof/>
            <w:webHidden/>
          </w:rPr>
          <w:instrText xml:space="preserve"> PAGEREF _Toc508976526 \h </w:instrText>
        </w:r>
        <w:r w:rsidR="00400614">
          <w:rPr>
            <w:noProof/>
            <w:webHidden/>
          </w:rPr>
        </w:r>
        <w:r w:rsidR="00400614">
          <w:rPr>
            <w:noProof/>
            <w:webHidden/>
          </w:rPr>
          <w:fldChar w:fldCharType="separate"/>
        </w:r>
        <w:r w:rsidR="00DD2637">
          <w:rPr>
            <w:noProof/>
            <w:webHidden/>
          </w:rPr>
          <w:t>21</w:t>
        </w:r>
        <w:r w:rsidR="00400614">
          <w:rPr>
            <w:noProof/>
            <w:webHidden/>
          </w:rPr>
          <w:fldChar w:fldCharType="end"/>
        </w:r>
      </w:hyperlink>
    </w:p>
    <w:p w:rsidR="00400614" w:rsidRDefault="007C6E17" w:rsidP="00E540C7">
      <w:pPr>
        <w:pStyle w:val="TOC2"/>
        <w:rPr>
          <w:rFonts w:asciiTheme="minorHAnsi" w:eastAsiaTheme="minorEastAsia" w:hAnsiTheme="minorHAnsi"/>
          <w:noProof/>
          <w:color w:val="auto"/>
          <w:sz w:val="22"/>
          <w:lang w:val="en-GB" w:eastAsia="en-GB"/>
        </w:rPr>
      </w:pPr>
      <w:hyperlink w:anchor="_Toc508976527" w:history="1">
        <w:r w:rsidR="00400614" w:rsidRPr="00F412E2">
          <w:rPr>
            <w:rStyle w:val="Hyperlink"/>
            <w:noProof/>
            <w:snapToGrid w:val="0"/>
          </w:rPr>
          <w:t>2.4</w:t>
        </w:r>
        <w:r w:rsidR="00400614">
          <w:rPr>
            <w:rFonts w:asciiTheme="minorHAnsi" w:eastAsiaTheme="minorEastAsia" w:hAnsiTheme="minorHAnsi"/>
            <w:noProof/>
            <w:color w:val="auto"/>
            <w:sz w:val="22"/>
            <w:lang w:val="en-GB" w:eastAsia="en-GB"/>
          </w:rPr>
          <w:tab/>
        </w:r>
        <w:r w:rsidR="00400614" w:rsidRPr="00F412E2">
          <w:rPr>
            <w:rStyle w:val="Hyperlink"/>
            <w:noProof/>
          </w:rPr>
          <w:t>Atsakymas į svarbius bendruosius vertinimo klausimus (privaloma)</w:t>
        </w:r>
        <w:r w:rsidR="00400614">
          <w:rPr>
            <w:noProof/>
            <w:webHidden/>
          </w:rPr>
          <w:tab/>
        </w:r>
        <w:r w:rsidR="00400614">
          <w:rPr>
            <w:noProof/>
            <w:webHidden/>
          </w:rPr>
          <w:fldChar w:fldCharType="begin"/>
        </w:r>
        <w:r w:rsidR="00400614">
          <w:rPr>
            <w:noProof/>
            <w:webHidden/>
          </w:rPr>
          <w:instrText xml:space="preserve"> PAGEREF _Toc508976527 \h </w:instrText>
        </w:r>
        <w:r w:rsidR="00400614">
          <w:rPr>
            <w:noProof/>
            <w:webHidden/>
          </w:rPr>
        </w:r>
        <w:r w:rsidR="00400614">
          <w:rPr>
            <w:noProof/>
            <w:webHidden/>
          </w:rPr>
          <w:fldChar w:fldCharType="separate"/>
        </w:r>
        <w:r w:rsidR="00DD2637">
          <w:rPr>
            <w:noProof/>
            <w:webHidden/>
          </w:rPr>
          <w:t>22</w:t>
        </w:r>
        <w:r w:rsidR="00400614">
          <w:rPr>
            <w:noProof/>
            <w:webHidden/>
          </w:rPr>
          <w:fldChar w:fldCharType="end"/>
        </w:r>
      </w:hyperlink>
    </w:p>
    <w:p w:rsidR="00400614" w:rsidRDefault="007C6E17">
      <w:pPr>
        <w:pStyle w:val="TOC3"/>
        <w:tabs>
          <w:tab w:val="right" w:leader="dot" w:pos="9040"/>
        </w:tabs>
        <w:rPr>
          <w:rFonts w:asciiTheme="minorHAnsi" w:eastAsiaTheme="minorEastAsia" w:hAnsiTheme="minorHAnsi"/>
          <w:noProof/>
          <w:color w:val="auto"/>
          <w:sz w:val="22"/>
          <w:lang w:val="en-GB" w:eastAsia="en-GB"/>
        </w:rPr>
      </w:pPr>
      <w:hyperlink w:anchor="_Toc508976528" w:history="1">
        <w:r w:rsidR="00400614" w:rsidRPr="00F412E2">
          <w:rPr>
            <w:rStyle w:val="Hyperlink"/>
            <w:noProof/>
          </w:rPr>
          <w:t>2.4.1</w:t>
        </w:r>
        <w:r w:rsidR="00400614">
          <w:rPr>
            <w:rFonts w:asciiTheme="minorHAnsi" w:eastAsiaTheme="minorEastAsia" w:hAnsiTheme="minorHAnsi"/>
            <w:noProof/>
            <w:color w:val="auto"/>
            <w:sz w:val="22"/>
            <w:lang w:val="en-GB" w:eastAsia="en-GB"/>
          </w:rPr>
          <w:tab/>
        </w:r>
        <w:r w:rsidR="00400614" w:rsidRPr="00F412E2">
          <w:rPr>
            <w:rStyle w:val="Hyperlink"/>
            <w:noProof/>
          </w:rPr>
          <w:t>1-asis BVK. „Kiek pagal kaimo plėtros programą vykdant intervencijas paremtos inovacijos, bendradarbiavimas ir žinių bazės plėtojimas kaimo vietovėse?“</w:t>
        </w:r>
        <w:r w:rsidR="00400614">
          <w:rPr>
            <w:noProof/>
            <w:webHidden/>
          </w:rPr>
          <w:tab/>
        </w:r>
        <w:r w:rsidR="00400614">
          <w:rPr>
            <w:noProof/>
            <w:webHidden/>
          </w:rPr>
          <w:fldChar w:fldCharType="begin"/>
        </w:r>
        <w:r w:rsidR="00400614">
          <w:rPr>
            <w:noProof/>
            <w:webHidden/>
          </w:rPr>
          <w:instrText xml:space="preserve"> PAGEREF _Toc508976528 \h </w:instrText>
        </w:r>
        <w:r w:rsidR="00400614">
          <w:rPr>
            <w:noProof/>
            <w:webHidden/>
          </w:rPr>
        </w:r>
        <w:r w:rsidR="00400614">
          <w:rPr>
            <w:noProof/>
            <w:webHidden/>
          </w:rPr>
          <w:fldChar w:fldCharType="separate"/>
        </w:r>
        <w:r w:rsidR="00DD2637">
          <w:rPr>
            <w:noProof/>
            <w:webHidden/>
          </w:rPr>
          <w:t>23</w:t>
        </w:r>
        <w:r w:rsidR="00400614">
          <w:rPr>
            <w:noProof/>
            <w:webHidden/>
          </w:rPr>
          <w:fldChar w:fldCharType="end"/>
        </w:r>
      </w:hyperlink>
    </w:p>
    <w:p w:rsidR="00400614" w:rsidRDefault="007C6E17">
      <w:pPr>
        <w:pStyle w:val="TOC3"/>
        <w:tabs>
          <w:tab w:val="right" w:leader="dot" w:pos="9040"/>
        </w:tabs>
        <w:rPr>
          <w:rFonts w:asciiTheme="minorHAnsi" w:eastAsiaTheme="minorEastAsia" w:hAnsiTheme="minorHAnsi"/>
          <w:noProof/>
          <w:color w:val="auto"/>
          <w:sz w:val="22"/>
          <w:lang w:val="en-GB" w:eastAsia="en-GB"/>
        </w:rPr>
      </w:pPr>
      <w:hyperlink w:anchor="_Toc508976529" w:history="1">
        <w:r w:rsidR="00400614" w:rsidRPr="00F412E2">
          <w:rPr>
            <w:rStyle w:val="Hyperlink"/>
            <w:noProof/>
          </w:rPr>
          <w:t>2.4.2</w:t>
        </w:r>
        <w:r w:rsidR="00400614">
          <w:rPr>
            <w:rFonts w:asciiTheme="minorHAnsi" w:eastAsiaTheme="minorEastAsia" w:hAnsiTheme="minorHAnsi"/>
            <w:noProof/>
            <w:color w:val="auto"/>
            <w:sz w:val="22"/>
            <w:lang w:val="en-GB" w:eastAsia="en-GB"/>
          </w:rPr>
          <w:tab/>
        </w:r>
        <w:r w:rsidR="00400614" w:rsidRPr="00F412E2">
          <w:rPr>
            <w:rStyle w:val="Hyperlink"/>
            <w:noProof/>
          </w:rPr>
          <w:t>2-asis BVK. „Kiek pagal KPP vykdant intervencijas paremtas žemės ūkio, maisto produktų gamybos bei miškininkystės ir mokslinių tyrimų bei inovacijų ryšių stiprinimas, be kita ko, siekiant geresnio aplinkosaugos valdymo ir aplinkosauginio veiksmingumo?“</w:t>
        </w:r>
        <w:r w:rsidR="00400614">
          <w:rPr>
            <w:noProof/>
            <w:webHidden/>
          </w:rPr>
          <w:tab/>
        </w:r>
        <w:r w:rsidR="00400614">
          <w:rPr>
            <w:noProof/>
            <w:webHidden/>
          </w:rPr>
          <w:fldChar w:fldCharType="begin"/>
        </w:r>
        <w:r w:rsidR="00400614">
          <w:rPr>
            <w:noProof/>
            <w:webHidden/>
          </w:rPr>
          <w:instrText xml:space="preserve"> PAGEREF _Toc508976529 \h </w:instrText>
        </w:r>
        <w:r w:rsidR="00400614">
          <w:rPr>
            <w:noProof/>
            <w:webHidden/>
          </w:rPr>
        </w:r>
        <w:r w:rsidR="00400614">
          <w:rPr>
            <w:noProof/>
            <w:webHidden/>
          </w:rPr>
          <w:fldChar w:fldCharType="separate"/>
        </w:r>
        <w:r w:rsidR="00DD2637">
          <w:rPr>
            <w:noProof/>
            <w:webHidden/>
          </w:rPr>
          <w:t>32</w:t>
        </w:r>
        <w:r w:rsidR="00400614">
          <w:rPr>
            <w:noProof/>
            <w:webHidden/>
          </w:rPr>
          <w:fldChar w:fldCharType="end"/>
        </w:r>
      </w:hyperlink>
    </w:p>
    <w:p w:rsidR="00400614" w:rsidRDefault="007C6E17">
      <w:pPr>
        <w:pStyle w:val="TOC3"/>
        <w:tabs>
          <w:tab w:val="right" w:leader="dot" w:pos="9040"/>
        </w:tabs>
        <w:rPr>
          <w:rFonts w:asciiTheme="minorHAnsi" w:eastAsiaTheme="minorEastAsia" w:hAnsiTheme="minorHAnsi"/>
          <w:noProof/>
          <w:color w:val="auto"/>
          <w:sz w:val="22"/>
          <w:lang w:val="en-GB" w:eastAsia="en-GB"/>
        </w:rPr>
      </w:pPr>
      <w:hyperlink w:anchor="_Toc508976530" w:history="1">
        <w:r w:rsidR="00400614" w:rsidRPr="00F412E2">
          <w:rPr>
            <w:rStyle w:val="Hyperlink"/>
            <w:noProof/>
          </w:rPr>
          <w:t>2.4.3</w:t>
        </w:r>
        <w:r w:rsidR="00400614">
          <w:rPr>
            <w:rFonts w:asciiTheme="minorHAnsi" w:eastAsiaTheme="minorEastAsia" w:hAnsiTheme="minorHAnsi"/>
            <w:noProof/>
            <w:color w:val="auto"/>
            <w:sz w:val="22"/>
            <w:lang w:val="en-GB" w:eastAsia="en-GB"/>
          </w:rPr>
          <w:tab/>
        </w:r>
        <w:r w:rsidR="00400614" w:rsidRPr="00F412E2">
          <w:rPr>
            <w:rStyle w:val="Hyperlink"/>
            <w:noProof/>
          </w:rPr>
          <w:t>21-asis BVK. „Kiek nacionalinis kaimo tinklas padėjo įgyvendinti Reglamento (ES) Nr. 1305/2013 54 straipsnio 2 dalyje nustatytus tikslus?“</w:t>
        </w:r>
        <w:r w:rsidR="00400614">
          <w:rPr>
            <w:noProof/>
            <w:webHidden/>
          </w:rPr>
          <w:tab/>
        </w:r>
        <w:r w:rsidR="00400614">
          <w:rPr>
            <w:noProof/>
            <w:webHidden/>
          </w:rPr>
          <w:fldChar w:fldCharType="begin"/>
        </w:r>
        <w:r w:rsidR="00400614">
          <w:rPr>
            <w:noProof/>
            <w:webHidden/>
          </w:rPr>
          <w:instrText xml:space="preserve"> PAGEREF _Toc508976530 \h </w:instrText>
        </w:r>
        <w:r w:rsidR="00400614">
          <w:rPr>
            <w:noProof/>
            <w:webHidden/>
          </w:rPr>
        </w:r>
        <w:r w:rsidR="00400614">
          <w:rPr>
            <w:noProof/>
            <w:webHidden/>
          </w:rPr>
          <w:fldChar w:fldCharType="separate"/>
        </w:r>
        <w:r w:rsidR="00DD2637">
          <w:rPr>
            <w:noProof/>
            <w:webHidden/>
          </w:rPr>
          <w:t>40</w:t>
        </w:r>
        <w:r w:rsidR="00400614">
          <w:rPr>
            <w:noProof/>
            <w:webHidden/>
          </w:rPr>
          <w:fldChar w:fldCharType="end"/>
        </w:r>
      </w:hyperlink>
    </w:p>
    <w:p w:rsidR="00400614" w:rsidRDefault="007C6E17">
      <w:pPr>
        <w:pStyle w:val="TOC3"/>
        <w:tabs>
          <w:tab w:val="right" w:leader="dot" w:pos="9040"/>
        </w:tabs>
        <w:rPr>
          <w:rFonts w:asciiTheme="minorHAnsi" w:eastAsiaTheme="minorEastAsia" w:hAnsiTheme="minorHAnsi"/>
          <w:noProof/>
          <w:color w:val="auto"/>
          <w:sz w:val="22"/>
          <w:lang w:val="en-GB" w:eastAsia="en-GB"/>
        </w:rPr>
      </w:pPr>
      <w:hyperlink w:anchor="_Toc508976531" w:history="1">
        <w:r w:rsidR="00400614" w:rsidRPr="00F412E2">
          <w:rPr>
            <w:rStyle w:val="Hyperlink"/>
            <w:noProof/>
          </w:rPr>
          <w:t>2.4.4</w:t>
        </w:r>
        <w:r w:rsidR="00400614">
          <w:rPr>
            <w:rFonts w:asciiTheme="minorHAnsi" w:eastAsiaTheme="minorEastAsia" w:hAnsiTheme="minorHAnsi"/>
            <w:noProof/>
            <w:color w:val="auto"/>
            <w:sz w:val="22"/>
            <w:lang w:val="en-GB" w:eastAsia="en-GB"/>
          </w:rPr>
          <w:tab/>
        </w:r>
        <w:r w:rsidR="00400614" w:rsidRPr="00F412E2">
          <w:rPr>
            <w:rStyle w:val="Hyperlink"/>
            <w:noProof/>
          </w:rPr>
          <w:t>23-asis BVK. „Kiek KPP padėjo siekti pagrindinio strategijos „Europa 2020“ tikslo – investuoti 3 proc. bendrojo ES vidaus produkto (BVP) į mokslinius tyrimus ir technologinę plėtrą bei inovacijas?“</w:t>
        </w:r>
        <w:r w:rsidR="00400614">
          <w:rPr>
            <w:noProof/>
            <w:webHidden/>
          </w:rPr>
          <w:tab/>
        </w:r>
        <w:r w:rsidR="00400614">
          <w:rPr>
            <w:noProof/>
            <w:webHidden/>
          </w:rPr>
          <w:fldChar w:fldCharType="begin"/>
        </w:r>
        <w:r w:rsidR="00400614">
          <w:rPr>
            <w:noProof/>
            <w:webHidden/>
          </w:rPr>
          <w:instrText xml:space="preserve"> PAGEREF _Toc508976531 \h </w:instrText>
        </w:r>
        <w:r w:rsidR="00400614">
          <w:rPr>
            <w:noProof/>
            <w:webHidden/>
          </w:rPr>
        </w:r>
        <w:r w:rsidR="00400614">
          <w:rPr>
            <w:noProof/>
            <w:webHidden/>
          </w:rPr>
          <w:fldChar w:fldCharType="separate"/>
        </w:r>
        <w:r w:rsidR="00DD2637">
          <w:rPr>
            <w:noProof/>
            <w:webHidden/>
          </w:rPr>
          <w:t>51</w:t>
        </w:r>
        <w:r w:rsidR="00400614">
          <w:rPr>
            <w:noProof/>
            <w:webHidden/>
          </w:rPr>
          <w:fldChar w:fldCharType="end"/>
        </w:r>
      </w:hyperlink>
    </w:p>
    <w:p w:rsidR="00400614" w:rsidRDefault="007C6E17">
      <w:pPr>
        <w:pStyle w:val="TOC3"/>
        <w:tabs>
          <w:tab w:val="right" w:leader="dot" w:pos="9040"/>
        </w:tabs>
        <w:rPr>
          <w:rFonts w:asciiTheme="minorHAnsi" w:eastAsiaTheme="minorEastAsia" w:hAnsiTheme="minorHAnsi"/>
          <w:noProof/>
          <w:color w:val="auto"/>
          <w:sz w:val="22"/>
          <w:lang w:val="en-GB" w:eastAsia="en-GB"/>
        </w:rPr>
      </w:pPr>
      <w:hyperlink w:anchor="_Toc508976532" w:history="1">
        <w:r w:rsidR="00400614" w:rsidRPr="00F412E2">
          <w:rPr>
            <w:rStyle w:val="Hyperlink"/>
            <w:noProof/>
          </w:rPr>
          <w:t>2.4.5</w:t>
        </w:r>
        <w:r w:rsidR="00400614">
          <w:rPr>
            <w:rFonts w:asciiTheme="minorHAnsi" w:eastAsiaTheme="minorEastAsia" w:hAnsiTheme="minorHAnsi"/>
            <w:noProof/>
            <w:color w:val="auto"/>
            <w:sz w:val="22"/>
            <w:lang w:val="en-GB" w:eastAsia="en-GB"/>
          </w:rPr>
          <w:tab/>
        </w:r>
        <w:r w:rsidR="00400614" w:rsidRPr="00F412E2">
          <w:rPr>
            <w:rStyle w:val="Hyperlink"/>
            <w:noProof/>
          </w:rPr>
          <w:t>30-asis BVK. „Kiek pagal KPP vykdant intervencijas prisidėta prie inovacijų skatinimo?“</w:t>
        </w:r>
        <w:r w:rsidR="00400614">
          <w:rPr>
            <w:noProof/>
            <w:webHidden/>
          </w:rPr>
          <w:tab/>
        </w:r>
        <w:r w:rsidR="00400614">
          <w:rPr>
            <w:noProof/>
            <w:webHidden/>
          </w:rPr>
          <w:fldChar w:fldCharType="begin"/>
        </w:r>
        <w:r w:rsidR="00400614">
          <w:rPr>
            <w:noProof/>
            <w:webHidden/>
          </w:rPr>
          <w:instrText xml:space="preserve"> PAGEREF _Toc508976532 \h </w:instrText>
        </w:r>
        <w:r w:rsidR="00400614">
          <w:rPr>
            <w:noProof/>
            <w:webHidden/>
          </w:rPr>
        </w:r>
        <w:r w:rsidR="00400614">
          <w:rPr>
            <w:noProof/>
            <w:webHidden/>
          </w:rPr>
          <w:fldChar w:fldCharType="separate"/>
        </w:r>
        <w:r w:rsidR="00DD2637">
          <w:rPr>
            <w:noProof/>
            <w:webHidden/>
          </w:rPr>
          <w:t>58</w:t>
        </w:r>
        <w:r w:rsidR="00400614">
          <w:rPr>
            <w:noProof/>
            <w:webHidden/>
          </w:rPr>
          <w:fldChar w:fldCharType="end"/>
        </w:r>
      </w:hyperlink>
    </w:p>
    <w:p w:rsidR="00400614" w:rsidRDefault="007C6E17">
      <w:pPr>
        <w:pStyle w:val="TOC1"/>
        <w:tabs>
          <w:tab w:val="right" w:leader="dot" w:pos="9040"/>
        </w:tabs>
        <w:rPr>
          <w:rFonts w:asciiTheme="minorHAnsi" w:eastAsiaTheme="minorEastAsia" w:hAnsiTheme="minorHAnsi"/>
          <w:b w:val="0"/>
          <w:caps w:val="0"/>
          <w:noProof/>
          <w:color w:val="auto"/>
          <w:sz w:val="22"/>
          <w:lang w:val="en-GB" w:eastAsia="en-GB"/>
        </w:rPr>
      </w:pPr>
      <w:hyperlink w:anchor="_Toc508976533" w:history="1">
        <w:r w:rsidR="00400614" w:rsidRPr="00F412E2">
          <w:rPr>
            <w:rStyle w:val="Hyperlink"/>
            <w:noProof/>
          </w:rPr>
          <w:t>3.</w:t>
        </w:r>
        <w:r w:rsidR="00400614">
          <w:rPr>
            <w:rFonts w:asciiTheme="minorHAnsi" w:eastAsiaTheme="minorEastAsia" w:hAnsiTheme="minorHAnsi"/>
            <w:b w:val="0"/>
            <w:caps w:val="0"/>
            <w:noProof/>
            <w:color w:val="auto"/>
            <w:sz w:val="22"/>
            <w:lang w:val="en-GB" w:eastAsia="en-GB"/>
          </w:rPr>
          <w:tab/>
        </w:r>
        <w:r w:rsidR="00400614" w:rsidRPr="00F412E2">
          <w:rPr>
            <w:rStyle w:val="Hyperlink"/>
            <w:noProof/>
          </w:rPr>
          <w:t>PRIEDAI</w:t>
        </w:r>
        <w:r w:rsidR="00400614">
          <w:rPr>
            <w:noProof/>
            <w:webHidden/>
          </w:rPr>
          <w:tab/>
        </w:r>
        <w:r w:rsidR="00400614">
          <w:rPr>
            <w:noProof/>
            <w:webHidden/>
          </w:rPr>
          <w:fldChar w:fldCharType="begin"/>
        </w:r>
        <w:r w:rsidR="00400614">
          <w:rPr>
            <w:noProof/>
            <w:webHidden/>
          </w:rPr>
          <w:instrText xml:space="preserve"> PAGEREF _Toc508976533 \h </w:instrText>
        </w:r>
        <w:r w:rsidR="00400614">
          <w:rPr>
            <w:noProof/>
            <w:webHidden/>
          </w:rPr>
        </w:r>
        <w:r w:rsidR="00400614">
          <w:rPr>
            <w:noProof/>
            <w:webHidden/>
          </w:rPr>
          <w:fldChar w:fldCharType="separate"/>
        </w:r>
        <w:r w:rsidR="00DD2637">
          <w:rPr>
            <w:noProof/>
            <w:webHidden/>
          </w:rPr>
          <w:t>70</w:t>
        </w:r>
        <w:r w:rsidR="00400614">
          <w:rPr>
            <w:noProof/>
            <w:webHidden/>
          </w:rPr>
          <w:fldChar w:fldCharType="end"/>
        </w:r>
      </w:hyperlink>
    </w:p>
    <w:p w:rsidR="00400614" w:rsidRDefault="007C6E17" w:rsidP="00E540C7">
      <w:pPr>
        <w:pStyle w:val="TOC2"/>
        <w:rPr>
          <w:rFonts w:asciiTheme="minorHAnsi" w:eastAsiaTheme="minorEastAsia" w:hAnsiTheme="minorHAnsi"/>
          <w:noProof/>
          <w:color w:val="auto"/>
          <w:sz w:val="22"/>
          <w:lang w:val="en-GB" w:eastAsia="en-GB"/>
        </w:rPr>
      </w:pPr>
      <w:hyperlink w:anchor="_Toc508976534" w:history="1">
        <w:r w:rsidR="00400614" w:rsidRPr="00F412E2">
          <w:rPr>
            <w:rStyle w:val="Hyperlink"/>
            <w:noProof/>
          </w:rPr>
          <w:t>3.1</w:t>
        </w:r>
        <w:r w:rsidR="00400614">
          <w:rPr>
            <w:rFonts w:asciiTheme="minorHAnsi" w:eastAsiaTheme="minorEastAsia" w:hAnsiTheme="minorHAnsi"/>
            <w:noProof/>
            <w:color w:val="auto"/>
            <w:sz w:val="22"/>
            <w:lang w:val="en-GB" w:eastAsia="en-GB"/>
          </w:rPr>
          <w:tab/>
        </w:r>
        <w:r w:rsidR="00400614" w:rsidRPr="00F412E2">
          <w:rPr>
            <w:rStyle w:val="Hyperlink"/>
            <w:noProof/>
          </w:rPr>
          <w:t>Terminų žodynėlis</w:t>
        </w:r>
        <w:r w:rsidR="00400614">
          <w:rPr>
            <w:noProof/>
            <w:webHidden/>
          </w:rPr>
          <w:tab/>
        </w:r>
        <w:r w:rsidR="00400614">
          <w:rPr>
            <w:noProof/>
            <w:webHidden/>
          </w:rPr>
          <w:fldChar w:fldCharType="begin"/>
        </w:r>
        <w:r w:rsidR="00400614">
          <w:rPr>
            <w:noProof/>
            <w:webHidden/>
          </w:rPr>
          <w:instrText xml:space="preserve"> PAGEREF _Toc508976534 \h </w:instrText>
        </w:r>
        <w:r w:rsidR="00400614">
          <w:rPr>
            <w:noProof/>
            <w:webHidden/>
          </w:rPr>
        </w:r>
        <w:r w:rsidR="00400614">
          <w:rPr>
            <w:noProof/>
            <w:webHidden/>
          </w:rPr>
          <w:fldChar w:fldCharType="separate"/>
        </w:r>
        <w:r w:rsidR="00DD2637">
          <w:rPr>
            <w:noProof/>
            <w:webHidden/>
          </w:rPr>
          <w:t>70</w:t>
        </w:r>
        <w:r w:rsidR="00400614">
          <w:rPr>
            <w:noProof/>
            <w:webHidden/>
          </w:rPr>
          <w:fldChar w:fldCharType="end"/>
        </w:r>
      </w:hyperlink>
    </w:p>
    <w:p w:rsidR="00400614" w:rsidRDefault="007C6E17" w:rsidP="00E540C7">
      <w:pPr>
        <w:pStyle w:val="TOC2"/>
        <w:rPr>
          <w:rFonts w:asciiTheme="minorHAnsi" w:eastAsiaTheme="minorEastAsia" w:hAnsiTheme="minorHAnsi"/>
          <w:noProof/>
          <w:color w:val="auto"/>
          <w:sz w:val="22"/>
          <w:lang w:val="en-GB" w:eastAsia="en-GB"/>
        </w:rPr>
      </w:pPr>
      <w:hyperlink w:anchor="_Toc508976535" w:history="1">
        <w:r w:rsidR="00400614" w:rsidRPr="00F412E2">
          <w:rPr>
            <w:rStyle w:val="Hyperlink"/>
            <w:noProof/>
          </w:rPr>
          <w:t>3.2</w:t>
        </w:r>
        <w:r w:rsidR="00400614">
          <w:rPr>
            <w:rFonts w:asciiTheme="minorHAnsi" w:eastAsiaTheme="minorEastAsia" w:hAnsiTheme="minorHAnsi"/>
            <w:noProof/>
            <w:color w:val="auto"/>
            <w:sz w:val="22"/>
            <w:lang w:val="en-GB" w:eastAsia="en-GB"/>
          </w:rPr>
          <w:tab/>
        </w:r>
        <w:r w:rsidR="00400614" w:rsidRPr="00F412E2">
          <w:rPr>
            <w:rStyle w:val="Hyperlink"/>
            <w:noProof/>
          </w:rPr>
          <w:t>KPP inovacijų skatinimo potencialo nustatymas: etapas po etapo</w:t>
        </w:r>
        <w:r w:rsidR="00400614">
          <w:rPr>
            <w:noProof/>
            <w:webHidden/>
          </w:rPr>
          <w:tab/>
        </w:r>
        <w:r w:rsidR="00400614">
          <w:rPr>
            <w:noProof/>
            <w:webHidden/>
          </w:rPr>
          <w:fldChar w:fldCharType="begin"/>
        </w:r>
        <w:r w:rsidR="00400614">
          <w:rPr>
            <w:noProof/>
            <w:webHidden/>
          </w:rPr>
          <w:instrText xml:space="preserve"> PAGEREF _Toc508976535 \h </w:instrText>
        </w:r>
        <w:r w:rsidR="00400614">
          <w:rPr>
            <w:noProof/>
            <w:webHidden/>
          </w:rPr>
        </w:r>
        <w:r w:rsidR="00400614">
          <w:rPr>
            <w:noProof/>
            <w:webHidden/>
          </w:rPr>
          <w:fldChar w:fldCharType="separate"/>
        </w:r>
        <w:r w:rsidR="00DD2637">
          <w:rPr>
            <w:noProof/>
            <w:webHidden/>
          </w:rPr>
          <w:t>72</w:t>
        </w:r>
        <w:r w:rsidR="00400614">
          <w:rPr>
            <w:noProof/>
            <w:webHidden/>
          </w:rPr>
          <w:fldChar w:fldCharType="end"/>
        </w:r>
      </w:hyperlink>
    </w:p>
    <w:p w:rsidR="00501827" w:rsidRDefault="009837FF" w:rsidP="00E05D08">
      <w:pPr>
        <w:tabs>
          <w:tab w:val="left" w:pos="454"/>
          <w:tab w:val="right" w:leader="dot" w:pos="9072"/>
        </w:tabs>
        <w:suppressAutoHyphens/>
        <w:ind w:left="454" w:hanging="454"/>
        <w:rPr>
          <w:rFonts w:ascii="Helvetica LT Pro" w:eastAsia="Times New Roman" w:hAnsi="Helvetica LT Pro" w:cs="Times New Roman"/>
          <w:b/>
          <w:color w:val="000000" w:themeColor="text1"/>
          <w:szCs w:val="20"/>
        </w:rPr>
      </w:pPr>
      <w:r>
        <w:rPr>
          <w:rFonts w:ascii="Helvetica LT Pro" w:eastAsia="Times New Roman" w:hAnsi="Helvetica LT Pro" w:cs="Times New Roman"/>
          <w:caps/>
          <w:color w:val="000000" w:themeColor="text1"/>
          <w:szCs w:val="20"/>
        </w:rPr>
        <w:fldChar w:fldCharType="end"/>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Lentelės ir diagramos</w:t>
      </w:r>
    </w:p>
    <w:p w:rsidR="00A4792C" w:rsidRDefault="00E05D08" w:rsidP="00E540C7">
      <w:pPr>
        <w:pStyle w:val="TOC2"/>
        <w:rPr>
          <w:rFonts w:asciiTheme="minorHAnsi" w:eastAsiaTheme="minorEastAsia" w:hAnsiTheme="minorHAnsi"/>
          <w:noProof/>
          <w:color w:val="auto"/>
          <w:sz w:val="22"/>
          <w:lang w:val="en-GB" w:eastAsia="en-GB"/>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"H_Heading_tables;2" </w:instrText>
      </w:r>
      <w:r>
        <w:rPr>
          <w:rStyle w:val="Hyperlink"/>
          <w14:scene3d>
            <w14:camera w14:prst="orthographicFront"/>
            <w14:lightRig w14:rig="threePt" w14:dir="t">
              <w14:rot w14:lat="0" w14:lon="0" w14:rev="0"/>
            </w14:lightRig>
          </w14:scene3d>
        </w:rPr>
        <w:fldChar w:fldCharType="separate"/>
      </w:r>
      <w:hyperlink w:anchor="_Toc508979905" w:history="1">
        <w:r w:rsidR="00A4792C" w:rsidRPr="005B58C0">
          <w:rPr>
            <w:rStyle w:val="Hyperlink"/>
            <w:noProof/>
            <w14:scene3d>
              <w14:camera w14:prst="orthographicFront"/>
              <w14:lightRig w14:rig="threePt" w14:dir="t">
                <w14:rot w14:lat="0" w14:lon="0" w14:rev="0"/>
              </w14:lightRig>
            </w14:scene3d>
          </w:rPr>
          <w:t>1 lentelė.</w:t>
        </w:r>
        <w:r w:rsidR="00A4792C">
          <w:rPr>
            <w:rFonts w:asciiTheme="minorHAnsi" w:eastAsiaTheme="minorEastAsia" w:hAnsiTheme="minorHAnsi"/>
            <w:noProof/>
            <w:color w:val="auto"/>
            <w:sz w:val="22"/>
            <w:lang w:val="en-GB" w:eastAsia="en-GB"/>
          </w:rPr>
          <w:tab/>
        </w:r>
        <w:r w:rsidR="00A4792C" w:rsidRPr="005B58C0">
          <w:rPr>
            <w:rStyle w:val="Hyperlink"/>
            <w:noProof/>
          </w:rPr>
          <w:t>Su 1-uoju BVK susiję vertinimo elementai ir informacijos šaltiniai</w:t>
        </w:r>
        <w:r w:rsidR="00A4792C">
          <w:rPr>
            <w:noProof/>
            <w:webHidden/>
          </w:rPr>
          <w:tab/>
        </w:r>
        <w:r w:rsidR="00A4792C">
          <w:rPr>
            <w:noProof/>
            <w:webHidden/>
          </w:rPr>
          <w:fldChar w:fldCharType="begin"/>
        </w:r>
        <w:r w:rsidR="00A4792C">
          <w:rPr>
            <w:noProof/>
            <w:webHidden/>
          </w:rPr>
          <w:instrText xml:space="preserve"> PAGEREF _Toc508979905 \h </w:instrText>
        </w:r>
        <w:r w:rsidR="00A4792C">
          <w:rPr>
            <w:noProof/>
            <w:webHidden/>
          </w:rPr>
        </w:r>
        <w:r w:rsidR="00A4792C">
          <w:rPr>
            <w:noProof/>
            <w:webHidden/>
          </w:rPr>
          <w:fldChar w:fldCharType="separate"/>
        </w:r>
        <w:r w:rsidR="00DD2637">
          <w:rPr>
            <w:noProof/>
            <w:webHidden/>
          </w:rPr>
          <w:t>27</w:t>
        </w:r>
        <w:r w:rsidR="00A4792C">
          <w:rPr>
            <w:noProof/>
            <w:webHidden/>
          </w:rPr>
          <w:fldChar w:fldCharType="end"/>
        </w:r>
      </w:hyperlink>
    </w:p>
    <w:p w:rsidR="00A4792C" w:rsidRDefault="007C6E17" w:rsidP="00E540C7">
      <w:pPr>
        <w:pStyle w:val="TOC2"/>
        <w:rPr>
          <w:rFonts w:asciiTheme="minorHAnsi" w:eastAsiaTheme="minorEastAsia" w:hAnsiTheme="minorHAnsi"/>
          <w:noProof/>
          <w:color w:val="auto"/>
          <w:sz w:val="22"/>
          <w:lang w:val="en-GB" w:eastAsia="en-GB"/>
        </w:rPr>
      </w:pPr>
      <w:hyperlink w:anchor="_Toc508979906" w:history="1">
        <w:r w:rsidR="00A4792C" w:rsidRPr="005B58C0">
          <w:rPr>
            <w:rStyle w:val="Hyperlink"/>
            <w:noProof/>
            <w14:scene3d>
              <w14:camera w14:prst="orthographicFront"/>
              <w14:lightRig w14:rig="threePt" w14:dir="t">
                <w14:rot w14:lat="0" w14:lon="0" w14:rev="0"/>
              </w14:lightRig>
            </w14:scene3d>
          </w:rPr>
          <w:t>2 lentelė.</w:t>
        </w:r>
        <w:r w:rsidR="00A4792C">
          <w:rPr>
            <w:rFonts w:asciiTheme="minorHAnsi" w:eastAsiaTheme="minorEastAsia" w:hAnsiTheme="minorHAnsi"/>
            <w:noProof/>
            <w:color w:val="auto"/>
            <w:sz w:val="22"/>
            <w:lang w:val="en-GB" w:eastAsia="en-GB"/>
          </w:rPr>
          <w:tab/>
        </w:r>
        <w:r w:rsidR="00A4792C" w:rsidRPr="005B58C0">
          <w:rPr>
            <w:rStyle w:val="Hyperlink"/>
            <w:noProof/>
          </w:rPr>
          <w:t>Metodai, kuriuos rekomenduojama taikyti atsakant į 1-ąjį BVK</w:t>
        </w:r>
        <w:r w:rsidR="00A4792C">
          <w:rPr>
            <w:noProof/>
            <w:webHidden/>
          </w:rPr>
          <w:tab/>
        </w:r>
        <w:r w:rsidR="00A4792C">
          <w:rPr>
            <w:noProof/>
            <w:webHidden/>
          </w:rPr>
          <w:fldChar w:fldCharType="begin"/>
        </w:r>
        <w:r w:rsidR="00A4792C">
          <w:rPr>
            <w:noProof/>
            <w:webHidden/>
          </w:rPr>
          <w:instrText xml:space="preserve"> PAGEREF _Toc508979906 \h </w:instrText>
        </w:r>
        <w:r w:rsidR="00A4792C">
          <w:rPr>
            <w:noProof/>
            <w:webHidden/>
          </w:rPr>
        </w:r>
        <w:r w:rsidR="00A4792C">
          <w:rPr>
            <w:noProof/>
            <w:webHidden/>
          </w:rPr>
          <w:fldChar w:fldCharType="separate"/>
        </w:r>
        <w:r w:rsidR="00DD2637">
          <w:rPr>
            <w:noProof/>
            <w:webHidden/>
          </w:rPr>
          <w:t>29</w:t>
        </w:r>
        <w:r w:rsidR="00A4792C">
          <w:rPr>
            <w:noProof/>
            <w:webHidden/>
          </w:rPr>
          <w:fldChar w:fldCharType="end"/>
        </w:r>
      </w:hyperlink>
    </w:p>
    <w:p w:rsidR="00A4792C" w:rsidRDefault="007C6E17" w:rsidP="00E540C7">
      <w:pPr>
        <w:pStyle w:val="TOC2"/>
        <w:rPr>
          <w:rFonts w:asciiTheme="minorHAnsi" w:eastAsiaTheme="minorEastAsia" w:hAnsiTheme="minorHAnsi"/>
          <w:noProof/>
          <w:color w:val="auto"/>
          <w:sz w:val="22"/>
          <w:lang w:val="en-GB" w:eastAsia="en-GB"/>
        </w:rPr>
      </w:pPr>
      <w:hyperlink w:anchor="_Toc508979907" w:history="1">
        <w:r w:rsidR="00A4792C" w:rsidRPr="005B58C0">
          <w:rPr>
            <w:rStyle w:val="Hyperlink"/>
            <w:noProof/>
            <w14:scene3d>
              <w14:camera w14:prst="orthographicFront"/>
              <w14:lightRig w14:rig="threePt" w14:dir="t">
                <w14:rot w14:lat="0" w14:lon="0" w14:rev="0"/>
              </w14:lightRig>
            </w14:scene3d>
          </w:rPr>
          <w:t>3 lentelė.</w:t>
        </w:r>
        <w:r w:rsidR="00A4792C">
          <w:rPr>
            <w:rFonts w:asciiTheme="minorHAnsi" w:eastAsiaTheme="minorEastAsia" w:hAnsiTheme="minorHAnsi"/>
            <w:noProof/>
            <w:color w:val="auto"/>
            <w:sz w:val="22"/>
            <w:lang w:val="en-GB" w:eastAsia="en-GB"/>
          </w:rPr>
          <w:tab/>
        </w:r>
        <w:r w:rsidR="00A4792C" w:rsidRPr="005B58C0">
          <w:rPr>
            <w:rStyle w:val="Hyperlink"/>
            <w:noProof/>
          </w:rPr>
          <w:t>Vertinimo kriterijai, rodikliai ir duomenų poreikis bei šaltiniai</w:t>
        </w:r>
        <w:r w:rsidR="00A4792C">
          <w:rPr>
            <w:noProof/>
            <w:webHidden/>
          </w:rPr>
          <w:tab/>
        </w:r>
        <w:r w:rsidR="00A4792C">
          <w:rPr>
            <w:noProof/>
            <w:webHidden/>
          </w:rPr>
          <w:fldChar w:fldCharType="begin"/>
        </w:r>
        <w:r w:rsidR="00A4792C">
          <w:rPr>
            <w:noProof/>
            <w:webHidden/>
          </w:rPr>
          <w:instrText xml:space="preserve"> PAGEREF _Toc508979907 \h </w:instrText>
        </w:r>
        <w:r w:rsidR="00A4792C">
          <w:rPr>
            <w:noProof/>
            <w:webHidden/>
          </w:rPr>
        </w:r>
        <w:r w:rsidR="00A4792C">
          <w:rPr>
            <w:noProof/>
            <w:webHidden/>
          </w:rPr>
          <w:fldChar w:fldCharType="separate"/>
        </w:r>
        <w:r w:rsidR="00DD2637">
          <w:rPr>
            <w:noProof/>
            <w:webHidden/>
          </w:rPr>
          <w:t>36</w:t>
        </w:r>
        <w:r w:rsidR="00A4792C">
          <w:rPr>
            <w:noProof/>
            <w:webHidden/>
          </w:rPr>
          <w:fldChar w:fldCharType="end"/>
        </w:r>
      </w:hyperlink>
    </w:p>
    <w:p w:rsidR="00A4792C" w:rsidRDefault="007C6E17" w:rsidP="00E540C7">
      <w:pPr>
        <w:pStyle w:val="TOC2"/>
        <w:rPr>
          <w:rFonts w:asciiTheme="minorHAnsi" w:eastAsiaTheme="minorEastAsia" w:hAnsiTheme="minorHAnsi"/>
          <w:noProof/>
          <w:color w:val="auto"/>
          <w:sz w:val="22"/>
          <w:lang w:val="en-GB" w:eastAsia="en-GB"/>
        </w:rPr>
      </w:pPr>
      <w:hyperlink w:anchor="_Toc508979908" w:history="1">
        <w:r w:rsidR="00A4792C" w:rsidRPr="005B58C0">
          <w:rPr>
            <w:rStyle w:val="Hyperlink"/>
            <w:noProof/>
            <w14:scene3d>
              <w14:camera w14:prst="orthographicFront"/>
              <w14:lightRig w14:rig="threePt" w14:dir="t">
                <w14:rot w14:lat="0" w14:lon="0" w14:rev="0"/>
              </w14:lightRig>
            </w14:scene3d>
          </w:rPr>
          <w:t>4 lentelė.</w:t>
        </w:r>
        <w:r w:rsidR="00A4792C">
          <w:rPr>
            <w:rFonts w:asciiTheme="minorHAnsi" w:eastAsiaTheme="minorEastAsia" w:hAnsiTheme="minorHAnsi"/>
            <w:noProof/>
            <w:color w:val="auto"/>
            <w:sz w:val="22"/>
            <w:lang w:val="en-GB" w:eastAsia="en-GB"/>
          </w:rPr>
          <w:tab/>
        </w:r>
        <w:r w:rsidR="00A4792C" w:rsidRPr="005B58C0">
          <w:rPr>
            <w:rStyle w:val="Hyperlink"/>
            <w:noProof/>
          </w:rPr>
          <w:t>Metodai, kuriuos rekomenduojama taikyti atsakant į 2-ąjį BVK</w:t>
        </w:r>
        <w:r w:rsidR="00A4792C">
          <w:rPr>
            <w:noProof/>
            <w:webHidden/>
          </w:rPr>
          <w:tab/>
        </w:r>
        <w:r w:rsidR="00A4792C">
          <w:rPr>
            <w:noProof/>
            <w:webHidden/>
          </w:rPr>
          <w:fldChar w:fldCharType="begin"/>
        </w:r>
        <w:r w:rsidR="00A4792C">
          <w:rPr>
            <w:noProof/>
            <w:webHidden/>
          </w:rPr>
          <w:instrText xml:space="preserve"> PAGEREF _Toc508979908 \h </w:instrText>
        </w:r>
        <w:r w:rsidR="00A4792C">
          <w:rPr>
            <w:noProof/>
            <w:webHidden/>
          </w:rPr>
        </w:r>
        <w:r w:rsidR="00A4792C">
          <w:rPr>
            <w:noProof/>
            <w:webHidden/>
          </w:rPr>
          <w:fldChar w:fldCharType="separate"/>
        </w:r>
        <w:r w:rsidR="00DD2637">
          <w:rPr>
            <w:noProof/>
            <w:webHidden/>
          </w:rPr>
          <w:t>38</w:t>
        </w:r>
        <w:r w:rsidR="00A4792C">
          <w:rPr>
            <w:noProof/>
            <w:webHidden/>
          </w:rPr>
          <w:fldChar w:fldCharType="end"/>
        </w:r>
      </w:hyperlink>
    </w:p>
    <w:p w:rsidR="00A4792C" w:rsidRDefault="007C6E17" w:rsidP="00E540C7">
      <w:pPr>
        <w:pStyle w:val="TOC2"/>
        <w:rPr>
          <w:rFonts w:asciiTheme="minorHAnsi" w:eastAsiaTheme="minorEastAsia" w:hAnsiTheme="minorHAnsi"/>
          <w:noProof/>
          <w:color w:val="auto"/>
          <w:sz w:val="22"/>
          <w:lang w:val="en-GB" w:eastAsia="en-GB"/>
        </w:rPr>
      </w:pPr>
      <w:hyperlink w:anchor="_Toc508979909" w:history="1">
        <w:r w:rsidR="00A4792C" w:rsidRPr="005B58C0">
          <w:rPr>
            <w:rStyle w:val="Hyperlink"/>
            <w:noProof/>
            <w14:scene3d>
              <w14:camera w14:prst="orthographicFront"/>
              <w14:lightRig w14:rig="threePt" w14:dir="t">
                <w14:rot w14:lat="0" w14:lon="0" w14:rev="0"/>
              </w14:lightRig>
            </w14:scene3d>
          </w:rPr>
          <w:t>5 lentelė.</w:t>
        </w:r>
        <w:r w:rsidR="00A4792C">
          <w:rPr>
            <w:rFonts w:asciiTheme="minorHAnsi" w:eastAsiaTheme="minorEastAsia" w:hAnsiTheme="minorHAnsi"/>
            <w:noProof/>
            <w:color w:val="auto"/>
            <w:sz w:val="22"/>
            <w:lang w:val="en-GB" w:eastAsia="en-GB"/>
          </w:rPr>
          <w:tab/>
        </w:r>
        <w:r w:rsidR="00A4792C" w:rsidRPr="005B58C0">
          <w:rPr>
            <w:rStyle w:val="Hyperlink"/>
            <w:noProof/>
          </w:rPr>
          <w:t>Papildomi vertinimo kriterijai, rodikliai ir duomenys, kuriuos siūloma taikyti atsakant į 21-ąjį BVK</w:t>
        </w:r>
        <w:r w:rsidR="00A4792C">
          <w:rPr>
            <w:noProof/>
            <w:webHidden/>
          </w:rPr>
          <w:tab/>
        </w:r>
        <w:r w:rsidR="00A4792C">
          <w:rPr>
            <w:noProof/>
            <w:webHidden/>
          </w:rPr>
          <w:fldChar w:fldCharType="begin"/>
        </w:r>
        <w:r w:rsidR="00A4792C">
          <w:rPr>
            <w:noProof/>
            <w:webHidden/>
          </w:rPr>
          <w:instrText xml:space="preserve"> PAGEREF _Toc508979909 \h </w:instrText>
        </w:r>
        <w:r w:rsidR="00A4792C">
          <w:rPr>
            <w:noProof/>
            <w:webHidden/>
          </w:rPr>
        </w:r>
        <w:r w:rsidR="00A4792C">
          <w:rPr>
            <w:noProof/>
            <w:webHidden/>
          </w:rPr>
          <w:fldChar w:fldCharType="separate"/>
        </w:r>
        <w:r w:rsidR="00DD2637">
          <w:rPr>
            <w:noProof/>
            <w:webHidden/>
          </w:rPr>
          <w:t>45</w:t>
        </w:r>
        <w:r w:rsidR="00A4792C">
          <w:rPr>
            <w:noProof/>
            <w:webHidden/>
          </w:rPr>
          <w:fldChar w:fldCharType="end"/>
        </w:r>
      </w:hyperlink>
    </w:p>
    <w:p w:rsidR="00A4792C" w:rsidRDefault="007C6E17" w:rsidP="00E540C7">
      <w:pPr>
        <w:pStyle w:val="TOC2"/>
        <w:rPr>
          <w:rFonts w:asciiTheme="minorHAnsi" w:eastAsiaTheme="minorEastAsia" w:hAnsiTheme="minorHAnsi"/>
          <w:noProof/>
          <w:color w:val="auto"/>
          <w:sz w:val="22"/>
          <w:lang w:val="en-GB" w:eastAsia="en-GB"/>
        </w:rPr>
      </w:pPr>
      <w:hyperlink w:anchor="_Toc508979910" w:history="1">
        <w:r w:rsidR="00A4792C" w:rsidRPr="005B58C0">
          <w:rPr>
            <w:rStyle w:val="Hyperlink"/>
            <w:noProof/>
            <w14:scene3d>
              <w14:camera w14:prst="orthographicFront"/>
              <w14:lightRig w14:rig="threePt" w14:dir="t">
                <w14:rot w14:lat="0" w14:lon="0" w14:rev="0"/>
              </w14:lightRig>
            </w14:scene3d>
          </w:rPr>
          <w:t>6 lentelė.</w:t>
        </w:r>
        <w:r w:rsidR="00A4792C">
          <w:rPr>
            <w:rFonts w:asciiTheme="minorHAnsi" w:eastAsiaTheme="minorEastAsia" w:hAnsiTheme="minorHAnsi"/>
            <w:noProof/>
            <w:color w:val="auto"/>
            <w:sz w:val="22"/>
            <w:lang w:val="en-GB" w:eastAsia="en-GB"/>
          </w:rPr>
          <w:tab/>
        </w:r>
        <w:r w:rsidR="00A4792C" w:rsidRPr="005B58C0">
          <w:rPr>
            <w:rStyle w:val="Hyperlink"/>
            <w:noProof/>
          </w:rPr>
          <w:t>Metodai, kuriuos rekomenduojama taikyti atsakant į 21-ąjį BVK</w:t>
        </w:r>
        <w:r w:rsidR="00A4792C">
          <w:rPr>
            <w:noProof/>
            <w:webHidden/>
          </w:rPr>
          <w:tab/>
        </w:r>
        <w:r w:rsidR="00A4792C">
          <w:rPr>
            <w:noProof/>
            <w:webHidden/>
          </w:rPr>
          <w:fldChar w:fldCharType="begin"/>
        </w:r>
        <w:r w:rsidR="00A4792C">
          <w:rPr>
            <w:noProof/>
            <w:webHidden/>
          </w:rPr>
          <w:instrText xml:space="preserve"> PAGEREF _Toc508979910 \h </w:instrText>
        </w:r>
        <w:r w:rsidR="00A4792C">
          <w:rPr>
            <w:noProof/>
            <w:webHidden/>
          </w:rPr>
        </w:r>
        <w:r w:rsidR="00A4792C">
          <w:rPr>
            <w:noProof/>
            <w:webHidden/>
          </w:rPr>
          <w:fldChar w:fldCharType="separate"/>
        </w:r>
        <w:r w:rsidR="00DD2637">
          <w:rPr>
            <w:noProof/>
            <w:webHidden/>
          </w:rPr>
          <w:t>49</w:t>
        </w:r>
        <w:r w:rsidR="00A4792C">
          <w:rPr>
            <w:noProof/>
            <w:webHidden/>
          </w:rPr>
          <w:fldChar w:fldCharType="end"/>
        </w:r>
      </w:hyperlink>
    </w:p>
    <w:p w:rsidR="00A4792C" w:rsidRDefault="007C6E17" w:rsidP="00E540C7">
      <w:pPr>
        <w:pStyle w:val="TOC2"/>
        <w:rPr>
          <w:rFonts w:asciiTheme="minorHAnsi" w:eastAsiaTheme="minorEastAsia" w:hAnsiTheme="minorHAnsi"/>
          <w:noProof/>
          <w:color w:val="auto"/>
          <w:sz w:val="22"/>
          <w:lang w:val="en-GB" w:eastAsia="en-GB"/>
        </w:rPr>
      </w:pPr>
      <w:hyperlink w:anchor="_Toc508979911" w:history="1">
        <w:r w:rsidR="00A4792C" w:rsidRPr="005B58C0">
          <w:rPr>
            <w:rStyle w:val="Hyperlink"/>
            <w:noProof/>
            <w14:scene3d>
              <w14:camera w14:prst="orthographicFront"/>
              <w14:lightRig w14:rig="threePt" w14:dir="t">
                <w14:rot w14:lat="0" w14:lon="0" w14:rev="0"/>
              </w14:lightRig>
            </w14:scene3d>
          </w:rPr>
          <w:t>7 lentelė.</w:t>
        </w:r>
        <w:r w:rsidR="00A4792C">
          <w:rPr>
            <w:rFonts w:asciiTheme="minorHAnsi" w:eastAsiaTheme="minorEastAsia" w:hAnsiTheme="minorHAnsi"/>
            <w:noProof/>
            <w:color w:val="auto"/>
            <w:sz w:val="22"/>
            <w:lang w:val="en-GB" w:eastAsia="en-GB"/>
          </w:rPr>
          <w:tab/>
        </w:r>
        <w:r w:rsidR="00A4792C" w:rsidRPr="005B58C0">
          <w:rPr>
            <w:rStyle w:val="Hyperlink"/>
            <w:noProof/>
          </w:rPr>
          <w:t>Vertinimo kriterijai, rodikliai ir duomenų reikalavimai, taikomi atsakant į 23-ąjį BVK</w:t>
        </w:r>
        <w:r w:rsidR="00A4792C">
          <w:rPr>
            <w:noProof/>
            <w:webHidden/>
          </w:rPr>
          <w:tab/>
        </w:r>
        <w:r w:rsidR="00A4792C">
          <w:rPr>
            <w:noProof/>
            <w:webHidden/>
          </w:rPr>
          <w:fldChar w:fldCharType="begin"/>
        </w:r>
        <w:r w:rsidR="00A4792C">
          <w:rPr>
            <w:noProof/>
            <w:webHidden/>
          </w:rPr>
          <w:instrText xml:space="preserve"> PAGEREF _Toc508979911 \h </w:instrText>
        </w:r>
        <w:r w:rsidR="00A4792C">
          <w:rPr>
            <w:noProof/>
            <w:webHidden/>
          </w:rPr>
        </w:r>
        <w:r w:rsidR="00A4792C">
          <w:rPr>
            <w:noProof/>
            <w:webHidden/>
          </w:rPr>
          <w:fldChar w:fldCharType="separate"/>
        </w:r>
        <w:r w:rsidR="00DD2637">
          <w:rPr>
            <w:noProof/>
            <w:webHidden/>
          </w:rPr>
          <w:t>54</w:t>
        </w:r>
        <w:r w:rsidR="00A4792C">
          <w:rPr>
            <w:noProof/>
            <w:webHidden/>
          </w:rPr>
          <w:fldChar w:fldCharType="end"/>
        </w:r>
      </w:hyperlink>
    </w:p>
    <w:p w:rsidR="00A4792C" w:rsidRDefault="007C6E17" w:rsidP="00E540C7">
      <w:pPr>
        <w:pStyle w:val="TOC2"/>
        <w:rPr>
          <w:rFonts w:asciiTheme="minorHAnsi" w:eastAsiaTheme="minorEastAsia" w:hAnsiTheme="minorHAnsi"/>
          <w:noProof/>
          <w:color w:val="auto"/>
          <w:sz w:val="22"/>
          <w:lang w:val="en-GB" w:eastAsia="en-GB"/>
        </w:rPr>
      </w:pPr>
      <w:hyperlink w:anchor="_Toc508979912" w:history="1">
        <w:r w:rsidR="00A4792C" w:rsidRPr="005B58C0">
          <w:rPr>
            <w:rStyle w:val="Hyperlink"/>
            <w:noProof/>
            <w14:scene3d>
              <w14:camera w14:prst="orthographicFront"/>
              <w14:lightRig w14:rig="threePt" w14:dir="t">
                <w14:rot w14:lat="0" w14:lon="0" w14:rev="0"/>
              </w14:lightRig>
            </w14:scene3d>
          </w:rPr>
          <w:t>8 lentelė.</w:t>
        </w:r>
        <w:r w:rsidR="00A4792C">
          <w:rPr>
            <w:rFonts w:asciiTheme="minorHAnsi" w:eastAsiaTheme="minorEastAsia" w:hAnsiTheme="minorHAnsi"/>
            <w:noProof/>
            <w:color w:val="auto"/>
            <w:sz w:val="22"/>
            <w:lang w:val="en-GB" w:eastAsia="en-GB"/>
          </w:rPr>
          <w:tab/>
        </w:r>
        <w:r w:rsidR="00A4792C" w:rsidRPr="005B58C0">
          <w:rPr>
            <w:rStyle w:val="Hyperlink"/>
            <w:noProof/>
          </w:rPr>
          <w:t>Pavyzdys, parodantis planuotas ir faktines bendrųjų ir papildomų rodiklių reikšmes.</w:t>
        </w:r>
        <w:r w:rsidR="00A4792C">
          <w:rPr>
            <w:noProof/>
            <w:webHidden/>
          </w:rPr>
          <w:tab/>
        </w:r>
        <w:r w:rsidR="00A4792C">
          <w:rPr>
            <w:noProof/>
            <w:webHidden/>
          </w:rPr>
          <w:fldChar w:fldCharType="begin"/>
        </w:r>
        <w:r w:rsidR="00A4792C">
          <w:rPr>
            <w:noProof/>
            <w:webHidden/>
          </w:rPr>
          <w:instrText xml:space="preserve"> PAGEREF _Toc508979912 \h </w:instrText>
        </w:r>
        <w:r w:rsidR="00A4792C">
          <w:rPr>
            <w:noProof/>
            <w:webHidden/>
          </w:rPr>
        </w:r>
        <w:r w:rsidR="00A4792C">
          <w:rPr>
            <w:noProof/>
            <w:webHidden/>
          </w:rPr>
          <w:fldChar w:fldCharType="separate"/>
        </w:r>
        <w:r w:rsidR="00DD2637">
          <w:rPr>
            <w:noProof/>
            <w:webHidden/>
          </w:rPr>
          <w:t>57</w:t>
        </w:r>
        <w:r w:rsidR="00A4792C">
          <w:rPr>
            <w:noProof/>
            <w:webHidden/>
          </w:rPr>
          <w:fldChar w:fldCharType="end"/>
        </w:r>
      </w:hyperlink>
    </w:p>
    <w:p w:rsidR="00A4792C" w:rsidRDefault="007C6E17" w:rsidP="00E540C7">
      <w:pPr>
        <w:pStyle w:val="TOC2"/>
        <w:rPr>
          <w:rFonts w:asciiTheme="minorHAnsi" w:eastAsiaTheme="minorEastAsia" w:hAnsiTheme="minorHAnsi"/>
          <w:noProof/>
          <w:color w:val="auto"/>
          <w:sz w:val="22"/>
          <w:lang w:val="en-GB" w:eastAsia="en-GB"/>
        </w:rPr>
      </w:pPr>
      <w:hyperlink w:anchor="_Toc508979913" w:history="1">
        <w:r w:rsidR="00A4792C" w:rsidRPr="005B58C0">
          <w:rPr>
            <w:rStyle w:val="Hyperlink"/>
            <w:noProof/>
            <w14:scene3d>
              <w14:camera w14:prst="orthographicFront"/>
              <w14:lightRig w14:rig="threePt" w14:dir="t">
                <w14:rot w14:lat="0" w14:lon="0" w14:rev="0"/>
              </w14:lightRig>
            </w14:scene3d>
          </w:rPr>
          <w:t>9 lentelė.</w:t>
        </w:r>
        <w:r w:rsidR="00A4792C">
          <w:rPr>
            <w:rFonts w:asciiTheme="minorHAnsi" w:eastAsiaTheme="minorEastAsia" w:hAnsiTheme="minorHAnsi"/>
            <w:noProof/>
            <w:color w:val="auto"/>
            <w:sz w:val="22"/>
            <w:lang w:val="en-GB" w:eastAsia="en-GB"/>
          </w:rPr>
          <w:tab/>
        </w:r>
        <w:r w:rsidR="00A4792C" w:rsidRPr="005B58C0">
          <w:rPr>
            <w:rStyle w:val="Hyperlink"/>
            <w:noProof/>
          </w:rPr>
          <w:t>Su 30-uoju BVK susiję vertinimo elementai</w:t>
        </w:r>
        <w:r w:rsidR="00A4792C">
          <w:rPr>
            <w:noProof/>
            <w:webHidden/>
          </w:rPr>
          <w:tab/>
        </w:r>
        <w:r w:rsidR="00A4792C">
          <w:rPr>
            <w:noProof/>
            <w:webHidden/>
          </w:rPr>
          <w:fldChar w:fldCharType="begin"/>
        </w:r>
        <w:r w:rsidR="00A4792C">
          <w:rPr>
            <w:noProof/>
            <w:webHidden/>
          </w:rPr>
          <w:instrText xml:space="preserve"> PAGEREF _Toc508979913 \h </w:instrText>
        </w:r>
        <w:r w:rsidR="00A4792C">
          <w:rPr>
            <w:noProof/>
            <w:webHidden/>
          </w:rPr>
        </w:r>
        <w:r w:rsidR="00A4792C">
          <w:rPr>
            <w:noProof/>
            <w:webHidden/>
          </w:rPr>
          <w:fldChar w:fldCharType="separate"/>
        </w:r>
        <w:r w:rsidR="00DD2637">
          <w:rPr>
            <w:noProof/>
            <w:webHidden/>
          </w:rPr>
          <w:t>62</w:t>
        </w:r>
        <w:r w:rsidR="00A4792C">
          <w:rPr>
            <w:noProof/>
            <w:webHidden/>
          </w:rPr>
          <w:fldChar w:fldCharType="end"/>
        </w:r>
      </w:hyperlink>
    </w:p>
    <w:p w:rsidR="001A12C3" w:rsidRPr="00530DA6" w:rsidRDefault="00E05D08" w:rsidP="00530DA6">
      <w:pPr>
        <w:tabs>
          <w:tab w:val="left" w:pos="1540"/>
          <w:tab w:val="right" w:leader="dot" w:pos="9016"/>
        </w:tabs>
        <w:ind w:left="1560" w:hanging="1340"/>
        <w:rPr>
          <w:rStyle w:val="Hyperlink"/>
          <w14:scene3d>
            <w14:camera w14:prst="orthographicFront"/>
            <w14:lightRig w14:rig="threePt" w14:dir="t">
              <w14:rot w14:lat="0" w14:lon="0" w14:rev="0"/>
            </w14:lightRig>
          </w14:scene3d>
        </w:rPr>
      </w:pPr>
      <w:r>
        <w:rPr>
          <w:rStyle w:val="Hyperlink"/>
          <w14:scene3d>
            <w14:camera w14:prst="orthographicFront"/>
            <w14:lightRig w14:rig="threePt" w14:dir="t">
              <w14:rot w14:lat="0" w14:lon="0" w14:rev="0"/>
            </w14:lightRig>
          </w14:scene3d>
        </w:rPr>
        <w:fldChar w:fldCharType="end"/>
      </w:r>
    </w:p>
    <w:p w:rsidR="0001540A" w:rsidRDefault="002F11D9">
      <w:pPr>
        <w:pStyle w:val="TOC4"/>
        <w:tabs>
          <w:tab w:val="left" w:pos="1320"/>
          <w:tab w:val="right" w:leader="dot" w:pos="9040"/>
        </w:tabs>
        <w:rPr>
          <w:rFonts w:asciiTheme="minorHAnsi" w:eastAsiaTheme="minorEastAsia" w:hAnsiTheme="minorHAnsi"/>
          <w:color w:val="auto"/>
          <w:sz w:val="22"/>
          <w:lang w:val="en-GB" w:eastAsia="en-GB"/>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"H_Heading_figures;4" </w:instrText>
      </w:r>
      <w:r>
        <w:rPr>
          <w:rStyle w:val="Hyperlink"/>
          <w14:scene3d>
            <w14:camera w14:prst="orthographicFront"/>
            <w14:lightRig w14:rig="threePt" w14:dir="t">
              <w14:rot w14:lat="0" w14:lon="0" w14:rev="0"/>
            </w14:lightRig>
          </w14:scene3d>
        </w:rPr>
        <w:fldChar w:fldCharType="separate"/>
      </w:r>
      <w:hyperlink w:anchor="_Toc508984032" w:history="1">
        <w:r w:rsidR="0001540A" w:rsidRPr="00BE6592">
          <w:rPr>
            <w:rStyle w:val="Hyperlink"/>
          </w:rPr>
          <w:t>1 diagrama.</w:t>
        </w:r>
        <w:r w:rsidR="0001540A">
          <w:rPr>
            <w:rFonts w:asciiTheme="minorHAnsi" w:eastAsiaTheme="minorEastAsia" w:hAnsiTheme="minorHAnsi"/>
            <w:color w:val="auto"/>
            <w:sz w:val="22"/>
            <w:lang w:val="en-GB" w:eastAsia="en-GB"/>
          </w:rPr>
          <w:tab/>
        </w:r>
        <w:r w:rsidR="0001540A" w:rsidRPr="00BE6592">
          <w:rPr>
            <w:rStyle w:val="Hyperlink"/>
          </w:rPr>
          <w:t>Supaprastintas pavaizdavimas, kaip KPP padeda skatinti inovacijas</w:t>
        </w:r>
        <w:r w:rsidR="0001540A">
          <w:rPr>
            <w:webHidden/>
          </w:rPr>
          <w:tab/>
        </w:r>
        <w:r w:rsidR="0001540A">
          <w:rPr>
            <w:webHidden/>
          </w:rPr>
          <w:fldChar w:fldCharType="begin"/>
        </w:r>
        <w:r w:rsidR="0001540A">
          <w:rPr>
            <w:webHidden/>
          </w:rPr>
          <w:instrText xml:space="preserve"> PAGEREF _Toc508984032 \h </w:instrText>
        </w:r>
        <w:r w:rsidR="0001540A">
          <w:rPr>
            <w:webHidden/>
          </w:rPr>
        </w:r>
        <w:r w:rsidR="0001540A">
          <w:rPr>
            <w:webHidden/>
          </w:rPr>
          <w:fldChar w:fldCharType="separate"/>
        </w:r>
        <w:r w:rsidR="00DD2637">
          <w:rPr>
            <w:webHidden/>
          </w:rPr>
          <w:t>4</w:t>
        </w:r>
        <w:r w:rsidR="0001540A">
          <w:rPr>
            <w:webHidden/>
          </w:rPr>
          <w:fldChar w:fldCharType="end"/>
        </w:r>
      </w:hyperlink>
    </w:p>
    <w:p w:rsidR="0001540A" w:rsidRDefault="007C6E17">
      <w:pPr>
        <w:pStyle w:val="TOC4"/>
        <w:tabs>
          <w:tab w:val="left" w:pos="1320"/>
          <w:tab w:val="right" w:leader="dot" w:pos="9040"/>
        </w:tabs>
        <w:rPr>
          <w:rFonts w:asciiTheme="minorHAnsi" w:eastAsiaTheme="minorEastAsia" w:hAnsiTheme="minorHAnsi"/>
          <w:color w:val="auto"/>
          <w:sz w:val="22"/>
          <w:lang w:val="en-GB" w:eastAsia="en-GB"/>
        </w:rPr>
      </w:pPr>
      <w:hyperlink w:anchor="_Toc508984033" w:history="1">
        <w:r w:rsidR="0001540A" w:rsidRPr="00BE6592">
          <w:rPr>
            <w:rStyle w:val="Hyperlink"/>
          </w:rPr>
          <w:t>2 diagrama.</w:t>
        </w:r>
        <w:r w:rsidR="0001540A">
          <w:rPr>
            <w:rFonts w:asciiTheme="minorHAnsi" w:eastAsiaTheme="minorEastAsia" w:hAnsiTheme="minorHAnsi"/>
            <w:color w:val="auto"/>
            <w:sz w:val="22"/>
            <w:lang w:val="en-GB" w:eastAsia="en-GB"/>
          </w:rPr>
          <w:tab/>
        </w:r>
        <w:r w:rsidR="0001540A" w:rsidRPr="00BE6592">
          <w:rPr>
            <w:rStyle w:val="Hyperlink"/>
          </w:rPr>
          <w:t>ES inovacijų politikos sistema ir kaimo plėtros politika</w:t>
        </w:r>
        <w:r w:rsidR="0001540A">
          <w:rPr>
            <w:webHidden/>
          </w:rPr>
          <w:tab/>
        </w:r>
        <w:r w:rsidR="0001540A">
          <w:rPr>
            <w:webHidden/>
          </w:rPr>
          <w:fldChar w:fldCharType="begin"/>
        </w:r>
        <w:r w:rsidR="0001540A">
          <w:rPr>
            <w:webHidden/>
          </w:rPr>
          <w:instrText xml:space="preserve"> PAGEREF _Toc508984033 \h </w:instrText>
        </w:r>
        <w:r w:rsidR="0001540A">
          <w:rPr>
            <w:webHidden/>
          </w:rPr>
        </w:r>
        <w:r w:rsidR="0001540A">
          <w:rPr>
            <w:webHidden/>
          </w:rPr>
          <w:fldChar w:fldCharType="separate"/>
        </w:r>
        <w:r w:rsidR="00DD2637">
          <w:rPr>
            <w:webHidden/>
          </w:rPr>
          <w:t>9</w:t>
        </w:r>
        <w:r w:rsidR="0001540A">
          <w:rPr>
            <w:webHidden/>
          </w:rPr>
          <w:fldChar w:fldCharType="end"/>
        </w:r>
      </w:hyperlink>
    </w:p>
    <w:p w:rsidR="0001540A" w:rsidRDefault="007C6E17">
      <w:pPr>
        <w:pStyle w:val="TOC4"/>
        <w:tabs>
          <w:tab w:val="left" w:pos="1320"/>
          <w:tab w:val="right" w:leader="dot" w:pos="9040"/>
        </w:tabs>
        <w:rPr>
          <w:rFonts w:asciiTheme="minorHAnsi" w:eastAsiaTheme="minorEastAsia" w:hAnsiTheme="minorHAnsi"/>
          <w:color w:val="auto"/>
          <w:sz w:val="22"/>
          <w:lang w:val="en-GB" w:eastAsia="en-GB"/>
        </w:rPr>
      </w:pPr>
      <w:hyperlink w:anchor="_Toc508984034" w:history="1">
        <w:r w:rsidR="0001540A" w:rsidRPr="00BE6592">
          <w:rPr>
            <w:rStyle w:val="Hyperlink"/>
          </w:rPr>
          <w:t>3 diagrama.</w:t>
        </w:r>
        <w:r w:rsidR="0001540A">
          <w:rPr>
            <w:rFonts w:asciiTheme="minorHAnsi" w:eastAsiaTheme="minorEastAsia" w:hAnsiTheme="minorHAnsi"/>
            <w:color w:val="auto"/>
            <w:sz w:val="22"/>
            <w:lang w:val="en-GB" w:eastAsia="en-GB"/>
          </w:rPr>
          <w:tab/>
        </w:r>
        <w:r w:rsidR="0001540A" w:rsidRPr="00BE6592">
          <w:rPr>
            <w:rStyle w:val="Hyperlink"/>
          </w:rPr>
          <w:t>Bendrieji inovacijų vertinimo elementai</w:t>
        </w:r>
        <w:r w:rsidR="0001540A">
          <w:rPr>
            <w:webHidden/>
          </w:rPr>
          <w:tab/>
        </w:r>
        <w:r w:rsidR="0001540A">
          <w:rPr>
            <w:webHidden/>
          </w:rPr>
          <w:fldChar w:fldCharType="begin"/>
        </w:r>
        <w:r w:rsidR="0001540A">
          <w:rPr>
            <w:webHidden/>
          </w:rPr>
          <w:instrText xml:space="preserve"> PAGEREF _Toc508984034 \h </w:instrText>
        </w:r>
        <w:r w:rsidR="0001540A">
          <w:rPr>
            <w:webHidden/>
          </w:rPr>
        </w:r>
        <w:r w:rsidR="0001540A">
          <w:rPr>
            <w:webHidden/>
          </w:rPr>
          <w:fldChar w:fldCharType="separate"/>
        </w:r>
        <w:r w:rsidR="00DD2637">
          <w:rPr>
            <w:webHidden/>
          </w:rPr>
          <w:t>13</w:t>
        </w:r>
        <w:r w:rsidR="0001540A">
          <w:rPr>
            <w:webHidden/>
          </w:rPr>
          <w:fldChar w:fldCharType="end"/>
        </w:r>
      </w:hyperlink>
    </w:p>
    <w:p w:rsidR="0001540A" w:rsidRDefault="007C6E17">
      <w:pPr>
        <w:pStyle w:val="TOC4"/>
        <w:tabs>
          <w:tab w:val="left" w:pos="1320"/>
          <w:tab w:val="right" w:leader="dot" w:pos="9040"/>
        </w:tabs>
        <w:rPr>
          <w:rFonts w:asciiTheme="minorHAnsi" w:eastAsiaTheme="minorEastAsia" w:hAnsiTheme="minorHAnsi"/>
          <w:color w:val="auto"/>
          <w:sz w:val="22"/>
          <w:lang w:val="en-GB" w:eastAsia="en-GB"/>
        </w:rPr>
      </w:pPr>
      <w:hyperlink w:anchor="_Toc508984035" w:history="1">
        <w:r w:rsidR="0001540A" w:rsidRPr="00BE6592">
          <w:rPr>
            <w:rStyle w:val="Hyperlink"/>
          </w:rPr>
          <w:t>4 diagrama.</w:t>
        </w:r>
        <w:r w:rsidR="0001540A">
          <w:rPr>
            <w:rFonts w:asciiTheme="minorHAnsi" w:eastAsiaTheme="minorEastAsia" w:hAnsiTheme="minorHAnsi"/>
            <w:color w:val="auto"/>
            <w:sz w:val="22"/>
            <w:lang w:val="en-GB" w:eastAsia="en-GB"/>
          </w:rPr>
          <w:tab/>
        </w:r>
        <w:r w:rsidR="0001540A" w:rsidRPr="00BE6592">
          <w:rPr>
            <w:rStyle w:val="Hyperlink"/>
          </w:rPr>
          <w:t>Inovacijų 2014–2020 m. kaimo plėtros programose (KPP) vertinimo valdymas</w:t>
        </w:r>
        <w:r w:rsidR="0001540A">
          <w:rPr>
            <w:webHidden/>
          </w:rPr>
          <w:tab/>
        </w:r>
        <w:r w:rsidR="0001540A">
          <w:rPr>
            <w:webHidden/>
          </w:rPr>
          <w:fldChar w:fldCharType="begin"/>
        </w:r>
        <w:r w:rsidR="0001540A">
          <w:rPr>
            <w:webHidden/>
          </w:rPr>
          <w:instrText xml:space="preserve"> PAGEREF _Toc508984035 \h </w:instrText>
        </w:r>
        <w:r w:rsidR="0001540A">
          <w:rPr>
            <w:webHidden/>
          </w:rPr>
        </w:r>
        <w:r w:rsidR="0001540A">
          <w:rPr>
            <w:webHidden/>
          </w:rPr>
          <w:fldChar w:fldCharType="separate"/>
        </w:r>
        <w:r w:rsidR="00DD2637">
          <w:rPr>
            <w:webHidden/>
          </w:rPr>
          <w:t>15</w:t>
        </w:r>
        <w:r w:rsidR="0001540A">
          <w:rPr>
            <w:webHidden/>
          </w:rPr>
          <w:fldChar w:fldCharType="end"/>
        </w:r>
      </w:hyperlink>
    </w:p>
    <w:p w:rsidR="0001540A" w:rsidRDefault="007C6E17">
      <w:pPr>
        <w:pStyle w:val="TOC4"/>
        <w:tabs>
          <w:tab w:val="left" w:pos="1320"/>
          <w:tab w:val="right" w:leader="dot" w:pos="9040"/>
        </w:tabs>
        <w:rPr>
          <w:rFonts w:asciiTheme="minorHAnsi" w:eastAsiaTheme="minorEastAsia" w:hAnsiTheme="minorHAnsi"/>
          <w:color w:val="auto"/>
          <w:sz w:val="22"/>
          <w:lang w:val="en-GB" w:eastAsia="en-GB"/>
        </w:rPr>
      </w:pPr>
      <w:hyperlink w:anchor="_Toc508984036" w:history="1">
        <w:r w:rsidR="0001540A" w:rsidRPr="00BE6592">
          <w:rPr>
            <w:rStyle w:val="Hyperlink"/>
          </w:rPr>
          <w:t>5 diagrama.</w:t>
        </w:r>
        <w:r w:rsidR="0001540A">
          <w:rPr>
            <w:rFonts w:asciiTheme="minorHAnsi" w:eastAsiaTheme="minorEastAsia" w:hAnsiTheme="minorHAnsi"/>
            <w:color w:val="auto"/>
            <w:sz w:val="22"/>
            <w:lang w:val="en-GB" w:eastAsia="en-GB"/>
          </w:rPr>
          <w:tab/>
        </w:r>
        <w:r w:rsidR="0001540A" w:rsidRPr="00BE6592">
          <w:rPr>
            <w:rStyle w:val="Hyperlink"/>
          </w:rPr>
          <w:t>Su inovacijomis susiję</w:t>
        </w:r>
        <w:bookmarkStart w:id="3" w:name="_GoBack"/>
        <w:bookmarkEnd w:id="3"/>
        <w:r w:rsidR="0001540A" w:rsidRPr="00BE6592">
          <w:rPr>
            <w:rStyle w:val="Hyperlink"/>
          </w:rPr>
          <w:t xml:space="preserve"> atskaitomybės reikalavimai</w:t>
        </w:r>
        <w:r w:rsidR="0001540A">
          <w:rPr>
            <w:webHidden/>
          </w:rPr>
          <w:tab/>
        </w:r>
        <w:r w:rsidR="0001540A">
          <w:rPr>
            <w:webHidden/>
          </w:rPr>
          <w:fldChar w:fldCharType="begin"/>
        </w:r>
        <w:r w:rsidR="0001540A">
          <w:rPr>
            <w:webHidden/>
          </w:rPr>
          <w:instrText xml:space="preserve"> PAGEREF _Toc508984036 \h </w:instrText>
        </w:r>
        <w:r w:rsidR="0001540A">
          <w:rPr>
            <w:webHidden/>
          </w:rPr>
        </w:r>
        <w:r w:rsidR="0001540A">
          <w:rPr>
            <w:webHidden/>
          </w:rPr>
          <w:fldChar w:fldCharType="separate"/>
        </w:r>
        <w:r w:rsidR="00DD2637">
          <w:rPr>
            <w:webHidden/>
          </w:rPr>
          <w:t>16</w:t>
        </w:r>
        <w:r w:rsidR="0001540A">
          <w:rPr>
            <w:webHidden/>
          </w:rPr>
          <w:fldChar w:fldCharType="end"/>
        </w:r>
      </w:hyperlink>
    </w:p>
    <w:p w:rsidR="0001540A" w:rsidRDefault="007C6E17">
      <w:pPr>
        <w:pStyle w:val="TOC4"/>
        <w:tabs>
          <w:tab w:val="left" w:pos="1320"/>
          <w:tab w:val="right" w:leader="dot" w:pos="9040"/>
        </w:tabs>
        <w:rPr>
          <w:rFonts w:asciiTheme="minorHAnsi" w:eastAsiaTheme="minorEastAsia" w:hAnsiTheme="minorHAnsi"/>
          <w:color w:val="auto"/>
          <w:sz w:val="22"/>
          <w:lang w:val="en-GB" w:eastAsia="en-GB"/>
        </w:rPr>
      </w:pPr>
      <w:hyperlink w:anchor="_Toc508984037" w:history="1">
        <w:r w:rsidR="0001540A" w:rsidRPr="00BE6592">
          <w:rPr>
            <w:rStyle w:val="Hyperlink"/>
          </w:rPr>
          <w:t>6 diagrama.</w:t>
        </w:r>
        <w:r w:rsidR="0001540A">
          <w:rPr>
            <w:rFonts w:asciiTheme="minorHAnsi" w:eastAsiaTheme="minorEastAsia" w:hAnsiTheme="minorHAnsi"/>
            <w:color w:val="auto"/>
            <w:sz w:val="22"/>
            <w:lang w:val="en-GB" w:eastAsia="en-GB"/>
          </w:rPr>
          <w:tab/>
        </w:r>
        <w:r w:rsidR="0001540A" w:rsidRPr="00BE6592">
          <w:rPr>
            <w:rStyle w:val="Hyperlink"/>
          </w:rPr>
          <w:t>Inovacijų kaimo plėtros programose (KPP) vertinimo metodas</w:t>
        </w:r>
        <w:r w:rsidR="0001540A">
          <w:rPr>
            <w:webHidden/>
          </w:rPr>
          <w:tab/>
        </w:r>
        <w:r w:rsidR="0001540A">
          <w:rPr>
            <w:webHidden/>
          </w:rPr>
          <w:fldChar w:fldCharType="begin"/>
        </w:r>
        <w:r w:rsidR="0001540A">
          <w:rPr>
            <w:webHidden/>
          </w:rPr>
          <w:instrText xml:space="preserve"> PAGEREF _Toc508984037 \h </w:instrText>
        </w:r>
        <w:r w:rsidR="0001540A">
          <w:rPr>
            <w:webHidden/>
          </w:rPr>
        </w:r>
        <w:r w:rsidR="0001540A">
          <w:rPr>
            <w:webHidden/>
          </w:rPr>
          <w:fldChar w:fldCharType="separate"/>
        </w:r>
        <w:r w:rsidR="00DD2637">
          <w:rPr>
            <w:webHidden/>
          </w:rPr>
          <w:t>18</w:t>
        </w:r>
        <w:r w:rsidR="0001540A">
          <w:rPr>
            <w:webHidden/>
          </w:rPr>
          <w:fldChar w:fldCharType="end"/>
        </w:r>
      </w:hyperlink>
    </w:p>
    <w:p w:rsidR="0001540A" w:rsidRDefault="007C6E17">
      <w:pPr>
        <w:pStyle w:val="TOC4"/>
        <w:tabs>
          <w:tab w:val="left" w:pos="1320"/>
          <w:tab w:val="right" w:leader="dot" w:pos="9040"/>
        </w:tabs>
        <w:rPr>
          <w:rFonts w:asciiTheme="minorHAnsi" w:eastAsiaTheme="minorEastAsia" w:hAnsiTheme="minorHAnsi"/>
          <w:color w:val="auto"/>
          <w:sz w:val="22"/>
          <w:lang w:val="en-GB" w:eastAsia="en-GB"/>
        </w:rPr>
      </w:pPr>
      <w:hyperlink w:anchor="_Toc508984038" w:history="1">
        <w:r w:rsidR="0001540A" w:rsidRPr="00BE6592">
          <w:rPr>
            <w:rStyle w:val="Hyperlink"/>
          </w:rPr>
          <w:t>7 diagrama.</w:t>
        </w:r>
        <w:r w:rsidR="0001540A">
          <w:rPr>
            <w:rFonts w:asciiTheme="minorHAnsi" w:eastAsiaTheme="minorEastAsia" w:hAnsiTheme="minorHAnsi"/>
            <w:color w:val="auto"/>
            <w:sz w:val="22"/>
            <w:lang w:val="en-GB" w:eastAsia="en-GB"/>
          </w:rPr>
          <w:tab/>
        </w:r>
        <w:r w:rsidR="0001540A" w:rsidRPr="00BE6592">
          <w:rPr>
            <w:rStyle w:val="Hyperlink"/>
          </w:rPr>
          <w:t>KPP priemonių / pagalbinių priemonių inovacijų skatinimo potencialo analizės etapai</w:t>
        </w:r>
        <w:r w:rsidR="0001540A">
          <w:rPr>
            <w:webHidden/>
          </w:rPr>
          <w:tab/>
        </w:r>
        <w:r w:rsidR="0001540A">
          <w:rPr>
            <w:webHidden/>
          </w:rPr>
          <w:fldChar w:fldCharType="begin"/>
        </w:r>
        <w:r w:rsidR="0001540A">
          <w:rPr>
            <w:webHidden/>
          </w:rPr>
          <w:instrText xml:space="preserve"> PAGEREF _Toc508984038 \h </w:instrText>
        </w:r>
        <w:r w:rsidR="0001540A">
          <w:rPr>
            <w:webHidden/>
          </w:rPr>
        </w:r>
        <w:r w:rsidR="0001540A">
          <w:rPr>
            <w:webHidden/>
          </w:rPr>
          <w:fldChar w:fldCharType="separate"/>
        </w:r>
        <w:r w:rsidR="00DD2637">
          <w:rPr>
            <w:webHidden/>
          </w:rPr>
          <w:t>19</w:t>
        </w:r>
        <w:r w:rsidR="0001540A">
          <w:rPr>
            <w:webHidden/>
          </w:rPr>
          <w:fldChar w:fldCharType="end"/>
        </w:r>
      </w:hyperlink>
    </w:p>
    <w:p w:rsidR="0001540A" w:rsidRDefault="007C6E17">
      <w:pPr>
        <w:pStyle w:val="TOC4"/>
        <w:tabs>
          <w:tab w:val="left" w:pos="1320"/>
          <w:tab w:val="right" w:leader="dot" w:pos="9040"/>
        </w:tabs>
        <w:rPr>
          <w:rFonts w:asciiTheme="minorHAnsi" w:eastAsiaTheme="minorEastAsia" w:hAnsiTheme="minorHAnsi"/>
          <w:color w:val="auto"/>
          <w:sz w:val="22"/>
          <w:lang w:val="en-GB" w:eastAsia="en-GB"/>
        </w:rPr>
      </w:pPr>
      <w:hyperlink w:anchor="_Toc508984039" w:history="1">
        <w:r w:rsidR="0001540A" w:rsidRPr="00BE6592">
          <w:rPr>
            <w:rStyle w:val="Hyperlink"/>
          </w:rPr>
          <w:t>8 diagrama.</w:t>
        </w:r>
        <w:r w:rsidR="0001540A">
          <w:rPr>
            <w:rFonts w:asciiTheme="minorHAnsi" w:eastAsiaTheme="minorEastAsia" w:hAnsiTheme="minorHAnsi"/>
            <w:color w:val="auto"/>
            <w:sz w:val="22"/>
            <w:lang w:val="en-GB" w:eastAsia="en-GB"/>
          </w:rPr>
          <w:tab/>
        </w:r>
        <w:r w:rsidR="0001540A" w:rsidRPr="00BE6592">
          <w:rPr>
            <w:rStyle w:val="Hyperlink"/>
          </w:rPr>
          <w:t>Su 1-uoju BVK susijusio intervencinių veiksmų loginio pagrindo pavyzdys</w:t>
        </w:r>
        <w:r w:rsidR="0001540A">
          <w:rPr>
            <w:webHidden/>
          </w:rPr>
          <w:tab/>
        </w:r>
        <w:r w:rsidR="0001540A">
          <w:rPr>
            <w:webHidden/>
          </w:rPr>
          <w:fldChar w:fldCharType="begin"/>
        </w:r>
        <w:r w:rsidR="0001540A">
          <w:rPr>
            <w:webHidden/>
          </w:rPr>
          <w:instrText xml:space="preserve"> PAGEREF _Toc508984039 \h </w:instrText>
        </w:r>
        <w:r w:rsidR="0001540A">
          <w:rPr>
            <w:webHidden/>
          </w:rPr>
        </w:r>
        <w:r w:rsidR="0001540A">
          <w:rPr>
            <w:webHidden/>
          </w:rPr>
          <w:fldChar w:fldCharType="separate"/>
        </w:r>
        <w:r w:rsidR="00DD2637">
          <w:rPr>
            <w:webHidden/>
          </w:rPr>
          <w:t>26</w:t>
        </w:r>
        <w:r w:rsidR="0001540A">
          <w:rPr>
            <w:webHidden/>
          </w:rPr>
          <w:fldChar w:fldCharType="end"/>
        </w:r>
      </w:hyperlink>
    </w:p>
    <w:p w:rsidR="0001540A" w:rsidRDefault="007C6E17">
      <w:pPr>
        <w:pStyle w:val="TOC4"/>
        <w:tabs>
          <w:tab w:val="left" w:pos="1540"/>
          <w:tab w:val="right" w:leader="dot" w:pos="9040"/>
        </w:tabs>
        <w:rPr>
          <w:rFonts w:asciiTheme="minorHAnsi" w:eastAsiaTheme="minorEastAsia" w:hAnsiTheme="minorHAnsi"/>
          <w:color w:val="auto"/>
          <w:sz w:val="22"/>
          <w:lang w:val="en-GB" w:eastAsia="en-GB"/>
        </w:rPr>
      </w:pPr>
      <w:hyperlink w:anchor="_Toc508984040" w:history="1">
        <w:r w:rsidR="0001540A" w:rsidRPr="00BE6592">
          <w:rPr>
            <w:rStyle w:val="Hyperlink"/>
          </w:rPr>
          <w:t>9 diagrama.</w:t>
        </w:r>
        <w:r w:rsidR="0001540A">
          <w:rPr>
            <w:rFonts w:asciiTheme="minorHAnsi" w:eastAsiaTheme="minorEastAsia" w:hAnsiTheme="minorHAnsi"/>
            <w:color w:val="auto"/>
            <w:sz w:val="22"/>
            <w:lang w:val="en-GB" w:eastAsia="en-GB"/>
          </w:rPr>
          <w:tab/>
        </w:r>
        <w:r w:rsidR="0001540A" w:rsidRPr="00BE6592">
          <w:rPr>
            <w:rStyle w:val="Hyperlink"/>
          </w:rPr>
          <w:t>Kiekvienos 16-osios priemonės pagalbinės priemonės inovacijų skatinimo potencialo pavyzdys</w:t>
        </w:r>
        <w:r w:rsidR="0001540A">
          <w:rPr>
            <w:webHidden/>
          </w:rPr>
          <w:tab/>
        </w:r>
        <w:r w:rsidR="0001540A">
          <w:rPr>
            <w:webHidden/>
          </w:rPr>
          <w:tab/>
        </w:r>
        <w:r w:rsidR="0001540A">
          <w:rPr>
            <w:webHidden/>
          </w:rPr>
          <w:fldChar w:fldCharType="begin"/>
        </w:r>
        <w:r w:rsidR="0001540A">
          <w:rPr>
            <w:webHidden/>
          </w:rPr>
          <w:instrText xml:space="preserve"> PAGEREF _Toc508984040 \h </w:instrText>
        </w:r>
        <w:r w:rsidR="0001540A">
          <w:rPr>
            <w:webHidden/>
          </w:rPr>
        </w:r>
        <w:r w:rsidR="0001540A">
          <w:rPr>
            <w:webHidden/>
          </w:rPr>
          <w:fldChar w:fldCharType="separate"/>
        </w:r>
        <w:r w:rsidR="00DD2637">
          <w:rPr>
            <w:webHidden/>
          </w:rPr>
          <w:t>34</w:t>
        </w:r>
        <w:r w:rsidR="0001540A">
          <w:rPr>
            <w:webHidden/>
          </w:rPr>
          <w:fldChar w:fldCharType="end"/>
        </w:r>
      </w:hyperlink>
    </w:p>
    <w:p w:rsidR="0001540A" w:rsidRDefault="007C6E17">
      <w:pPr>
        <w:pStyle w:val="TOC4"/>
        <w:tabs>
          <w:tab w:val="left" w:pos="1540"/>
          <w:tab w:val="right" w:leader="dot" w:pos="9040"/>
        </w:tabs>
        <w:rPr>
          <w:rFonts w:asciiTheme="minorHAnsi" w:eastAsiaTheme="minorEastAsia" w:hAnsiTheme="minorHAnsi"/>
          <w:color w:val="auto"/>
          <w:sz w:val="22"/>
          <w:lang w:val="en-GB" w:eastAsia="en-GB"/>
        </w:rPr>
      </w:pPr>
      <w:hyperlink w:anchor="_Toc508984041" w:history="1">
        <w:r w:rsidR="0001540A" w:rsidRPr="00BE6592">
          <w:rPr>
            <w:rStyle w:val="Hyperlink"/>
          </w:rPr>
          <w:t>10 diagrama.</w:t>
        </w:r>
        <w:r w:rsidR="0001540A">
          <w:rPr>
            <w:rFonts w:asciiTheme="minorHAnsi" w:eastAsiaTheme="minorEastAsia" w:hAnsiTheme="minorHAnsi"/>
            <w:color w:val="auto"/>
            <w:sz w:val="22"/>
            <w:lang w:val="en-GB" w:eastAsia="en-GB"/>
          </w:rPr>
          <w:tab/>
        </w:r>
        <w:r w:rsidR="0001540A" w:rsidRPr="00BE6592">
          <w:rPr>
            <w:rStyle w:val="Hyperlink"/>
          </w:rPr>
          <w:t>Su inovacijomis susijusių NKT intervencinių veiksmų loginis pagrindas</w:t>
        </w:r>
        <w:r w:rsidR="0001540A">
          <w:rPr>
            <w:webHidden/>
          </w:rPr>
          <w:tab/>
        </w:r>
        <w:r w:rsidR="0001540A">
          <w:rPr>
            <w:webHidden/>
          </w:rPr>
          <w:fldChar w:fldCharType="begin"/>
        </w:r>
        <w:r w:rsidR="0001540A">
          <w:rPr>
            <w:webHidden/>
          </w:rPr>
          <w:instrText xml:space="preserve"> PAGEREF _Toc508984041 \h </w:instrText>
        </w:r>
        <w:r w:rsidR="0001540A">
          <w:rPr>
            <w:webHidden/>
          </w:rPr>
        </w:r>
        <w:r w:rsidR="0001540A">
          <w:rPr>
            <w:webHidden/>
          </w:rPr>
          <w:fldChar w:fldCharType="separate"/>
        </w:r>
        <w:r w:rsidR="00DD2637">
          <w:rPr>
            <w:webHidden/>
          </w:rPr>
          <w:t>43</w:t>
        </w:r>
        <w:r w:rsidR="0001540A">
          <w:rPr>
            <w:webHidden/>
          </w:rPr>
          <w:fldChar w:fldCharType="end"/>
        </w:r>
      </w:hyperlink>
    </w:p>
    <w:p w:rsidR="0001540A" w:rsidRDefault="007C6E17">
      <w:pPr>
        <w:pStyle w:val="TOC4"/>
        <w:tabs>
          <w:tab w:val="left" w:pos="1540"/>
          <w:tab w:val="right" w:leader="dot" w:pos="9040"/>
        </w:tabs>
        <w:rPr>
          <w:rFonts w:asciiTheme="minorHAnsi" w:eastAsiaTheme="minorEastAsia" w:hAnsiTheme="minorHAnsi"/>
          <w:color w:val="auto"/>
          <w:sz w:val="22"/>
          <w:lang w:val="en-GB" w:eastAsia="en-GB"/>
        </w:rPr>
      </w:pPr>
      <w:hyperlink w:anchor="_Toc508984042" w:history="1">
        <w:r w:rsidR="0001540A" w:rsidRPr="00BE6592">
          <w:rPr>
            <w:rStyle w:val="Hyperlink"/>
          </w:rPr>
          <w:t>11 diagrama.</w:t>
        </w:r>
        <w:r w:rsidR="0001540A">
          <w:rPr>
            <w:rFonts w:asciiTheme="minorHAnsi" w:eastAsiaTheme="minorEastAsia" w:hAnsiTheme="minorHAnsi"/>
            <w:color w:val="auto"/>
            <w:sz w:val="22"/>
            <w:lang w:val="en-GB" w:eastAsia="en-GB"/>
          </w:rPr>
          <w:tab/>
        </w:r>
        <w:r w:rsidR="0001540A" w:rsidRPr="00BE6592">
          <w:rPr>
            <w:rStyle w:val="Hyperlink"/>
          </w:rPr>
          <w:t>Su 30-uoju BVK susijusio intervencinių veiksmų loginio pagrindo pavyzdys</w:t>
        </w:r>
        <w:r w:rsidR="0001540A">
          <w:rPr>
            <w:webHidden/>
          </w:rPr>
          <w:tab/>
        </w:r>
        <w:r w:rsidR="0001540A">
          <w:rPr>
            <w:webHidden/>
          </w:rPr>
          <w:fldChar w:fldCharType="begin"/>
        </w:r>
        <w:r w:rsidR="0001540A">
          <w:rPr>
            <w:webHidden/>
          </w:rPr>
          <w:instrText xml:space="preserve"> PAGEREF _Toc508984042 \h </w:instrText>
        </w:r>
        <w:r w:rsidR="0001540A">
          <w:rPr>
            <w:webHidden/>
          </w:rPr>
        </w:r>
        <w:r w:rsidR="0001540A">
          <w:rPr>
            <w:webHidden/>
          </w:rPr>
          <w:fldChar w:fldCharType="separate"/>
        </w:r>
        <w:r w:rsidR="00DD2637">
          <w:rPr>
            <w:webHidden/>
          </w:rPr>
          <w:t>60</w:t>
        </w:r>
        <w:r w:rsidR="0001540A">
          <w:rPr>
            <w:webHidden/>
          </w:rPr>
          <w:fldChar w:fldCharType="end"/>
        </w:r>
      </w:hyperlink>
    </w:p>
    <w:p w:rsidR="00E05D08" w:rsidRPr="00E05D08" w:rsidRDefault="002F11D9" w:rsidP="00530DA6">
      <w:pPr>
        <w:tabs>
          <w:tab w:val="left" w:pos="1540"/>
          <w:tab w:val="right" w:leader="dot" w:pos="9016"/>
        </w:tabs>
        <w:ind w:left="1560" w:hanging="1340"/>
        <w:rPr>
          <w:rFonts w:eastAsia="Times New Roman" w:cs="Times New Roman"/>
          <w:szCs w:val="20"/>
        </w:rPr>
      </w:pPr>
      <w:r>
        <w:rPr>
          <w:rStyle w:val="Hyperlink"/>
          <w14:scene3d>
            <w14:camera w14:prst="orthographicFront"/>
            <w14:lightRig w14:rig="threePt" w14:dir="t">
              <w14:rot w14:lat="0" w14:lon="0" w14:rev="0"/>
            </w14:lightRig>
          </w14:scene3d>
        </w:rPr>
        <w:fldChar w:fldCharType="end"/>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400064">
          <w:headerReference w:type="even" r:id="rId13"/>
          <w:footerReference w:type="even" r:id="rId14"/>
          <w:footerReference w:type="default" r:id="rId15"/>
          <w:headerReference w:type="first" r:id="rId16"/>
          <w:footerReference w:type="first" r:id="rId17"/>
          <w:endnotePr>
            <w:numFmt w:val="decimal"/>
          </w:endnotePr>
          <w:pgSz w:w="11906" w:h="16838" w:code="9"/>
          <w:pgMar w:top="1440" w:right="1416" w:bottom="1134" w:left="1440" w:header="567" w:footer="1021" w:gutter="0"/>
          <w:pgNumType w:start="3"/>
          <w:cols w:space="708"/>
          <w:titlePg/>
          <w:docGrid w:linePitch="360"/>
        </w:sectPr>
      </w:pPr>
    </w:p>
    <w:p w:rsidR="006D209F" w:rsidRDefault="006D209F" w:rsidP="00E05D08">
      <w:pPr>
        <w:keepNext/>
        <w:spacing w:before="360" w:after="360" w:line="280" w:lineRule="atLeast"/>
        <w:outlineLvl w:val="0"/>
        <w:rPr>
          <w:rFonts w:ascii="Helvetica" w:eastAsia="Times New Roman" w:hAnsi="Helvetica" w:cs="Times New Roman"/>
          <w:b/>
          <w:bCs/>
          <w:caps/>
          <w:color w:val="F07E31"/>
          <w:kern w:val="32"/>
          <w:sz w:val="24"/>
          <w:szCs w:val="24"/>
        </w:rPr>
      </w:pPr>
      <w:r>
        <w:lastRenderedPageBreak/>
        <w:br w:type="page"/>
      </w:r>
    </w:p>
    <w:p w:rsidR="00E05D08" w:rsidRPr="00E05D08" w:rsidRDefault="00E05D08" w:rsidP="00E05D08">
      <w:pPr>
        <w:keepNext/>
        <w:spacing w:before="360" w:after="360" w:line="280" w:lineRule="atLeast"/>
        <w:outlineLvl w:val="0"/>
        <w:rPr>
          <w:rFonts w:ascii="Helvetica" w:eastAsia="Times New Roman" w:hAnsi="Helvetica" w:cs="Times New Roman"/>
          <w:b/>
          <w:bCs/>
          <w:caps/>
          <w:color w:val="F07E31"/>
          <w:kern w:val="32"/>
          <w:sz w:val="24"/>
          <w:szCs w:val="24"/>
        </w:rPr>
      </w:pPr>
      <w:r>
        <w:rPr>
          <w:rFonts w:ascii="Helvetica" w:hAnsi="Helvetica"/>
          <w:b/>
          <w:bCs/>
          <w:caps/>
          <w:color w:val="F07E31"/>
          <w:sz w:val="24"/>
          <w:szCs w:val="24"/>
        </w:rPr>
        <w:lastRenderedPageBreak/>
        <w:t>Padėka</w:t>
      </w:r>
    </w:p>
    <w:p w:rsidR="00E05D08" w:rsidRPr="00E05D08" w:rsidRDefault="00E05D08" w:rsidP="00E05D08">
      <w:pPr>
        <w:spacing w:after="120" w:line="280" w:lineRule="atLeast"/>
        <w:mirrorIndents/>
        <w:rPr>
          <w:rFonts w:eastAsia="Times New Roman" w:cs="Times New Roman"/>
          <w:i/>
          <w:szCs w:val="20"/>
        </w:rPr>
      </w:pPr>
      <w:r>
        <w:rPr>
          <w:i/>
          <w:szCs w:val="20"/>
        </w:rPr>
        <w:t xml:space="preserve">Gaires parengė Europos kaimo plėtros vertinimo pagalbos tarnybos ekspertų grupė, kurią sudaro Boru Douthwaite, Marili Parissaki, Andreas Resch, Jela Tvrdonova, Valérie Dumont, Matteo Metta, Myles Stiffler, Hannes Wimmer. </w:t>
      </w:r>
    </w:p>
    <w:p w:rsidR="00E05D08" w:rsidRPr="00E05D08" w:rsidRDefault="00E05D08" w:rsidP="00E05D08">
      <w:pPr>
        <w:spacing w:after="120" w:line="280" w:lineRule="atLeast"/>
        <w:mirrorIndents/>
        <w:rPr>
          <w:rFonts w:eastAsia="Times New Roman" w:cs="Times New Roman"/>
          <w:i/>
          <w:szCs w:val="20"/>
        </w:rPr>
      </w:pPr>
      <w:r>
        <w:rPr>
          <w:i/>
          <w:szCs w:val="20"/>
        </w:rPr>
        <w:t xml:space="preserve">Įvairūs ekspertai atliko tarpusavio vertinimą (Anna Maria Augustyn, Simona Cristiano, Anikó Juhász, Bill Slee) arba prisidėjo turimomis vertinimo patirties žiniomis (Bart Van Herck, Dimitris Skuras). </w:t>
      </w:r>
    </w:p>
    <w:p w:rsidR="00E05D08" w:rsidRPr="00E05D08" w:rsidRDefault="00E05D08" w:rsidP="00E05D08">
      <w:pPr>
        <w:spacing w:after="120" w:line="280" w:lineRule="atLeast"/>
        <w:mirrorIndents/>
        <w:rPr>
          <w:rFonts w:eastAsia="Times New Roman" w:cs="Times New Roman"/>
          <w:i/>
          <w:szCs w:val="20"/>
        </w:rPr>
      </w:pPr>
      <w:r>
        <w:rPr>
          <w:i/>
          <w:szCs w:val="20"/>
        </w:rPr>
        <w:t>Žemės ūkio ir kaimo plėtros GD atstovai užtikrino, kad šios gairės derėtų su ES politikos sistema.</w:t>
      </w:r>
    </w:p>
    <w:p w:rsidR="00E05D08" w:rsidRPr="00E05D08" w:rsidRDefault="00E05D08" w:rsidP="00E05D08">
      <w:pPr>
        <w:spacing w:after="120" w:line="280" w:lineRule="atLeast"/>
        <w:mirrorIndents/>
        <w:rPr>
          <w:rFonts w:eastAsia="Times New Roman" w:cs="Times New Roman"/>
          <w:i/>
          <w:szCs w:val="20"/>
        </w:rPr>
      </w:pPr>
      <w:r>
        <w:rPr>
          <w:i/>
          <w:szCs w:val="20"/>
        </w:rPr>
        <w:t xml:space="preserve">Valstybių narių atstovai per 2017 m. kovo 22 d. įvykusį diskusijų forumo dalyvių susitikimą ir per 2017 m. gegužės 10 d. surengtą 11-ąjį BŽŪP stebėsenos ir vertinimo ekspertų grupės posėdį pateikė pastabų dėl gairių teksto projektų.  </w:t>
      </w:r>
    </w:p>
    <w:p w:rsidR="00E05D08" w:rsidRPr="00E05D08" w:rsidRDefault="00E05D08" w:rsidP="00E05D08">
      <w:pPr>
        <w:spacing w:after="120" w:line="280" w:lineRule="atLeast"/>
        <w:mirrorIndents/>
        <w:rPr>
          <w:rFonts w:eastAsia="Times New Roman" w:cs="Times New Roman"/>
          <w:i/>
          <w:szCs w:val="20"/>
        </w:rPr>
      </w:pPr>
      <w:r>
        <w:rPr>
          <w:i/>
          <w:szCs w:val="20"/>
        </w:rPr>
        <w:t>EKPT ryšių centras ir EIP paslaugų centras taip pat buvo paprašyti pateikti pastabų dėl šių gairių.</w:t>
      </w:r>
    </w:p>
    <w:p w:rsidR="00E05D08" w:rsidRPr="00E05D08" w:rsidRDefault="00E05D08" w:rsidP="00E05D08">
      <w:pPr>
        <w:spacing w:after="0" w:line="240" w:lineRule="auto"/>
        <w:rPr>
          <w:rFonts w:eastAsia="Times New Roman" w:cs="Times New Roman"/>
          <w:szCs w:val="20"/>
        </w:rPr>
      </w:pPr>
      <w:r>
        <w:br w:type="page"/>
      </w:r>
    </w:p>
    <w:p w:rsidR="00E05D08" w:rsidRPr="00A963F4" w:rsidRDefault="00E05D08" w:rsidP="00E05D08">
      <w:pPr>
        <w:spacing w:after="120" w:line="280" w:lineRule="atLeast"/>
        <w:mirrorIndents/>
        <w:rPr>
          <w:rFonts w:eastAsia="Times New Roman" w:cs="Arial"/>
          <w:smallCaps/>
          <w:color w:val="F07E31"/>
          <w:sz w:val="36"/>
          <w:szCs w:val="60"/>
          <w:lang w:eastAsia="de-DE"/>
        </w:rPr>
        <w:sectPr w:rsidR="00E05D08" w:rsidRPr="00A963F4" w:rsidSect="006D209F">
          <w:headerReference w:type="default" r:id="rId18"/>
          <w:footerReference w:type="default" r:id="rId19"/>
          <w:headerReference w:type="first" r:id="rId20"/>
          <w:footerReference w:type="first" r:id="rId21"/>
          <w:endnotePr>
            <w:numFmt w:val="decimal"/>
          </w:endnotePr>
          <w:pgSz w:w="11906" w:h="16838" w:code="9"/>
          <w:pgMar w:top="1440" w:right="1440" w:bottom="1134" w:left="1440" w:header="567" w:footer="1021" w:gutter="0"/>
          <w:cols w:space="708"/>
          <w:noEndnote/>
          <w:titlePg/>
          <w:docGrid w:linePitch="360"/>
        </w:sectPr>
      </w:pPr>
    </w:p>
    <w:p w:rsidR="00E05D08" w:rsidRPr="00E05D08" w:rsidRDefault="00E05D08" w:rsidP="00E05D08">
      <w:pPr>
        <w:spacing w:after="120" w:line="280" w:lineRule="atLeast"/>
        <w:mirrorIndents/>
        <w:rPr>
          <w:rFonts w:eastAsia="Times New Roman" w:cs="Arial"/>
          <w:smallCaps/>
          <w:color w:val="F07E31"/>
          <w:sz w:val="36"/>
          <w:szCs w:val="60"/>
        </w:rPr>
      </w:pPr>
      <w:r>
        <w:rPr>
          <w:smallCaps/>
          <w:color w:val="F07E31"/>
          <w:sz w:val="36"/>
          <w:szCs w:val="60"/>
        </w:rPr>
        <w:lastRenderedPageBreak/>
        <w:t xml:space="preserve">ĮVADAS </w:t>
      </w:r>
    </w:p>
    <w:p w:rsidR="00E05D08" w:rsidRPr="00E05D08" w:rsidRDefault="00E05D08" w:rsidP="00E05D08">
      <w:pPr>
        <w:keepNext/>
        <w:spacing w:before="240" w:after="240" w:line="280" w:lineRule="atLeast"/>
        <w:outlineLvl w:val="3"/>
        <w:rPr>
          <w:rFonts w:eastAsia="Times New Roman" w:cs="Times New Roman"/>
          <w:b/>
          <w:bCs/>
          <w:color w:val="57825E"/>
          <w:kern w:val="32"/>
          <w:szCs w:val="24"/>
        </w:rPr>
      </w:pPr>
      <w:r>
        <w:rPr>
          <w:b/>
          <w:bCs/>
          <w:color w:val="57825E"/>
          <w:szCs w:val="24"/>
        </w:rPr>
        <w:t xml:space="preserve">Kodėl reikėtų įvertinti inovacijas kaimo plėtros programose (KPP)? </w:t>
      </w:r>
    </w:p>
    <w:p w:rsidR="00A45935" w:rsidRPr="00E05D08" w:rsidRDefault="00E05D08" w:rsidP="00E05D08">
      <w:pPr>
        <w:spacing w:after="120" w:line="280" w:lineRule="atLeast"/>
        <w:mirrorIndents/>
        <w:rPr>
          <w:rFonts w:eastAsia="Times New Roman" w:cs="Times New Roman"/>
          <w:bCs/>
          <w:iCs/>
          <w:color w:val="000000"/>
          <w:szCs w:val="20"/>
        </w:rPr>
      </w:pPr>
      <w:r>
        <w:rPr>
          <w:b/>
          <w:bCs/>
          <w:i/>
          <w:iCs/>
          <w:szCs w:val="20"/>
        </w:rPr>
        <w:t>Inovacijos yra vienas iš trijų kaimo politikos kompleksinių tikslų</w:t>
      </w:r>
      <w:r>
        <w:rPr>
          <w:rFonts w:eastAsia="Times New Roman" w:cs="Arial"/>
          <w:b/>
          <w:bCs/>
          <w:iCs/>
          <w:color w:val="000000"/>
          <w:szCs w:val="20"/>
          <w:vertAlign w:val="superscript"/>
          <w:lang w:eastAsia="de-DE"/>
        </w:rPr>
        <w:footnoteReference w:id="1"/>
      </w:r>
      <w:r>
        <w:rPr>
          <w:b/>
          <w:bCs/>
          <w:i/>
          <w:iCs/>
          <w:szCs w:val="20"/>
        </w:rPr>
        <w:t>, kurį galima pasiekti intervenciniais veiksmais, įgyvendinamais pagal 2014–2020 m. kaimo plėtros programose numatytas priemones ir tikslines sritis (TS)</w:t>
      </w:r>
      <w:r>
        <w:rPr>
          <w:rFonts w:eastAsia="Times New Roman" w:cs="Arial"/>
          <w:b/>
          <w:i/>
          <w:iCs/>
          <w:szCs w:val="20"/>
          <w:vertAlign w:val="superscript"/>
          <w:lang w:eastAsia="de-DE"/>
        </w:rPr>
        <w:footnoteReference w:id="2"/>
      </w:r>
      <w:r>
        <w:rPr>
          <w:b/>
          <w:bCs/>
          <w:i/>
          <w:iCs/>
          <w:szCs w:val="20"/>
        </w:rPr>
        <w:t>.</w:t>
      </w:r>
      <w:r>
        <w:rPr>
          <w:b/>
          <w:bCs/>
          <w:i/>
          <w:iCs/>
          <w:color w:val="000000"/>
          <w:szCs w:val="20"/>
        </w:rPr>
        <w:t xml:space="preserve"> </w:t>
      </w:r>
    </w:p>
    <w:p w:rsidR="00A45935" w:rsidRPr="00E05D08" w:rsidRDefault="00A45935" w:rsidP="00E05D08">
      <w:pPr>
        <w:spacing w:after="120" w:line="280" w:lineRule="atLeast"/>
        <w:mirrorIndents/>
        <w:rPr>
          <w:rFonts w:eastAsia="Times New Roman" w:cs="Times New Roman"/>
          <w:szCs w:val="20"/>
        </w:rPr>
      </w:pPr>
      <w:r>
        <w:rPr>
          <w:b/>
          <w:szCs w:val="20"/>
        </w:rPr>
        <w:t>Šio kompleksinio tikslo įgyvendinimo rezultatai yra inovacijų vertinimo objektas</w:t>
      </w:r>
      <w:r>
        <w:rPr>
          <w:rFonts w:eastAsia="Times New Roman" w:cs="Arial"/>
          <w:bCs/>
          <w:iCs/>
          <w:color w:val="000000"/>
          <w:szCs w:val="20"/>
          <w:vertAlign w:val="superscript"/>
          <w:lang w:eastAsia="de-DE"/>
        </w:rPr>
        <w:footnoteReference w:id="3"/>
      </w:r>
      <w:r>
        <w:t>. Šiomis aplinkybėmis Europos žemės ūkio fondo  kaimo plėtrai (EŽŪFKP) remiamų inovacijų indėlis į KPP ir ES politikos tikslų įgyvendinimą vertinamas siekiant atsakyti į su inovacijomis susijusius bendruosius vertinimo klausimus.</w:t>
      </w:r>
    </w:p>
    <w:p w:rsidR="00A45935" w:rsidRPr="00E05D08" w:rsidRDefault="00A45935" w:rsidP="00E05D08">
      <w:pPr>
        <w:spacing w:after="120" w:line="280" w:lineRule="atLeast"/>
        <w:mirrorIndents/>
        <w:rPr>
          <w:rFonts w:eastAsia="Times New Roman" w:cs="Times New Roman"/>
          <w:szCs w:val="20"/>
        </w:rPr>
      </w:pPr>
      <w:r>
        <w:t>Inovacijos turėtų būti vertinamos dėl įvairių priežasčių:</w:t>
      </w:r>
    </w:p>
    <w:p w:rsidR="00A45935" w:rsidRPr="00B05B45" w:rsidRDefault="00A45935" w:rsidP="00D77B96">
      <w:pPr>
        <w:pStyle w:val="Hlistbullet"/>
      </w:pPr>
      <w:r>
        <w:rPr>
          <w:b/>
        </w:rPr>
        <w:t xml:space="preserve">siekiant užtikrinti atskaitomybę dėl kaimo plėtros intervencinių veiksmų  </w:t>
      </w:r>
      <w:r>
        <w:t xml:space="preserve">ir parodyti, kaip jie paskatino inovacijas kaimo vietovėse, padėjo pasiekti programos rezultatus ir padaryti poveikį kaimo politikai ir siekiant strategijos „Europa 2020“ tikslų; </w:t>
      </w:r>
    </w:p>
    <w:p w:rsidR="00A45935" w:rsidRPr="00B05B45" w:rsidRDefault="00A45935" w:rsidP="00D77B96">
      <w:pPr>
        <w:pStyle w:val="Hlistbullet"/>
      </w:pPr>
      <w:r>
        <w:rPr>
          <w:b/>
        </w:rPr>
        <w:t>siekiant tikslingiau nukreipti EŽŪFKP paramą inovacijoms</w:t>
      </w:r>
      <w:r>
        <w:t xml:space="preserve"> atrenkant svarbiausius programos paramos gavėjus ir remiamas teritorijas, taip pat tinkamiausius ir labiausiai reikalavimus atitinkančius veiksmus; </w:t>
      </w:r>
    </w:p>
    <w:p w:rsidR="00A45935" w:rsidRPr="00B05B45" w:rsidRDefault="00A45935" w:rsidP="00D77B96">
      <w:pPr>
        <w:pStyle w:val="Hlistbullet"/>
      </w:pPr>
      <w:r>
        <w:rPr>
          <w:b/>
        </w:rPr>
        <w:t xml:space="preserve">norint pagerinti bendrą suinteresuotųjų subjektų mokymąsi, </w:t>
      </w:r>
      <w:r>
        <w:t xml:space="preserve">kaip kuo geriau remti ir įgyvendinti </w:t>
      </w:r>
      <w:r w:rsidR="00FF4D19">
        <w:t>novatoriškus</w:t>
      </w:r>
      <w:r>
        <w:t xml:space="preserve"> projektus, mokantis iš praeityje įgytos patirties ir gerinant supratimą apie sėkmei reikalingas sąlygas. </w:t>
      </w:r>
    </w:p>
    <w:p w:rsidR="00A45935" w:rsidRPr="00E05D08" w:rsidRDefault="00400614" w:rsidP="00E05D08">
      <w:pPr>
        <w:keepNext/>
        <w:keepLines/>
        <w:tabs>
          <w:tab w:val="left" w:pos="680"/>
        </w:tabs>
        <w:spacing w:before="240" w:after="240" w:line="280" w:lineRule="atLeast"/>
        <w:mirrorIndents/>
        <w:outlineLvl w:val="3"/>
        <w:rPr>
          <w:rFonts w:eastAsia="Times New Roman" w:cs="Arial"/>
          <w:b/>
          <w:color w:val="57825E"/>
          <w:szCs w:val="20"/>
          <w14:textFill>
            <w14:solidFill>
              <w14:srgbClr w14:val="57825E">
                <w14:lumMod w14:val="75000"/>
              </w14:srgbClr>
            </w14:solidFill>
          </w14:textFill>
        </w:rPr>
      </w:pPr>
      <w:r>
        <w:rPr>
          <w:b/>
          <w:noProof/>
          <w:lang w:val="en-GB" w:eastAsia="en-GB"/>
        </w:rPr>
        <mc:AlternateContent>
          <mc:Choice Requires="wps">
            <w:drawing>
              <wp:anchor distT="0" distB="0" distL="114300" distR="114300" simplePos="0" relativeHeight="251702272" behindDoc="0" locked="0" layoutInCell="1" allowOverlap="1" wp14:anchorId="78524D6C" wp14:editId="08711F4D">
                <wp:simplePos x="0" y="0"/>
                <wp:positionH relativeFrom="column">
                  <wp:posOffset>3185160</wp:posOffset>
                </wp:positionH>
                <wp:positionV relativeFrom="paragraph">
                  <wp:posOffset>-5715</wp:posOffset>
                </wp:positionV>
                <wp:extent cx="2649855" cy="3054350"/>
                <wp:effectExtent l="0" t="0" r="17145" b="12700"/>
                <wp:wrapSquare wrapText="bothSides"/>
                <wp:docPr id="90" name="Rectangle: Diagonal Corners Rounded 90"/>
                <wp:cNvGraphicFramePr/>
                <a:graphic xmlns:a="http://schemas.openxmlformats.org/drawingml/2006/main">
                  <a:graphicData uri="http://schemas.microsoft.com/office/word/2010/wordprocessingShape">
                    <wps:wsp>
                      <wps:cNvSpPr/>
                      <wps:spPr>
                        <a:xfrm>
                          <a:off x="0" y="0"/>
                          <a:ext cx="2649855" cy="3054350"/>
                        </a:xfrm>
                        <a:prstGeom prst="round2DiagRect">
                          <a:avLst>
                            <a:gd name="adj1" fmla="val 8733"/>
                            <a:gd name="adj2" fmla="val 0"/>
                          </a:avLst>
                        </a:prstGeom>
                        <a:noFill/>
                        <a:ln w="25400" cap="flat" cmpd="sng" algn="ctr">
                          <a:solidFill>
                            <a:srgbClr val="BE4A35"/>
                          </a:solidFill>
                          <a:prstDash val="solid"/>
                        </a:ln>
                        <a:effectLst/>
                      </wps:spPr>
                      <wps:txbx>
                        <w:txbxContent>
                          <w:p w:rsidR="001F67E3" w:rsidRPr="00D74B10" w:rsidRDefault="001F67E3" w:rsidP="00E05D08">
                            <w:pPr>
                              <w:pStyle w:val="HBox"/>
                            </w:pPr>
                            <w:r>
                              <w:rPr>
                                <w:noProof/>
                                <w:lang w:val="en-GB" w:eastAsia="en-GB"/>
                              </w:rPr>
                              <w:drawing>
                                <wp:inline distT="0" distB="0" distL="0" distR="0" wp14:anchorId="0B4C4C56" wp14:editId="09193AE4">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Pagrindinis šio dokumento tikslas – papildyti kitas gaires ir pasiūlyti rekomendacijų KPP vertinime dalyvaujantiems suinteresuotiesiems subjektams, kaip vykdyti vertinimo veiklą, kad būtų </w:t>
                            </w:r>
                            <w:r>
                              <w:rPr>
                                <w:b/>
                              </w:rPr>
                              <w:t xml:space="preserve">atsakyta į bendruosius su inovacijomis susijusius vertinimo klausimus. </w:t>
                            </w:r>
                            <w:r>
                              <w:t xml:space="preserve">Kadangi labiausiai tikėtina, jog KPP poveikis inovacijoms kaimo vietovėse pasireikš </w:t>
                            </w:r>
                            <w:r>
                              <w:rPr>
                                <w:b/>
                              </w:rPr>
                              <w:t xml:space="preserve">ilguoju laikotarpiu, </w:t>
                            </w:r>
                            <w:r>
                              <w:t xml:space="preserve">gairėse daugiausia dėmesio skiriama visų pirma tai su vertinimu susijusiai veiklai, kuri bus įtraukta į 2019 m. pateiksimą metinę įgyvendinimo ataskaitą ( MĮA) ir į </w:t>
                            </w:r>
                            <w:r>
                              <w:rPr>
                                <w:i/>
                              </w:rPr>
                              <w:t>ex post</w:t>
                            </w:r>
                            <w:r>
                              <w:t xml:space="preserve"> vertinimo ataskaitą.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24D6C" id="Rectangle: Diagonal Corners Rounded 90" o:spid="_x0000_s1029" style="position:absolute;left:0;text-align:left;margin-left:250.8pt;margin-top:-.45pt;width:208.65pt;height:2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9855,305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" adj="-11796480,,5400" path="m231412,l2649855,r,l2649855,2822938v,127805,-103607,231412,-231412,231412l,3054350r,l,231412c,103607,103607,,231412,xe" filled="f" strokecolor="#be4a35" strokeweight="2pt">
                <v:stroke joinstyle="miter"/>
                <v:formulas/>
                <v:path arrowok="t" o:connecttype="custom" o:connectlocs="231412,0;2649855,0;2649855,0;2649855,2822938;2418443,3054350;0,3054350;0,3054350;0,231412;231412,0" o:connectangles="0,0,0,0,0,0,0,0,0" textboxrect="0,0,2649855,3054350"/>
                <v:textbox>
                  <w:txbxContent>
                    <w:p w:rsidR="001F67E3" w:rsidRPr="00D74B10" w:rsidRDefault="001F67E3" w:rsidP="00E05D08">
                      <w:pPr>
                        <w:pStyle w:val="HBox"/>
                      </w:pPr>
                      <w:r>
                        <w:rPr>
                          <w:noProof/>
                          <w:lang w:val="en-GB" w:eastAsia="en-GB"/>
                        </w:rPr>
                        <w:drawing>
                          <wp:inline distT="0" distB="0" distL="0" distR="0" wp14:anchorId="0B4C4C56" wp14:editId="09193AE4">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Pagrindinis šio dokumento tikslas – papildyti kitas gaires ir pasiūlyti rekomendacijų KPP vertinime dalyvaujantiems suinteresuotiesiems subjektams, kaip vykdyti vertinimo veiklą, kad būtų </w:t>
                      </w:r>
                      <w:r>
                        <w:rPr>
                          <w:b/>
                        </w:rPr>
                        <w:t xml:space="preserve">atsakyta į bendruosius su inovacijomis susijusius vertinimo klausimus. </w:t>
                      </w:r>
                      <w:r>
                        <w:t xml:space="preserve">Kadangi labiausiai tikėtina, jog KPP poveikis inovacijoms kaimo vietovėse pasireikš </w:t>
                      </w:r>
                      <w:r>
                        <w:rPr>
                          <w:b/>
                        </w:rPr>
                        <w:t xml:space="preserve">ilguoju laikotarpiu, </w:t>
                      </w:r>
                      <w:r>
                        <w:t xml:space="preserve">gairėse daugiausia dėmesio skiriama visų pirma tai su vertinimu susijusiai veiklai, kuri bus įtraukta į 2019 m. pateiksimą metinę įgyvendinimo ataskaitą ( MĮA) ir į </w:t>
                      </w:r>
                      <w:r>
                        <w:rPr>
                          <w:i/>
                        </w:rPr>
                        <w:t>ex post</w:t>
                      </w:r>
                      <w:r>
                        <w:t xml:space="preserve"> vertinimo ataskaitą.</w:t>
                      </w:r>
                    </w:p>
                  </w:txbxContent>
                </v:textbox>
                <w10:wrap type="square"/>
              </v:shape>
            </w:pict>
          </mc:Fallback>
        </mc:AlternateContent>
      </w:r>
      <w:r w:rsidR="00D66182">
        <w:rPr>
          <w:b/>
          <w:color w:val="57825E"/>
          <w:szCs w:val="20"/>
        </w:rPr>
        <w:t>Kodėl reikia šių gairių?</w:t>
      </w:r>
    </w:p>
    <w:p w:rsidR="00A45935" w:rsidRPr="00E05D08" w:rsidRDefault="00A45935" w:rsidP="00E05D08">
      <w:pPr>
        <w:spacing w:after="120" w:line="280" w:lineRule="atLeast"/>
        <w:mirrorIndents/>
        <w:rPr>
          <w:rFonts w:eastAsia="Times New Roman" w:cs="Times New Roman"/>
          <w:szCs w:val="20"/>
        </w:rPr>
      </w:pPr>
      <w:r>
        <w:rPr>
          <w:b/>
          <w:szCs w:val="20"/>
        </w:rPr>
        <w:t>Inovacijų vertinimo svarba padidėjo</w:t>
      </w:r>
      <w:r>
        <w:t xml:space="preserve"> 2014–2020 m. programavimo laikotarpiu, nes šiam klausimui bendrosios politikos darbotvarkėje skiriama daug dėmesio. Kaimo plėtros programomis gali būti remiami inovacijų procesai, jomis galima pasiekti įvairių materialių ir nematerialių rezultatų programos įgyvendinimo teritorijoje ir visoje inovacijų sistemoje. </w:t>
      </w:r>
    </w:p>
    <w:p w:rsidR="00A45935" w:rsidRPr="00E05D08" w:rsidRDefault="00A45935" w:rsidP="00E05D08">
      <w:pPr>
        <w:spacing w:after="120" w:line="280" w:lineRule="atLeast"/>
        <w:mirrorIndents/>
        <w:rPr>
          <w:rFonts w:eastAsia="Times New Roman" w:cs="Times New Roman"/>
          <w:szCs w:val="20"/>
        </w:rPr>
      </w:pPr>
      <w:r>
        <w:rPr>
          <w:b/>
          <w:szCs w:val="20"/>
        </w:rPr>
        <w:t>Siekiant aprėpti šį poveikį, kyla keletas su metodika susijusių vertinimo iššūkių</w:t>
      </w:r>
      <w:r>
        <w:t>:</w:t>
      </w:r>
      <w:r>
        <w:rPr>
          <w:b/>
          <w:szCs w:val="20"/>
        </w:rPr>
        <w:t xml:space="preserve"> </w:t>
      </w:r>
      <w:r>
        <w:t xml:space="preserve">kaip nustatyti vertinimo objektą? koks poveikis, kuriuo skatinami inovacijų procesai kaimo vietovėse, gali būti susietas </w:t>
      </w:r>
      <w:r w:rsidR="00A963F4">
        <w:t>su KPP</w:t>
      </w:r>
      <w:r>
        <w:t>? kaip galima įvertinti inovacijų, kurios diegiamos naudojantis EŽŪFKP parama, indėlį į platesnio masto KPP rezultatų ir poveikio siekimą? kaip galima įvertinti regioninės, nacionalinės ar ES politikos tikslų įgyvendinimą?</w:t>
      </w:r>
    </w:p>
    <w:p w:rsidR="00055039" w:rsidRDefault="00A45935" w:rsidP="00A6785E">
      <w:r>
        <w:t xml:space="preserve">Vertinimo pagalbos tarnybos </w:t>
      </w:r>
      <w:r>
        <w:rPr>
          <w:b/>
        </w:rPr>
        <w:t>4-oji</w:t>
      </w:r>
      <w:r>
        <w:t xml:space="preserve"> </w:t>
      </w:r>
      <w:r>
        <w:rPr>
          <w:b/>
        </w:rPr>
        <w:t xml:space="preserve">teminio darbo grupė „Inovacijų 2014–2020 m. kaimo plėtros programose (KPP) vertinimas“ </w:t>
      </w:r>
      <w:r>
        <w:t xml:space="preserve">siekė: 1) išnagrinėti ir išspręsti pagrindinius inovacijų vertinimo iššūkius; 2) peržiūrėti turimą vertinimo patirtį šioje srityje; 3) nustatyti ir sukurti praktinius sprendimus, </w:t>
      </w:r>
      <w:r>
        <w:lastRenderedPageBreak/>
        <w:t xml:space="preserve">reikalingus į kaimo plėtros programas įtrauktoms inovacijoms vertinti; 4) parengti </w:t>
      </w:r>
      <w:r>
        <w:rPr>
          <w:b/>
        </w:rPr>
        <w:t xml:space="preserve">neprivalomas gaires, kurios padėtų atsakyti į bendruosius su inovacijomis susijusius vertinimo klausimus, </w:t>
      </w:r>
      <w:r>
        <w:t xml:space="preserve">papildant esamas gaires ir bendrą stebėsenos ir vertinimo sistemą (BSVS). </w:t>
      </w:r>
    </w:p>
    <w:p w:rsidR="00A45935" w:rsidRPr="00E05D08" w:rsidRDefault="00A45935" w:rsidP="00055039">
      <w:pPr>
        <w:spacing w:after="120" w:line="280" w:lineRule="atLeast"/>
        <w:mirrorIndents/>
        <w:rPr>
          <w:rFonts w:eastAsia="Times New Roman" w:cs="Times New Roman"/>
          <w:b/>
          <w:color w:val="57825E"/>
          <w:szCs w:val="20"/>
        </w:rPr>
      </w:pPr>
      <w:r>
        <w:rPr>
          <w:b/>
          <w:color w:val="57825E"/>
          <w:szCs w:val="20"/>
        </w:rPr>
        <w:t>Kokioms tikslinėms grupėms skirtos šios gairės?</w:t>
      </w:r>
    </w:p>
    <w:p w:rsidR="00A45935" w:rsidRPr="00E05D08" w:rsidRDefault="00A45935" w:rsidP="00E05D08">
      <w:pPr>
        <w:spacing w:after="120" w:line="280" w:lineRule="atLeast"/>
        <w:mirrorIndents/>
        <w:rPr>
          <w:rFonts w:eastAsia="Times New Roman" w:cs="Times New Roman"/>
          <w:szCs w:val="20"/>
        </w:rPr>
      </w:pPr>
      <w:r>
        <w:t>Gairės „Inovacijų 2014–2020 m. kaimo plėtros programose (KPP) vertinimas“ parengtos skirtingoms kaimo plėtros suinteresuotųjų subjektų grupėms:</w:t>
      </w:r>
    </w:p>
    <w:p w:rsidR="00A45935" w:rsidRPr="00E16522" w:rsidRDefault="00A45935" w:rsidP="00D77B96">
      <w:r>
        <w:rPr>
          <w:b/>
        </w:rPr>
        <w:t xml:space="preserve">vadovaujančiosios institucijos </w:t>
      </w:r>
      <w:r>
        <w:t xml:space="preserve">gairėse ras informacijos apie inovacijų vertinimą KPP lygmeniu: su inovacijomis susijusių vertinimo klausimų koncepciją, politikos sistemą ir pagrindinius tikslus. Gairėse pateikiami praktiniai nurodymai siekiant parodyti, kaip parengti, valdyti ir koordinuoti vertinimą ir kaip įvertinti, kaip inovacijomis padedama siekti KPP tikslų. </w:t>
      </w:r>
    </w:p>
    <w:p w:rsidR="00A45935" w:rsidRPr="00C37C7A" w:rsidRDefault="00A45935" w:rsidP="00C37C7A">
      <w:r>
        <w:rPr>
          <w:b/>
        </w:rPr>
        <w:t xml:space="preserve">Vertinimo ekspertai </w:t>
      </w:r>
      <w:r>
        <w:t xml:space="preserve">gairėse ras įvairių su inovacijų vertinimu susijusių uždavinių sprendimų (pvz., kaip atlikti KPP inovacijų skatinimo potencialo analizę nustatant su inovacijomis susijusių KPP  intervencinių veiksmų loginį pagrindą, kaip ištirti, kaip inovacijomis padedama siekti  KPP tikslų ir KPP rezultatų bei didinti poveikį). Vertintojai taip pat ras pagalbinės medžiagos, kaip pasirinkti geriausią vertinimo metodą ir surinkti duomenis, kad būtų galima atsakyti į vertinimo klausimus. </w:t>
      </w:r>
    </w:p>
    <w:p w:rsidR="00A45935" w:rsidRPr="00E16522" w:rsidRDefault="00A963F4" w:rsidP="00AA5817">
      <w:pPr>
        <w:pStyle w:val="HStandard"/>
      </w:pPr>
      <w:r>
        <w:rPr>
          <w:b/>
        </w:rPr>
        <w:t>Kiti suinteresuotieji subjektai</w:t>
      </w:r>
      <w:r>
        <w:t xml:space="preserve"> taip pat gali naudotis gairėmis kaip informaciniu dokumentu: </w:t>
      </w:r>
      <w:r>
        <w:rPr>
          <w:b/>
        </w:rPr>
        <w:t>Europos komisijos (EK)</w:t>
      </w:r>
      <w:r>
        <w:t xml:space="preserve"> </w:t>
      </w:r>
      <w:r>
        <w:rPr>
          <w:b/>
        </w:rPr>
        <w:t xml:space="preserve">pareigūnai </w:t>
      </w:r>
      <w:r>
        <w:t xml:space="preserve">(kilus klausimams dėl inovacijų vertinimo); </w:t>
      </w:r>
      <w:r>
        <w:rPr>
          <w:b/>
        </w:rPr>
        <w:t xml:space="preserve">Europos inovacijų partnerystės ( EIP) veiklos grupės (VG) </w:t>
      </w:r>
      <w:r>
        <w:t xml:space="preserve">(kaip bendrąja informacija rengiant projektus ir siekiant suprasti jų inovacijų skatinimo potencialą); </w:t>
      </w:r>
      <w:r>
        <w:rPr>
          <w:b/>
        </w:rPr>
        <w:t>vietos veiklos grupių (VVG) nariai</w:t>
      </w:r>
      <w:r>
        <w:t xml:space="preserve"> (vertindami / savarankiškai vertindami savo bendruomenės inicijuotų vietos plėtros (BIVP) strategijų novatoriškus bruožus ir jų poveikį inovacijoms kaimo vietovėse); </w:t>
      </w:r>
      <w:r>
        <w:rPr>
          <w:b/>
        </w:rPr>
        <w:t>nacionaliniai kaimo tinklai (NKT)</w:t>
      </w:r>
      <w:r>
        <w:t xml:space="preserve">, rengdami ir remdami VVG ir EIP veiklos grupes.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Kokia yra šių gairių struktūra?</w:t>
      </w:r>
    </w:p>
    <w:p w:rsidR="00A45935" w:rsidRPr="00E05D08" w:rsidRDefault="00A45935" w:rsidP="00E05D08">
      <w:pPr>
        <w:spacing w:after="120" w:line="280" w:lineRule="atLeast"/>
        <w:mirrorIndents/>
        <w:rPr>
          <w:rFonts w:eastAsia="Times New Roman" w:cs="Times New Roman"/>
          <w:szCs w:val="20"/>
        </w:rPr>
      </w:pPr>
      <w:r>
        <w:t xml:space="preserve">Šias gaires sudaro trys dalys: </w:t>
      </w:r>
    </w:p>
    <w:p w:rsidR="00A45935" w:rsidRPr="00E05D08" w:rsidRDefault="00A45935" w:rsidP="00E05D08">
      <w:pPr>
        <w:spacing w:after="120" w:line="280" w:lineRule="atLeast"/>
        <w:mirrorIndents/>
        <w:rPr>
          <w:rFonts w:eastAsia="Times New Roman" w:cs="Times New Roman"/>
          <w:szCs w:val="20"/>
        </w:rPr>
      </w:pPr>
      <w:r>
        <w:rPr>
          <w:b/>
          <w:color w:val="F07E31"/>
          <w:szCs w:val="20"/>
        </w:rPr>
        <w:t xml:space="preserve">1 skyriuje </w:t>
      </w:r>
      <w:r>
        <w:t xml:space="preserve">paaiškinama kaimo vietovių inovacijų sistema ir inovacijų kaimo plėtros srityje vertinimo koncepcija. Šia koncepcija nustatoma ES ir KPP politikos sistema ir tai, kaip šios sistemos yra viena su kita susijusios, taip pat apžvelgiami bendrieji vertinimo elementai. 1.3 skyriuje taip pat aptariami iššūkiai, susiję su inovacijų kaimo plėtros politikos srityje vertinimu. </w:t>
      </w:r>
    </w:p>
    <w:p w:rsidR="00A45935" w:rsidRPr="00E05D08" w:rsidRDefault="00A45935" w:rsidP="00E05D08">
      <w:pPr>
        <w:spacing w:after="120" w:line="280" w:lineRule="atLeast"/>
        <w:mirrorIndents/>
        <w:rPr>
          <w:rFonts w:eastAsia="Times New Roman" w:cs="Times New Roman"/>
          <w:szCs w:val="20"/>
        </w:rPr>
      </w:pPr>
      <w:r>
        <w:rPr>
          <w:b/>
          <w:color w:val="F07E31"/>
          <w:szCs w:val="20"/>
        </w:rPr>
        <w:t xml:space="preserve">2 skyriuje </w:t>
      </w:r>
      <w:r>
        <w:t xml:space="preserve">pateikiama informacija vadovaujančiosioms institucijoms apie inovacijų vertinimo valdymo ir atskaitomybės reikalavimų ypatumus. 2.2 skyriuje paaiškinami metodai, kurie taikomi atsakant į su inovacijomis susijusius vertinimo klausimus, ir pateikiamos konkrečios rekomendacijos dėl kiekvieno bendrojo vertinimo klausimo, tai yra 1, 2, 21, 23 ir 30-ojo klausimų dėl tų aspektų, kurie susiję su inovacijomis. Kartu pateikiamas metodų, kurie yra tinkami inovacijoms įvertinti, aprašymas. </w:t>
      </w:r>
    </w:p>
    <w:p w:rsidR="00A45935" w:rsidRPr="00E05D08" w:rsidRDefault="00A45935" w:rsidP="00E05D08">
      <w:pPr>
        <w:spacing w:after="120" w:line="280" w:lineRule="atLeast"/>
        <w:mirrorIndents/>
        <w:rPr>
          <w:rFonts w:eastAsia="Times New Roman" w:cs="Times New Roman"/>
          <w:szCs w:val="20"/>
        </w:rPr>
      </w:pPr>
      <w:r>
        <w:rPr>
          <w:b/>
          <w:color w:val="F07E31"/>
          <w:szCs w:val="20"/>
        </w:rPr>
        <w:t xml:space="preserve">3 skyriuje </w:t>
      </w:r>
      <w:r>
        <w:t xml:space="preserve">(Priedai) pateikiamas terminų žodynėlis ir KPP inovacijų skatinimo potencialo nustatymo etapai. </w:t>
      </w:r>
    </w:p>
    <w:p w:rsidR="00A45935" w:rsidRPr="00E05D08" w:rsidRDefault="00A45935" w:rsidP="00E05D08">
      <w:pPr>
        <w:spacing w:after="0" w:line="240" w:lineRule="auto"/>
        <w:rPr>
          <w:rFonts w:eastAsia="Calibri" w:cs="Arial"/>
          <w:szCs w:val="18"/>
          <w14:textFill>
            <w14:solidFill>
              <w14:srgbClr w14:val="373737">
                <w14:lumMod w14:val="75000"/>
              </w14:srgbClr>
            </w14:solidFill>
          </w14:textFill>
        </w:rPr>
      </w:pPr>
      <w:r>
        <w:br w:type="page"/>
      </w:r>
    </w:p>
    <w:p w:rsidR="00A45935" w:rsidRPr="00E05D08" w:rsidRDefault="00A45935" w:rsidP="00E05D08">
      <w:pPr>
        <w:keepNext/>
        <w:keepLines/>
        <w:pageBreakBefore/>
        <w:tabs>
          <w:tab w:val="left" w:pos="567"/>
        </w:tabs>
        <w:spacing w:before="360" w:after="360" w:line="280" w:lineRule="atLeast"/>
        <w:ind w:left="567" w:hanging="567"/>
        <w:mirrorIndents/>
        <w:outlineLvl w:val="0"/>
        <w:rPr>
          <w:rFonts w:eastAsia="Times New Roman" w:cs="Times New Roman"/>
          <w:b/>
          <w:caps/>
          <w:color w:val="F07E31"/>
          <w:szCs w:val="20"/>
        </w:rPr>
        <w:sectPr w:rsidR="00A45935" w:rsidRPr="00E05D08" w:rsidSect="00055039">
          <w:footerReference w:type="default" r:id="rId23"/>
          <w:endnotePr>
            <w:numFmt w:val="decimal"/>
          </w:endnotePr>
          <w:type w:val="continuous"/>
          <w:pgSz w:w="11906" w:h="16838" w:code="9"/>
          <w:pgMar w:top="1440" w:right="1440" w:bottom="1134" w:left="1440" w:header="567" w:footer="1021" w:gutter="0"/>
          <w:pgNumType w:start="1"/>
          <w:cols w:space="708"/>
          <w:noEndnote/>
          <w:docGrid w:linePitch="360"/>
        </w:sectPr>
      </w:pPr>
      <w:bookmarkStart w:id="5" w:name="_Toc501382120"/>
    </w:p>
    <w:p w:rsidR="00A45935" w:rsidRPr="00967CFD" w:rsidRDefault="0099418C" w:rsidP="00582F60">
      <w:pPr>
        <w:pStyle w:val="HHeading1"/>
        <w:tabs>
          <w:tab w:val="clear" w:pos="567"/>
        </w:tabs>
      </w:pPr>
      <w:bookmarkStart w:id="6" w:name="_Toc508976517"/>
      <w:r>
        <w:rPr>
          <w:noProof/>
          <w:lang w:val="en-GB" w:eastAsia="en-GB"/>
        </w:rPr>
        <w:lastRenderedPageBreak/>
        <mc:AlternateContent>
          <mc:Choice Requires="wps">
            <w:drawing>
              <wp:anchor distT="0" distB="0" distL="114300" distR="114300" simplePos="0" relativeHeight="251703296" behindDoc="0" locked="0" layoutInCell="1" allowOverlap="1" wp14:anchorId="0B6E0182" wp14:editId="163C9931">
                <wp:simplePos x="0" y="0"/>
                <wp:positionH relativeFrom="column">
                  <wp:posOffset>3088005</wp:posOffset>
                </wp:positionH>
                <wp:positionV relativeFrom="paragraph">
                  <wp:posOffset>139065</wp:posOffset>
                </wp:positionV>
                <wp:extent cx="2642235" cy="2893695"/>
                <wp:effectExtent l="0" t="0" r="24765" b="20955"/>
                <wp:wrapSquare wrapText="bothSides"/>
                <wp:docPr id="32" name="Rectangle: Diagonal Corners Rounded 32"/>
                <wp:cNvGraphicFramePr/>
                <a:graphic xmlns:a="http://schemas.openxmlformats.org/drawingml/2006/main">
                  <a:graphicData uri="http://schemas.microsoft.com/office/word/2010/wordprocessingShape">
                    <wps:wsp>
                      <wps:cNvSpPr/>
                      <wps:spPr>
                        <a:xfrm>
                          <a:off x="0" y="0"/>
                          <a:ext cx="2642235" cy="2893695"/>
                        </a:xfrm>
                        <a:prstGeom prst="round2DiagRect">
                          <a:avLst>
                            <a:gd name="adj1" fmla="val 6695"/>
                            <a:gd name="adj2" fmla="val 0"/>
                          </a:avLst>
                        </a:prstGeom>
                        <a:noFill/>
                        <a:ln w="25400" cap="flat" cmpd="sng" algn="ctr">
                          <a:solidFill>
                            <a:srgbClr val="BE4A35"/>
                          </a:solidFill>
                          <a:prstDash val="solid"/>
                        </a:ln>
                        <a:effectLst/>
                      </wps:spPr>
                      <wps:txbx>
                        <w:txbxContent>
                          <w:p w:rsidR="001F67E3" w:rsidRDefault="001F67E3" w:rsidP="00E05D08">
                            <w:pPr>
                              <w:pStyle w:val="HStandard"/>
                            </w:pPr>
                            <w:r>
                              <w:rPr>
                                <w:noProof/>
                                <w:lang w:val="en-GB" w:eastAsia="en-GB"/>
                              </w:rPr>
                              <w:drawing>
                                <wp:inline distT="0" distB="0" distL="0" distR="0" wp14:anchorId="77E584B6" wp14:editId="3B2144CF">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„Inovacijos dažnai apibūdinamos kaip </w:t>
                            </w:r>
                            <w:r>
                              <w:rPr>
                                <w:b/>
                                <w:color w:val="BE4A35"/>
                                <w:sz w:val="18"/>
                              </w:rPr>
                              <w:t>nauja idėja, kurią sėkmingai galima taikyti praktikoje.</w:t>
                            </w:r>
                            <w:r>
                              <w:rPr>
                                <w:sz w:val="18"/>
                              </w:rPr>
                              <w:t xml:space="preserve"> Inovacijos gali būti technologinės ir taip pat netechnologinės, organizacinės arba socialinės. Inovacijos gali būti grindžiamos ne tik nauja, bet ir tradicine praktika, taikoma naujomis geografinėmis arba aplinkosauginėmis aplinkybėmis. Ta nauja idėja gali būti naujas produktas, praktika, paslauga, gamybos procesas arba naujas organizavimo būdas ir kt. Tokia nauja idėja tampa inovacija tik tada, jeigu ji plačiai priimama ir įrodoma jos praktinė nauda“</w:t>
                            </w:r>
                            <w:r>
                              <w:rPr>
                                <w:sz w:val="18"/>
                                <w:vertAlign w:val="superscript"/>
                              </w:rPr>
                              <w:t>4.</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E0182" id="Rectangle: Diagonal Corners Rounded 32" o:spid="_x0000_s1030" style="position:absolute;left:0;text-align:left;margin-left:243.15pt;margin-top:10.95pt;width:208.05pt;height:227.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2235,2893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" adj="-11796480,,5400" path="m176898,l2642235,r,l2642235,2716797v,97698,-79200,176898,-176898,176898l,2893695r,l,176898c,79200,79200,,176898,xe" filled="f" strokecolor="#be4a35" strokeweight="2pt">
                <v:stroke joinstyle="miter"/>
                <v:formulas/>
                <v:path arrowok="t" o:connecttype="custom" o:connectlocs="176898,0;2642235,0;2642235,0;2642235,2716797;2465337,2893695;0,2893695;0,2893695;0,176898;176898,0" o:connectangles="0,0,0,0,0,0,0,0,0" textboxrect="0,0,2642235,2893695"/>
                <v:textbox>
                  <w:txbxContent>
                    <w:p w:rsidR="001F67E3" w:rsidRDefault="001F67E3" w:rsidP="00E05D08">
                      <w:pPr>
                        <w:pStyle w:val="HStandard"/>
                      </w:pPr>
                      <w:r>
                        <w:rPr>
                          <w:noProof/>
                          <w:lang w:val="en-GB" w:eastAsia="en-GB"/>
                        </w:rPr>
                        <w:drawing>
                          <wp:inline distT="0" distB="0" distL="0" distR="0" wp14:anchorId="77E584B6" wp14:editId="3B2144CF">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„Inovacijos dažnai apibūdinamos kaip </w:t>
                      </w:r>
                      <w:r>
                        <w:rPr>
                          <w:b/>
                          <w:color w:val="BE4A35"/>
                          <w:sz w:val="18"/>
                        </w:rPr>
                        <w:t>nauja idėja, kurią sėkmingai galima taikyti praktikoje.</w:t>
                      </w:r>
                      <w:r>
                        <w:rPr>
                          <w:sz w:val="18"/>
                        </w:rPr>
                        <w:t xml:space="preserve"> Inovacijos gali būti technologinės ir taip pat netechnologinės, organizacinės arba socialinės. Inovacijos gali būti grindžiamos ne tik nauja, bet ir tradicine praktika, taikoma naujomis geografinėmis arba aplinkosauginėmis aplinkybėmis. Ta nauja idėja gali būti naujas produktas, praktika, paslauga, gamybos procesas arba naujas organizavimo būdas ir kt. Tokia nauja idėja tampa inovacija tik tada, jeigu ji plačiai priimama ir įrodoma jos praktinė nauda“</w:t>
                      </w:r>
                      <w:r>
                        <w:rPr>
                          <w:sz w:val="18"/>
                          <w:vertAlign w:val="superscript"/>
                        </w:rPr>
                        <w:t>4.</w:t>
                      </w:r>
                      <w:r>
                        <w:rPr>
                          <w:sz w:val="18"/>
                        </w:rPr>
                        <w:t xml:space="preserve"> </w:t>
                      </w:r>
                    </w:p>
                  </w:txbxContent>
                </v:textbox>
                <w10:wrap type="square"/>
              </v:shape>
            </w:pict>
          </mc:Fallback>
        </mc:AlternateContent>
      </w:r>
      <w:r w:rsidR="00A45935">
        <w:t>KONCEPTUALI SISTEMA</w:t>
      </w:r>
      <w:bookmarkEnd w:id="5"/>
      <w:bookmarkEnd w:id="6"/>
    </w:p>
    <w:p w:rsidR="00A45935" w:rsidRPr="00967CFD" w:rsidRDefault="00405B0B" w:rsidP="00C37C7A">
      <w:pPr>
        <w:pStyle w:val="HHeading2"/>
      </w:pPr>
      <w:bookmarkStart w:id="7" w:name="Innovation_RD"/>
      <w:bookmarkStart w:id="8" w:name="_Toc501382121"/>
      <w:bookmarkStart w:id="9" w:name="_Toc508976518"/>
      <w:bookmarkStart w:id="10" w:name="_Toc493151895"/>
      <w:bookmarkEnd w:id="7"/>
      <w:r>
        <w:t>Inovacijos ir kaimo plėtra</w:t>
      </w:r>
      <w:bookmarkEnd w:id="8"/>
      <w:bookmarkEnd w:id="9"/>
      <w:r>
        <w:t xml:space="preserve"> </w:t>
      </w:r>
      <w:bookmarkEnd w:id="10"/>
    </w:p>
    <w:p w:rsidR="00A45935" w:rsidRPr="00E05D08" w:rsidRDefault="00A45935" w:rsidP="00230C31">
      <w:pPr>
        <w:pStyle w:val="HHeading4"/>
      </w:pPr>
      <w:r>
        <w:t>Kaip galime suprasti inovacijas?</w:t>
      </w:r>
    </w:p>
    <w:p w:rsidR="00A45935" w:rsidRPr="00E05D08" w:rsidRDefault="00A45935" w:rsidP="00E05D08">
      <w:pPr>
        <w:spacing w:after="120" w:line="280" w:lineRule="atLeast"/>
        <w:mirrorIndents/>
        <w:rPr>
          <w:rFonts w:eastAsia="Times New Roman" w:cs="Times New Roman"/>
          <w:szCs w:val="20"/>
        </w:rPr>
      </w:pPr>
      <w:r>
        <w:rPr>
          <w:b/>
          <w:szCs w:val="20"/>
        </w:rPr>
        <w:t xml:space="preserve">ES kaimo plėtros politikos kontekste </w:t>
      </w:r>
      <w:r>
        <w:t>inovacijų sąvoka suprantama gana plačiai</w:t>
      </w:r>
      <w:r>
        <w:rPr>
          <w:rStyle w:val="FootnoteReference"/>
          <w:rFonts w:eastAsia="Times New Roman" w:cs="Times New Roman"/>
          <w:color w:val="FFFFFF" w:themeColor="background1"/>
          <w:szCs w:val="20"/>
          <w:lang w:eastAsia="de-DE"/>
        </w:rPr>
        <w:footnoteReference w:id="4"/>
      </w:r>
      <w:r>
        <w:t>:</w:t>
      </w:r>
      <w:bookmarkStart w:id="11" w:name="_Hlk501370282"/>
      <w:r>
        <w:t xml:space="preserve">Aprašytąjį </w:t>
      </w:r>
      <w:r>
        <w:rPr>
          <w:b/>
          <w:szCs w:val="20"/>
        </w:rPr>
        <w:t>platų inovacijų supratimą</w:t>
      </w:r>
      <w:r>
        <w:t xml:space="preserve"> galima pritaikyti prie skirtingų socialinių ir ekonominių bei aplinkos situacijų visoje ES. Tai susiję su KPP struktūra bei jos savybe atsižvelgti į esamas aplinkybes ir  pateikti naujų sprendimų, skirtų kaimo vietovių problemoms ir poreikiams. Tokie sprendimai nebūtinai yra radikalūs ir svarūs, tačiau jie gali apimti mažesnius pokyčius, kuriais neretai paruošiamas pagrindas didesnėms permainoms. </w:t>
      </w:r>
    </w:p>
    <w:p w:rsidR="00A45935" w:rsidRPr="00E05D08" w:rsidRDefault="00A45935" w:rsidP="0099418C">
      <w:pPr>
        <w:pStyle w:val="HHeading4"/>
        <w:spacing w:after="120"/>
      </w:pPr>
      <w:r>
        <w:t>Kaip KPP intervenciniais veiksmais prisidedama prie inovacijų?</w:t>
      </w:r>
    </w:p>
    <w:p w:rsidR="00A45935" w:rsidRPr="00E05D08" w:rsidRDefault="00A45935" w:rsidP="00E05D08">
      <w:pPr>
        <w:spacing w:after="120" w:line="280" w:lineRule="atLeast"/>
        <w:mirrorIndents/>
        <w:rPr>
          <w:rFonts w:eastAsia="Times New Roman" w:cs="Times New Roman"/>
          <w:szCs w:val="20"/>
        </w:rPr>
      </w:pPr>
      <w:r>
        <w:rPr>
          <w:b/>
          <w:szCs w:val="20"/>
        </w:rPr>
        <w:t>Kaimo plėtros politika siekiama skatinti inovacijas</w:t>
      </w:r>
      <w:r>
        <w:t xml:space="preserve"> (technologines, institucines ir socialines), kaip veiksnį, kuris leidžia pasiekti kaimo plėtros tikslus bei prioritetus ir spręsti kaimo vietovių problemas. KPP priemonėmis, pagalbinėmis priemonėmis ir paramos gavėjų (pvz., EIP veiklos grupių, VVG, ūkininkų ir kt.) </w:t>
      </w:r>
      <w:r w:rsidR="00A963F4">
        <w:t>pasiektais</w:t>
      </w:r>
      <w:r>
        <w:t xml:space="preserve"> rodikliais, rezultatais ir poveikiu prisidedama prie KPP tikslų įgyvendinimo, taigi taip jie daro įtaką inovacijų sistemai, kuriai priklauso, ir yra jos veikiami. </w:t>
      </w:r>
    </w:p>
    <w:p w:rsidR="00A45935" w:rsidRPr="00E05D08" w:rsidRDefault="00674A4B" w:rsidP="00E05D08">
      <w:pPr>
        <w:spacing w:after="120" w:line="280" w:lineRule="atLeast"/>
        <w:mirrorIndents/>
        <w:rPr>
          <w:rFonts w:eastAsia="Times New Roman" w:cs="Times New Roman"/>
          <w:szCs w:val="20"/>
        </w:rPr>
      </w:pPr>
      <w:r>
        <w:rPr>
          <w:noProof/>
          <w:szCs w:val="20"/>
          <w:lang w:val="en-GB" w:eastAsia="en-GB"/>
        </w:rPr>
        <mc:AlternateContent>
          <mc:Choice Requires="wps">
            <w:drawing>
              <wp:anchor distT="0" distB="0" distL="114300" distR="114300" simplePos="0" relativeHeight="251751424" behindDoc="0" locked="0" layoutInCell="1" allowOverlap="1" wp14:anchorId="04D861B7" wp14:editId="7FCE29D8">
                <wp:simplePos x="0" y="0"/>
                <wp:positionH relativeFrom="column">
                  <wp:posOffset>-78105</wp:posOffset>
                </wp:positionH>
                <wp:positionV relativeFrom="paragraph">
                  <wp:posOffset>1364615</wp:posOffset>
                </wp:positionV>
                <wp:extent cx="5811520" cy="2200275"/>
                <wp:effectExtent l="0" t="0" r="17780" b="28575"/>
                <wp:wrapSquare wrapText="bothSides"/>
                <wp:docPr id="53" name="Rectangle: Diagonal Corners Rounded 53"/>
                <wp:cNvGraphicFramePr/>
                <a:graphic xmlns:a="http://schemas.openxmlformats.org/drawingml/2006/main">
                  <a:graphicData uri="http://schemas.microsoft.com/office/word/2010/wordprocessingShape">
                    <wps:wsp>
                      <wps:cNvSpPr/>
                      <wps:spPr>
                        <a:xfrm>
                          <a:off x="0" y="0"/>
                          <a:ext cx="5811520" cy="2200275"/>
                        </a:xfrm>
                        <a:prstGeom prst="round2DiagRect">
                          <a:avLst>
                            <a:gd name="adj1" fmla="val 7093"/>
                            <a:gd name="adj2" fmla="val 0"/>
                          </a:avLst>
                        </a:prstGeom>
                        <a:noFill/>
                        <a:ln w="25400" cap="flat" cmpd="sng" algn="ctr">
                          <a:solidFill>
                            <a:srgbClr val="BE4A35"/>
                          </a:solidFill>
                          <a:prstDash val="solid"/>
                        </a:ln>
                        <a:effectLst/>
                      </wps:spPr>
                      <wps:txbx>
                        <w:txbxContent>
                          <w:p w:rsidR="001F67E3" w:rsidRPr="00270814" w:rsidRDefault="001F67E3" w:rsidP="00674A4B">
                            <w:pPr>
                              <w:pStyle w:val="HBox"/>
                            </w:pPr>
                            <w:r>
                              <w:rPr>
                                <w:noProof/>
                                <w:lang w:val="en-GB" w:eastAsia="en-GB"/>
                              </w:rPr>
                              <w:drawing>
                                <wp:inline distT="0" distB="0" distL="0" distR="0" wp14:anchorId="09C68D96" wp14:editId="2132592F">
                                  <wp:extent cx="664845" cy="487680"/>
                                  <wp:effectExtent l="0" t="0" r="0" b="7620"/>
                                  <wp:docPr id="725"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Be kaimo plėtros politikos, </w:t>
                            </w:r>
                            <w:r>
                              <w:rPr>
                                <w:b/>
                                <w:color w:val="BE4A35"/>
                              </w:rPr>
                              <w:t xml:space="preserve">inovacijų sistemą gali veikti daugelis kitų veiksnių </w:t>
                            </w:r>
                            <w:r>
                              <w:t>kaimo vietovėse, pavyzdžiui, moksliniai tyrimai, švietimas, fiskalinė politika ir kitos programos, finansuojamos iš ES fondų (pavyzdžiui, programos „Horizontas 2020“ lėšomis, ESI fondų lėšomis finansuojamų veiklos programų), kuriais remiami novatoriški veiksmai ir procesai. Inovacijų paklausa rinkoje taip pat gali turėti lemiamą reikšmę.</w:t>
                            </w:r>
                          </w:p>
                          <w:p w:rsidR="001F67E3" w:rsidRPr="00D74B10" w:rsidRDefault="001F67E3" w:rsidP="00674A4B">
                            <w:pPr>
                              <w:pStyle w:val="HBox"/>
                            </w:pPr>
                            <w:r>
                              <w:t>Ar inovacijos taps bendra tendencija priklauso ne tik nuo kūrybinės minties intensyvumo, bet ir nuo rinkos galimybių, sektoriaus pasirengimo priimti ją, išlaidų efektyvumo, žinių ir nuomonių, atsitiktinių išorės veiksnių ir t. t. Neįmanoma nuspėti, kaip šie veiksniai sąveikaus tarpusavyje, paversdami naują idėją inovacija. Todėl tai, ar nauja idėja virto tikra inovacija, galima nustatyti tik vėliau.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861B7" id="Rectangle: Diagonal Corners Rounded 53" o:spid="_x0000_s1031" style="position:absolute;left:0;text-align:left;margin-left:-6.15pt;margin-top:107.45pt;width:457.6pt;height:17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520,2200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" adj="-11796480,,5400" path="m156066,l5811520,r,l5811520,2044209v,86193,-69873,156066,-156066,156066l,2200275r,l,156066c,69873,69873,,156066,xe" filled="f" strokecolor="#be4a35" strokeweight="2pt">
                <v:stroke joinstyle="miter"/>
                <v:formulas/>
                <v:path arrowok="t" o:connecttype="custom" o:connectlocs="156066,0;5811520,0;5811520,0;5811520,2044209;5655454,2200275;0,2200275;0,2200275;0,156066;156066,0" o:connectangles="0,0,0,0,0,0,0,0,0" textboxrect="0,0,5811520,2200275"/>
                <v:textbox>
                  <w:txbxContent>
                    <w:p w:rsidR="001F67E3" w:rsidRPr="00270814" w:rsidRDefault="001F67E3" w:rsidP="00674A4B">
                      <w:pPr>
                        <w:pStyle w:val="HBox"/>
                      </w:pPr>
                      <w:r>
                        <w:rPr>
                          <w:noProof/>
                          <w:lang w:val="en-GB" w:eastAsia="en-GB"/>
                        </w:rPr>
                        <w:drawing>
                          <wp:inline distT="0" distB="0" distL="0" distR="0" wp14:anchorId="09C68D96" wp14:editId="2132592F">
                            <wp:extent cx="664845" cy="487680"/>
                            <wp:effectExtent l="0" t="0" r="0" b="7620"/>
                            <wp:docPr id="725"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Be kaimo plėtros politikos, </w:t>
                      </w:r>
                      <w:r>
                        <w:rPr>
                          <w:b/>
                          <w:color w:val="BE4A35"/>
                        </w:rPr>
                        <w:t xml:space="preserve">inovacijų sistemą gali veikti daugelis kitų veiksnių </w:t>
                      </w:r>
                      <w:r>
                        <w:t>kaimo vietovėse, pavyzdžiui, moksliniai tyrimai, švietimas, fiskalinė politika ir kitos programos, finansuojamos iš ES fondų (pavyzdžiui, programos „Horizontas 2020“ lėšomis, ESI fondų lėšomis finansuojamų veiklos programų), kuriais remiami novatoriški veiksmai ir procesai. Inovacijų paklausa rinkoje taip pat gali turėti lemiamą reikšmę.</w:t>
                      </w:r>
                    </w:p>
                    <w:p w:rsidR="001F67E3" w:rsidRPr="00D74B10" w:rsidRDefault="001F67E3" w:rsidP="00674A4B">
                      <w:pPr>
                        <w:pStyle w:val="HBox"/>
                      </w:pPr>
                      <w:r>
                        <w:t>Ar inovacijos taps bendra tendencija priklauso ne tik nuo kūrybinės minties intensyvumo, bet ir nuo rinkos galimybių, sektoriaus pasirengimo priimti ją, išlaidų efektyvumo, žinių ir nuomonių, atsitiktinių išorės veiksnių ir t. t. Neįmanoma nuspėti, kaip šie veiksniai sąveikaus tarpusavyje, paversdami naują idėją inovacija. Todėl tai, ar nauja idėja virto tikra inovacija, galima nustatyti tik vėliau.</w:t>
                      </w:r>
                    </w:p>
                  </w:txbxContent>
                </v:textbox>
                <w10:wrap type="square"/>
              </v:shape>
            </w:pict>
          </mc:Fallback>
        </mc:AlternateContent>
      </w:r>
      <w:r>
        <w:rPr>
          <w:b/>
          <w:szCs w:val="20"/>
        </w:rPr>
        <w:t>Inovacijų sistema</w:t>
      </w:r>
      <w:r>
        <w:t xml:space="preserve"> vietos, regionų, nacionaliniu ar viršnacionaliniu lygmeniu apima pakankamai nevienalytę inovacijų srities subjektų grupę, įskaitant kaimo vietovių verslininkus (pvz., ūkininkus, miškininkus) gaminančiąją ir turizmo pramonę, perdirbėjus, prekybininkus, reguliavimo institucijas, tyrėjus, konsultavimo paslaugų teikėjus, vyriausybines ir pilietinės visuomenės organizacijas. Interaktyvus eksperimentinis šių subjektų mokymasis yra labai svarbus inovacijų sistemoje, nes jie praktiškai taiko naujas idėjas (kurios yra naujos toje sistemoje). Technologijų ir informacijos srautas tarp subjektų yra pagrindinis inovacijų proceso elementas inovacijų sistemoje. </w:t>
      </w:r>
    </w:p>
    <w:p w:rsidR="00405B0B" w:rsidRDefault="00405B0B">
      <w:pPr>
        <w:jc w:val="left"/>
        <w:rPr>
          <w:rFonts w:eastAsia="Times New Roman" w:cs="Times New Roman"/>
          <w:b/>
          <w:szCs w:val="20"/>
        </w:rPr>
      </w:pPr>
      <w:r>
        <w:br w:type="page"/>
      </w:r>
    </w:p>
    <w:p w:rsidR="00A45935" w:rsidRPr="00E05D08" w:rsidRDefault="00A45935" w:rsidP="00E05D08">
      <w:pPr>
        <w:spacing w:after="120" w:line="280" w:lineRule="atLeast"/>
        <w:mirrorIndents/>
        <w:rPr>
          <w:rFonts w:eastAsia="Times New Roman" w:cs="Times New Roman"/>
          <w:szCs w:val="20"/>
        </w:rPr>
      </w:pPr>
      <w:r>
        <w:rPr>
          <w:b/>
          <w:szCs w:val="20"/>
        </w:rPr>
        <w:lastRenderedPageBreak/>
        <w:t>Inovacijų procesas vyksta trimis kryptimis</w:t>
      </w:r>
      <w:r>
        <w:t xml:space="preserve">: </w:t>
      </w:r>
    </w:p>
    <w:p w:rsidR="00A45935" w:rsidRPr="00987055" w:rsidRDefault="00A45935" w:rsidP="008C0B17">
      <w:pPr>
        <w:numPr>
          <w:ilvl w:val="0"/>
          <w:numId w:val="66"/>
        </w:numPr>
        <w:mirrorIndents/>
        <w:rPr>
          <w:szCs w:val="20"/>
        </w:rPr>
      </w:pPr>
      <w:r>
        <w:rPr>
          <w:b/>
          <w:color w:val="F07E31"/>
          <w:szCs w:val="20"/>
        </w:rPr>
        <w:t>1 kryptis</w:t>
      </w:r>
      <w:r>
        <w:t xml:space="preserve"> yra susijusi su naujų idėjų (t. y. naujų nuomonių, metodų, produktų, praktikos, paslaugų, gamybos procesų / technologijų, naujų organizavimo būdų ar naujų bendradarbiavimo ir mokymosi formų) kaupimu ir plėtojimu; </w:t>
      </w:r>
    </w:p>
    <w:p w:rsidR="00A45935" w:rsidRDefault="00A45935" w:rsidP="008C0B17">
      <w:pPr>
        <w:numPr>
          <w:ilvl w:val="0"/>
          <w:numId w:val="66"/>
        </w:numPr>
        <w:mirrorIndents/>
        <w:rPr>
          <w:szCs w:val="20"/>
        </w:rPr>
      </w:pPr>
      <w:r>
        <w:rPr>
          <w:b/>
          <w:color w:val="F07E31"/>
          <w:szCs w:val="20"/>
        </w:rPr>
        <w:t>2 kryptis</w:t>
      </w:r>
      <w:r>
        <w:rPr>
          <w:b/>
          <w:szCs w:val="20"/>
        </w:rPr>
        <w:t xml:space="preserve"> </w:t>
      </w:r>
      <w:r>
        <w:t xml:space="preserve">yra susijusi su asmenų gebėjimais ir su pačios žinių ir inovacijų sistemos gebėjimu eksperimentuoti, saviorganizuotis ir panaudoti naujas idėjas ir metodus; </w:t>
      </w:r>
    </w:p>
    <w:p w:rsidR="00A45935" w:rsidRPr="00987055" w:rsidRDefault="00A45935" w:rsidP="008C0B17">
      <w:pPr>
        <w:numPr>
          <w:ilvl w:val="0"/>
          <w:numId w:val="66"/>
        </w:numPr>
        <w:mirrorIndents/>
        <w:rPr>
          <w:szCs w:val="20"/>
        </w:rPr>
      </w:pPr>
      <w:r>
        <w:rPr>
          <w:b/>
          <w:color w:val="F07E31"/>
          <w:szCs w:val="20"/>
        </w:rPr>
        <w:t>3 kryptis</w:t>
      </w:r>
      <w:r>
        <w:t xml:space="preserve"> yra susijusi su palankia institucine ir politine aplinka, kuri yra būtina kuriamiems inovacijų procesams. </w:t>
      </w:r>
      <w:bookmarkStart w:id="12" w:name="_Toc476660915"/>
      <w:bookmarkStart w:id="13" w:name="_Toc476661047"/>
    </w:p>
    <w:p w:rsidR="00A45935" w:rsidRPr="0095292E" w:rsidRDefault="00A45935" w:rsidP="0095292E">
      <w:pPr>
        <w:mirrorIndents/>
        <w:rPr>
          <w:szCs w:val="20"/>
        </w:rPr>
      </w:pPr>
      <w:r>
        <w:t>Šios trys kryptys neturėtų būti laikomos pavieniais veiksmais, o veikiau persipinančiais ir tarpusavyje susijusiais keliais į inovacijas (1 diagrama).</w:t>
      </w:r>
    </w:p>
    <w:p w:rsidR="00A45935" w:rsidRPr="00447906" w:rsidRDefault="00674A4B" w:rsidP="0013305F">
      <w:pPr>
        <w:pStyle w:val="HHeadingfigures"/>
        <w:tabs>
          <w:tab w:val="clear" w:pos="964"/>
        </w:tabs>
      </w:pPr>
      <w:bookmarkStart w:id="14" w:name="_Toc508984032"/>
      <w:r>
        <w:t>Supaprastintas pavaizdavimas, kaip KPP padeda skatinti inovacijas</w:t>
      </w:r>
      <w:bookmarkEnd w:id="14"/>
      <w:r>
        <w:t xml:space="preserve"> </w:t>
      </w:r>
      <w:bookmarkEnd w:id="12"/>
      <w:bookmarkEnd w:id="13"/>
    </w:p>
    <w:p w:rsidR="00A45935" w:rsidRPr="00E05D08" w:rsidRDefault="00E92FE2" w:rsidP="00E05D08">
      <w:pPr>
        <w:spacing w:after="0" w:line="280" w:lineRule="atLeast"/>
        <w:jc w:val="center"/>
        <w:rPr>
          <w:rFonts w:eastAsia="Times New Roman" w:cs="Arial"/>
          <w:szCs w:val="18"/>
          <w:lang w:eastAsia="de-DE"/>
        </w:rPr>
      </w:pPr>
      <w:r w:rsidRPr="00E92FE2">
        <w:rPr>
          <w:noProof/>
          <w:lang w:val="en-GB" w:eastAsia="en-GB"/>
        </w:rPr>
        <w:drawing>
          <wp:inline distT="0" distB="0" distL="0" distR="0" wp14:anchorId="452407AE" wp14:editId="124774AE">
            <wp:extent cx="5438775" cy="30153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36366" cy="3014001"/>
                    </a:xfrm>
                    <a:prstGeom prst="rect">
                      <a:avLst/>
                    </a:prstGeom>
                    <a:noFill/>
                    <a:ln>
                      <a:noFill/>
                    </a:ln>
                  </pic:spPr>
                </pic:pic>
              </a:graphicData>
            </a:graphic>
          </wp:inline>
        </w:drawing>
      </w: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20"/>
        </w:rPr>
      </w:pPr>
      <w:r>
        <w:rPr>
          <w:i/>
          <w:sz w:val="16"/>
          <w:szCs w:val="20"/>
        </w:rPr>
        <w:t>Šaltinis: Europos kaimo plėtros vertinimo pagalbos tarnyba, 2017 m.</w:t>
      </w:r>
    </w:p>
    <w:p w:rsidR="000E1D4B" w:rsidRDefault="00A45935" w:rsidP="00E05D08">
      <w:pPr>
        <w:spacing w:after="120" w:line="280" w:lineRule="atLeast"/>
        <w:mirrorIndents/>
        <w:rPr>
          <w:rFonts w:eastAsia="Times New Roman" w:cs="Times New Roman"/>
          <w:szCs w:val="20"/>
        </w:rPr>
      </w:pPr>
      <w:r>
        <w:t>KPP priemonės / pagalbinės priemonės ir jų deriniai gali tam tikru mastu padėti skatinti vieną, dvi arba visas tris  kryptis, atsižvelgiant į konkretų KPP požiūrį į paramą inovacijoms (žr. </w:t>
      </w:r>
      <w:hyperlink w:anchor="Policy_framework" w:history="1">
        <w:r>
          <w:rPr>
            <w:rStyle w:val="Hyperlink"/>
            <w:sz w:val="20"/>
            <w:szCs w:val="20"/>
          </w:rPr>
          <w:t>1.2.1 skirsnį</w:t>
        </w:r>
      </w:hyperlink>
      <w:r>
        <w:t xml:space="preserve">). </w:t>
      </w:r>
      <w:bookmarkStart w:id="15" w:name="_Hlk501621429"/>
    </w:p>
    <w:p w:rsidR="000E1D4B" w:rsidRDefault="000E1D4B">
      <w:pPr>
        <w:rPr>
          <w:rFonts w:eastAsia="Times New Roman" w:cs="Times New Roman"/>
          <w:b/>
          <w:color w:val="F07E31"/>
          <w:szCs w:val="20"/>
        </w:rPr>
      </w:pPr>
      <w:r>
        <w:br w:type="page"/>
      </w:r>
    </w:p>
    <w:p w:rsidR="00A45935" w:rsidRPr="00E05D08" w:rsidRDefault="00BC211C"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705344" behindDoc="0" locked="0" layoutInCell="1" allowOverlap="1" wp14:anchorId="1771AA66" wp14:editId="665AB1F5">
                <wp:simplePos x="0" y="0"/>
                <wp:positionH relativeFrom="column">
                  <wp:posOffset>-60325</wp:posOffset>
                </wp:positionH>
                <wp:positionV relativeFrom="paragraph">
                  <wp:posOffset>0</wp:posOffset>
                </wp:positionV>
                <wp:extent cx="2832735" cy="4391025"/>
                <wp:effectExtent l="0" t="0" r="24765" b="28575"/>
                <wp:wrapSquare wrapText="bothSides"/>
                <wp:docPr id="55" name="Rectangle: Diagonal Corners Rounded 55"/>
                <wp:cNvGraphicFramePr/>
                <a:graphic xmlns:a="http://schemas.openxmlformats.org/drawingml/2006/main">
                  <a:graphicData uri="http://schemas.microsoft.com/office/word/2010/wordprocessingShape">
                    <wps:wsp>
                      <wps:cNvSpPr/>
                      <wps:spPr>
                        <a:xfrm>
                          <a:off x="0" y="0"/>
                          <a:ext cx="2832735" cy="4391025"/>
                        </a:xfrm>
                        <a:prstGeom prst="round2DiagRect">
                          <a:avLst>
                            <a:gd name="adj1" fmla="val 6641"/>
                            <a:gd name="adj2" fmla="val 0"/>
                          </a:avLst>
                        </a:prstGeom>
                        <a:noFill/>
                        <a:ln w="25400" cap="flat" cmpd="sng" algn="ctr">
                          <a:solidFill>
                            <a:srgbClr val="F07E31"/>
                          </a:solidFill>
                          <a:prstDash val="solid"/>
                        </a:ln>
                        <a:effectLst/>
                      </wps:spPr>
                      <wps:txbx>
                        <w:txbxContent>
                          <w:p w:rsidR="001F67E3" w:rsidRPr="00E05D08" w:rsidRDefault="001F67E3" w:rsidP="00E05D08">
                            <w:pPr>
                              <w:pStyle w:val="Normal12PTcouleurgris"/>
                              <w:rPr>
                                <w:b/>
                                <w:color w:val="F07E31"/>
                              </w:rPr>
                            </w:pPr>
                            <w:r>
                              <w:rPr>
                                <w:noProof/>
                                <w:lang w:val="en-GB" w:eastAsia="en-GB"/>
                              </w:rPr>
                              <w:drawing>
                                <wp:inline distT="0" distB="0" distL="0" distR="0" wp14:anchorId="775AF098" wp14:editId="76CCE1EA">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Galimos KPP paramos 1 krypčiai pavyzdžiai:</w:t>
                            </w:r>
                          </w:p>
                          <w:p w:rsidR="001F67E3" w:rsidRPr="00230C31" w:rsidRDefault="001F67E3" w:rsidP="00230C31">
                            <w:pPr>
                              <w:pStyle w:val="Hlistbullet"/>
                              <w:rPr>
                                <w:sz w:val="18"/>
                                <w:szCs w:val="18"/>
                              </w:rPr>
                            </w:pPr>
                            <w:r>
                              <w:rPr>
                                <w:sz w:val="18"/>
                                <w:szCs w:val="18"/>
                              </w:rPr>
                              <w:t xml:space="preserve">mašinos, skirtos piktžolėms žemės ūkio paskirties žemėje mechaniškai kontroliuoti, sukūrimas, išbandymas ir jos naudojimo skatinimas (pvz., pagal Reglamento (ES) Nr. 1305/2013 17 ir 35 straipsnius vykdomi veiksmai); </w:t>
                            </w:r>
                          </w:p>
                          <w:p w:rsidR="001F67E3" w:rsidRPr="00230C31" w:rsidRDefault="001F67E3" w:rsidP="00230C31">
                            <w:pPr>
                              <w:pStyle w:val="Hlistbullet"/>
                              <w:rPr>
                                <w:sz w:val="18"/>
                                <w:szCs w:val="18"/>
                              </w:rPr>
                            </w:pPr>
                            <w:r>
                              <w:rPr>
                                <w:sz w:val="18"/>
                                <w:szCs w:val="18"/>
                              </w:rPr>
                              <w:t xml:space="preserve">naujos rūšies paslaugų kaimo vietovėse išbandymas ir teikimas (pvz., pagal Reglamento (ES) Nr. 1305/2013 20 ir 35 straipsnius vykdomi veiksmai); </w:t>
                            </w:r>
                          </w:p>
                          <w:p w:rsidR="001F67E3" w:rsidRPr="00230C31" w:rsidRDefault="001F67E3" w:rsidP="00230C31">
                            <w:pPr>
                              <w:pStyle w:val="Hlistbullet"/>
                              <w:rPr>
                                <w:sz w:val="18"/>
                                <w:szCs w:val="18"/>
                              </w:rPr>
                            </w:pPr>
                            <w:r>
                              <w:rPr>
                                <w:sz w:val="18"/>
                                <w:szCs w:val="18"/>
                              </w:rPr>
                              <w:t>naujų susitikimų, konferencijų ir mokymo renginių organizavimo būdų diegimas (pvz., taikant naujus pagalbos būdus, rengiant apskritojo stalo konferencijas) (pvz., pagal Reglamento (ES) Nr. 1305/2013 14 straipsnį vykdomi veiksmai).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71AA66" id="Rectangle: Diagonal Corners Rounded 55" o:spid="_x0000_s1032" style="position:absolute;left:0;text-align:left;margin-left:-4.75pt;margin-top:0;width:223.05pt;height:345.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4391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" adj="-11796480,,5400" path="m188122,l2832735,r,l2832735,4202903v,103897,-84225,188122,-188122,188122l,4391025r,l,188122c,84225,84225,,188122,xe" filled="f" strokecolor="#f07e31" strokeweight="2pt">
                <v:stroke joinstyle="miter"/>
                <v:formulas/>
                <v:path arrowok="t" o:connecttype="custom" o:connectlocs="188122,0;2832735,0;2832735,0;2832735,4202903;2644613,4391025;0,4391025;0,4391025;0,188122;188122,0" o:connectangles="0,0,0,0,0,0,0,0,0" textboxrect="0,0,2832735,4391025"/>
                <v:textbox>
                  <w:txbxContent>
                    <w:p w:rsidR="001F67E3" w:rsidRPr="00E05D08" w:rsidRDefault="001F67E3" w:rsidP="00E05D08">
                      <w:pPr>
                        <w:pStyle w:val="Normal12PTcouleurgris"/>
                        <w:rPr>
                          <w:b/>
                          <w:color w:val="F07E31"/>
                        </w:rPr>
                      </w:pPr>
                      <w:r>
                        <w:rPr>
                          <w:noProof/>
                          <w:lang w:val="en-GB" w:eastAsia="en-GB"/>
                        </w:rPr>
                        <w:drawing>
                          <wp:inline distT="0" distB="0" distL="0" distR="0" wp14:anchorId="775AF098" wp14:editId="76CCE1EA">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Galimos KPP paramos 1 krypčiai pavyzdžiai:</w:t>
                      </w:r>
                    </w:p>
                    <w:p w:rsidR="001F67E3" w:rsidRPr="00230C31" w:rsidRDefault="001F67E3" w:rsidP="00230C31">
                      <w:pPr>
                        <w:pStyle w:val="Hlistbullet"/>
                        <w:rPr>
                          <w:sz w:val="18"/>
                          <w:szCs w:val="18"/>
                        </w:rPr>
                      </w:pPr>
                      <w:r>
                        <w:rPr>
                          <w:sz w:val="18"/>
                          <w:szCs w:val="18"/>
                        </w:rPr>
                        <w:t xml:space="preserve">mašinos, skirtos piktžolėms žemės ūkio paskirties žemėje mechaniškai kontroliuoti, sukūrimas, išbandymas ir jos naudojimo skatinimas (pvz., pagal Reglamento (ES) Nr. 1305/2013 17 ir 35 straipsnius vykdomi veiksmai); </w:t>
                      </w:r>
                    </w:p>
                    <w:p w:rsidR="001F67E3" w:rsidRPr="00230C31" w:rsidRDefault="001F67E3" w:rsidP="00230C31">
                      <w:pPr>
                        <w:pStyle w:val="Hlistbullet"/>
                        <w:rPr>
                          <w:sz w:val="18"/>
                          <w:szCs w:val="18"/>
                        </w:rPr>
                      </w:pPr>
                      <w:r>
                        <w:rPr>
                          <w:sz w:val="18"/>
                          <w:szCs w:val="18"/>
                        </w:rPr>
                        <w:t xml:space="preserve">naujos rūšies paslaugų kaimo vietovėse išbandymas ir teikimas (pvz., pagal Reglamento (ES) Nr. 1305/2013 20 ir 35 straipsnius vykdomi veiksmai); </w:t>
                      </w:r>
                    </w:p>
                    <w:p w:rsidR="001F67E3" w:rsidRPr="00230C31" w:rsidRDefault="001F67E3" w:rsidP="00230C31">
                      <w:pPr>
                        <w:pStyle w:val="Hlistbullet"/>
                        <w:rPr>
                          <w:sz w:val="18"/>
                          <w:szCs w:val="18"/>
                        </w:rPr>
                      </w:pPr>
                      <w:r>
                        <w:rPr>
                          <w:sz w:val="18"/>
                          <w:szCs w:val="18"/>
                        </w:rPr>
                        <w:t>naujų susitikimų, konferencijų ir mokymo renginių organizavimo būdų diegimas (pvz., taikant naujus pagalbos būdus, rengiant apskritojo stalo konferencijas) (pvz., pagal Reglamento (ES) Nr. 1305/2013 14 straipsnį vykdomi veiksmai).</w:t>
                      </w:r>
                    </w:p>
                  </w:txbxContent>
                </v:textbox>
                <w10:wrap type="square"/>
              </v:shape>
            </w:pict>
          </mc:Fallback>
        </mc:AlternateContent>
      </w:r>
      <w:r>
        <w:rPr>
          <w:b/>
          <w:color w:val="F07E31"/>
          <w:szCs w:val="20"/>
        </w:rPr>
        <w:t>Pirmoji kryptis</w:t>
      </w:r>
      <w:r>
        <w:t xml:space="preserve"> gali būti apibūdinta kaip gebėjimas nustatyti ir plėtoti perspektyvias idėjas, kurios gali padėti atsirasti bet kokios rūšies inovacijoms (technologinėms, netechnologinėms, socialinėms, organizacinėms ir t. t.). Reikia tam tikro užmojo, kad tokia nauja idėja taptų tikra inovacija, geriausiai atitinkanti konkretų poreikį arba atverianti galimybę, kurią gali taikyti daugelis. Du pagrindiniai idėjų plėtojimo būdai, kuriais kuriami inovacijų procesai, yra šie: 1) individualus požiūris (surasti vyrą / moterį, kuris (-i) turi idėją ir juos skatinti); 2) pasitelkti skirtingus suinteresuotuosius subjektus, kurie dirba grupėmis, ieškodami naujų idėjų, kurias būtų galima plėtoti (suburiant į grupę geriausius partnerius, turinčius papildomų kompetencijų, reikalingų inovacijų projektui parengti). </w:t>
      </w:r>
    </w:p>
    <w:bookmarkEnd w:id="15"/>
    <w:p w:rsidR="000E1D4B" w:rsidRDefault="00A45935" w:rsidP="00E05D08">
      <w:pPr>
        <w:spacing w:after="120" w:line="280" w:lineRule="atLeast"/>
        <w:mirrorIndents/>
        <w:rPr>
          <w:rFonts w:eastAsia="Times New Roman" w:cs="Times New Roman"/>
          <w:szCs w:val="20"/>
        </w:rPr>
      </w:pPr>
      <w:r>
        <w:t xml:space="preserve">Kad idėja būtų novatoriška, ji arba bent tam tikras jos aspektas turi būti naujoviški atsižvelgiant į atitinkamą aplinką ar vietą ir teikti bent kiek pagrįstą viltį, kad jie gali būti naudingi (t. y. padėti vienam ar daugiau suinteresuotųjų subjektų kažką padaryti kitaip, geriau arba pigiau, atliepti poreikį arba padėti sudaryti galimybę). </w:t>
      </w:r>
    </w:p>
    <w:p w:rsidR="000E1D4B" w:rsidRDefault="000E1D4B">
      <w:pPr>
        <w:rPr>
          <w:rFonts w:eastAsia="Times New Roman" w:cs="Times New Roman"/>
          <w:szCs w:val="20"/>
        </w:rPr>
      </w:pPr>
      <w:r>
        <w:br w:type="page"/>
      </w:r>
    </w:p>
    <w:p w:rsidR="00A45935" w:rsidRPr="00E05D08" w:rsidRDefault="001E4112"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730944" behindDoc="0" locked="0" layoutInCell="1" allowOverlap="1" wp14:anchorId="2CC6FC69" wp14:editId="68CE0C1A">
                <wp:simplePos x="0" y="0"/>
                <wp:positionH relativeFrom="column">
                  <wp:posOffset>-142875</wp:posOffset>
                </wp:positionH>
                <wp:positionV relativeFrom="paragraph">
                  <wp:posOffset>2486025</wp:posOffset>
                </wp:positionV>
                <wp:extent cx="6089650" cy="2828925"/>
                <wp:effectExtent l="0" t="0" r="25400" b="28575"/>
                <wp:wrapNone/>
                <wp:docPr id="57" name="Rectangle: Diagonal Corners Rounded 57"/>
                <wp:cNvGraphicFramePr/>
                <a:graphic xmlns:a="http://schemas.openxmlformats.org/drawingml/2006/main">
                  <a:graphicData uri="http://schemas.microsoft.com/office/word/2010/wordprocessingShape">
                    <wps:wsp>
                      <wps:cNvSpPr/>
                      <wps:spPr>
                        <a:xfrm>
                          <a:off x="0" y="0"/>
                          <a:ext cx="6089650" cy="2828925"/>
                        </a:xfrm>
                        <a:prstGeom prst="round2DiagRect">
                          <a:avLst>
                            <a:gd name="adj1" fmla="val 6633"/>
                            <a:gd name="adj2" fmla="val 0"/>
                          </a:avLst>
                        </a:prstGeom>
                        <a:noFill/>
                        <a:ln w="25400" cap="flat" cmpd="sng" algn="ctr">
                          <a:solidFill>
                            <a:srgbClr val="F07E31"/>
                          </a:solidFill>
                          <a:prstDash val="solid"/>
                        </a:ln>
                        <a:effectLst/>
                      </wps:spPr>
                      <wps:txbx>
                        <w:txbxContent>
                          <w:p w:rsidR="001F67E3" w:rsidRPr="002F0ABF" w:rsidRDefault="001F67E3" w:rsidP="00E05D08">
                            <w:pPr>
                              <w:pStyle w:val="Normal12PTcouleurgris"/>
                              <w:rPr>
                                <w:b/>
                                <w:color w:val="F07E31"/>
                                <w:sz w:val="16"/>
                                <w:szCs w:val="16"/>
                              </w:rPr>
                            </w:pPr>
                            <w:r>
                              <w:rPr>
                                <w:noProof/>
                                <w:lang w:val="en-GB" w:eastAsia="en-GB"/>
                              </w:rPr>
                              <w:drawing>
                                <wp:inline distT="0" distB="0" distL="0" distR="0" wp14:anchorId="1055A45F" wp14:editId="408F85C9">
                                  <wp:extent cx="353060" cy="359410"/>
                                  <wp:effectExtent l="0" t="0" r="8890" b="2540"/>
                                  <wp:docPr id="72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6"/>
                                <w:szCs w:val="16"/>
                              </w:rPr>
                              <w:t>Galimos KPP paramos 2 krypčiai pavyzdžiai:</w:t>
                            </w:r>
                          </w:p>
                          <w:p w:rsidR="001F67E3" w:rsidRPr="002F0ABF" w:rsidRDefault="001F67E3" w:rsidP="00E05D08">
                            <w:pPr>
                              <w:pStyle w:val="Normal12PTcouleurgris"/>
                              <w:rPr>
                                <w:sz w:val="16"/>
                                <w:szCs w:val="16"/>
                              </w:rPr>
                            </w:pPr>
                            <w:r>
                              <w:rPr>
                                <w:sz w:val="16"/>
                                <w:szCs w:val="16"/>
                              </w:rPr>
                              <w:t>KPP gali būti remiami tokie pagrindiniai inovacijų srities subjektų</w:t>
                            </w:r>
                            <w:r>
                              <w:rPr>
                                <w:sz w:val="16"/>
                                <w:szCs w:val="16"/>
                                <w:vertAlign w:val="superscript"/>
                              </w:rPr>
                              <w:t>9</w:t>
                            </w:r>
                            <w:r>
                              <w:rPr>
                                <w:sz w:val="16"/>
                                <w:szCs w:val="16"/>
                              </w:rPr>
                              <w:t xml:space="preserve"> įgūdžiai ir savybės, kurie gali daryti įtaką „gebėjimo diegti inovacijas“ veiksmams: </w:t>
                            </w:r>
                          </w:p>
                          <w:p w:rsidR="001F67E3" w:rsidRPr="002F0ABF" w:rsidRDefault="001F67E3" w:rsidP="001E4112">
                            <w:pPr>
                              <w:pStyle w:val="Hlistbullet"/>
                              <w:spacing w:before="120" w:line="240" w:lineRule="auto"/>
                              <w:rPr>
                                <w:sz w:val="16"/>
                                <w:szCs w:val="16"/>
                              </w:rPr>
                            </w:pPr>
                            <w:r>
                              <w:rPr>
                                <w:sz w:val="16"/>
                                <w:szCs w:val="16"/>
                              </w:rPr>
                              <w:t>techninės ir su konkrečia sritimi susijusios žinios ir įgūdžiai, kurių reikia siekiant įdiegti naujas idėjas praktikoje, įskaitant gebėjimą nustatyti ir pasirinkti vieną iš galimybių (pvz., pagal Reglamento (ES) Nr. 1305/2013 14, 15 ir 35 straipsnius vykdomi veiksmai);</w:t>
                            </w:r>
                          </w:p>
                          <w:p w:rsidR="001F67E3" w:rsidRPr="002F0ABF" w:rsidRDefault="001F67E3" w:rsidP="001E4112">
                            <w:pPr>
                              <w:pStyle w:val="Hlistbullet"/>
                              <w:spacing w:before="120" w:line="240" w:lineRule="auto"/>
                              <w:rPr>
                                <w:sz w:val="16"/>
                                <w:szCs w:val="16"/>
                              </w:rPr>
                            </w:pPr>
                            <w:r>
                              <w:rPr>
                                <w:sz w:val="16"/>
                                <w:szCs w:val="16"/>
                              </w:rPr>
                              <w:t>organizaciniai ir socialiniai įgūdžiai, kurių reikia inovacijų procesams palengvinti ir tarpininkauti jiems vykstant</w:t>
                            </w:r>
                            <w:r>
                              <w:rPr>
                                <w:sz w:val="16"/>
                                <w:szCs w:val="16"/>
                                <w:vertAlign w:val="superscript"/>
                              </w:rPr>
                              <w:t>10</w:t>
                            </w:r>
                            <w:r>
                              <w:rPr>
                                <w:sz w:val="16"/>
                                <w:szCs w:val="16"/>
                              </w:rPr>
                              <w:t>, įskaitant gebėjimą kurti suinteresuotųjų subjektų tarpusavio ryšius ir tinklus, gebėjimą dalyvauti cikliškai pasikartojančiuose numatymo, planavimo ir reflektyvaus mokymosi procesuose, taip pat gebėjimą nustatyti esminę sistemos dinamiką ir iššūkius (pvz., pagal Reglamento (ES) Nr. 1305/2013 35 straipsnį vykdomi veiksmai);</w:t>
                            </w:r>
                          </w:p>
                          <w:p w:rsidR="001F67E3" w:rsidRPr="002F0ABF" w:rsidRDefault="001F67E3" w:rsidP="001E4112">
                            <w:pPr>
                              <w:pStyle w:val="Hlistbullet"/>
                              <w:spacing w:before="120" w:line="240" w:lineRule="auto"/>
                              <w:rPr>
                                <w:sz w:val="16"/>
                                <w:szCs w:val="16"/>
                              </w:rPr>
                            </w:pPr>
                            <w:r>
                              <w:rPr>
                                <w:sz w:val="16"/>
                                <w:szCs w:val="16"/>
                              </w:rPr>
                              <w:t>gebėjimo veiksmingai imtis kolektyvinių veiksmų</w:t>
                            </w:r>
                            <w:r>
                              <w:rPr>
                                <w:sz w:val="16"/>
                                <w:szCs w:val="16"/>
                                <w:vertAlign w:val="superscript"/>
                              </w:rPr>
                              <w:t>11</w:t>
                            </w:r>
                            <w:r>
                              <w:rPr>
                                <w:sz w:val="16"/>
                                <w:szCs w:val="16"/>
                              </w:rPr>
                              <w:t xml:space="preserve"> stiprinimas (pvz., bendradarbiaujant organizuoti parodomąją ir informavimo veiklą, kad subjektai galėtų tarpusavyje keistis patirtimi ir žiniomis arba siekiant, kad tiekimo grandinės dalyviai galėtų tarpusavyje bendradarbiauti tiekiant biomasę, skirtą maisto bei energijos gamybai ir kt.) pagal Reglamento (ES) Nr. 1305/2013 14, 15 ir 35 straipsnius vykdomi veiksmai;</w:t>
                            </w:r>
                          </w:p>
                          <w:p w:rsidR="001F67E3" w:rsidRPr="002F0ABF" w:rsidRDefault="001F67E3" w:rsidP="001E4112">
                            <w:pPr>
                              <w:pStyle w:val="Hlistbullet"/>
                              <w:spacing w:before="120" w:line="240" w:lineRule="auto"/>
                              <w:rPr>
                                <w:sz w:val="16"/>
                                <w:szCs w:val="16"/>
                              </w:rPr>
                            </w:pPr>
                            <w:r>
                              <w:rPr>
                                <w:sz w:val="16"/>
                                <w:szCs w:val="16"/>
                              </w:rPr>
                              <w:t>KPP intervenciniais veiksmais galima sustiprinti gebėjimą diegti inovacijas suteikiant žinių perdavimo galimybių (pvz., teikiant paslaugas, suteikiant mokymo ir mentorystės galimybių) pagal Reglamento (ES) Nr. 1305/2013 15 straipsnį vykdomi veiksmai.</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6FC69" id="Rectangle: Diagonal Corners Rounded 57" o:spid="_x0000_s1033" style="position:absolute;left:0;text-align:left;margin-left:-11.25pt;margin-top:195.75pt;width:479.5pt;height:22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9650,282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" adj="-11796480,,5400" path="m187643,l6089650,r,l6089650,2641282v,103632,-84011,187643,-187643,187643l,2828925r,l,187643c,84011,84011,,187643,xe" filled="f" strokecolor="#f07e31" strokeweight="2pt">
                <v:stroke joinstyle="miter"/>
                <v:formulas/>
                <v:path arrowok="t" o:connecttype="custom" o:connectlocs="187643,0;6089650,0;6089650,0;6089650,2641282;5902007,2828925;0,2828925;0,2828925;0,187643;187643,0" o:connectangles="0,0,0,0,0,0,0,0,0" textboxrect="0,0,6089650,2828925"/>
                <v:textbox inset=",0,,0">
                  <w:txbxContent>
                    <w:p w:rsidR="001F67E3" w:rsidRPr="002F0ABF" w:rsidRDefault="001F67E3" w:rsidP="00E05D08">
                      <w:pPr>
                        <w:pStyle w:val="Normal12PTcouleurgris"/>
                        <w:rPr>
                          <w:b/>
                          <w:color w:val="F07E31"/>
                          <w:sz w:val="16"/>
                          <w:szCs w:val="16"/>
                        </w:rPr>
                      </w:pPr>
                      <w:r>
                        <w:rPr>
                          <w:noProof/>
                          <w:lang w:val="en-GB" w:eastAsia="en-GB"/>
                        </w:rPr>
                        <w:drawing>
                          <wp:inline distT="0" distB="0" distL="0" distR="0" wp14:anchorId="1055A45F" wp14:editId="408F85C9">
                            <wp:extent cx="353060" cy="359410"/>
                            <wp:effectExtent l="0" t="0" r="8890" b="2540"/>
                            <wp:docPr id="72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6"/>
                          <w:szCs w:val="16"/>
                        </w:rPr>
                        <w:t>Galimos KPP paramos 2 krypčiai pavyzdžiai:</w:t>
                      </w:r>
                    </w:p>
                    <w:p w:rsidR="001F67E3" w:rsidRPr="002F0ABF" w:rsidRDefault="001F67E3" w:rsidP="00E05D08">
                      <w:pPr>
                        <w:pStyle w:val="Normal12PTcouleurgris"/>
                        <w:rPr>
                          <w:sz w:val="16"/>
                          <w:szCs w:val="16"/>
                        </w:rPr>
                      </w:pPr>
                      <w:r>
                        <w:rPr>
                          <w:sz w:val="16"/>
                          <w:szCs w:val="16"/>
                        </w:rPr>
                        <w:t>KPP gali būti remiami tokie pagrindiniai inovacijų srities subjektų</w:t>
                      </w:r>
                      <w:r>
                        <w:rPr>
                          <w:sz w:val="16"/>
                          <w:szCs w:val="16"/>
                          <w:vertAlign w:val="superscript"/>
                        </w:rPr>
                        <w:t>9</w:t>
                      </w:r>
                      <w:r>
                        <w:rPr>
                          <w:sz w:val="16"/>
                          <w:szCs w:val="16"/>
                        </w:rPr>
                        <w:t xml:space="preserve"> įgūdžiai ir savybės, kurie gali daryti įtaką „gebėjimo diegti inovacijas“ veiksmams: </w:t>
                      </w:r>
                    </w:p>
                    <w:p w:rsidR="001F67E3" w:rsidRPr="002F0ABF" w:rsidRDefault="001F67E3" w:rsidP="001E4112">
                      <w:pPr>
                        <w:pStyle w:val="Hlistbullet"/>
                        <w:spacing w:before="120" w:line="240" w:lineRule="auto"/>
                        <w:rPr>
                          <w:sz w:val="16"/>
                          <w:szCs w:val="16"/>
                        </w:rPr>
                      </w:pPr>
                      <w:r>
                        <w:rPr>
                          <w:sz w:val="16"/>
                          <w:szCs w:val="16"/>
                        </w:rPr>
                        <w:t>techninės ir su konkrečia sritimi susijusios žinios ir įgūdžiai, kurių reikia siekiant įdiegti naujas idėjas praktikoje, įskaitant gebėjimą nustatyti ir pasirinkti vieną iš galimybių (pvz., pagal Reglamento (ES) Nr. 1305/2013 14, 15 ir 35 straipsnius vykdomi veiksmai);</w:t>
                      </w:r>
                    </w:p>
                    <w:p w:rsidR="001F67E3" w:rsidRPr="002F0ABF" w:rsidRDefault="001F67E3" w:rsidP="001E4112">
                      <w:pPr>
                        <w:pStyle w:val="Hlistbullet"/>
                        <w:spacing w:before="120" w:line="240" w:lineRule="auto"/>
                        <w:rPr>
                          <w:sz w:val="16"/>
                          <w:szCs w:val="16"/>
                        </w:rPr>
                      </w:pPr>
                      <w:r>
                        <w:rPr>
                          <w:sz w:val="16"/>
                          <w:szCs w:val="16"/>
                        </w:rPr>
                        <w:t>organizaciniai ir socialiniai įgūdžiai, kurių reikia inovacijų procesams palengvinti ir tarpininkauti jiems vykstant</w:t>
                      </w:r>
                      <w:r>
                        <w:rPr>
                          <w:sz w:val="16"/>
                          <w:szCs w:val="16"/>
                          <w:vertAlign w:val="superscript"/>
                        </w:rPr>
                        <w:t>10</w:t>
                      </w:r>
                      <w:r>
                        <w:rPr>
                          <w:sz w:val="16"/>
                          <w:szCs w:val="16"/>
                        </w:rPr>
                        <w:t>, įskaitant gebėjimą kurti suinteresuotųjų subjektų tarpusavio ryšius ir tinklus, gebėjimą dalyvauti cikliškai pasikartojančiuose numatymo, planavimo ir reflektyvaus mokymosi procesuose, taip pat gebėjimą nustatyti esminę sistemos dinamiką ir iššūkius (pvz., pagal Reglamento (ES) Nr. 1305/2013 35 straipsnį vykdomi veiksmai);</w:t>
                      </w:r>
                    </w:p>
                    <w:p w:rsidR="001F67E3" w:rsidRPr="002F0ABF" w:rsidRDefault="001F67E3" w:rsidP="001E4112">
                      <w:pPr>
                        <w:pStyle w:val="Hlistbullet"/>
                        <w:spacing w:before="120" w:line="240" w:lineRule="auto"/>
                        <w:rPr>
                          <w:sz w:val="16"/>
                          <w:szCs w:val="16"/>
                        </w:rPr>
                      </w:pPr>
                      <w:r>
                        <w:rPr>
                          <w:sz w:val="16"/>
                          <w:szCs w:val="16"/>
                        </w:rPr>
                        <w:t>gebėjimo veiksmingai imtis kolektyvinių veiksmų</w:t>
                      </w:r>
                      <w:r>
                        <w:rPr>
                          <w:sz w:val="16"/>
                          <w:szCs w:val="16"/>
                          <w:vertAlign w:val="superscript"/>
                        </w:rPr>
                        <w:t>11</w:t>
                      </w:r>
                      <w:r>
                        <w:rPr>
                          <w:sz w:val="16"/>
                          <w:szCs w:val="16"/>
                        </w:rPr>
                        <w:t xml:space="preserve"> stiprinimas (pvz., bendradarbiaujant organizuoti parodomąją ir informavimo veiklą, kad subjektai galėtų tarpusavyje keistis patirtimi ir žiniomis arba siekiant, kad tiekimo grandinės dalyviai galėtų tarpusavyje bendradarbiauti tiekiant biomasę, skirtą maisto bei energijos gamybai ir kt.) pagal Reglamento (ES) Nr. 1305/2013 14, 15 ir 35 straipsnius vykdomi veiksmai;</w:t>
                      </w:r>
                    </w:p>
                    <w:p w:rsidR="001F67E3" w:rsidRPr="002F0ABF" w:rsidRDefault="001F67E3" w:rsidP="001E4112">
                      <w:pPr>
                        <w:pStyle w:val="Hlistbullet"/>
                        <w:spacing w:before="120" w:line="240" w:lineRule="auto"/>
                        <w:rPr>
                          <w:sz w:val="16"/>
                          <w:szCs w:val="16"/>
                        </w:rPr>
                      </w:pPr>
                      <w:r>
                        <w:rPr>
                          <w:sz w:val="16"/>
                          <w:szCs w:val="16"/>
                        </w:rPr>
                        <w:t>KPP intervenciniais veiksmais galima sustiprinti gebėjimą diegti inovacijas suteikiant žinių perdavimo galimybių (pvz., teikiant paslaugas, suteikiant mokymo ir mentorystės galimybių) pagal Reglamento (ES) Nr. 1305/2013 15 straipsnį vykdomi veiksmai.</w:t>
                      </w:r>
                    </w:p>
                  </w:txbxContent>
                </v:textbox>
              </v:shape>
            </w:pict>
          </mc:Fallback>
        </mc:AlternateContent>
      </w:r>
      <w:r w:rsidR="00A45935">
        <w:rPr>
          <w:b/>
          <w:color w:val="F07E31"/>
          <w:szCs w:val="20"/>
        </w:rPr>
        <w:t>Antroji kryptis</w:t>
      </w:r>
      <w:r w:rsidR="00A45935">
        <w:t xml:space="preserve"> yra susijusi su gebėjimo diegti inovacijas stiprinimu. Ši kryptis tam tikromis aplinkybėmis yra pirmosios krypties įgyvendinimo rezultatas. KPP gali padėti palengvinti plėtros uždavinių ir galimybių nustatymo procesą siekiant suburti suinteresuotuosius ir atitinkamus inovacijų srities subjektus (pvz., pasitelkiant EIP veiklos grupes</w:t>
      </w:r>
      <w:r w:rsidR="00A45935">
        <w:rPr>
          <w:rFonts w:eastAsia="Times New Roman" w:cs="Times New Roman"/>
          <w:szCs w:val="20"/>
          <w:vertAlign w:val="superscript"/>
          <w:lang w:eastAsia="de-DE"/>
        </w:rPr>
        <w:footnoteReference w:id="5"/>
      </w:r>
      <w:r w:rsidR="00A45935">
        <w:t xml:space="preserve">, kurios išbando novatorišką praktiką bendradarbiaudamos su reikiamais papildomų kompetencijų turinčiais subjektais (pvz., ūkininkais, verslo atstovais, konsultavimo paslaugų teikėjais, tyrėjais ir kt.), kad pasiektų </w:t>
      </w:r>
      <w:r w:rsidR="00FF4D19">
        <w:t>novatoriško</w:t>
      </w:r>
      <w:r w:rsidR="00A45935">
        <w:t xml:space="preserve"> projekto tikslus). Tai padeda įveikti atotrūkį tarp mokslo ir praktikos kaupiant reikiamus įgūdžius ir žinias. Tarpusavio sąveika, pasiekta įgyvendinant daugiašalius  projektus, finansuojamus pagal ES mokslinių tyrimų ir inovacijų politikos programą „Horizontas 2020“ finansuojamus, taip gali duoti naudos</w:t>
      </w:r>
      <w:r w:rsidR="00A45935">
        <w:rPr>
          <w:rFonts w:eastAsia="Times New Roman" w:cs="Times New Roman"/>
          <w:szCs w:val="20"/>
          <w:vertAlign w:val="superscript"/>
          <w:lang w:eastAsia="de-DE"/>
        </w:rPr>
        <w:footnoteReference w:id="6"/>
      </w:r>
      <w:r w:rsidR="00A45935">
        <w:t xml:space="preserve"> </w:t>
      </w:r>
      <w:r w:rsidR="00A45935">
        <w:rPr>
          <w:rFonts w:eastAsia="Times New Roman" w:cs="Times New Roman"/>
          <w:szCs w:val="20"/>
          <w:vertAlign w:val="superscript"/>
          <w:lang w:eastAsia="de-DE"/>
        </w:rPr>
        <w:footnoteReference w:id="7"/>
      </w:r>
      <w:r w:rsidR="00A45935">
        <w:t>. Veiklos grupės gali paskatinti atsirasti socialines ir technines galimybes. Socialinė ir techninė galimybė yra saugi aplinka, kuri suteikia žmonėms galimybę sužinoti apie novatorišką technologiją ir (arba) įstaigas ir (arba) naujus būdus darbui atlikti ir su jais eksperimentuoti. Tinkamai sudarytos ir susietos šios galimybės gali tapti pagrindu platesnio masto visuomenės pokyčiams siekiant darnaus vystymosi</w:t>
      </w:r>
      <w:r w:rsidR="00A45935">
        <w:rPr>
          <w:rFonts w:eastAsia="Times New Roman" w:cs="Arial"/>
          <w:szCs w:val="20"/>
          <w:vertAlign w:val="superscript"/>
          <w:lang w:eastAsia="de-DE"/>
        </w:rPr>
        <w:footnoteReference w:id="8"/>
      </w:r>
      <w:r w:rsidR="00A45935">
        <w:rPr>
          <w:rStyle w:val="FootnoteReference"/>
          <w:rFonts w:eastAsia="Times New Roman" w:cs="Times New Roman"/>
          <w:color w:val="FFFFFF" w:themeColor="background1"/>
          <w:szCs w:val="20"/>
          <w:lang w:eastAsia="de-DE"/>
        </w:rPr>
        <w:footnoteReference w:id="9"/>
      </w:r>
      <w:r w:rsidR="00A45935">
        <w:rPr>
          <w:rStyle w:val="FootnoteReference"/>
          <w:rFonts w:eastAsia="Times New Roman" w:cs="Times New Roman"/>
          <w:color w:val="FFFFFF" w:themeColor="background1"/>
          <w:szCs w:val="20"/>
          <w:lang w:eastAsia="de-DE"/>
        </w:rPr>
        <w:footnoteReference w:id="10"/>
      </w:r>
      <w:r w:rsidR="00A45935">
        <w:rPr>
          <w:rStyle w:val="FootnoteReference"/>
          <w:rFonts w:eastAsia="Times New Roman" w:cs="Times New Roman"/>
          <w:color w:val="FFFFFF" w:themeColor="background1"/>
          <w:szCs w:val="20"/>
          <w:lang w:eastAsia="de-DE"/>
        </w:rPr>
        <w:footnoteReference w:id="11"/>
      </w:r>
      <w:r w:rsidR="00A45935">
        <w:t xml:space="preserve">. </w:t>
      </w:r>
    </w:p>
    <w:p w:rsidR="00A45935" w:rsidRPr="00E05D08" w:rsidRDefault="00F74459" w:rsidP="002F0ABF">
      <w:pPr>
        <w:spacing w:after="120" w:line="280" w:lineRule="atLeast"/>
        <w:mirrorIndents/>
        <w:rPr>
          <w:rFonts w:eastAsia="Times New Roman" w:cs="Times New Roman"/>
          <w:szCs w:val="20"/>
        </w:rPr>
      </w:pPr>
      <w:r>
        <w:br w:type="column"/>
      </w:r>
      <w:r>
        <w:rPr>
          <w:b/>
          <w:color w:val="F07E31"/>
          <w:szCs w:val="20"/>
        </w:rPr>
        <w:lastRenderedPageBreak/>
        <w:t>Trečioji kryptis</w:t>
      </w:r>
      <w:r>
        <w:t xml:space="preserve"> yra susijusi su pamatinių sąlygų ir aplinkos, kuri įdaro įtaką inovacijų sistemoms, pakeitimu. Tam būtina gerinti įvairias palankias sąlygas</w:t>
      </w:r>
      <w:r>
        <w:rPr>
          <w:rFonts w:eastAsia="Times New Roman" w:cs="Times New Roman"/>
          <w:szCs w:val="20"/>
          <w:vertAlign w:val="superscript"/>
          <w:lang w:eastAsia="de-DE"/>
        </w:rPr>
        <w:footnoteReference w:id="12"/>
      </w:r>
      <w:r>
        <w:t>, pavyzdžiui:</w:t>
      </w:r>
    </w:p>
    <w:p w:rsidR="00A45935" w:rsidRPr="0095292E" w:rsidRDefault="005B740D" w:rsidP="00230C31">
      <w:pPr>
        <w:pStyle w:val="Hlistbullet"/>
      </w:pPr>
      <w:r>
        <w:rPr>
          <w:noProof/>
          <w:lang w:val="en-GB" w:eastAsia="en-GB"/>
        </w:rPr>
        <mc:AlternateContent>
          <mc:Choice Requires="wps">
            <w:drawing>
              <wp:anchor distT="0" distB="0" distL="114300" distR="114300" simplePos="0" relativeHeight="251737088" behindDoc="0" locked="0" layoutInCell="1" allowOverlap="1" wp14:anchorId="4A90E6C5" wp14:editId="33F1E8FC">
                <wp:simplePos x="0" y="0"/>
                <wp:positionH relativeFrom="column">
                  <wp:posOffset>2923540</wp:posOffset>
                </wp:positionH>
                <wp:positionV relativeFrom="paragraph">
                  <wp:posOffset>-361950</wp:posOffset>
                </wp:positionV>
                <wp:extent cx="2832735" cy="7676515"/>
                <wp:effectExtent l="0" t="0" r="24765" b="19685"/>
                <wp:wrapSquare wrapText="bothSides"/>
                <wp:docPr id="59" name="Rectangle: Diagonal Corners Rounded 59"/>
                <wp:cNvGraphicFramePr/>
                <a:graphic xmlns:a="http://schemas.openxmlformats.org/drawingml/2006/main">
                  <a:graphicData uri="http://schemas.microsoft.com/office/word/2010/wordprocessingShape">
                    <wps:wsp>
                      <wps:cNvSpPr/>
                      <wps:spPr>
                        <a:xfrm>
                          <a:off x="0" y="0"/>
                          <a:ext cx="2832735" cy="7676515"/>
                        </a:xfrm>
                        <a:prstGeom prst="round2DiagRect">
                          <a:avLst>
                            <a:gd name="adj1" fmla="val 5907"/>
                            <a:gd name="adj2" fmla="val 0"/>
                          </a:avLst>
                        </a:prstGeom>
                        <a:noFill/>
                        <a:ln w="25400" cap="flat" cmpd="sng" algn="ctr">
                          <a:solidFill>
                            <a:srgbClr val="F07E31"/>
                          </a:solidFill>
                          <a:prstDash val="solid"/>
                        </a:ln>
                        <a:effectLst/>
                      </wps:spPr>
                      <wps:txbx>
                        <w:txbxContent>
                          <w:p w:rsidR="001F67E3" w:rsidRPr="00E05D08" w:rsidRDefault="001F67E3" w:rsidP="004508D0">
                            <w:pPr>
                              <w:pStyle w:val="Normal12PTcouleurgris"/>
                              <w:rPr>
                                <w:b/>
                                <w:color w:val="F07E31"/>
                              </w:rPr>
                            </w:pPr>
                            <w:r>
                              <w:rPr>
                                <w:noProof/>
                                <w:lang w:val="en-GB" w:eastAsia="en-GB"/>
                              </w:rPr>
                              <w:drawing>
                                <wp:inline distT="0" distB="0" distL="0" distR="0" wp14:anchorId="4963020E" wp14:editId="7652B4A4">
                                  <wp:extent cx="353060" cy="359410"/>
                                  <wp:effectExtent l="0" t="0" r="8890" b="2540"/>
                                  <wp:docPr id="7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Galimos KPP paramos 3 krypčiai pavyzdžiai:</w:t>
                            </w:r>
                          </w:p>
                          <w:p w:rsidR="001F67E3" w:rsidRPr="002B58E1" w:rsidRDefault="001F67E3" w:rsidP="004508D0">
                            <w:pPr>
                              <w:pStyle w:val="Hlistbullet"/>
                              <w:rPr>
                                <w:sz w:val="18"/>
                                <w:szCs w:val="18"/>
                              </w:rPr>
                            </w:pPr>
                            <w:r>
                              <w:rPr>
                                <w:sz w:val="18"/>
                                <w:szCs w:val="18"/>
                              </w:rPr>
                              <w:t xml:space="preserve">KPP, kurioje pirmenybė teikiama informavimo ir mokymo veiklai (Reglamento (ES) Nr. 1305/2013 14 straipsnis) ir konsultavimo paslaugoms (Reglamento (ES) Nr. 1305/2013 15 straipsnis), pagrįstoms jų veiklos grupėse sukurta novatoriška praktika (Reglamento (ES) Nr. 1305/2013 35 straipsnis), arba novatoriška praktika, kurią veiklos grupės sukūrė kituose regionuose ar šalyse (NKT veikla, techninė pagalba); </w:t>
                            </w:r>
                          </w:p>
                          <w:p w:rsidR="001F67E3" w:rsidRPr="002B58E1" w:rsidRDefault="001F67E3" w:rsidP="004508D0">
                            <w:pPr>
                              <w:pStyle w:val="Hlistbullet"/>
                              <w:rPr>
                                <w:sz w:val="18"/>
                                <w:szCs w:val="18"/>
                              </w:rPr>
                            </w:pPr>
                            <w:r>
                              <w:rPr>
                                <w:sz w:val="18"/>
                                <w:szCs w:val="18"/>
                              </w:rPr>
                              <w:t>KPP, kuria pagerinama prieiga prie interneto kaimo vietovėse, padės vietos įmonėms ir ūkininkams prieiti prie informacijos ir rinkų ir taip sustiprins jų gebėjimą ir motyvaciją diegti inovacijas (pvz., pagal Reglamento (ES) Nr. 1305/2013 20 straipsnį vykdomi veiksmai);</w:t>
                            </w:r>
                          </w:p>
                          <w:p w:rsidR="001F67E3" w:rsidRPr="002B58E1" w:rsidRDefault="001F67E3" w:rsidP="004508D0">
                            <w:pPr>
                              <w:pStyle w:val="Hlistbullet"/>
                              <w:rPr>
                                <w:b/>
                                <w:sz w:val="18"/>
                                <w:szCs w:val="18"/>
                              </w:rPr>
                            </w:pPr>
                            <w:r>
                              <w:rPr>
                                <w:sz w:val="18"/>
                                <w:szCs w:val="18"/>
                              </w:rPr>
                              <w:t>KPP, pagal kurią veiklos grupė sukuria naujovišką žemės dirbimo įrangą, skirtą kultūrinių augalų likučiams į dirvą įterpti, gali padėti paskatinti novatoriškas investicijas ir griežtesnį teisės aktų taikymą siekiant uždrausti deginti kultūrinių augalų liekanas (pvz., pagal Reglamento (ES) Nr. 1305/2013 17 straipsnį vykdomi veiksmai);</w:t>
                            </w:r>
                          </w:p>
                          <w:p w:rsidR="001F67E3" w:rsidRPr="002B58E1" w:rsidRDefault="001F67E3" w:rsidP="004508D0">
                            <w:pPr>
                              <w:pStyle w:val="Hlistbullet"/>
                              <w:rPr>
                                <w:sz w:val="18"/>
                                <w:szCs w:val="18"/>
                              </w:rPr>
                            </w:pPr>
                            <w:r>
                              <w:rPr>
                                <w:sz w:val="18"/>
                                <w:szCs w:val="18"/>
                              </w:rPr>
                              <w:t>KPP priemonė, kuria remiamas trumpųjų maisto tiekimo grandinių arba gamintojų kooperatyvų kūrimas, gali padėti sustiprinti vartotojų ir gamintojų tarpusavio ryšius ir bendradarbiavimą siekiant sukurti novatoriškesnę maisto sistemą</w:t>
                            </w:r>
                            <w:r>
                              <w:rPr>
                                <w:sz w:val="18"/>
                                <w:szCs w:val="18"/>
                                <w:vertAlign w:val="superscript"/>
                              </w:rPr>
                              <w:t>13</w:t>
                            </w:r>
                            <w:r>
                              <w:rPr>
                                <w:sz w:val="18"/>
                                <w:szCs w:val="18"/>
                              </w:rPr>
                              <w:t xml:space="preserve"> (pvz., pagal Reglamento (ES) Nr. 1305/2013 16, 17 ir 35 straipsnius vykdomi veiksmai).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90E6C5" id="Rectangle: Diagonal Corners Rounded 59" o:spid="_x0000_s1034" style="position:absolute;left:0;text-align:left;margin-left:230.2pt;margin-top:-28.5pt;width:223.05pt;height:604.4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7676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" adj="-11796480,,5400" path="m167330,l2832735,r,l2832735,7509185v,92414,-74916,167330,-167330,167330l,7676515r,l,167330c,74916,74916,,167330,xe" filled="f" strokecolor="#f07e31" strokeweight="2pt">
                <v:stroke joinstyle="miter"/>
                <v:formulas/>
                <v:path arrowok="t" o:connecttype="custom" o:connectlocs="167330,0;2832735,0;2832735,0;2832735,7509185;2665405,7676515;0,7676515;0,7676515;0,167330;167330,0" o:connectangles="0,0,0,0,0,0,0,0,0" textboxrect="0,0,2832735,7676515"/>
                <v:textbox>
                  <w:txbxContent>
                    <w:p w:rsidR="001F67E3" w:rsidRPr="00E05D08" w:rsidRDefault="001F67E3" w:rsidP="004508D0">
                      <w:pPr>
                        <w:pStyle w:val="Normal12PTcouleurgris"/>
                        <w:rPr>
                          <w:b/>
                          <w:color w:val="F07E31"/>
                        </w:rPr>
                      </w:pPr>
                      <w:r>
                        <w:rPr>
                          <w:noProof/>
                          <w:lang w:val="en-GB" w:eastAsia="en-GB"/>
                        </w:rPr>
                        <w:drawing>
                          <wp:inline distT="0" distB="0" distL="0" distR="0" wp14:anchorId="4963020E" wp14:editId="7652B4A4">
                            <wp:extent cx="353060" cy="359410"/>
                            <wp:effectExtent l="0" t="0" r="8890" b="2540"/>
                            <wp:docPr id="7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Galimos KPP paramos 3 krypčiai pavyzdžiai:</w:t>
                      </w:r>
                    </w:p>
                    <w:p w:rsidR="001F67E3" w:rsidRPr="002B58E1" w:rsidRDefault="001F67E3" w:rsidP="004508D0">
                      <w:pPr>
                        <w:pStyle w:val="Hlistbullet"/>
                        <w:rPr>
                          <w:sz w:val="18"/>
                          <w:szCs w:val="18"/>
                        </w:rPr>
                      </w:pPr>
                      <w:r>
                        <w:rPr>
                          <w:sz w:val="18"/>
                          <w:szCs w:val="18"/>
                        </w:rPr>
                        <w:t xml:space="preserve">KPP, kurioje pirmenybė teikiama informavimo ir mokymo veiklai (Reglamento (ES) Nr. 1305/2013 14 straipsnis) ir konsultavimo paslaugoms (Reglamento (ES) Nr. 1305/2013 15 straipsnis), pagrįstoms jų veiklos grupėse sukurta novatoriška praktika (Reglamento (ES) Nr. 1305/2013 35 straipsnis), arba novatoriška praktika, kurią veiklos grupės sukūrė kituose regionuose ar šalyse (NKT veikla, techninė pagalba); </w:t>
                      </w:r>
                    </w:p>
                    <w:p w:rsidR="001F67E3" w:rsidRPr="002B58E1" w:rsidRDefault="001F67E3" w:rsidP="004508D0">
                      <w:pPr>
                        <w:pStyle w:val="Hlistbullet"/>
                        <w:rPr>
                          <w:sz w:val="18"/>
                          <w:szCs w:val="18"/>
                        </w:rPr>
                      </w:pPr>
                      <w:r>
                        <w:rPr>
                          <w:sz w:val="18"/>
                          <w:szCs w:val="18"/>
                        </w:rPr>
                        <w:t>KPP, kuria pagerinama prieiga prie interneto kaimo vietovėse, padės vietos įmonėms ir ūkininkams prieiti prie informacijos ir rinkų ir taip sustiprins jų gebėjimą ir motyvaciją diegti inovacijas (pvz., pagal Reglamento (ES) Nr. 1305/2013 20 straipsnį vykdomi veiksmai);</w:t>
                      </w:r>
                    </w:p>
                    <w:p w:rsidR="001F67E3" w:rsidRPr="002B58E1" w:rsidRDefault="001F67E3" w:rsidP="004508D0">
                      <w:pPr>
                        <w:pStyle w:val="Hlistbullet"/>
                        <w:rPr>
                          <w:b/>
                          <w:sz w:val="18"/>
                          <w:szCs w:val="18"/>
                        </w:rPr>
                      </w:pPr>
                      <w:r>
                        <w:rPr>
                          <w:sz w:val="18"/>
                          <w:szCs w:val="18"/>
                        </w:rPr>
                        <w:t>KPP, pagal kurią veiklos grupė sukuria naujovišką žemės dirbimo įrangą, skirtą kultūrinių augalų likučiams į dirvą įterpti, gali padėti paskatinti novatoriškas investicijas ir griežtesnį teisės aktų taikymą siekiant uždrausti deginti kultūrinių augalų liekanas (pvz., pagal Reglamento (ES) Nr. 1305/2013 17 straipsnį vykdomi veiksmai);</w:t>
                      </w:r>
                    </w:p>
                    <w:p w:rsidR="001F67E3" w:rsidRPr="002B58E1" w:rsidRDefault="001F67E3" w:rsidP="004508D0">
                      <w:pPr>
                        <w:pStyle w:val="Hlistbullet"/>
                        <w:rPr>
                          <w:sz w:val="18"/>
                          <w:szCs w:val="18"/>
                        </w:rPr>
                      </w:pPr>
                      <w:r>
                        <w:rPr>
                          <w:sz w:val="18"/>
                          <w:szCs w:val="18"/>
                        </w:rPr>
                        <w:t>KPP priemonė, kuria remiamas trumpųjų maisto tiekimo grandinių arba gamintojų kooperatyvų kūrimas, gali padėti sustiprinti vartotojų ir gamintojų tarpusavio ryšius ir bendradarbiavimą siekiant sukurti novatoriškesnę maisto sistemą</w:t>
                      </w:r>
                      <w:r>
                        <w:rPr>
                          <w:sz w:val="18"/>
                          <w:szCs w:val="18"/>
                          <w:vertAlign w:val="superscript"/>
                        </w:rPr>
                        <w:t>13</w:t>
                      </w:r>
                      <w:r>
                        <w:rPr>
                          <w:sz w:val="18"/>
                          <w:szCs w:val="18"/>
                        </w:rPr>
                        <w:t xml:space="preserve"> (pvz., pagal Reglamento (ES) Nr. 1305/2013 16, 17 ir 35 straipsnius vykdomi veiksmai).</w:t>
                      </w:r>
                    </w:p>
                  </w:txbxContent>
                </v:textbox>
                <w10:wrap type="square"/>
              </v:shape>
            </w:pict>
          </mc:Fallback>
        </mc:AlternateContent>
      </w:r>
      <w:r w:rsidR="00A45935">
        <w:t xml:space="preserve">institucines (pvz., įgaliojimų suteikimą, normų nustatymą, politinės / teisinės aplinkos, kuria skatinamos inovacijos, sukūrimą), </w:t>
      </w:r>
    </w:p>
    <w:p w:rsidR="00A45935" w:rsidRPr="0095292E" w:rsidRDefault="00A45935" w:rsidP="00230C31">
      <w:pPr>
        <w:pStyle w:val="Hlistbullet"/>
      </w:pPr>
      <w:r>
        <w:t xml:space="preserve">procedūrines (pvz., lankstaus finansavimo šaltinių užtikrinimą siekiant patenkinti suinteresuotųjų subjektų inovacijų poreikius), </w:t>
      </w:r>
    </w:p>
    <w:p w:rsidR="00A45935" w:rsidRPr="0095292E" w:rsidRDefault="00A45935" w:rsidP="00230C31">
      <w:pPr>
        <w:pStyle w:val="Hlistbullet"/>
      </w:pPr>
      <w:r>
        <w:t xml:space="preserve">profesines (pvz., galimybę dalyvauti mokyme siekiant įgyti būtinus įgūdžius ir žinias, taip pat užtikrinti inovacijų skatinimo priemones), </w:t>
      </w:r>
    </w:p>
    <w:p w:rsidR="00A45935" w:rsidRPr="0095292E" w:rsidRDefault="00A45935" w:rsidP="00230C31">
      <w:pPr>
        <w:pStyle w:val="Hlistbullet"/>
      </w:pPr>
      <w:r>
        <w:t xml:space="preserve">organizacines (pvz., galimybę sąveikauti su kitais partneriais, kurie pasirengę ieškoti novatoriškų sprendimų), </w:t>
      </w:r>
    </w:p>
    <w:p w:rsidR="00A45935" w:rsidRPr="0095292E" w:rsidRDefault="00A45935" w:rsidP="00230C31">
      <w:pPr>
        <w:pStyle w:val="Hlistbullet"/>
      </w:pPr>
      <w:r>
        <w:t xml:space="preserve">veiklos (pvz., skatinant tarpvalstybines arba tarpsektorines inovacijas), </w:t>
      </w:r>
    </w:p>
    <w:p w:rsidR="00A45935" w:rsidRPr="0095292E" w:rsidRDefault="00A45935" w:rsidP="00230C31">
      <w:pPr>
        <w:pStyle w:val="Hlistbullet"/>
      </w:pPr>
      <w:r>
        <w:t xml:space="preserve">technines (pvz., tokias, kuriomis remiami nauji metodai ir technologijos, kuriuos galima taikyti kaimo ekonomikos sektoriuose ir kaimo vietovių infrastruktūroje). </w:t>
      </w:r>
    </w:p>
    <w:p w:rsidR="00A45935" w:rsidRPr="00E05D08" w:rsidRDefault="00A45935" w:rsidP="00E05D08">
      <w:pPr>
        <w:spacing w:after="120" w:line="280" w:lineRule="atLeast"/>
        <w:mirrorIndents/>
        <w:rPr>
          <w:rFonts w:eastAsia="Times New Roman" w:cs="Times New Roman"/>
          <w:szCs w:val="20"/>
        </w:rPr>
      </w:pPr>
      <w:r>
        <w:t>Trečioji inovacijų proceso kryptis KPP gali būti remiama derinant įvairias priemones / pagalbines priemones (pvz., investicinėmis priemonėmis užtikrinama aplinka, palanki bet kokios rūšies techninėms ir technologinėms inovacijoms, kokybės ir teikimo rinkai priemonės padeda sukurti institucines ir procedūrines sąlygas, žinių perdavimo ir konsultavimo priemonėmis sukuriama palanki profesinė aplinka)</w:t>
      </w:r>
      <w:r>
        <w:rPr>
          <w:rStyle w:val="FootnoteReference"/>
          <w:rFonts w:eastAsia="Times New Roman" w:cs="Times New Roman"/>
          <w:color w:val="FFFFFF" w:themeColor="background1"/>
          <w:szCs w:val="20"/>
          <w:lang w:eastAsia="de-DE"/>
        </w:rPr>
        <w:footnoteReference w:id="13"/>
      </w:r>
      <w:r>
        <w:t xml:space="preserve">. </w:t>
      </w:r>
    </w:p>
    <w:p w:rsidR="00A45935" w:rsidRPr="00E05D08" w:rsidRDefault="00A45935" w:rsidP="00E05D08">
      <w:pPr>
        <w:spacing w:after="120" w:line="280" w:lineRule="atLeast"/>
        <w:mirrorIndents/>
        <w:rPr>
          <w:rFonts w:eastAsia="Times New Roman" w:cs="Times New Roman"/>
          <w:szCs w:val="20"/>
        </w:rPr>
      </w:pPr>
      <w:r>
        <w:rPr>
          <w:b/>
          <w:szCs w:val="20"/>
        </w:rPr>
        <w:t>Kelių savaime stiprėjančių grįžtamojo ryšio ciklų galimybę</w:t>
      </w:r>
      <w:r>
        <w:t xml:space="preserve"> taip pat galima pamatyti </w:t>
      </w:r>
      <w:hyperlink w:anchor="Pathways" w:history="1">
        <w:r>
          <w:rPr>
            <w:rStyle w:val="Hyperlink"/>
            <w:sz w:val="20"/>
            <w:szCs w:val="20"/>
          </w:rPr>
          <w:t>1 diagramoje</w:t>
        </w:r>
      </w:hyperlink>
      <w:r>
        <w:t>. Pavyzdžiui:</w:t>
      </w:r>
    </w:p>
    <w:p w:rsidR="00A45935" w:rsidRPr="004508D0" w:rsidRDefault="00A45935" w:rsidP="00230C31">
      <w:pPr>
        <w:pStyle w:val="Hlistbullet"/>
      </w:pPr>
      <w:r>
        <w:t xml:space="preserve">technologinių ir (arba) institucinių inovacijų procesas sustiprina sistemos gebėjimą </w:t>
      </w:r>
      <w:r>
        <w:lastRenderedPageBreak/>
        <w:t xml:space="preserve">diegti inovacijas, o šis teikia tiesioginį grįžtamąjį ryšį leisdamas paspartinti inovacijų diegimo tempą ir pagerinti jų kokybę; </w:t>
      </w:r>
    </w:p>
    <w:p w:rsidR="00A45935" w:rsidRPr="000828C6" w:rsidRDefault="00A45935" w:rsidP="00230C31">
      <w:pPr>
        <w:pStyle w:val="Hlistbullet"/>
      </w:pPr>
      <w:r>
        <w:t xml:space="preserve">dėl KPP intervencinių veiksmų, kuriais remiama inovacijoms palanki politika (3 kryptis), didėja inovacijų diegimo tempas, o tai gerina gebėjimą diegti inovacijas. </w:t>
      </w:r>
    </w:p>
    <w:p w:rsidR="00A45935" w:rsidRPr="00E05D08" w:rsidRDefault="00A45935" w:rsidP="00E05D08">
      <w:pPr>
        <w:spacing w:after="120" w:line="280" w:lineRule="atLeast"/>
        <w:mirrorIndents/>
        <w:rPr>
          <w:rFonts w:eastAsia="Times New Roman" w:cs="Times New Roman"/>
          <w:szCs w:val="20"/>
        </w:rPr>
      </w:pPr>
      <w:r>
        <w:t>Gebėjimo diegti inovacijas stiprinimas padeda inovacijų srities subjektams nustatyti ryšius ir jais naudotis siekiant daryti įtaką galimybių suteikiančiai institucinei ar politinei aplinkai, kad ji būtų palanki KPP remiamoms inovacijoms. Savaime stiprėjantys ciklai yra svarbūs, nes jie gali padėti sukurti sverto efektą</w:t>
      </w:r>
      <w:r>
        <w:rPr>
          <w:rFonts w:eastAsia="Times New Roman" w:cs="Times New Roman"/>
          <w:szCs w:val="20"/>
          <w:vertAlign w:val="superscript"/>
          <w:lang w:eastAsia="de-DE"/>
        </w:rPr>
        <w:footnoteReference w:id="14"/>
      </w:r>
      <w:r>
        <w:t xml:space="preserve">, t. y. palyginti nedidelio masto KPP intervenciniais veiksmais pagreitinti ir remti poveikį didesniu mastu (pvz., efektyviu energijos vartojimu pagrįsta novatoriška ūkininkavimo praktika, kuri buvo sukurta įgyvendinant KPP inovacijų projektą, išplinta, kaip teigiama grįžtamoji informaciją, gauta iš pirmą kartą šią praktiką taikančių subjektų, ir kuri toliau plinta ir daro įtaką kitiems subjektams, dėl kurios jie pradeda taikyti tą pačią praktiką, ir tai lemia reikšmingą energijos taupymo poveikį regione). Be to, inovacijų projektais gali būti pasiekta geresnių KPP priemonių. Pavyzdžiui, inovacijų projektu gali būti tikrinamas būsimos agrarinės aplinkosaugos ir klimato priemonės  įvykdomumas ir išlaidų veiksmingumas. </w:t>
      </w:r>
    </w:p>
    <w:p w:rsidR="00A45935" w:rsidRPr="00E05D08" w:rsidRDefault="00A45935" w:rsidP="005B740D">
      <w:pPr>
        <w:pStyle w:val="HHeading4"/>
        <w:spacing w:after="120"/>
      </w:pPr>
      <w:r>
        <w:t xml:space="preserve">Kaip KPP sąveikauja su platesnio masto inovacijų sistema? </w:t>
      </w:r>
    </w:p>
    <w:p w:rsidR="00A45935" w:rsidRPr="00E05D08" w:rsidRDefault="00A45935" w:rsidP="00E05D08">
      <w:pPr>
        <w:spacing w:after="120" w:line="280" w:lineRule="atLeast"/>
        <w:mirrorIndents/>
        <w:rPr>
          <w:rFonts w:eastAsia="Times New Roman" w:cs="Times New Roman"/>
          <w:szCs w:val="20"/>
        </w:rPr>
      </w:pPr>
      <w:r>
        <w:t xml:space="preserve">Pagal KPP gaunami dviejų rūšių su inovacijomis susiję rezultatai: </w:t>
      </w:r>
    </w:p>
    <w:p w:rsidR="00A45935" w:rsidRPr="000828C6" w:rsidRDefault="00A45935" w:rsidP="001744D0">
      <w:pPr>
        <w:pStyle w:val="Hlistbullet"/>
      </w:pPr>
      <w:r>
        <w:rPr>
          <w:b/>
        </w:rPr>
        <w:t xml:space="preserve">rezultatai, kuriais sudaromos galimybės </w:t>
      </w:r>
      <w:r>
        <w:t xml:space="preserve">ir kurie susiję su trimis kryptimis (pvz., atsirandančių novatoriškų idėjų kūrimo tempo ir jų kokybės pokyčiai, gebėjimas diegti inovacijas, ir palanki aplinka). </w:t>
      </w:r>
    </w:p>
    <w:p w:rsidR="00A45935" w:rsidRPr="000828C6" w:rsidRDefault="00A45935" w:rsidP="001744D0">
      <w:pPr>
        <w:pStyle w:val="Hlistbullet"/>
      </w:pPr>
      <w:r>
        <w:rPr>
          <w:b/>
        </w:rPr>
        <w:t xml:space="preserve">inovacijų rezultatai, </w:t>
      </w:r>
      <w:r>
        <w:t>gaunami dėl rezultatų, kuriais sudaromos galimybės, (pvz., nauja praktika, padidėjusios pajamos, darnesnės ūkininkavimo praktikos taikymas).</w:t>
      </w:r>
    </w:p>
    <w:p w:rsidR="00A45935" w:rsidRPr="00E05D08" w:rsidRDefault="00A45935" w:rsidP="00E05D08">
      <w:pPr>
        <w:spacing w:after="120" w:line="280" w:lineRule="atLeast"/>
        <w:mirrorIndents/>
        <w:rPr>
          <w:rFonts w:eastAsia="Times New Roman" w:cs="Times New Roman"/>
          <w:szCs w:val="20"/>
        </w:rPr>
      </w:pPr>
      <w:r>
        <w:t>Abiejų rūšių rezultatai padeda įgyvendinti KPP tikslus ir gali būti vertinami pagal atitinkamus rodiklius. Tai, ar jie daro poveikį esamai inovacijų sistemai ir kaip jie daro tą poveikį, priklauso nuo to, kaip KPP paramos gavėjai aiškina ir supranta programos teikiamas galimybes</w:t>
      </w:r>
      <w:r>
        <w:rPr>
          <w:rFonts w:eastAsia="Times New Roman" w:cs="Times New Roman"/>
          <w:szCs w:val="20"/>
          <w:vertAlign w:val="superscript"/>
          <w:lang w:eastAsia="de-DE"/>
        </w:rPr>
        <w:footnoteReference w:id="15"/>
      </w:r>
      <w:r>
        <w:t xml:space="preserve">. Jų reakcijai taip pat turi įtakos istorija ir jau vykstantys procesai, išskyrus KPP, kuriais skatinamos inovacijos: </w:t>
      </w:r>
    </w:p>
    <w:p w:rsidR="00A45935" w:rsidRPr="00161D7E" w:rsidRDefault="00A45935" w:rsidP="001744D0">
      <w:pPr>
        <w:pStyle w:val="Hlistbullet"/>
      </w:pPr>
      <w:r>
        <w:t xml:space="preserve">mokslinių tyrimų veikla naujų technologijų ir procesų srityje, </w:t>
      </w:r>
    </w:p>
    <w:p w:rsidR="00A45935" w:rsidRPr="00161D7E" w:rsidRDefault="00A45935" w:rsidP="001744D0">
      <w:pPr>
        <w:pStyle w:val="Hlistbullet"/>
      </w:pPr>
      <w:r>
        <w:t xml:space="preserve">žinių sklaidos ir švietimo programos inovacijų skatinimo srityje, </w:t>
      </w:r>
    </w:p>
    <w:p w:rsidR="00A45935" w:rsidRPr="00161D7E" w:rsidRDefault="00A45935" w:rsidP="001744D0">
      <w:pPr>
        <w:pStyle w:val="Hlistbullet"/>
      </w:pPr>
      <w:r>
        <w:t xml:space="preserve">fiskalinės priemonės, paskolos garantijos, novatoriški viešieji pirkimai, </w:t>
      </w:r>
    </w:p>
    <w:p w:rsidR="00A45935" w:rsidRPr="00161D7E" w:rsidRDefault="00A45935" w:rsidP="001744D0">
      <w:pPr>
        <w:pStyle w:val="Hlistbullet"/>
      </w:pPr>
      <w:r>
        <w:t>programa „Horizontas 2020“ ir kitos ESI fondų lėšomis finansuojamos nacionalinės / regioninės programos, kurios pagrįstos tuo pačiu į inovacijas orientuotu požiūriu, kaip ir KPP,</w:t>
      </w:r>
    </w:p>
    <w:p w:rsidR="00A45935" w:rsidRPr="00161D7E" w:rsidRDefault="00A45935" w:rsidP="001744D0">
      <w:pPr>
        <w:pStyle w:val="Hlistbullet"/>
      </w:pPr>
      <w:r>
        <w:t>rinkos paklausa.</w:t>
      </w:r>
    </w:p>
    <w:p w:rsidR="00A45935" w:rsidRPr="00E05D08" w:rsidRDefault="00A45935" w:rsidP="00E05D08">
      <w:pPr>
        <w:spacing w:after="120" w:line="280" w:lineRule="atLeast"/>
        <w:mirrorIndents/>
        <w:rPr>
          <w:rFonts w:eastAsia="Times New Roman" w:cs="Times New Roman"/>
          <w:szCs w:val="20"/>
        </w:rPr>
      </w:pPr>
      <w:r>
        <w:t xml:space="preserve">Atitinkamai KPP veiksmai turės įtakos tam, kaip bus aiškinami ir taikomi kiti jau vykstantys procesai ir intervencijos, o šie taip pat turės įtakos KPP veiksmams. </w:t>
      </w:r>
    </w:p>
    <w:p w:rsidR="00A45935" w:rsidRPr="00E05D08" w:rsidRDefault="00A45935" w:rsidP="00E05D08">
      <w:pPr>
        <w:spacing w:after="120" w:line="280" w:lineRule="atLeast"/>
        <w:mirrorIndents/>
        <w:rPr>
          <w:rFonts w:eastAsia="Times New Roman" w:cs="Times New Roman"/>
          <w:szCs w:val="20"/>
        </w:rPr>
      </w:pPr>
      <w:r>
        <w:t xml:space="preserve">KPP įgyvendinamos ne vakuume, o sudėtingoje inovacijų sistemoje konkrečiomis socialinėmis ir ekonominėmis sąlygomis. Pradinė KPP padėtis priklauso nuo esamo inovacijų konteksto (t. y. nuo inovacijų srities subjektų ir jų tarpusavio sąveikos, esamos palankios aplinkos, rinkos paklausos ir kitų intervencinių veiksmų). </w:t>
      </w:r>
    </w:p>
    <w:p w:rsidR="000E0FE4" w:rsidRDefault="00A45935" w:rsidP="005B740D">
      <w:pPr>
        <w:spacing w:after="0" w:line="240" w:lineRule="auto"/>
        <w:mirrorIndents/>
        <w:rPr>
          <w:rFonts w:eastAsia="Times New Roman" w:cs="Times New Roman"/>
          <w:szCs w:val="20"/>
        </w:rPr>
      </w:pPr>
      <w:r>
        <w:t xml:space="preserve">Bet kokio vertinimo tikslas – nustatyti pradinę padėtį ir bet kokius pastebėtus pokyčius susieti su KPP priemonių ir pagalbinių priemonių įgyvendinimu. </w:t>
      </w:r>
      <w:r>
        <w:br w:type="page"/>
      </w:r>
    </w:p>
    <w:p w:rsidR="00A45935" w:rsidRPr="00E05D08" w:rsidRDefault="00A45935" w:rsidP="005B740D">
      <w:pPr>
        <w:spacing w:after="0" w:line="240" w:lineRule="auto"/>
        <w:mirrorIndents/>
        <w:rPr>
          <w:rFonts w:eastAsia="Times New Roman" w:cs="Times New Roman"/>
          <w:szCs w:val="20"/>
          <w:lang w:eastAsia="de-DE"/>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967CFD" w:rsidRDefault="00A45935" w:rsidP="00230C31">
      <w:pPr>
        <w:pStyle w:val="HHeading2"/>
      </w:pPr>
      <w:bookmarkStart w:id="16" w:name="_Toc493151896"/>
      <w:bookmarkStart w:id="17" w:name="_Toc501382122"/>
      <w:bookmarkStart w:id="18" w:name="_Toc508976519"/>
      <w:r>
        <w:lastRenderedPageBreak/>
        <w:t>ES politikos sistema</w:t>
      </w:r>
      <w:bookmarkEnd w:id="16"/>
      <w:bookmarkEnd w:id="17"/>
      <w:bookmarkEnd w:id="18"/>
      <w:r>
        <w:t xml:space="preserve"> </w:t>
      </w:r>
    </w:p>
    <w:p w:rsidR="00A45935" w:rsidRPr="00967CFD" w:rsidRDefault="00A45935" w:rsidP="009B603C">
      <w:pPr>
        <w:pStyle w:val="HHeading3"/>
        <w:spacing w:line="280" w:lineRule="exact"/>
      </w:pPr>
      <w:bookmarkStart w:id="19" w:name="Policy_framework"/>
      <w:bookmarkStart w:id="20" w:name="_Toc501382123"/>
      <w:bookmarkStart w:id="21" w:name="_Toc508976520"/>
      <w:bookmarkEnd w:id="19"/>
      <w:r>
        <w:t>ES inovacijų politikos sistema ir kaimo plėtros politika</w:t>
      </w:r>
      <w:bookmarkEnd w:id="20"/>
      <w:bookmarkEnd w:id="21"/>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 xml:space="preserve"> ES turi dvi finansavimo priemones, konkrečiai skirtas žemės ūkio ir miškininkystės srities inovacijoms remti</w:t>
      </w:r>
      <w:r>
        <w:rPr>
          <w:szCs w:val="20"/>
          <w:shd w:val="clear" w:color="auto" w:fill="FFFFFF"/>
        </w:rPr>
        <w:t>. Viena jų – kaimo plėtros politika, kuri yra vienas iš dviejų bendros žemės ūkio politikos (BŽŪP) ramsčių. Kita – programa „Horizontas 2020“</w:t>
      </w:r>
      <w:r>
        <w:rPr>
          <w:rFonts w:eastAsia="Times New Roman" w:cs="Times New Roman"/>
          <w:szCs w:val="20"/>
          <w:shd w:val="clear" w:color="auto" w:fill="FFFFFF"/>
          <w:vertAlign w:val="superscript"/>
          <w:lang w:eastAsia="de-DE"/>
        </w:rPr>
        <w:footnoteReference w:id="16"/>
      </w:r>
      <w:r>
        <w:rPr>
          <w:szCs w:val="20"/>
          <w:shd w:val="clear" w:color="auto" w:fill="FFFFFF"/>
        </w:rPr>
        <w:t>, ES bendroji mokslinių tyrimų ir inovacijų programa, kuria įgyvendinama pavyzdinė iniciatyva „Inovacijų sąjunga“</w:t>
      </w:r>
      <w:r>
        <w:rPr>
          <w:rFonts w:eastAsia="Calibri" w:cs="Arial"/>
          <w:szCs w:val="20"/>
          <w:shd w:val="clear" w:color="auto" w:fill="FFFFFF"/>
          <w:vertAlign w:val="superscript"/>
          <w:lang w:eastAsia="de-DE"/>
        </w:rPr>
        <w:footnoteReference w:id="17"/>
      </w:r>
      <w:r>
        <w:rPr>
          <w:szCs w:val="20"/>
          <w:shd w:val="clear" w:color="auto" w:fill="FFFFFF"/>
        </w:rPr>
        <w:t xml:space="preserve">. </w:t>
      </w:r>
    </w:p>
    <w:p w:rsidR="00A45935" w:rsidRDefault="00A45935" w:rsidP="001744D0">
      <w:pPr>
        <w:spacing w:after="120" w:line="280" w:lineRule="atLeast"/>
        <w:mirrorIndents/>
        <w:rPr>
          <w:rFonts w:eastAsia="Times New Roman" w:cs="Times New Roman"/>
          <w:b/>
          <w:sz w:val="18"/>
          <w:szCs w:val="18"/>
        </w:rPr>
      </w:pPr>
      <w:r>
        <w:rPr>
          <w:b/>
          <w:szCs w:val="20"/>
          <w:shd w:val="clear" w:color="auto" w:fill="FFFFFF"/>
        </w:rPr>
        <w:t>Kaimo plėtros politika įgyvendinama taip, kad būtų užtikrinta sinergija su programa „Horizontas 2020“</w:t>
      </w:r>
      <w:r>
        <w:rPr>
          <w:szCs w:val="20"/>
          <w:shd w:val="clear" w:color="auto" w:fill="FFFFFF"/>
        </w:rPr>
        <w:t xml:space="preserve"> ir būtų pasiekti ES inovacijų srities tikslai, visų pirma pažangaus augimo tikslai. ES pagrindiniai pažangaus augimo tikslai – padidinti bendrą viešųjų ir privačiųjų investicijų lygį mokslinių tyrimų ir technologinės plėtros (MTTP) sektoriuje iki 3 proc. bendrojo ES vidaus produkto (BVP), taip pat sudaryti geresnes sąlygas MTTP bei inovacijoms</w:t>
      </w:r>
      <w:r>
        <w:rPr>
          <w:rFonts w:eastAsia="Times New Roman" w:cs="Times New Roman"/>
          <w:szCs w:val="20"/>
          <w:shd w:val="clear" w:color="auto" w:fill="FFFFFF"/>
          <w:vertAlign w:val="superscript"/>
          <w:lang w:eastAsia="de-DE"/>
        </w:rPr>
        <w:footnoteReference w:id="18"/>
      </w:r>
      <w:r>
        <w:rPr>
          <w:szCs w:val="20"/>
          <w:shd w:val="clear" w:color="auto" w:fill="FFFFFF"/>
        </w:rPr>
        <w:t xml:space="preserve">. </w:t>
      </w:r>
    </w:p>
    <w:p w:rsidR="00A45935" w:rsidRPr="00967CFD" w:rsidRDefault="00A45935" w:rsidP="002F0ABF">
      <w:pPr>
        <w:pStyle w:val="HHeadingfigures"/>
      </w:pPr>
      <w:bookmarkStart w:id="22" w:name="_Toc508984033"/>
      <w:r>
        <w:t>ES inovacijų politikos sistema ir kaimo plėtros politika</w:t>
      </w:r>
      <w:bookmarkEnd w:id="22"/>
      <w:r>
        <w:t xml:space="preserve"> </w:t>
      </w:r>
    </w:p>
    <w:p w:rsidR="00A45935" w:rsidRPr="00E05D08" w:rsidRDefault="0061055B" w:rsidP="00E05D08">
      <w:pPr>
        <w:spacing w:before="60" w:after="200" w:line="276" w:lineRule="auto"/>
        <w:jc w:val="center"/>
        <w:rPr>
          <w:rFonts w:eastAsia="Calibri" w:cs="Arial"/>
          <w:szCs w:val="20"/>
        </w:rPr>
      </w:pPr>
      <w:r w:rsidRPr="0061055B">
        <w:rPr>
          <w:noProof/>
          <w:lang w:val="en-GB" w:eastAsia="en-GB"/>
        </w:rPr>
        <w:drawing>
          <wp:inline distT="0" distB="0" distL="0" distR="0" wp14:anchorId="7C5133BD" wp14:editId="523AE63A">
            <wp:extent cx="5731510" cy="3326421"/>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326421"/>
                    </a:xfrm>
                    <a:prstGeom prst="rect">
                      <a:avLst/>
                    </a:prstGeom>
                  </pic:spPr>
                </pic:pic>
              </a:graphicData>
            </a:graphic>
          </wp:inline>
        </w:drawing>
      </w: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Šaltinis: Europos kaimo plėtros vertinimo pagalbos tarnyba, 2017 m.</w:t>
      </w:r>
    </w:p>
    <w:p w:rsidR="00A45935" w:rsidRPr="00E05D08" w:rsidRDefault="00A45935" w:rsidP="00E05D08">
      <w:pPr>
        <w:spacing w:after="120" w:line="280" w:lineRule="atLeast"/>
        <w:mirrorIndents/>
        <w:rPr>
          <w:rFonts w:eastAsia="Times New Roman" w:cs="Times New Roman"/>
          <w:szCs w:val="20"/>
        </w:rPr>
      </w:pPr>
      <w:r>
        <w:rPr>
          <w:b/>
          <w:szCs w:val="20"/>
        </w:rPr>
        <w:t>Bendra žemės ūkio politika atlieka svarbų vaidmenį skatinant inovacijas ir taip siekiant pažangaus augimo tikslo</w:t>
      </w:r>
      <w:r>
        <w:t xml:space="preserve">. Siekiant įgyvendinti tris BŽŪP tikslus, būtina kurti naujas žinias, naujas technologijas, naujus produktus ir naujus organizavimo, mokymosi ar bendradarbiavimo būdus, jais dalytis ir juos įgyvendinti. </w:t>
      </w:r>
    </w:p>
    <w:p w:rsidR="00A45935" w:rsidRPr="00E05D08" w:rsidRDefault="00A45935" w:rsidP="00E05D08">
      <w:pPr>
        <w:spacing w:after="120" w:line="280" w:lineRule="atLeast"/>
        <w:mirrorIndents/>
        <w:rPr>
          <w:rFonts w:eastAsia="Calibri" w:cs="Times New Roman"/>
          <w:szCs w:val="20"/>
        </w:rPr>
      </w:pPr>
      <w:r>
        <w:rPr>
          <w:b/>
          <w:szCs w:val="20"/>
        </w:rPr>
        <w:lastRenderedPageBreak/>
        <w:t>Nustatant 2014–2020 m. kaimo plėtros politikos struktūrą, pabrėžiama inovacijų svarba</w:t>
      </w:r>
      <w:r>
        <w:t xml:space="preserve"> programų rengimo ir įgyvendinimo etapuose.</w:t>
      </w:r>
      <w:r>
        <w:rPr>
          <w:rFonts w:eastAsia="Times New Roman" w:cs="Times New Roman"/>
          <w:szCs w:val="20"/>
          <w:vertAlign w:val="superscript"/>
          <w:lang w:eastAsia="de-DE"/>
        </w:rPr>
        <w:footnoteReference w:id="19"/>
      </w:r>
      <w:r>
        <w:t xml:space="preserve"> Inovacijos kaimo plėtros srityje gali būti susijusios su daug įvairių sričių, įskaitant: ūkių plėtrą, maisto grandinės organizavimą ir rizikos valdymą, ekosistemų išsaugojimą ir gerinimą, socialinės įtraukties skatinimą, skurdo mažinimą, ekonominę kaimo vietovių plėtrą ir kt.</w:t>
      </w:r>
    </w:p>
    <w:p w:rsidR="00A45935" w:rsidRPr="00E05D08" w:rsidRDefault="00A45935" w:rsidP="00230C31">
      <w:pPr>
        <w:pStyle w:val="HHeading4"/>
        <w:rPr>
          <w:rFonts w:eastAsia="Calibri"/>
        </w:rPr>
      </w:pPr>
      <w:r>
        <w:t>Kaip inovacijos įtvirtintos kaimo plėtros programose?</w:t>
      </w:r>
    </w:p>
    <w:p w:rsidR="00A45935" w:rsidRPr="00E05D08" w:rsidRDefault="001F67E3" w:rsidP="00E05D08">
      <w:pPr>
        <w:spacing w:after="120" w:line="280" w:lineRule="atLeast"/>
        <w:mirrorIndents/>
        <w:rPr>
          <w:rFonts w:eastAsia="Times New Roman" w:cs="Times New Roman"/>
          <w:szCs w:val="20"/>
        </w:rPr>
      </w:pPr>
      <w:r>
        <w:rPr>
          <w:b/>
          <w:szCs w:val="20"/>
        </w:rPr>
        <w:t>KPP „</w:t>
      </w:r>
      <w:r w:rsidR="00347A2C">
        <w:rPr>
          <w:b/>
          <w:szCs w:val="20"/>
        </w:rPr>
        <w:t>požiūrio į inovacijas, siekiant Sąjungos kaimo plėtros prioritetinių tikslų“ apibūdinimas</w:t>
      </w:r>
      <w:r w:rsidR="00347A2C">
        <w:t xml:space="preserve"> įtrauktas į KPP strategiją</w:t>
      </w:r>
      <w:r w:rsidR="00347A2C">
        <w:rPr>
          <w:rFonts w:eastAsia="Times New Roman" w:cs="Times New Roman"/>
          <w:szCs w:val="20"/>
          <w:vertAlign w:val="superscript"/>
          <w:lang w:eastAsia="de-DE"/>
        </w:rPr>
        <w:footnoteReference w:id="20"/>
      </w:r>
      <w:r w:rsidR="00347A2C">
        <w:t>. Šis apibūdinimas taip pat apima Europos inovacijų partnerystę (EIP) žemės ūkio našumo ir tvarumo srityje. Kiekviena strategija kiekvienos Sąjungos prioritetinės krypties lygmeniu siekiama atsižvelgti į konkrečius su inovacijomis susijusius poreikius, kaip nustatyta stiprybių, silpnybių, galimybių ir grėsmių (SSGG) analizėje ir poreikių vertinime</w:t>
      </w:r>
      <w:r w:rsidR="00347A2C">
        <w:rPr>
          <w:rFonts w:eastAsia="Times New Roman" w:cs="Times New Roman"/>
          <w:szCs w:val="20"/>
          <w:vertAlign w:val="superscript"/>
          <w:lang w:eastAsia="de-DE"/>
        </w:rPr>
        <w:footnoteReference w:id="21"/>
      </w:r>
      <w:r w:rsidR="00347A2C">
        <w:t>. Be to, visais Sąjungos prioritetais prisidedama prie su inovacijomis susijusio kompleksinio tikslo įgyvendinimo</w:t>
      </w:r>
      <w:r w:rsidR="00347A2C">
        <w:rPr>
          <w:rFonts w:eastAsia="Times New Roman" w:cs="Times New Roman"/>
          <w:szCs w:val="20"/>
          <w:vertAlign w:val="superscript"/>
          <w:lang w:eastAsia="de-DE"/>
        </w:rPr>
        <w:footnoteReference w:id="22"/>
      </w:r>
      <w:r w:rsidR="00347A2C">
        <w:t xml:space="preserve">. </w:t>
      </w:r>
    </w:p>
    <w:p w:rsidR="00A45935" w:rsidRPr="00E05D08" w:rsidRDefault="00A45935" w:rsidP="00E05D08">
      <w:pPr>
        <w:spacing w:after="120" w:line="280" w:lineRule="atLeast"/>
        <w:mirrorIndents/>
        <w:rPr>
          <w:rFonts w:eastAsia="Times New Roman" w:cs="Times New Roman"/>
          <w:szCs w:val="20"/>
        </w:rPr>
      </w:pPr>
      <w:r>
        <w:t xml:space="preserve">Be to, kad inovacijos yra kompleksinis tikslas, jos kaimo plėtros programose taip pat laikomos 1 kompleksinio Sąjungos prioriteto „skatinti žinių perteikimą ir inovacijas žemės ūkyje, miškininkystėje ir kaimo vietovėse“ dviejų tikslinių sričių dalimi: </w:t>
      </w:r>
    </w:p>
    <w:p w:rsidR="00A45935" w:rsidRPr="00165BF1" w:rsidRDefault="00A45935" w:rsidP="008C0B17">
      <w:pPr>
        <w:numPr>
          <w:ilvl w:val="0"/>
          <w:numId w:val="70"/>
        </w:numPr>
        <w:mirrorIndents/>
        <w:rPr>
          <w:szCs w:val="20"/>
        </w:rPr>
      </w:pPr>
      <w:r>
        <w:t>1A tikslinė sritis: inovacijų skatinimas, bendradarbiavimas ir žinių bazės vystymas kaimo vietovėse;</w:t>
      </w:r>
    </w:p>
    <w:p w:rsidR="00A45935" w:rsidRPr="00165BF1" w:rsidRDefault="00A45935" w:rsidP="008C0B17">
      <w:pPr>
        <w:numPr>
          <w:ilvl w:val="0"/>
          <w:numId w:val="70"/>
        </w:numPr>
        <w:mirrorIndents/>
        <w:rPr>
          <w:szCs w:val="20"/>
        </w:rPr>
      </w:pPr>
      <w:r>
        <w:t>1B tikslinė sritis:  žemės ūkio, maisto produktų gamybos bei miškininkystės ir mokslinių tyrimų bei inovacijų ryšių stiprinimas, be kita ko, siekiant geresnio aplinkosaugos valdymo ir aplinkosauginio veiksmingumo;.</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Kaimo plėtros programose numatyta pakankamai lankstumo galimybių, kad būtų galima taikyti ir derinti priemones</w:t>
      </w:r>
      <w:r>
        <w:t xml:space="preserve"> siekiant išspręsti konkrečius teritorinius ir inovacijų poreikius ir pagerinti jų gebėjimą pasiekti tarpusavio sąveiką. Šios priemonės gali būti planuojamos pagal įvairius prioritetus ir TS siekiant kuo labiau padidinti jų indėlį į atitinkamų tikslų įgyvendinimą. </w:t>
      </w:r>
      <w:r>
        <w:rPr>
          <w:szCs w:val="20"/>
          <w:shd w:val="clear" w:color="auto" w:fill="FFFFFF"/>
        </w:rPr>
        <w:t>Tam tikros KPP priemonės net gali turėti daugiau tiesioginės įtakos inovacijoms, būtent priemonės pagal 1A ir 1B TS:</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1-oji priemonė. Žinių perdavimas ir informavimo veikla;</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2-oji priemonė. Konsultavimo paslaugos;</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16-oji priemonė. Bendradarbiavimas (remiamas EIP žemės ūkio našumo ir tvarumo srityje veiklos grupių steigimas ir veikla);</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19-oji priemonė. LEADER / bendruomenės inicijuota vietos plėtra BIVP, strategijos, kuriomis remiamos inovacijos, kaip vienas LEADER principų ir skatinami nedidelio masto novatoriški veiksmai visuose kaimo gyvenimo aspektuose (ekonominiame, socialiniame ir aplinkos).</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Inovacijų skatinimo priemonės taip pat gali būti programuojamos pagal kitas TS.</w:t>
      </w:r>
      <w:r>
        <w:t xml:space="preserve"> Pavyzdžiui, 16-oji priemonė gali būti susijusi su daugeliu TS ir kaimo plėtros prioritetų. Tai pagrindinė kaimo plėtros priemonė, kuria remiama </w:t>
      </w:r>
      <w:r>
        <w:rPr>
          <w:b/>
          <w:szCs w:val="20"/>
          <w:shd w:val="clear" w:color="auto" w:fill="FFFFFF"/>
        </w:rPr>
        <w:t xml:space="preserve">Europos inovacijų partnerystė žemės ūkio našumo ir tvarumo srityje </w:t>
      </w:r>
      <w:r>
        <w:rPr>
          <w:szCs w:val="20"/>
          <w:shd w:val="clear" w:color="auto" w:fill="FFFFFF"/>
        </w:rPr>
        <w:t xml:space="preserve">(EIP AGRI)). </w:t>
      </w:r>
    </w:p>
    <w:p w:rsidR="00A45935" w:rsidRPr="00E05D08" w:rsidRDefault="00A45935" w:rsidP="00E05D08">
      <w:pPr>
        <w:spacing w:after="120" w:line="280" w:lineRule="atLeast"/>
        <w:mirrorIndents/>
        <w:rPr>
          <w:rFonts w:eastAsia="Times New Roman" w:cs="Times New Roman"/>
          <w:szCs w:val="20"/>
          <w:shd w:val="clear" w:color="auto" w:fill="FFFFFF"/>
        </w:rPr>
      </w:pPr>
      <w:r>
        <w:br w:type="page"/>
      </w:r>
    </w:p>
    <w:p w:rsidR="00A45935" w:rsidRPr="00E05D08" w:rsidRDefault="00A45935" w:rsidP="00E05D08">
      <w:pPr>
        <w:spacing w:after="120" w:line="280" w:lineRule="atLeast"/>
        <w:mirrorIndents/>
        <w:rPr>
          <w:rFonts w:eastAsia="Times New Roman" w:cs="Times New Roman"/>
          <w:szCs w:val="20"/>
          <w:shd w:val="clear" w:color="auto" w:fill="FFFFFF"/>
          <w:lang w:eastAsia="de-DE"/>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p>
    <w:p w:rsidR="00D461AB" w:rsidRPr="00D461AB" w:rsidRDefault="003373B8" w:rsidP="00EA0974">
      <w:pPr>
        <w:spacing w:before="240" w:after="120" w:line="280" w:lineRule="atLeast"/>
        <w:mirrorIndents/>
        <w:rPr>
          <w:rFonts w:eastAsia="Times New Roman" w:cs="Times New Roman"/>
          <w:color w:val="FFFFFF" w:themeColor="background1"/>
          <w:szCs w:val="20"/>
          <w:shd w:val="clear" w:color="auto" w:fill="FFFFFF"/>
        </w:rPr>
      </w:pPr>
      <w:r>
        <w:rPr>
          <w:rFonts w:eastAsia="Times New Roman" w:cs="Times New Roman"/>
          <w:noProof/>
          <w:szCs w:val="20"/>
          <w:highlight w:val="yellow"/>
          <w:lang w:val="en-GB" w:eastAsia="en-GB"/>
        </w:rPr>
        <w:lastRenderedPageBreak/>
        <mc:AlternateContent>
          <mc:Choice Requires="wps">
            <w:drawing>
              <wp:anchor distT="0" distB="0" distL="114300" distR="114300" simplePos="0" relativeHeight="251706368" behindDoc="0" locked="0" layoutInCell="1" allowOverlap="1" wp14:anchorId="478BC52D" wp14:editId="58182B49">
                <wp:simplePos x="0" y="0"/>
                <wp:positionH relativeFrom="page">
                  <wp:posOffset>923925</wp:posOffset>
                </wp:positionH>
                <wp:positionV relativeFrom="paragraph">
                  <wp:posOffset>411480</wp:posOffset>
                </wp:positionV>
                <wp:extent cx="5671820" cy="4320540"/>
                <wp:effectExtent l="0" t="0" r="24130" b="22860"/>
                <wp:wrapSquare wrapText="bothSides"/>
                <wp:docPr id="58" name="Rectangle: Diagonal Corners Rounded 58"/>
                <wp:cNvGraphicFramePr/>
                <a:graphic xmlns:a="http://schemas.openxmlformats.org/drawingml/2006/main">
                  <a:graphicData uri="http://schemas.microsoft.com/office/word/2010/wordprocessingShape">
                    <wps:wsp>
                      <wps:cNvSpPr/>
                      <wps:spPr>
                        <a:xfrm>
                          <a:off x="0" y="0"/>
                          <a:ext cx="5671820" cy="4320540"/>
                        </a:xfrm>
                        <a:prstGeom prst="round2DiagRect">
                          <a:avLst>
                            <a:gd name="adj1" fmla="val 6224"/>
                            <a:gd name="adj2" fmla="val 0"/>
                          </a:avLst>
                        </a:prstGeom>
                        <a:noFill/>
                        <a:ln w="25400" cap="flat" cmpd="sng" algn="ctr">
                          <a:solidFill>
                            <a:srgbClr val="BE4A35"/>
                          </a:solidFill>
                          <a:prstDash val="solid"/>
                        </a:ln>
                        <a:effectLst/>
                      </wps:spPr>
                      <wps:txbx>
                        <w:txbxContent>
                          <w:p w:rsidR="001F67E3" w:rsidRPr="002F0ABF" w:rsidRDefault="001F67E3" w:rsidP="00E05D08">
                            <w:pPr>
                              <w:pStyle w:val="HStandard"/>
                              <w:rPr>
                                <w:sz w:val="18"/>
                                <w:szCs w:val="18"/>
                              </w:rPr>
                            </w:pPr>
                            <w:r>
                              <w:rPr>
                                <w:noProof/>
                                <w:lang w:val="en-GB" w:eastAsia="en-GB"/>
                              </w:rPr>
                              <w:drawing>
                                <wp:inline distT="0" distB="0" distL="0" distR="0" wp14:anchorId="327428A1" wp14:editId="2D4775BE">
                                  <wp:extent cx="664845" cy="487680"/>
                                  <wp:effectExtent l="0" t="0" r="0" b="7620"/>
                                  <wp:docPr id="730"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EIP AGRI yra strategijos „Europa 2020“ dalis, skirta ES inovacijų procesui paspartinti, konkurencingam ir tvariam žemės ūkio ir miškininkystės sektoriui, kuriame „pasiekiama daugiau naudojant mažiau“, plėtoti. EIP AGRI padeda užtikrinti nuolatinį maisto, pašarų ir biologinių medžiagų tiekimą, tausojant pagrindinius gamtos išteklius, nuo kurių priklauso ūkininkavimas. EIP AGRI ES lygmeniu ir įgyvendinant kaimo plėtros programas suburia inovacijų srities subjektus (ūkininkus, konsultantus, tyrėjus, įmones, NVO ir kt.) į veiklos grupes. Tokios inovacijos gali būti technologinės ir taip pat netechnologinės, organizacinės arba socialinės. Inovacijos gali būti grindžiamos ne tik nauja, bet ir tradicine praktika, taikoma naujomis geografinėmis arba aplinkosauginėmis aplinkybėmis. EIP veiklos grupės sudaromos konkrečiam projektui įgyvendinti ir sprendžia tam tikrą (praktinę) problemą arba tiria galimybę, kuri gali padėti diegti inovacijas ir padėti pasiekti programos tikslus. Kiekvieną VG sudaro tie pagrindiniai subjektai (pvz., ūkininkai, konsultantai, tyrėjai, įmonės, NVO), kurie turi geriausias galimybes pasiekti projekto tikslus, pasidalyti įgyvendinimo patirtimi ir plačiai paskleisti jo rezultatus. Taikant VG metodą geriausiai interaktyviu būdu panaudojamos įvairių rūšių žinios (praktinės, mokslinės, techninės, organizacinės ir kt.). Praktinis metodas, taikomas siekiant paremti šią veiklą, yra žinomas kaip „tarpininkavimas inovacijų srityje“. Reglamentu suteikiamos 4 tarpininkavimo inovacijų</w:t>
                            </w:r>
                            <w:r>
                              <w:rPr>
                                <w:sz w:val="18"/>
                                <w:szCs w:val="18"/>
                                <w:vertAlign w:val="superscript"/>
                              </w:rPr>
                              <w:t>23</w:t>
                            </w:r>
                            <w:r>
                              <w:rPr>
                                <w:sz w:val="18"/>
                                <w:szCs w:val="18"/>
                              </w:rPr>
                              <w:t xml:space="preserve"> srityje finansavimo galimybės. Tarpininkavimas inovacijų srityje gali būti labai svarbus ieškant novatoriškų idėjų, palengvinant veiklos grupių steigimą: visų pirma atliekant tarpininko vaidmenį, suburiant inovacijų srities subjektus (ūkininkus, konsultantus, tyrėjus, įmones, NVO ir kt.) interaktyvių inovacijų projektų įgyvendinimo veiklai. „Tarpininko inovacijų srityje“ tikslas – atrasti  principu „iš apačios į viršų“ grindžiamas iniciatyvas, padėti išplėtoti novatoriškas idėjas ir teikti paramą ieškant partnerių ir finansavimo. Pagrindinė tarpininko užduotis yra padėti parengti rimtą inovacijų projekto pasiūlymą. </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BC52D" id="Rectangle: Diagonal Corners Rounded 58" o:spid="_x0000_s1035" style="position:absolute;left:0;text-align:left;margin-left:72.75pt;margin-top:32.4pt;width:446.6pt;height:340.2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71820,4320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" adj="-11796480,,5400" path="m268910,l5671820,r,l5671820,4051630v,148515,-120395,268910,-268910,268910l,4320540r,l,268910c,120395,120395,,268910,xe" filled="f" strokecolor="#be4a35" strokeweight="2pt">
                <v:stroke joinstyle="miter"/>
                <v:formulas/>
                <v:path arrowok="t" o:connecttype="custom" o:connectlocs="268910,0;5671820,0;5671820,0;5671820,4051630;5402910,4320540;0,4320540;0,4320540;0,268910;268910,0" o:connectangles="0,0,0,0,0,0,0,0,0" textboxrect="0,0,5671820,4320540"/>
                <v:textbox inset=",,,0">
                  <w:txbxContent>
                    <w:p w:rsidR="001F67E3" w:rsidRPr="002F0ABF" w:rsidRDefault="001F67E3" w:rsidP="00E05D08">
                      <w:pPr>
                        <w:pStyle w:val="HStandard"/>
                        <w:rPr>
                          <w:sz w:val="18"/>
                          <w:szCs w:val="18"/>
                        </w:rPr>
                      </w:pPr>
                      <w:r>
                        <w:rPr>
                          <w:noProof/>
                          <w:lang w:val="en-GB" w:eastAsia="en-GB"/>
                        </w:rPr>
                        <w:drawing>
                          <wp:inline distT="0" distB="0" distL="0" distR="0" wp14:anchorId="327428A1" wp14:editId="2D4775BE">
                            <wp:extent cx="664845" cy="487680"/>
                            <wp:effectExtent l="0" t="0" r="0" b="7620"/>
                            <wp:docPr id="730"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EIP AGRI yra strategijos „Europa 2020“ dalis, skirta ES inovacijų procesui paspartinti, konkurencingam ir tvariam žemės ūkio ir miškininkystės sektoriui, kuriame „pasiekiama daugiau naudojant mažiau“, plėtoti. EIP AGRI padeda užtikrinti nuolatinį maisto, pašarų ir biologinių medžiagų tiekimą, tausojant pagrindinius gamtos išteklius, nuo kurių priklauso ūkininkavimas. EIP AGRI ES lygmeniu ir įgyvendinant kaimo plėtros programas suburia inovacijų srities subjektus (ūkininkus, konsultantus, tyrėjus, įmones, NVO ir kt.) į veiklos grupes. Tokios inovacijos gali būti technologinės ir taip pat netechnologinės, organizacinės arba socialinės. Inovacijos gali būti grindžiamos ne tik nauja, bet ir tradicine praktika, taikoma naujomis geografinėmis arba aplinkosauginėmis aplinkybėmis. EIP veiklos grupės sudaromos konkrečiam projektui įgyvendinti ir sprendžia tam tikrą (praktinę) problemą arba tiria galimybę, kuri gali padėti diegti inovacijas ir padėti pasiekti programos tikslus. Kiekvieną VG sudaro tie pagrindiniai subjektai (pvz., ūkininkai, konsultantai, tyrėjai, įmonės, NVO), kurie turi geriausias galimybes pasiekti projekto tikslus, pasidalyti įgyvendinimo patirtimi ir plačiai paskleisti jo rezultatus. Taikant VG metodą geriausiai interaktyviu būdu panaudojamos įvairių rūšių žinios (praktinės, mokslinės, techninės, organizacinės ir kt.). Praktinis metodas, taikomas siekiant paremti šią veiklą, yra žinomas kaip „tarpininkavimas inovacijų srityje“. Reglamentu suteikiamos 4 tarpininkavimo inovacijų</w:t>
                      </w:r>
                      <w:r>
                        <w:rPr>
                          <w:sz w:val="18"/>
                          <w:szCs w:val="18"/>
                          <w:vertAlign w:val="superscript"/>
                        </w:rPr>
                        <w:t>23</w:t>
                      </w:r>
                      <w:r>
                        <w:rPr>
                          <w:sz w:val="18"/>
                          <w:szCs w:val="18"/>
                        </w:rPr>
                        <w:t xml:space="preserve"> srityje finansavimo galimybės. Tarpininkavimas inovacijų srityje gali būti labai svarbus ieškant novatoriškų idėjų, palengvinant veiklos grupių steigimą: visų pirma atliekant tarpininko vaidmenį, suburiant inovacijų srities subjektus (ūkininkus, konsultantus, tyrėjus, įmones, NVO ir kt.) interaktyvių inovacijų projektų įgyvendinimo veiklai. „Tarpininko inovacijų srityje“ tikslas – atrasti  principu „iš apačios į viršų“ grindžiamas iniciatyvas, padėti išplėtoti novatoriškas idėjas ir teikti paramą ieškant partnerių ir finansavimo. Pagrindinė tarpininko užduotis yra padėti parengti rimtą inovacijų projekto pasiūlymą. </w:t>
                      </w:r>
                    </w:p>
                  </w:txbxContent>
                </v:textbox>
                <w10:wrap type="square" anchorx="page"/>
              </v:shape>
            </w:pict>
          </mc:Fallback>
        </mc:AlternateContent>
      </w:r>
      <w:r w:rsidR="00D461AB">
        <w:rPr>
          <w:rStyle w:val="FootnoteReference"/>
          <w:rFonts w:eastAsia="Times New Roman" w:cs="Times New Roman"/>
          <w:color w:val="FFFFFF" w:themeColor="background1"/>
          <w:szCs w:val="20"/>
          <w:shd w:val="clear" w:color="auto" w:fill="FFFFFF"/>
          <w:lang w:eastAsia="de-DE"/>
        </w:rPr>
        <w:footnoteReference w:id="23"/>
      </w:r>
    </w:p>
    <w:p w:rsidR="00A45935" w:rsidRPr="00E05D08" w:rsidRDefault="00A45935" w:rsidP="00EA0974">
      <w:pPr>
        <w:spacing w:before="240" w:after="120" w:line="280" w:lineRule="atLeast"/>
        <w:mirrorIndents/>
        <w:rPr>
          <w:rFonts w:eastAsia="Times New Roman" w:cs="Times New Roman"/>
          <w:szCs w:val="20"/>
          <w:shd w:val="clear" w:color="auto" w:fill="FFFFFF"/>
        </w:rPr>
      </w:pPr>
      <w:r>
        <w:rPr>
          <w:szCs w:val="20"/>
          <w:shd w:val="clear" w:color="auto" w:fill="FFFFFF"/>
        </w:rPr>
        <w:t>Kitos priemonės</w:t>
      </w:r>
      <w:r>
        <w:rPr>
          <w:rFonts w:eastAsia="Times New Roman" w:cs="Times New Roman"/>
          <w:szCs w:val="20"/>
          <w:shd w:val="clear" w:color="auto" w:fill="FFFFFF"/>
          <w:vertAlign w:val="superscript"/>
          <w:lang w:eastAsia="de-DE"/>
        </w:rPr>
        <w:footnoteReference w:id="24"/>
      </w:r>
      <w:r>
        <w:rPr>
          <w:szCs w:val="20"/>
          <w:shd w:val="clear" w:color="auto" w:fill="FFFFFF"/>
        </w:rPr>
        <w:t>, kuriose konkrečiai minimos inovacijos, pavyzdžiui, yra šios:</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 xml:space="preserve">gamintojų grupių ir organizacijų, kurių veikla, </w:t>
      </w:r>
      <w:r>
        <w:rPr>
          <w:i/>
          <w:szCs w:val="20"/>
          <w:shd w:val="clear" w:color="auto" w:fill="FFFFFF"/>
        </w:rPr>
        <w:t>inter alia</w:t>
      </w:r>
      <w:r>
        <w:rPr>
          <w:szCs w:val="20"/>
          <w:shd w:val="clear" w:color="auto" w:fill="FFFFFF"/>
        </w:rPr>
        <w:t>, apima „inovacinių procesų organizavimą bei palengvinimą“, įsisteigimas</w:t>
      </w:r>
      <w:r>
        <w:rPr>
          <w:rFonts w:eastAsia="Times New Roman" w:cs="Times New Roman"/>
          <w:szCs w:val="20"/>
          <w:shd w:val="clear" w:color="auto" w:fill="FFFFFF"/>
          <w:vertAlign w:val="superscript"/>
          <w:lang w:eastAsia="de-DE"/>
        </w:rPr>
        <w:footnoteReference w:id="25"/>
      </w:r>
      <w:r>
        <w:rPr>
          <w:szCs w:val="20"/>
          <w:shd w:val="clear" w:color="auto" w:fill="FFFFFF"/>
        </w:rPr>
        <w:t xml:space="preserve"> (9-oji priemonė);</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inovacijos yra vienas iš septynių LEADER / BIVP principų</w:t>
      </w:r>
      <w:r>
        <w:rPr>
          <w:rFonts w:eastAsia="Times New Roman" w:cs="Times New Roman"/>
          <w:szCs w:val="20"/>
          <w:shd w:val="clear" w:color="auto" w:fill="FFFFFF"/>
          <w:vertAlign w:val="superscript"/>
          <w:lang w:eastAsia="de-DE"/>
        </w:rPr>
        <w:footnoteReference w:id="26"/>
      </w:r>
      <w:r>
        <w:rPr>
          <w:szCs w:val="20"/>
          <w:shd w:val="clear" w:color="auto" w:fill="FFFFFF"/>
        </w:rPr>
        <w:t xml:space="preserve"> (19-oji priemonė).</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 xml:space="preserve">Kiekviena KPP priemone / pagalbine priemone iš esmės galima paskatinti inovacijas. </w:t>
      </w:r>
      <w:r>
        <w:rPr>
          <w:szCs w:val="20"/>
          <w:shd w:val="clear" w:color="auto" w:fill="FFFFFF"/>
        </w:rPr>
        <w:t xml:space="preserve">Konkretus kaimo plėtros programoje pasirinktas požiūris į inovacijas išreiškiamas inovacijų projektams taikomais tinkamumo ir atrankos kriterijais ir pagal TS numatytų, inovacijoms remti skirtų priemonių deriniu (su žinių perdavimu susijusios priemonės, konsultavimo paslaugos, bendradarbiavimas, investicijos, tinklaveika ir kt.). </w:t>
      </w:r>
      <w:r>
        <w:t xml:space="preserve">Vadovaujančiosios institucijos, siekdamos skatinti investicijas, gali taikyti įvairius šių nematerialių (pvz., 1, 2 ir 16-oji priemonės) ir materialių </w:t>
      </w:r>
      <w:r w:rsidR="00A963F4">
        <w:t xml:space="preserve">priemonių </w:t>
      </w:r>
      <w:r w:rsidR="00A963F4">
        <w:rPr>
          <w:szCs w:val="20"/>
          <w:shd w:val="clear" w:color="auto" w:fill="FFFFFF"/>
        </w:rPr>
        <w:t>(parama</w:t>
      </w:r>
      <w:r>
        <w:rPr>
          <w:szCs w:val="20"/>
          <w:shd w:val="clear" w:color="auto" w:fill="FFFFFF"/>
        </w:rPr>
        <w:t xml:space="preserve"> investicijoms, teritoriniam vystymuisi, rinkodarai, aplinkai, gamtai ir kt.) organizavimo ir derinimo metodus.</w:t>
      </w:r>
    </w:p>
    <w:p w:rsidR="00A45935" w:rsidRPr="00E05D08" w:rsidRDefault="00A45935" w:rsidP="000E0FE4">
      <w:pPr>
        <w:spacing w:after="120" w:line="280" w:lineRule="atLeast"/>
        <w:mirrorIndents/>
        <w:rPr>
          <w:rFonts w:eastAsia="Times New Roman" w:cs="Times New Roman"/>
          <w:szCs w:val="20"/>
          <w:shd w:val="clear" w:color="auto" w:fill="FFFFFF"/>
        </w:rPr>
      </w:pPr>
      <w:r>
        <w:rPr>
          <w:b/>
          <w:szCs w:val="20"/>
          <w:shd w:val="clear" w:color="auto" w:fill="FFFFFF"/>
        </w:rPr>
        <w:t>Gali pasireikšti antraeilis inovacijų indėlis į kitas tikslines sritis (TS).</w:t>
      </w:r>
      <w:r>
        <w:rPr>
          <w:szCs w:val="20"/>
          <w:shd w:val="clear" w:color="auto" w:fill="FFFFFF"/>
        </w:rPr>
        <w:t xml:space="preserve"> Pavyzdžiui, pagal 2A TS programuojami bendradarbiavimo veiksmai galėtų padėti sukurti novatorišką metodą biologinei įvairovei praturtinti ir tai būtų antraeilis indėlis į 4A TS. Arba veiklos grupės novatoriškais veiksmais (programuojamais pagal 4C TS) galėtų būti sukurtas naujas metodas, kuris padėtų sumažinti </w:t>
      </w:r>
      <w:r>
        <w:rPr>
          <w:szCs w:val="20"/>
          <w:shd w:val="clear" w:color="auto" w:fill="FFFFFF"/>
        </w:rPr>
        <w:lastRenderedPageBreak/>
        <w:t>dirvožemio erozijos žalą, padarytą dėl pirminės žemės ūkio gamybos. Tačiau dėl to taip pat didėtų konkurencingumas ir pateikimo į rinką galimybės (antraeilis indėlis į 2A TS).</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Tinklaveika kaimo plėtros politikos kontekste yra ypač svarbi skatinant inovacijas:</w:t>
      </w:r>
    </w:p>
    <w:p w:rsidR="00A45935" w:rsidRPr="0081188E" w:rsidRDefault="00A45935" w:rsidP="001744D0">
      <w:pPr>
        <w:pStyle w:val="Hlistbullet"/>
      </w:pPr>
      <w:r>
        <w:rPr>
          <w:b/>
          <w:shd w:val="clear" w:color="auto" w:fill="FFFFFF"/>
        </w:rPr>
        <w:t>EIP tinklas</w:t>
      </w:r>
      <w:r>
        <w:rPr>
          <w:shd w:val="clear" w:color="auto" w:fill="FFFFFF"/>
        </w:rPr>
        <w:t xml:space="preserve"> yra naujas 2014–2020 m. laikotarpio tinklas, specialiai sukurtas EIP AGRI</w:t>
      </w:r>
      <w:r>
        <w:rPr>
          <w:rFonts w:cs="Arial"/>
          <w:vertAlign w:val="superscript"/>
        </w:rPr>
        <w:footnoteReference w:id="27"/>
      </w:r>
      <w:r>
        <w:rPr>
          <w:shd w:val="clear" w:color="auto" w:fill="FFFFFF"/>
        </w:rPr>
        <w:t xml:space="preserve"> – Europos inovacijų partnerystei žemės ūkio našumo ir tvarumo srityje – remti. Pagrindiniai EIP tinklo tikslai – sujungti EIP veiklos grupes, siekiant palengvinti žinių, patirties ir gerosios patirties mainus, taip pat užmegzti ūkininkų ir tyrėjų bendruomenių tarpusavio dialogą. EIP AGRI tinklo veiklą organizuoja Europos Komisija (Žemės ūkio ir kaimo plėtros GD), padedama paslaugų centro (PC). PC komanda palengvina tinklaveiką: pagerina komunikavimą, dalijimąsi žiniomis ir jų mainus per konferencijas, tikslinėse grupėse, per praktinius seminarus, kitus seminarus ir leidiniuose. Tuo pirmiausia siekiama skatinti visų EIP AGRI veikloje  dalyvaujančių subjektų – ūkininkų, tyrėjų, konsultantų, NVO, įmonių, viešųjų įstaigų ir kt. – tarpusavio sąveiką. Tinklaveiką remia interaktyvi EIP interneto platforma. Ji suteikia galimybę visiems su inovacijomis susijusiems suinteresuotiesiems subjektams, visų pirma veiklos grupėms, konsultavimo paslaugų teikėjams, tyrėjams, ūkininkams ir kitiems suinteresuotiesiems subjektams užsiimti tinklaveika keičiantis žiniomis</w:t>
      </w:r>
      <w:r>
        <w:t>.</w:t>
      </w:r>
    </w:p>
    <w:p w:rsidR="00EA0974" w:rsidRDefault="00A45935" w:rsidP="001744D0">
      <w:pPr>
        <w:pStyle w:val="Hlistbullet"/>
        <w:rPr>
          <w:shd w:val="clear" w:color="auto" w:fill="FFFFFF"/>
        </w:rPr>
      </w:pPr>
      <w:r>
        <w:rPr>
          <w:b/>
          <w:shd w:val="clear" w:color="auto" w:fill="FFFFFF"/>
        </w:rPr>
        <w:t xml:space="preserve">Nacionaliniai kaimo tinklai </w:t>
      </w:r>
      <w:r>
        <w:rPr>
          <w:shd w:val="clear" w:color="auto" w:fill="FFFFFF"/>
        </w:rPr>
        <w:t>(NKT) padeda skatinti inovacijas žemės ūkyje, maisto gamyboje, miškininkystėje ir kaimo vietovėse</w:t>
      </w:r>
      <w:r>
        <w:rPr>
          <w:rFonts w:cs="Arial"/>
          <w:vertAlign w:val="superscript"/>
        </w:rPr>
        <w:footnoteReference w:id="28"/>
      </w:r>
      <w:r>
        <w:rPr>
          <w:shd w:val="clear" w:color="auto" w:fill="FFFFFF"/>
        </w:rPr>
        <w:t>. Juos ES lygmeniu remia Europos kaimo plėtros tinklas (EKPT). NKT gali veikti kaip „inovacijų tarpininkai“</w:t>
      </w:r>
      <w:r>
        <w:rPr>
          <w:rFonts w:cs="Arial"/>
          <w:shd w:val="clear" w:color="auto" w:fill="FFFFFF"/>
          <w:vertAlign w:val="superscript"/>
        </w:rPr>
        <w:footnoteReference w:id="29"/>
      </w:r>
      <w:r>
        <w:rPr>
          <w:shd w:val="clear" w:color="auto" w:fill="FFFFFF"/>
        </w:rPr>
        <w:t>, o tam reikia turėti glaudų</w:t>
      </w:r>
      <w:r>
        <w:t xml:space="preserve"> ryšį su žemės ūkio sritimi ir labai gerai ją pažinti, tai pat reikalingi labai geri bendravimo įgūdžiai. </w:t>
      </w:r>
      <w:r>
        <w:rPr>
          <w:shd w:val="clear" w:color="auto" w:fill="FFFFFF"/>
        </w:rPr>
        <w:t>NKT sąveikauja su EIP tinklu, kad gautų įkvėpimą ir galėtų keistis informacija bei metodais ir taip skatintų inovacijas. Be to, šie tinklai ne tik kaupia gerąją patirtį ir pavyzdžius, palengvina teminius kaimo plėtros srities suinteresuotųjų subjektų tarpusavio mainus, bet taip pat atlieka specialią užduotį – užtikrina tinklaveiką tarp inovacijų rėmimo paslaugų ir konsultavimo paslaugų teikėjų</w:t>
      </w:r>
      <w:r>
        <w:rPr>
          <w:rFonts w:eastAsia="Calibri" w:cs="Arial"/>
          <w:shd w:val="clear" w:color="auto" w:fill="FFFFFF"/>
          <w:vertAlign w:val="superscript"/>
        </w:rPr>
        <w:footnoteReference w:id="30"/>
      </w:r>
      <w:r>
        <w:rPr>
          <w:shd w:val="clear" w:color="auto" w:fill="FFFFFF"/>
        </w:rPr>
        <w:t>. Tai padeda surinkti novatoriškas idėjas iš specialistų.</w:t>
      </w:r>
    </w:p>
    <w:p w:rsidR="00A45935" w:rsidRPr="00EA0974" w:rsidRDefault="00A45935" w:rsidP="009B603C">
      <w:pPr>
        <w:pStyle w:val="HHeading3"/>
        <w:spacing w:line="280" w:lineRule="exact"/>
        <w:rPr>
          <w:shd w:val="clear" w:color="auto" w:fill="FFFFFF"/>
        </w:rPr>
      </w:pPr>
      <w:bookmarkStart w:id="23" w:name="_Toc508976521"/>
      <w:r>
        <w:t>Bendrieji inovacijų vertinimo elementai</w:t>
      </w:r>
      <w:bookmarkEnd w:id="23"/>
      <w:r>
        <w:t xml:space="preserve"> </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KPP pateikiamas vertinimo planas</w:t>
      </w:r>
      <w:r>
        <w:rPr>
          <w:rFonts w:eastAsia="Times New Roman" w:cs="Times New Roman"/>
          <w:szCs w:val="20"/>
          <w:shd w:val="clear" w:color="auto" w:fill="FFFFFF"/>
          <w:vertAlign w:val="superscript"/>
          <w:lang w:eastAsia="de-DE"/>
        </w:rPr>
        <w:footnoteReference w:id="31"/>
      </w:r>
      <w:r>
        <w:rPr>
          <w:b/>
          <w:szCs w:val="20"/>
          <w:shd w:val="clear" w:color="auto" w:fill="FFFFFF"/>
        </w:rPr>
        <w:t xml:space="preserve"> (VP) yra pradinis vertinimo taškas. </w:t>
      </w:r>
      <w:r>
        <w:rPr>
          <w:szCs w:val="20"/>
          <w:shd w:val="clear" w:color="auto" w:fill="FFFFFF"/>
        </w:rPr>
        <w:t>Vertinimo plane inovacijų vertinimas nurodomas tarp vertinimo temų ir veiklos, susijusių su kompleksiniais klausimais. Ataskaitos apie šią susijusią veiklą ir jos rezultatus įtraukiamos į metines įgyvendinimo ataskaitas</w:t>
      </w:r>
      <w:r>
        <w:rPr>
          <w:rFonts w:eastAsia="Times New Roman" w:cs="Times New Roman"/>
          <w:szCs w:val="20"/>
          <w:shd w:val="clear" w:color="auto" w:fill="FFFFFF"/>
          <w:vertAlign w:val="superscript"/>
          <w:lang w:eastAsia="de-DE"/>
        </w:rPr>
        <w:footnoteReference w:id="32"/>
      </w:r>
      <w:r>
        <w:rPr>
          <w:szCs w:val="20"/>
          <w:shd w:val="clear" w:color="auto" w:fill="FFFFFF"/>
        </w:rPr>
        <w:t xml:space="preserve">. </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 xml:space="preserve">Bendra stebėsenos ir vertinimo sistema (BSVS) </w:t>
      </w:r>
      <w:r>
        <w:rPr>
          <w:szCs w:val="20"/>
          <w:shd w:val="clear" w:color="auto" w:fill="FFFFFF"/>
        </w:rPr>
        <w:t>apima inovacijų vertinimo elementus, būtent bendruosius vertinimo klausimus (BVK), vertinimo kriterijus ir rodiklius:</w:t>
      </w:r>
    </w:p>
    <w:p w:rsidR="00A45935" w:rsidRPr="002E1723" w:rsidRDefault="00A45935" w:rsidP="00624393">
      <w:pPr>
        <w:pStyle w:val="HStandard"/>
      </w:pPr>
      <w:r>
        <w:rPr>
          <w:b/>
        </w:rPr>
        <w:t>tikslinės srities lygmeniu</w:t>
      </w:r>
      <w:r>
        <w:t xml:space="preserve"> yra du su inovacijomis susiję BVK, kurie taip pat yra susiję su 1A ir 1B TS tikslais. Šie klausimai apima intervencinių veiksmų indėlį, atsižvelgiant į numatomus rodiklius ir rezultatus:</w:t>
      </w:r>
    </w:p>
    <w:p w:rsidR="00A45935" w:rsidRPr="00EA0974" w:rsidRDefault="00A45935" w:rsidP="00624393">
      <w:pPr>
        <w:pStyle w:val="Hlistbullet"/>
      </w:pPr>
      <w:r>
        <w:t xml:space="preserve">1-asis BVK. „Kiek pagal KPP vykdant intervencijas paremtos inovacijos, bendradarbiavimas ir žinių bazės plėtojimas kaimo vietovėse?“ </w:t>
      </w:r>
    </w:p>
    <w:p w:rsidR="00A45935" w:rsidRPr="002E1723" w:rsidRDefault="00A45935" w:rsidP="00624393">
      <w:pPr>
        <w:pStyle w:val="Hlistbullet"/>
      </w:pPr>
      <w:r>
        <w:t xml:space="preserve">2-asis BVK. „Kiek pagal KPP vykdant intervencijas paremtas žemės ūkio, maisto produktų gamybos bei miškininkystės ir mokslinių tyrimų bei inovacijų ryšių stiprinimas, be kita ko, siekiant geresnio aplinkosaugos valdymo ir aplinkosauginio veiksmingumo?“ </w:t>
      </w:r>
    </w:p>
    <w:p w:rsidR="00A45935" w:rsidRPr="002E1723" w:rsidRDefault="00A45935" w:rsidP="00624393">
      <w:pPr>
        <w:pStyle w:val="HStandard"/>
      </w:pPr>
      <w:r>
        <w:lastRenderedPageBreak/>
        <w:t xml:space="preserve">21-asis BVK. „Kiek nacionalinis kaimo tinklas padėjo įgyvendinti Reglamento (ES) Nr. 1305/2013 54 straipsnio 2 dalyje nustatytus tikslus?“ Šis klausimas susijęs su </w:t>
      </w:r>
      <w:r>
        <w:rPr>
          <w:b/>
        </w:rPr>
        <w:t>kitais KPP aspektais,</w:t>
      </w:r>
      <w:r>
        <w:t xml:space="preserve"> visų pirma su NKT pasiektų numatomų rodiklių ir rezultatų įvertinimu. Šis BVK yra svarbus inovacijų požiūriu, kadangi jis susijęs su 54 straipsnio 2 dalies d punkto tikslu „skatinti inovacijas žemės ūkyje, maisto gamyboje, miškininkystėje ir kaimo vietovėse“.</w:t>
      </w:r>
    </w:p>
    <w:p w:rsidR="00A45935" w:rsidRPr="001A2A93" w:rsidRDefault="00A45935" w:rsidP="00624393">
      <w:pPr>
        <w:pStyle w:val="HStandard"/>
      </w:pPr>
      <w:r>
        <w:rPr>
          <w:b/>
        </w:rPr>
        <w:t>ES tikslų lygmeniu</w:t>
      </w:r>
      <w:r>
        <w:t xml:space="preserve"> yra du su inovacijomis susiję BVK, skirti programų indėliui įvertinti atsižvelgiant į numatomą poveikį. </w:t>
      </w:r>
    </w:p>
    <w:p w:rsidR="00A45935" w:rsidRPr="001A2A93" w:rsidRDefault="00A45935" w:rsidP="00624393">
      <w:pPr>
        <w:pStyle w:val="Hlistbullet"/>
      </w:pPr>
      <w:r>
        <w:t xml:space="preserve">23-asis BVK susijęs su ES pagrindinio tikslo pasiekimu: „Kiek KPP padėjo siekti pagrindinio strategijos „Europa 2020“ tikslo – investuoti 3 proc. bendrojo ES vidaus produkto (BVP) į MTTP bei inovacijas?“ </w:t>
      </w:r>
    </w:p>
    <w:p w:rsidR="00A45935" w:rsidRPr="001A2A93" w:rsidRDefault="00A45935" w:rsidP="00624393">
      <w:pPr>
        <w:pStyle w:val="Hlistbullet"/>
      </w:pPr>
      <w:r>
        <w:t xml:space="preserve">30-uoju BVK įvertinamos inovacijos kaip kompleksinis tikslas: „Kiek KPP padėjo skatinti inovacijas?“ </w:t>
      </w:r>
    </w:p>
    <w:p w:rsidR="00A45935" w:rsidRPr="00E05D08" w:rsidRDefault="00A45935" w:rsidP="00E05D08">
      <w:pPr>
        <w:spacing w:after="120" w:line="280" w:lineRule="atLeast"/>
        <w:mirrorIndents/>
        <w:rPr>
          <w:rFonts w:eastAsia="Times New Roman" w:cs="Times New Roman"/>
          <w:szCs w:val="20"/>
          <w:shd w:val="clear" w:color="auto" w:fill="FFFFFF"/>
        </w:rPr>
      </w:pPr>
      <w:r>
        <w:rPr>
          <w:szCs w:val="20"/>
          <w:shd w:val="clear" w:color="auto" w:fill="FFFFFF"/>
        </w:rPr>
        <w:t xml:space="preserve">Toliau pateikiamoje diagramoje parodyta, kaip bendrieji vertinimo elementai (BVK, vertinimo kriterijai ir rodikliai) yra įvairiais lygmenimis susiję su politikos sistema. Yra septyni </w:t>
      </w:r>
      <w:r>
        <w:rPr>
          <w:b/>
          <w:szCs w:val="20"/>
          <w:shd w:val="clear" w:color="auto" w:fill="FFFFFF"/>
        </w:rPr>
        <w:t>bendrieji rodikliai</w:t>
      </w:r>
      <w:r>
        <w:rPr>
          <w:szCs w:val="20"/>
          <w:shd w:val="clear" w:color="auto" w:fill="FFFFFF"/>
        </w:rPr>
        <w:t>, susiję su bendraisiais inovacijų vertinimo klausimais: 5 produkto ir 2 tiksliniai rodikliai</w:t>
      </w:r>
      <w:r>
        <w:rPr>
          <w:rFonts w:eastAsia="Times New Roman" w:cs="Times New Roman"/>
          <w:szCs w:val="20"/>
          <w:shd w:val="clear" w:color="auto" w:fill="FFFFFF"/>
          <w:vertAlign w:val="superscript"/>
          <w:lang w:eastAsia="de-DE"/>
        </w:rPr>
        <w:footnoteReference w:id="33"/>
      </w:r>
      <w:r>
        <w:rPr>
          <w:szCs w:val="20"/>
          <w:shd w:val="clear" w:color="auto" w:fill="FFFFFF"/>
        </w:rPr>
        <w:t>.</w:t>
      </w:r>
    </w:p>
    <w:p w:rsidR="00A45935" w:rsidRPr="00151D94" w:rsidRDefault="00EA0974" w:rsidP="0001540A">
      <w:pPr>
        <w:pStyle w:val="HHeadingfigures"/>
        <w:tabs>
          <w:tab w:val="clear" w:pos="964"/>
        </w:tabs>
      </w:pPr>
      <w:bookmarkStart w:id="24" w:name="_Toc508984034"/>
      <w:r>
        <w:t>Bendrieji inovacijų vertinimo elementai</w:t>
      </w:r>
      <w:bookmarkEnd w:id="24"/>
      <w:r>
        <w:t xml:space="preserve"> </w:t>
      </w:r>
    </w:p>
    <w:p w:rsidR="00A45935" w:rsidRPr="00E05D08" w:rsidRDefault="0085356C" w:rsidP="00E05D08">
      <w:pPr>
        <w:spacing w:before="60" w:after="140" w:line="220" w:lineRule="atLeast"/>
        <w:jc w:val="center"/>
        <w:rPr>
          <w:rFonts w:eastAsia="Times New Roman" w:cs="Arial"/>
          <w:szCs w:val="20"/>
          <w:shd w:val="clear" w:color="auto" w:fill="FFFFFF"/>
          <w:lang w:eastAsia="de-DE"/>
        </w:rPr>
      </w:pPr>
      <w:r w:rsidRPr="0085356C">
        <w:rPr>
          <w:noProof/>
          <w:lang w:val="en-GB" w:eastAsia="en-GB"/>
        </w:rPr>
        <w:drawing>
          <wp:inline distT="0" distB="0" distL="0" distR="0" wp14:anchorId="4D3E957A" wp14:editId="74F9482D">
            <wp:extent cx="5731510" cy="3353232"/>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3353232"/>
                    </a:xfrm>
                    <a:prstGeom prst="rect">
                      <a:avLst/>
                    </a:prstGeom>
                  </pic:spPr>
                </pic:pic>
              </a:graphicData>
            </a:graphic>
          </wp:inline>
        </w:drawing>
      </w:r>
    </w:p>
    <w:p w:rsidR="00A45935"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Šaltinis: Europos kaimo plėtros vertinimo pagalbos tarnyba, 2017 m.</w:t>
      </w:r>
    </w:p>
    <w:p w:rsidR="00690E70" w:rsidRDefault="00690E70">
      <w:pPr>
        <w:jc w:val="left"/>
        <w:rPr>
          <w:rFonts w:eastAsia="Times New Roman" w:cs="Times New Roman"/>
          <w:b/>
          <w:szCs w:val="20"/>
        </w:rPr>
      </w:pPr>
      <w:bookmarkStart w:id="25" w:name="_Toc493151897"/>
      <w:bookmarkStart w:id="26" w:name="_Toc501382124"/>
      <w:r>
        <w:br w:type="page"/>
      </w:r>
    </w:p>
    <w:p w:rsidR="00A45935" w:rsidRPr="003737FE" w:rsidRDefault="00A45935" w:rsidP="00230C31">
      <w:pPr>
        <w:pStyle w:val="HHeading2"/>
      </w:pPr>
      <w:bookmarkStart w:id="27" w:name="_Toc508976522"/>
      <w:r>
        <w:lastRenderedPageBreak/>
        <w:t>Inovacijų vertinimo iššūkiai</w:t>
      </w:r>
      <w:bookmarkEnd w:id="25"/>
      <w:bookmarkEnd w:id="26"/>
      <w:bookmarkEnd w:id="27"/>
    </w:p>
    <w:p w:rsidR="00A45935" w:rsidRPr="00E05D08" w:rsidRDefault="00A45935" w:rsidP="00E05D08">
      <w:pPr>
        <w:spacing w:after="120" w:line="280" w:lineRule="atLeast"/>
        <w:mirrorIndents/>
        <w:rPr>
          <w:rFonts w:eastAsia="Times New Roman" w:cs="Times New Roman"/>
          <w:szCs w:val="20"/>
        </w:rPr>
      </w:pPr>
      <w:bookmarkStart w:id="28" w:name="_Toc476064466"/>
      <w:bookmarkStart w:id="29" w:name="_Toc476064526"/>
      <w:bookmarkStart w:id="30" w:name="_Toc476064467"/>
      <w:bookmarkStart w:id="31" w:name="_Toc476064527"/>
      <w:bookmarkStart w:id="32" w:name="_Toc476064468"/>
      <w:bookmarkStart w:id="33" w:name="_Toc476064528"/>
      <w:bookmarkStart w:id="34" w:name="_Toc476064469"/>
      <w:bookmarkStart w:id="35" w:name="_Toc476064529"/>
      <w:bookmarkStart w:id="36" w:name="_Toc476064470"/>
      <w:bookmarkStart w:id="37" w:name="_Toc476064530"/>
      <w:bookmarkStart w:id="38" w:name="_Toc476064471"/>
      <w:bookmarkStart w:id="39" w:name="_Toc476064531"/>
      <w:bookmarkStart w:id="40" w:name="_Toc476064472"/>
      <w:bookmarkStart w:id="41" w:name="_Toc476064532"/>
      <w:bookmarkStart w:id="42" w:name="_Toc476064473"/>
      <w:bookmarkStart w:id="43" w:name="_Toc476064533"/>
      <w:bookmarkStart w:id="44" w:name="_Toc476064474"/>
      <w:bookmarkStart w:id="45" w:name="_Toc476064534"/>
      <w:bookmarkStart w:id="46" w:name="_Toc476064475"/>
      <w:bookmarkStart w:id="47" w:name="_Toc476064535"/>
      <w:bookmarkStart w:id="48" w:name="_Toc476064476"/>
      <w:bookmarkStart w:id="49" w:name="_Toc476064536"/>
      <w:bookmarkStart w:id="50" w:name="_Toc476064477"/>
      <w:bookmarkStart w:id="51" w:name="_Toc476064537"/>
      <w:bookmarkStart w:id="52" w:name="_Toc476064478"/>
      <w:bookmarkStart w:id="53" w:name="_Toc476064538"/>
      <w:bookmarkStart w:id="54" w:name="_Toc476064479"/>
      <w:bookmarkStart w:id="55" w:name="_Toc476064539"/>
      <w:bookmarkStart w:id="56" w:name="_Toc476064481"/>
      <w:bookmarkStart w:id="57" w:name="_Toc476064541"/>
      <w:bookmarkStart w:id="58" w:name="_Toc476064482"/>
      <w:bookmarkStart w:id="59" w:name="_Toc476064542"/>
      <w:bookmarkStart w:id="60" w:name="_Toc476064483"/>
      <w:bookmarkStart w:id="61" w:name="_Toc476064543"/>
      <w:bookmarkStart w:id="62" w:name="_Toc476064484"/>
      <w:bookmarkStart w:id="63" w:name="_Toc476064544"/>
      <w:bookmarkStart w:id="64" w:name="_Toc476064485"/>
      <w:bookmarkStart w:id="65" w:name="_Toc476064545"/>
      <w:bookmarkStart w:id="66" w:name="_Toc476064486"/>
      <w:bookmarkStart w:id="67" w:name="_Toc476064546"/>
      <w:bookmarkStart w:id="68" w:name="_Toc476064487"/>
      <w:bookmarkStart w:id="69" w:name="_Toc476064547"/>
      <w:bookmarkStart w:id="70" w:name="_Toc476064488"/>
      <w:bookmarkStart w:id="71" w:name="_Toc476064548"/>
      <w:bookmarkStart w:id="72" w:name="_Toc476064489"/>
      <w:bookmarkStart w:id="73" w:name="_Toc476064549"/>
      <w:bookmarkStart w:id="74" w:name="_Toc476064490"/>
      <w:bookmarkStart w:id="75" w:name="_Toc476064550"/>
      <w:bookmarkStart w:id="76" w:name="_Toc476064491"/>
      <w:bookmarkStart w:id="77" w:name="_Toc476064551"/>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t>Yra keletas iššūkių, į kuriuos reikėtų atsižvelgti vertinant inovacijas KPP.</w:t>
      </w:r>
    </w:p>
    <w:p w:rsidR="00A45935" w:rsidRPr="00E05D08" w:rsidRDefault="00A45935" w:rsidP="003373B8">
      <w:pPr>
        <w:pStyle w:val="HHeading4"/>
        <w:spacing w:after="200"/>
        <w:rPr>
          <w:rFonts w:eastAsia="Calibri"/>
        </w:rPr>
      </w:pPr>
      <w:r>
        <w:t xml:space="preserve">Konceptualūs iššūkiai </w:t>
      </w:r>
    </w:p>
    <w:p w:rsidR="00A45935" w:rsidRPr="00920CB9" w:rsidRDefault="00A45935" w:rsidP="00576A73">
      <w:pPr>
        <w:pStyle w:val="Hlistbullet"/>
      </w:pPr>
      <w:r>
        <w:rPr>
          <w:b/>
        </w:rPr>
        <w:t>Būtinybė aiškiai nustatyti vertinimo objektą:</w:t>
      </w:r>
      <w:r>
        <w:t xml:space="preserve"> kam skiriamas pagrindinis dėmesys vertinant inovacijas? </w:t>
      </w:r>
    </w:p>
    <w:p w:rsidR="00A45935" w:rsidRPr="00920CB9" w:rsidRDefault="00A45935" w:rsidP="00576A73">
      <w:pPr>
        <w:pStyle w:val="Hlistbullet"/>
      </w:pPr>
      <w:r>
        <w:rPr>
          <w:b/>
        </w:rPr>
        <w:t>Žinių ir inovacijų sistemos nustatymas</w:t>
      </w:r>
      <w:r>
        <w:t>: kokie yra vertinamos kaimo vietovės konkrečios žinių ir inovacijų sistemos komponentai, jų tarpusavio ryšiai ir ribos? Koks yra KPP vaidmuo šioje sistemoje?</w:t>
      </w:r>
      <w:r>
        <w:rPr>
          <w:rFonts w:cs="Arial"/>
          <w:vertAlign w:val="superscript"/>
        </w:rPr>
        <w:footnoteReference w:id="34"/>
      </w:r>
    </w:p>
    <w:p w:rsidR="00A45935" w:rsidRPr="00920CB9" w:rsidRDefault="00A45935" w:rsidP="00576A73">
      <w:pPr>
        <w:pStyle w:val="Hlistbullet"/>
      </w:pPr>
      <w:r>
        <w:rPr>
          <w:b/>
        </w:rPr>
        <w:t>KPP taikomo požiūrio į inovacijas peržiūra</w:t>
      </w:r>
      <w:r>
        <w:t>: koks yra konkrečios KPP savitas inovacijų skatinimo potencialas? Kokie yra tikslai? Ar atrankos kriterijai yra specialiai parengti siekiant atsižvelgti į inovacijas?</w:t>
      </w:r>
    </w:p>
    <w:p w:rsidR="00A45935" w:rsidRPr="00B76BA4" w:rsidRDefault="00A45935" w:rsidP="003373B8">
      <w:pPr>
        <w:pStyle w:val="HHeading4"/>
        <w:spacing w:after="200"/>
        <w:rPr>
          <w:rFonts w:eastAsia="Calibri"/>
          <w:shd w:val="clear" w:color="auto" w:fill="FFFFFF"/>
        </w:rPr>
      </w:pPr>
      <w:r>
        <w:rPr>
          <w:shd w:val="clear" w:color="auto" w:fill="FFFFFF"/>
        </w:rPr>
        <w:t xml:space="preserve">Su bendra stebėsenos ir vertinimo sistema susiję iššūkiai </w:t>
      </w:r>
    </w:p>
    <w:p w:rsidR="00A45935" w:rsidRPr="000324A5" w:rsidRDefault="00A45935" w:rsidP="00576A73">
      <w:pPr>
        <w:pStyle w:val="Hlistbullet"/>
      </w:pPr>
      <w:r>
        <w:rPr>
          <w:b/>
        </w:rPr>
        <w:t xml:space="preserve">Papildomų ir konkrečios programos vertinimo elementų parengimas: </w:t>
      </w:r>
      <w:r>
        <w:t xml:space="preserve">kaip parengti su inovacijų vertinimu susijusius papildomus ir konkrečios programos vertinimo elementus? </w:t>
      </w:r>
    </w:p>
    <w:p w:rsidR="00A45935" w:rsidRPr="000324A5" w:rsidRDefault="00A45935" w:rsidP="00576A73">
      <w:pPr>
        <w:pStyle w:val="Hlistbullet"/>
        <w:rPr>
          <w:b/>
        </w:rPr>
      </w:pPr>
      <w:r>
        <w:rPr>
          <w:b/>
        </w:rPr>
        <w:t xml:space="preserve">Rezultatų pranešimas: </w:t>
      </w:r>
      <w:r>
        <w:t xml:space="preserve">kaip suderinti vertinimo procedūras su metinės įgyvendinimo ataskaitos pateikimo 2019 metais ir </w:t>
      </w:r>
      <w:r>
        <w:rPr>
          <w:i/>
        </w:rPr>
        <w:t>ex post</w:t>
      </w:r>
      <w:r>
        <w:t xml:space="preserve"> vertinimo ataskaitos pateikimo 2024 metais grafiku?</w:t>
      </w:r>
    </w:p>
    <w:p w:rsidR="00A45935" w:rsidRPr="00E05D08" w:rsidRDefault="00A45935" w:rsidP="003373B8">
      <w:pPr>
        <w:pStyle w:val="HHeading4"/>
        <w:spacing w:after="200"/>
        <w:rPr>
          <w:rFonts w:eastAsia="Calibri"/>
          <w:shd w:val="clear" w:color="auto" w:fill="FFFFFF"/>
        </w:rPr>
      </w:pPr>
      <w:r>
        <w:rPr>
          <w:shd w:val="clear" w:color="auto" w:fill="FFFFFF"/>
        </w:rPr>
        <w:t xml:space="preserve">Su metodika susiję iššūkiai </w:t>
      </w:r>
    </w:p>
    <w:p w:rsidR="00A45935" w:rsidRPr="00F8743F" w:rsidRDefault="00A45935" w:rsidP="00576A73">
      <w:pPr>
        <w:pStyle w:val="Hlistbullet"/>
        <w:rPr>
          <w:shd w:val="clear" w:color="auto" w:fill="FFFFFF"/>
        </w:rPr>
      </w:pPr>
      <w:r>
        <w:rPr>
          <w:b/>
        </w:rPr>
        <w:t>Inovacijų procesų</w:t>
      </w:r>
      <w:r>
        <w:rPr>
          <w:b/>
          <w:shd w:val="clear" w:color="auto" w:fill="FFFFFF"/>
        </w:rPr>
        <w:t xml:space="preserve"> susiejimas su KPP intervenciniais veiksmais</w:t>
      </w:r>
      <w:r>
        <w:rPr>
          <w:shd w:val="clear" w:color="auto" w:fill="FFFFFF"/>
        </w:rPr>
        <w:t xml:space="preserve">: kaip įvertinti mastą, kuriuo kaimo vietovėse inicijuoti inovacijų procesai gali būti tiesiogiai ar netiesiogiai susieti su KPP intervenciniais veiksmais? </w:t>
      </w:r>
    </w:p>
    <w:p w:rsidR="00A45935" w:rsidRPr="00F8743F" w:rsidRDefault="00A45935" w:rsidP="00576A73">
      <w:pPr>
        <w:pStyle w:val="Hlistbullet"/>
        <w:rPr>
          <w:shd w:val="clear" w:color="auto" w:fill="FFFFFF"/>
        </w:rPr>
      </w:pPr>
      <w:r>
        <w:rPr>
          <w:b/>
        </w:rPr>
        <w:t>Inovacijų poveikio susiejimas su KPP rezultatais ir poveikiu</w:t>
      </w:r>
      <w:r>
        <w:rPr>
          <w:shd w:val="clear" w:color="auto" w:fill="FFFFFF"/>
        </w:rPr>
        <w:t xml:space="preserve">. </w:t>
      </w:r>
    </w:p>
    <w:p w:rsidR="00A45935" w:rsidRPr="00F8743F" w:rsidRDefault="00A45935" w:rsidP="00576A73">
      <w:pPr>
        <w:pStyle w:val="Hlistbullet"/>
        <w:rPr>
          <w:shd w:val="clear" w:color="auto" w:fill="FFFFFF"/>
        </w:rPr>
      </w:pPr>
      <w:r>
        <w:rPr>
          <w:b/>
          <w:shd w:val="clear" w:color="auto" w:fill="FFFFFF"/>
          <w14:textFill>
            <w14:solidFill>
              <w14:srgbClr w14:val="373737">
                <w14:lumMod w14:val="75000"/>
                <w14:lumMod w14:val="75000"/>
                <w14:lumMod w14:val="75000"/>
              </w14:srgbClr>
            </w14:solidFill>
          </w14:textFill>
        </w:rPr>
        <w:t>Tinkamų vertinimo metodų kūrimas:</w:t>
      </w:r>
      <w:r>
        <w:rPr>
          <w:shd w:val="clear" w:color="auto" w:fill="FFFFFF"/>
          <w14:textFill>
            <w14:solidFill>
              <w14:srgbClr w14:val="373737">
                <w14:lumMod w14:val="75000"/>
                <w14:lumMod w14:val="75000"/>
                <w14:lumMod w14:val="75000"/>
              </w14:srgbClr>
            </w14:solidFill>
          </w14:textFill>
        </w:rPr>
        <w:t xml:space="preserve"> kaip taikyti trianguliaciją ir derinti kiekybinius ir kokybinius metodus siekiant paaiškinti vertinimo rezultatus ir pranešti apie išvadas ir rekomendacijas? </w:t>
      </w:r>
    </w:p>
    <w:p w:rsidR="00A45935" w:rsidRPr="00E05D08" w:rsidRDefault="00A45935" w:rsidP="003373B8">
      <w:pPr>
        <w:pStyle w:val="HHeading4"/>
        <w:spacing w:after="200"/>
        <w:rPr>
          <w:rFonts w:eastAsia="Calibri"/>
          <w:shd w:val="clear" w:color="auto" w:fill="FFFFFF"/>
        </w:rPr>
      </w:pPr>
      <w:r>
        <w:rPr>
          <w:shd w:val="clear" w:color="auto" w:fill="FFFFFF"/>
        </w:rPr>
        <w:t>Organizaciniai iššūkiai</w:t>
      </w:r>
    </w:p>
    <w:p w:rsidR="00A45935" w:rsidRPr="00D55226" w:rsidRDefault="00A45935" w:rsidP="00576A73">
      <w:pPr>
        <w:pStyle w:val="Hlistbullet"/>
        <w:rPr>
          <w:rFonts w:eastAsia="Calibri"/>
        </w:rPr>
      </w:pPr>
      <w:r>
        <w:rPr>
          <w:b/>
        </w:rPr>
        <w:t>Veiksmingo ir efektyvaus duomenų valdymo užtikrinimas</w:t>
      </w:r>
      <w:r>
        <w:t xml:space="preserve">: kaip valdyti, rinkti ir analizuoti su bendraisiais ir papildomais rodikliais susijusius duomenis, ypač tada, kai už paramos inovacijoms priemonių valdymą yra atsakingos skirtingos institucijos? </w:t>
      </w:r>
    </w:p>
    <w:p w:rsidR="00A45935" w:rsidRPr="00D55226" w:rsidRDefault="00A45935" w:rsidP="00576A73">
      <w:pPr>
        <w:pStyle w:val="Hlistbullet"/>
        <w:rPr>
          <w:rFonts w:eastAsia="Calibri"/>
        </w:rPr>
      </w:pPr>
      <w:r>
        <w:rPr>
          <w:b/>
        </w:rPr>
        <w:t>Susijusių suinteresuotųjų subjektų veiksmų koordinavimas</w:t>
      </w:r>
      <w:r>
        <w:t>: kaip nustatyti bendrą procedūrą ir pasiekti bendrą vadovaujančiųjų institucijų tarpusavio supratimą, taip pat įvairių inovacijų vertinime dalyvaujančių suinteresuotųjų subjektų (pvz., VVG, EIP veiklos grupių, ūkininkų / miškininkų konsultantų, tyrėjų) tarpusavio supratimą?</w:t>
      </w:r>
    </w:p>
    <w:p w:rsidR="00A45935" w:rsidRDefault="00A45935" w:rsidP="00576A73">
      <w:pPr>
        <w:pStyle w:val="Hlistbullet"/>
        <w:rPr>
          <w:rFonts w:eastAsia="Calibri"/>
        </w:rPr>
      </w:pPr>
      <w:r>
        <w:rPr>
          <w:b/>
        </w:rPr>
        <w:t>Vertinimo rezultatų panaudojimas siekiant pagerinti politikos formavimą ir įgyvendinimą</w:t>
      </w:r>
      <w:r>
        <w:t>: kaip pagal vertinimo rezultatus suformuluoti tolesnes išvadas ir rekomendacijas siekiant patobulinti KPP programą, pagerinti jos skaidrumą, atskaitomybę ir bendrą KPP suinteresuotųjų subjektų tarpusavio mokymąsi?</w:t>
      </w:r>
    </w:p>
    <w:p w:rsidR="00230C31" w:rsidRDefault="00230C31" w:rsidP="00626C0C">
      <w:pPr>
        <w:pStyle w:val="HHeading1"/>
        <w:tabs>
          <w:tab w:val="clear" w:pos="567"/>
        </w:tabs>
      </w:pPr>
      <w:bookmarkStart w:id="78" w:name="_Toc508976523"/>
      <w:r>
        <w:lastRenderedPageBreak/>
        <w:t>Kaip įvertinti inovacijas kaimo plėtros programose (KPP)?</w:t>
      </w:r>
      <w:bookmarkEnd w:id="78"/>
    </w:p>
    <w:p w:rsidR="00A45935" w:rsidRPr="00C84B5B" w:rsidRDefault="00A45935" w:rsidP="00B421B9">
      <w:pPr>
        <w:pStyle w:val="HHeading2"/>
        <w:numPr>
          <w:ilvl w:val="1"/>
          <w:numId w:val="119"/>
        </w:numPr>
        <w:ind w:left="567" w:hanging="567"/>
      </w:pPr>
      <w:bookmarkStart w:id="79" w:name="_Toc476063931"/>
      <w:bookmarkStart w:id="80" w:name="_Toc476064198"/>
      <w:bookmarkStart w:id="81" w:name="_Toc476064493"/>
      <w:bookmarkStart w:id="82" w:name="_Toc476064553"/>
      <w:bookmarkStart w:id="83" w:name="_Toc508976524"/>
      <w:bookmarkStart w:id="84" w:name="_Toc493151899"/>
      <w:bookmarkStart w:id="85" w:name="_Toc501382126"/>
      <w:bookmarkEnd w:id="79"/>
      <w:bookmarkEnd w:id="80"/>
      <w:bookmarkEnd w:id="81"/>
      <w:bookmarkEnd w:id="82"/>
      <w:r>
        <w:t>Siūlomas inovacijų 2014–2020 m. kaimo plėtros programose (KPP) vertinimo metodas (apžvalga)</w:t>
      </w:r>
      <w:bookmarkEnd w:id="83"/>
    </w:p>
    <w:bookmarkEnd w:id="84"/>
    <w:bookmarkEnd w:id="85"/>
    <w:p w:rsidR="00A45935" w:rsidRDefault="00A45935" w:rsidP="00946806">
      <w:pPr>
        <w:pStyle w:val="HHeading4"/>
      </w:pPr>
      <w:r>
        <w:t>Inovacijų vertinimo valdymas</w:t>
      </w:r>
    </w:p>
    <w:p w:rsidR="00A45935" w:rsidRPr="00E05D08" w:rsidRDefault="00A45935" w:rsidP="00E05D08">
      <w:pPr>
        <w:spacing w:after="120" w:line="280" w:lineRule="atLeast"/>
        <w:mirrorIndents/>
        <w:rPr>
          <w:rFonts w:eastAsia="Times New Roman" w:cs="Times New Roman"/>
          <w:szCs w:val="20"/>
        </w:rPr>
      </w:pPr>
      <w:r>
        <w:rPr>
          <w:b/>
          <w:szCs w:val="20"/>
        </w:rPr>
        <w:t>Inovacijų vertinimas ir atsakymas į su inovacijomis susijusius klausimus yra KPP vertinimo dalis.</w:t>
      </w:r>
      <w:r>
        <w:t xml:space="preserve"> </w:t>
      </w:r>
      <w:r>
        <w:rPr>
          <w:szCs w:val="20"/>
          <w:shd w:val="clear" w:color="auto" w:fill="FFFFFF"/>
        </w:rPr>
        <w:t>Todėl paprastai ši veikla valdoma kartu su kita KPP vertinimo veikla</w:t>
      </w:r>
      <w:r>
        <w:rPr>
          <w:rFonts w:eastAsia="Calibri" w:cs="Times New Roman"/>
          <w:szCs w:val="20"/>
          <w:shd w:val="clear" w:color="auto" w:fill="FFFFFF"/>
          <w:vertAlign w:val="superscript"/>
          <w:lang w:eastAsia="de-DE"/>
        </w:rPr>
        <w:footnoteReference w:id="35"/>
      </w:r>
      <w:r>
        <w:rPr>
          <w:szCs w:val="20"/>
          <w:shd w:val="clear" w:color="auto" w:fill="FFFFFF"/>
        </w:rPr>
        <w:t>. Šis procesas apžvelgiamas toliau pateiktoje diagramoje.</w:t>
      </w:r>
      <w:r>
        <w:t xml:space="preserve"> </w:t>
      </w:r>
    </w:p>
    <w:p w:rsidR="00A45935" w:rsidRPr="00E05D08" w:rsidRDefault="00A45935" w:rsidP="00E05D08">
      <w:pPr>
        <w:spacing w:after="120" w:line="280" w:lineRule="atLeast"/>
        <w:mirrorIndents/>
        <w:rPr>
          <w:rFonts w:eastAsia="Times New Roman" w:cs="Times New Roman"/>
          <w:szCs w:val="20"/>
        </w:rPr>
      </w:pPr>
      <w:r>
        <w:t xml:space="preserve">Pasirengimas inovacijų vertinimui, inovacijų vertinimo struktūros nustatymas ir jo atlikimas išsamiai aprašyti 2.2–2.4 skyriuose. </w:t>
      </w:r>
    </w:p>
    <w:p w:rsidR="00A45935" w:rsidRPr="0018705F" w:rsidRDefault="00A45935" w:rsidP="00B421B9">
      <w:pPr>
        <w:pStyle w:val="HHeadingfigures"/>
      </w:pPr>
      <w:bookmarkStart w:id="86" w:name="_Toc508984035"/>
      <w:r>
        <w:t>Inovacijų 2014–2020 m. kaimo plėtros programose (KPP) vertinimo valdymas</w:t>
      </w:r>
      <w:bookmarkEnd w:id="86"/>
    </w:p>
    <w:p w:rsidR="00A45935" w:rsidRPr="00E05D08" w:rsidRDefault="006A35B5" w:rsidP="00E05D08">
      <w:pPr>
        <w:spacing w:after="120" w:line="280" w:lineRule="atLeast"/>
        <w:mirrorIndents/>
        <w:jc w:val="center"/>
        <w:rPr>
          <w:rFonts w:eastAsia="Times New Roman" w:cs="Times New Roman"/>
          <w:szCs w:val="20"/>
        </w:rPr>
      </w:pPr>
      <w:r w:rsidRPr="006A35B5">
        <w:rPr>
          <w:noProof/>
          <w:lang w:val="en-GB" w:eastAsia="en-GB"/>
        </w:rPr>
        <w:drawing>
          <wp:inline distT="0" distB="0" distL="0" distR="0" wp14:anchorId="6A8996F9" wp14:editId="3B71BD47">
            <wp:extent cx="5731510" cy="4053371"/>
            <wp:effectExtent l="0" t="0" r="254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4053371"/>
                    </a:xfrm>
                    <a:prstGeom prst="rect">
                      <a:avLst/>
                    </a:prstGeom>
                  </pic:spPr>
                </pic:pic>
              </a:graphicData>
            </a:graphic>
          </wp:inline>
        </w:drawing>
      </w:r>
    </w:p>
    <w:p w:rsidR="00A45935" w:rsidRPr="00E05D08" w:rsidRDefault="00A45935" w:rsidP="00E05D08">
      <w:pPr>
        <w:spacing w:after="120" w:line="280" w:lineRule="atLeast"/>
        <w:jc w:val="center"/>
        <w:rPr>
          <w:rFonts w:eastAsia="Calibri" w:cs="Arial"/>
          <w:bCs/>
          <w:i/>
          <w:sz w:val="16"/>
          <w:szCs w:val="16"/>
        </w:rPr>
      </w:pPr>
      <w:r>
        <w:rPr>
          <w:bCs/>
          <w:i/>
          <w:sz w:val="16"/>
          <w:szCs w:val="16"/>
        </w:rPr>
        <w:t>Šaltinis: Europos kaimo plėtros vertinimo pagalbos tarnyba, 2017 m.</w:t>
      </w:r>
    </w:p>
    <w:p w:rsidR="00A45935" w:rsidRPr="00E05D08" w:rsidRDefault="00A45935" w:rsidP="00E05D08">
      <w:pPr>
        <w:spacing w:after="120" w:line="280" w:lineRule="atLeast"/>
        <w:mirrorIndents/>
        <w:rPr>
          <w:rFonts w:eastAsia="Times New Roman" w:cs="Times New Roman"/>
          <w:szCs w:val="20"/>
        </w:rPr>
      </w:pPr>
      <w:r>
        <w:br w:type="page"/>
      </w:r>
    </w:p>
    <w:p w:rsidR="00A45935" w:rsidRDefault="00A45935" w:rsidP="00946806">
      <w:pPr>
        <w:pStyle w:val="HHeading4"/>
      </w:pPr>
      <w:r>
        <w:lastRenderedPageBreak/>
        <w:t>Inovacijų vertinimo ataskaitos</w:t>
      </w:r>
    </w:p>
    <w:p w:rsidR="00A45935" w:rsidRPr="00E05D08" w:rsidRDefault="00A45935" w:rsidP="00E05D08">
      <w:pPr>
        <w:spacing w:after="120" w:line="280" w:lineRule="atLeast"/>
        <w:mirrorIndents/>
        <w:rPr>
          <w:rFonts w:eastAsia="Times New Roman" w:cs="Times New Roman"/>
          <w:szCs w:val="20"/>
        </w:rPr>
      </w:pPr>
      <w:r>
        <w:rPr>
          <w:b/>
          <w:szCs w:val="20"/>
        </w:rPr>
        <w:t>Atsakomybė už vertinimo rezultatų ataskaitų teikimą Europos Komisijai tenka</w:t>
      </w:r>
      <w:r>
        <w:rPr>
          <w:b/>
          <w:szCs w:val="20"/>
          <w:shd w:val="clear" w:color="auto" w:fill="FFFFFF"/>
        </w:rPr>
        <w:t xml:space="preserve"> </w:t>
      </w:r>
      <w:r>
        <w:rPr>
          <w:b/>
          <w:szCs w:val="20"/>
        </w:rPr>
        <w:t>vadovaujančiosioms institucijoms</w:t>
      </w:r>
      <w:r>
        <w:rPr>
          <w:rFonts w:eastAsia="Times New Roman" w:cs="Times New Roman"/>
          <w:szCs w:val="20"/>
          <w:vertAlign w:val="superscript"/>
          <w:lang w:eastAsia="de-DE"/>
        </w:rPr>
        <w:footnoteReference w:id="36"/>
      </w:r>
      <w:r>
        <w:t xml:space="preserve">. 5 diagramoje matyti pagal kuriuos BVK inovacijų vertinimo rezultatus galima įtraukti į 2017 ir 2019 m. teikiamas MĮA ir į </w:t>
      </w:r>
      <w:r>
        <w:rPr>
          <w:i/>
          <w:szCs w:val="20"/>
        </w:rPr>
        <w:t>ex post</w:t>
      </w:r>
      <w:r>
        <w:t xml:space="preserve"> vertinimo ataskaitą. </w:t>
      </w:r>
    </w:p>
    <w:p w:rsidR="00A45935" w:rsidRPr="00E05D08" w:rsidRDefault="00A45935" w:rsidP="00E05D08">
      <w:pPr>
        <w:spacing w:after="120" w:line="280" w:lineRule="atLeast"/>
        <w:mirrorIndents/>
        <w:rPr>
          <w:rFonts w:eastAsia="Times New Roman" w:cs="Times New Roman"/>
          <w:szCs w:val="20"/>
        </w:rPr>
      </w:pPr>
      <w:r>
        <w:rPr>
          <w:b/>
          <w:szCs w:val="20"/>
        </w:rPr>
        <w:t xml:space="preserve">Reikšmingų inovacijų vertinimo rezultatų galima tikėtis 2019 m. teikiamoje MĮA ir </w:t>
      </w:r>
      <w:r>
        <w:rPr>
          <w:b/>
          <w:i/>
          <w:szCs w:val="20"/>
        </w:rPr>
        <w:t>ex post</w:t>
      </w:r>
      <w:r>
        <w:rPr>
          <w:b/>
          <w:szCs w:val="20"/>
        </w:rPr>
        <w:t xml:space="preserve"> vertinimo ataskaitoje.</w:t>
      </w:r>
      <w:r>
        <w:t xml:space="preserve"> Kadangi inovacijų skatinimas suprantamas kaip procesas, ankstyvuosiuose programos įgyvendinimo etapuose jo rezultatai sunkiai pastebimi.</w:t>
      </w:r>
    </w:p>
    <w:p w:rsidR="00A45935" w:rsidRPr="006B72BF" w:rsidRDefault="00533971" w:rsidP="008D178A">
      <w:pPr>
        <w:pStyle w:val="HHeadingfigures"/>
      </w:pPr>
      <w:bookmarkStart w:id="87" w:name="_Toc508984036"/>
      <w:r>
        <w:t>Su inovacijomis susiję atskaitomybės reikalavimai</w:t>
      </w:r>
      <w:bookmarkEnd w:id="87"/>
    </w:p>
    <w:p w:rsidR="00A45935" w:rsidRPr="00E05D08" w:rsidRDefault="00D336B2" w:rsidP="00E05D08">
      <w:pPr>
        <w:spacing w:after="120" w:line="280" w:lineRule="atLeast"/>
        <w:mirrorIndents/>
        <w:jc w:val="center"/>
        <w:rPr>
          <w:rFonts w:eastAsia="Times New Roman" w:cs="Times New Roman"/>
          <w:szCs w:val="20"/>
          <w:lang w:eastAsia="de-DE"/>
        </w:rPr>
      </w:pPr>
      <w:r w:rsidRPr="00D336B2">
        <w:rPr>
          <w:noProof/>
          <w:lang w:val="en-GB" w:eastAsia="en-GB"/>
        </w:rPr>
        <w:drawing>
          <wp:inline distT="0" distB="0" distL="0" distR="0" wp14:anchorId="779CDBE4" wp14:editId="57ACBADB">
            <wp:extent cx="5429250" cy="418535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27738" cy="4184193"/>
                    </a:xfrm>
                    <a:prstGeom prst="rect">
                      <a:avLst/>
                    </a:prstGeom>
                  </pic:spPr>
                </pic:pic>
              </a:graphicData>
            </a:graphic>
          </wp:inline>
        </w:drawing>
      </w:r>
    </w:p>
    <w:p w:rsidR="001744D0" w:rsidRDefault="00A45935" w:rsidP="001744D0">
      <w:pPr>
        <w:suppressAutoHyphens/>
        <w:spacing w:before="60" w:after="140" w:line="240" w:lineRule="auto"/>
        <w:ind w:right="1134"/>
        <w:mirrorIndents/>
        <w:jc w:val="center"/>
        <w:rPr>
          <w:rFonts w:eastAsia="Times New Roman" w:cs="Times New Roman"/>
          <w:i/>
          <w:sz w:val="16"/>
          <w:szCs w:val="20"/>
        </w:rPr>
      </w:pPr>
      <w:r>
        <w:rPr>
          <w:i/>
          <w:sz w:val="16"/>
          <w:szCs w:val="20"/>
        </w:rPr>
        <w:t>Šaltinis: Europos kaimo plėtros vertinimo pagalbos tarnyba, 2017 m.</w:t>
      </w:r>
    </w:p>
    <w:p w:rsidR="00A45935" w:rsidRPr="00E05D08" w:rsidRDefault="00A45935" w:rsidP="001744D0">
      <w:r>
        <w:t>Todėl šiose gairėse dėmesys sutelkiamas į tai, kokį inovacijų vertinimo metodą reikėtų taikyti nuo 2019 m.</w:t>
      </w:r>
    </w:p>
    <w:p w:rsidR="00A45935" w:rsidRDefault="00A45935" w:rsidP="00804433">
      <w:pPr>
        <w:spacing w:after="120" w:line="280" w:lineRule="atLeast"/>
        <w:mirrorIndents/>
        <w:rPr>
          <w:rFonts w:eastAsia="Times New Roman" w:cs="Times New Roman"/>
          <w:szCs w:val="20"/>
        </w:rPr>
      </w:pPr>
      <w:r>
        <w:t xml:space="preserve">Be ES lygmens ataskaitų, vadovaujančiosios institucijos galėtų naudoti ir </w:t>
      </w:r>
      <w:r>
        <w:rPr>
          <w:b/>
          <w:szCs w:val="20"/>
        </w:rPr>
        <w:t>kitas ataskaitų formas</w:t>
      </w:r>
      <w:r>
        <w:t xml:space="preserve"> siekdamos informuoti inovacijų srities subjektus, kaimo plėtros srities suinteresuotuosius subjektus ir platesnę visuomenę apie KPP vertinimo rezultatus (žr. taip pat kitas rekomendacijas</w:t>
      </w:r>
      <w:r>
        <w:rPr>
          <w:rFonts w:eastAsia="Times New Roman" w:cs="Times New Roman"/>
          <w:szCs w:val="20"/>
          <w:vertAlign w:val="superscript"/>
          <w:lang w:eastAsia="de-DE"/>
        </w:rPr>
        <w:footnoteReference w:id="37"/>
      </w:r>
      <w:r>
        <w:t xml:space="preserve">). Taip pat kai kurios valstybės narės savo nuožiūra gali nuspręsti atlikti savarankišką inovacijų vertinimą ir parengti specialias vertinimo ataskaitas.  </w:t>
      </w:r>
    </w:p>
    <w:p w:rsidR="00583AC8" w:rsidRDefault="00A3677F" w:rsidP="00A3677F">
      <w:pPr>
        <w:spacing w:after="0" w:line="240" w:lineRule="auto"/>
        <w:mirrorIndents/>
        <w:rPr>
          <w:rFonts w:eastAsia="Times New Roman" w:cs="Times New Roman"/>
          <w:b/>
          <w:szCs w:val="20"/>
        </w:rPr>
      </w:pPr>
      <w:r>
        <w:rPr>
          <w:noProof/>
          <w:lang w:val="en-GB" w:eastAsia="en-GB"/>
        </w:rPr>
        <w:lastRenderedPageBreak/>
        <mc:AlternateContent>
          <mc:Choice Requires="wps">
            <w:drawing>
              <wp:anchor distT="180340" distB="0" distL="114300" distR="114300" simplePos="0" relativeHeight="251707392" behindDoc="0" locked="0" layoutInCell="1" allowOverlap="1" wp14:anchorId="77E005A5" wp14:editId="684577F6">
                <wp:simplePos x="0" y="0"/>
                <wp:positionH relativeFrom="page">
                  <wp:posOffset>863600</wp:posOffset>
                </wp:positionH>
                <wp:positionV relativeFrom="page">
                  <wp:posOffset>702945</wp:posOffset>
                </wp:positionV>
                <wp:extent cx="5826760" cy="2541905"/>
                <wp:effectExtent l="0" t="0" r="21590" b="10795"/>
                <wp:wrapTopAndBottom/>
                <wp:docPr id="61" name="Rectangle: Diagonal Corners Rounded 61"/>
                <wp:cNvGraphicFramePr/>
                <a:graphic xmlns:a="http://schemas.openxmlformats.org/drawingml/2006/main">
                  <a:graphicData uri="http://schemas.microsoft.com/office/word/2010/wordprocessingShape">
                    <wps:wsp>
                      <wps:cNvSpPr/>
                      <wps:spPr>
                        <a:xfrm>
                          <a:off x="0" y="0"/>
                          <a:ext cx="5826760" cy="2541905"/>
                        </a:xfrm>
                        <a:prstGeom prst="round2DiagRect">
                          <a:avLst>
                            <a:gd name="adj1" fmla="val 8810"/>
                            <a:gd name="adj2" fmla="val 0"/>
                          </a:avLst>
                        </a:prstGeom>
                        <a:noFill/>
                        <a:ln w="25400" cap="flat" cmpd="sng" algn="ctr">
                          <a:solidFill>
                            <a:srgbClr val="F07E31"/>
                          </a:solidFill>
                          <a:prstDash val="solid"/>
                        </a:ln>
                        <a:effectLst/>
                      </wps:spPr>
                      <wps:txbx>
                        <w:txbxContent>
                          <w:p w:rsidR="001F67E3" w:rsidRPr="00E05D08" w:rsidRDefault="001F67E3" w:rsidP="00E05D08">
                            <w:pPr>
                              <w:pStyle w:val="HStandard"/>
                              <w:rPr>
                                <w:b/>
                                <w:color w:val="F07E31"/>
                                <w:sz w:val="18"/>
                                <w:szCs w:val="18"/>
                              </w:rPr>
                            </w:pPr>
                            <w:r>
                              <w:rPr>
                                <w:noProof/>
                                <w:lang w:val="en-GB" w:eastAsia="en-GB"/>
                              </w:rPr>
                              <w:drawing>
                                <wp:inline distT="0" distB="0" distL="0" distR="0" wp14:anchorId="0C674F36" wp14:editId="7256911F">
                                  <wp:extent cx="353060" cy="359410"/>
                                  <wp:effectExtent l="0" t="0" r="8890" b="2540"/>
                                  <wp:docPr id="7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Pavyzdys. Šiuo metu Švedijoje atliekamas EIP AGRI vertinimas</w:t>
                            </w:r>
                          </w:p>
                          <w:p w:rsidR="001F67E3" w:rsidRPr="00275EE5" w:rsidRDefault="001F67E3" w:rsidP="00E05D08">
                            <w:pPr>
                              <w:pStyle w:val="HBox"/>
                            </w:pPr>
                            <w:r>
                              <w:rPr>
                                <w:bCs/>
                                <w14:textFill>
                                  <w14:solidFill>
                                    <w14:srgbClr w14:val="373737">
                                      <w14:lumMod w14:val="75000"/>
                                    </w14:srgbClr>
                                  </w14:solidFill>
                                </w14:textFill>
                              </w:rPr>
                              <w:t>Švedijoje inovacijų vertinimas atliekamas, kaip KPP vertinimo dalis, ir jį sudaro kiekybiniai ir kokybiniai komponentai. Vertinimui pagal abiejų rūšių komponentus vadovauja vertinimo sekretoriatas</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Tikėtina, kad kiekybinio vertinimo rezultatai bus pateikti tik 2019 m. teikiamoje MĮA i</w:t>
                            </w:r>
                            <w:r>
                              <w:rPr>
                                <w:color w:val="292929"/>
                              </w:rPr>
                              <w:t xml:space="preserve">r </w:t>
                            </w:r>
                            <w:r>
                              <w:rPr>
                                <w:i/>
                                <w:color w:val="292929"/>
                              </w:rPr>
                              <w:t>ex post</w:t>
                            </w:r>
                            <w:r>
                              <w:rPr>
                                <w:color w:val="292929"/>
                              </w:rPr>
                              <w:t xml:space="preserve"> vertinimo ataskaitoje</w:t>
                            </w:r>
                            <w:r>
                              <w:rPr>
                                <w:bCs/>
                                <w14:textFill>
                                  <w14:solidFill>
                                    <w14:srgbClr w14:val="373737">
                                      <w14:lumMod w14:val="75000"/>
                                    </w14:srgbClr>
                                  </w14:solidFill>
                                </w14:textFill>
                              </w:rPr>
                              <w:t>. Su inovacijomis susijusios priemonės vis dar buvo taikomos per mažai, kad būtų galima atlikti kiekybinį vertinimą 2017 m. Kiekybinis vertinimas sumanytas kaip nuolat vykstantis ugdomasis vertinimas, kurio objektas – EIP AGRI įgyvendinimas. Jį atlieka Umėjos universiteto mokslinių tyrimų grupė. Šio dabar atliekamo vertinimo tikslas – nuolat teikti EIP AGRI valdymui ir įgyvendinimui skirtą grįžtamąją informaciją ir rekomendacijas (KPP 16-oji priemonė). Rezultatų tikimasi sulaukti per visą programavimo laikotarpį, taip pat iki tada, kai bus rengiamos 2017 ir 2019 m. teikiamos MĮA</w:t>
                            </w:r>
                            <w:r>
                              <w:t xml:space="preserve"> </w:t>
                            </w:r>
                            <w:r>
                              <w:rPr>
                                <w:color w:val="292929"/>
                              </w:rPr>
                              <w:t xml:space="preserve">ir </w:t>
                            </w:r>
                            <w:r>
                              <w:rPr>
                                <w:i/>
                                <w:color w:val="292929"/>
                              </w:rPr>
                              <w:t>ex post</w:t>
                            </w:r>
                            <w:r>
                              <w:rPr>
                                <w:color w:val="292929"/>
                              </w:rPr>
                              <w:t xml:space="preserve"> vertinimo ataskait</w:t>
                            </w:r>
                            <w:r>
                              <w:t>os</w:t>
                            </w:r>
                            <w:r>
                              <w:rPr>
                                <w:bCs/>
                                <w14:textFill>
                                  <w14:solidFill>
                                    <w14:srgbClr w14:val="373737">
                                      <w14:lumMod w14:val="75000"/>
                                    </w14:srgbClr>
                                  </w14:solidFill>
                                </w14:textFill>
                              </w:rPr>
                              <w:t>. Vertinimą pagal abu komponentus atlieka nepriklausomi vertintojai, kurie atrenkami konkurso tvarka vadovaujantis viešųjų pirkimų įstatymu.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005A5" id="Rectangle: Diagonal Corners Rounded 61" o:spid="_x0000_s1036" style="position:absolute;left:0;text-align:left;margin-left:68pt;margin-top:55.35pt;width:458.8pt;height:200.15pt;z-index:251707392;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6760,25419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" adj="-11796480,,5400" path="m223942,l5826760,r,l5826760,2317963v,123680,-100262,223942,-223942,223942l,2541905r,l,223942c,100262,100262,,223942,xe" filled="f" strokecolor="#f07e31" strokeweight="2pt">
                <v:stroke joinstyle="miter"/>
                <v:formulas/>
                <v:path arrowok="t" o:connecttype="custom" o:connectlocs="223942,0;5826760,0;5826760,0;5826760,2317963;5602818,2541905;0,2541905;0,2541905;0,223942;223942,0" o:connectangles="0,0,0,0,0,0,0,0,0" textboxrect="0,0,5826760,2541905"/>
                <v:textbox>
                  <w:txbxContent>
                    <w:p w:rsidR="001F67E3" w:rsidRPr="00E05D08" w:rsidRDefault="001F67E3" w:rsidP="00E05D08">
                      <w:pPr>
                        <w:pStyle w:val="HStandard"/>
                        <w:rPr>
                          <w:b/>
                          <w:color w:val="F07E31"/>
                          <w:sz w:val="18"/>
                          <w:szCs w:val="18"/>
                        </w:rPr>
                      </w:pPr>
                      <w:r>
                        <w:rPr>
                          <w:noProof/>
                          <w:lang w:val="en-GB" w:eastAsia="en-GB"/>
                        </w:rPr>
                        <w:drawing>
                          <wp:inline distT="0" distB="0" distL="0" distR="0" wp14:anchorId="0C674F36" wp14:editId="7256911F">
                            <wp:extent cx="353060" cy="359410"/>
                            <wp:effectExtent l="0" t="0" r="8890" b="2540"/>
                            <wp:docPr id="7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Pavyzdys. Šiuo metu Švedijoje atliekamas EIP AGRI vertinimas</w:t>
                      </w:r>
                    </w:p>
                    <w:p w:rsidR="001F67E3" w:rsidRPr="00275EE5" w:rsidRDefault="001F67E3" w:rsidP="00E05D08">
                      <w:pPr>
                        <w:pStyle w:val="HBox"/>
                      </w:pPr>
                      <w:r>
                        <w:rPr>
                          <w:bCs/>
                          <w14:textFill>
                            <w14:solidFill>
                              <w14:srgbClr w14:val="373737">
                                <w14:lumMod w14:val="75000"/>
                              </w14:srgbClr>
                            </w14:solidFill>
                          </w14:textFill>
                        </w:rPr>
                        <w:t>Švedijoje inovacijų vertinimas atliekamas, kaip KPP vertinimo dalis, ir jį sudaro kiekybiniai ir kokybiniai komponentai. Vertinimui pagal abiejų rūšių komponentus vadovauja vertinimo sekretoriatas</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Tikėtina, kad kiekybinio vertinimo rezultatai bus pateikti tik 2019 m. teikiamoje MĮA i</w:t>
                      </w:r>
                      <w:r>
                        <w:rPr>
                          <w:color w:val="292929"/>
                        </w:rPr>
                        <w:t xml:space="preserve">r </w:t>
                      </w:r>
                      <w:r>
                        <w:rPr>
                          <w:i/>
                          <w:color w:val="292929"/>
                        </w:rPr>
                        <w:t>ex post</w:t>
                      </w:r>
                      <w:r>
                        <w:rPr>
                          <w:color w:val="292929"/>
                        </w:rPr>
                        <w:t xml:space="preserve"> vertinimo ataskaitoje</w:t>
                      </w:r>
                      <w:r>
                        <w:rPr>
                          <w:bCs/>
                          <w14:textFill>
                            <w14:solidFill>
                              <w14:srgbClr w14:val="373737">
                                <w14:lumMod w14:val="75000"/>
                              </w14:srgbClr>
                            </w14:solidFill>
                          </w14:textFill>
                        </w:rPr>
                        <w:t>. Su inovacijomis susijusios priemonės vis dar buvo taikomos per mažai, kad būtų galima atlikti kiekybinį vertinimą 2017 m. Kiekybinis vertinimas sumanytas kaip nuolat vykstantis ugdomasis vertinimas, kurio objektas – EIP AGRI įgyvendinimas. Jį atlieka Umėjos universiteto mokslinių tyrimų grupė. Šio dabar atliekamo vertinimo tikslas – nuolat teikti EIP AGRI valdymui ir įgyvendinimui skirtą grįžtamąją informaciją ir rekomendacijas (KPP 16-oji priemonė). Rezultatų tikimasi sulaukti per visą programavimo laikotarpį, taip pat iki tada, kai bus rengiamos 2017 ir 2019 m. teikiamos MĮA</w:t>
                      </w:r>
                      <w:r>
                        <w:t xml:space="preserve"> </w:t>
                      </w:r>
                      <w:r>
                        <w:rPr>
                          <w:color w:val="292929"/>
                        </w:rPr>
                        <w:t xml:space="preserve">ir </w:t>
                      </w:r>
                      <w:r>
                        <w:rPr>
                          <w:i/>
                          <w:color w:val="292929"/>
                        </w:rPr>
                        <w:t>ex post</w:t>
                      </w:r>
                      <w:r>
                        <w:rPr>
                          <w:color w:val="292929"/>
                        </w:rPr>
                        <w:t xml:space="preserve"> vertinimo ataskait</w:t>
                      </w:r>
                      <w:r>
                        <w:t>os</w:t>
                      </w:r>
                      <w:r>
                        <w:rPr>
                          <w:bCs/>
                          <w14:textFill>
                            <w14:solidFill>
                              <w14:srgbClr w14:val="373737">
                                <w14:lumMod w14:val="75000"/>
                              </w14:srgbClr>
                            </w14:solidFill>
                          </w14:textFill>
                        </w:rPr>
                        <w:t>. Vertinimą pagal abu komponentus atlieka nepriklausomi vertintojai, kurie atrenkami konkurso tvarka vadovaujantis viešųjų pirkimų įstatymu.</w:t>
                      </w:r>
                    </w:p>
                  </w:txbxContent>
                </v:textbox>
                <w10:wrap type="topAndBottom" anchorx="page" anchory="page"/>
              </v:shape>
            </w:pict>
          </mc:Fallback>
        </mc:AlternateContent>
      </w:r>
      <w:r w:rsidR="00583AC8">
        <w:rPr>
          <w:rStyle w:val="FootnoteReference"/>
          <w:rFonts w:eastAsia="Times New Roman" w:cs="Times New Roman"/>
          <w:color w:val="FFFFFF" w:themeColor="background1"/>
          <w:szCs w:val="20"/>
          <w:lang w:eastAsia="de-DE"/>
        </w:rPr>
        <w:footnoteReference w:id="38"/>
      </w:r>
    </w:p>
    <w:p w:rsidR="00A45935" w:rsidRPr="00E05D08" w:rsidRDefault="00626C0C" w:rsidP="00804433">
      <w:pPr>
        <w:spacing w:after="120" w:line="280" w:lineRule="atLeast"/>
        <w:mirrorIndents/>
        <w:rPr>
          <w:rFonts w:eastAsia="Times New Roman" w:cs="Times New Roman"/>
          <w:szCs w:val="20"/>
        </w:rPr>
      </w:pPr>
      <w:r>
        <w:rPr>
          <w:b/>
          <w:szCs w:val="20"/>
        </w:rPr>
        <w:t>Pagal teisinę sistemą reikalaujama atsakyti į visus svarbius su inovacijomis susijusius klausimus</w:t>
      </w:r>
      <w:r>
        <w:rPr>
          <w:rFonts w:eastAsia="Times New Roman" w:cs="Times New Roman"/>
          <w:szCs w:val="20"/>
          <w:vertAlign w:val="superscript"/>
          <w:lang w:eastAsia="de-DE"/>
        </w:rPr>
        <w:footnoteReference w:id="39"/>
      </w:r>
      <w:r>
        <w:t>, įvertinant atitinkamus bendruosius rodiklius</w:t>
      </w:r>
      <w:r>
        <w:rPr>
          <w:rFonts w:eastAsia="Times New Roman" w:cs="Times New Roman"/>
          <w:szCs w:val="20"/>
          <w:vertAlign w:val="superscript"/>
          <w:lang w:eastAsia="de-DE"/>
        </w:rPr>
        <w:footnoteReference w:id="40"/>
      </w:r>
      <w:r>
        <w:t xml:space="preserve"> ir </w:t>
      </w:r>
      <w:r w:rsidR="00A963F4">
        <w:t>atsižvelgiant</w:t>
      </w:r>
      <w:r>
        <w:t xml:space="preserve"> į vykdant ES kaimo politiką pasiektus inovacijų skatinimo rezultatus. </w:t>
      </w:r>
    </w:p>
    <w:p w:rsidR="00576A73" w:rsidRDefault="00A45935" w:rsidP="00576A73">
      <w:pPr>
        <w:spacing w:after="120" w:line="280" w:lineRule="atLeast"/>
        <w:mirrorIndents/>
        <w:rPr>
          <w:rFonts w:eastAsia="Times New Roman" w:cs="Times New Roman"/>
          <w:szCs w:val="20"/>
        </w:rPr>
      </w:pPr>
      <w:r>
        <w:t>Siūlomi tokie neprivalomo pobūdžio darbo etapai:</w:t>
      </w:r>
    </w:p>
    <w:p w:rsidR="00A45935" w:rsidRPr="00E05D08" w:rsidRDefault="00A45935" w:rsidP="00A3677F">
      <w:pPr>
        <w:pStyle w:val="HHeading4"/>
        <w:spacing w:after="120"/>
        <w:rPr>
          <w:rFonts w:eastAsia="Calibri"/>
          <w:shd w:val="clear" w:color="auto" w:fill="FFFFFF"/>
        </w:rPr>
      </w:pPr>
      <w:r>
        <w:rPr>
          <w:shd w:val="clear" w:color="auto" w:fill="FFFFFF"/>
        </w:rPr>
        <w:t>KPP priemonių / pagalbinių priemonių inovacijų skatinimo potencialo analizė (rekomenduojama)</w:t>
      </w:r>
    </w:p>
    <w:p w:rsidR="00A45935" w:rsidRPr="00E05D08" w:rsidRDefault="00A45935" w:rsidP="00E05D08">
      <w:pPr>
        <w:spacing w:after="120" w:line="280" w:lineRule="atLeast"/>
        <w:mirrorIndents/>
        <w:rPr>
          <w:rFonts w:eastAsia="Times New Roman" w:cs="Times New Roman"/>
          <w:szCs w:val="20"/>
        </w:rPr>
      </w:pPr>
      <w:r>
        <w:t>Vadovaujančiosios institucijos ir (arba) vertinimo ekspertai, prieš pradėdami vertinimo veiklą siekiant atsakyti į su inovacijomis susijusius klausimus, gali pageidauti atlikti KPP priemonių / pagalbinių priemonių inovacijų skatinimo potencialo analizę (6 diagramos mėlynos spalvos sritis). Šis etapas padės vertintojui ir vadovaujančiajai institucijai suprasti, kaip kiekviena priemonė / pagalbinė priemonė gali padėti pasiekit su inovacijomis susijusių KPP tikslų (žr. </w:t>
      </w:r>
      <w:hyperlink w:anchor="Screening_Potential" w:history="1">
        <w:r>
          <w:rPr>
            <w:rStyle w:val="Hyperlink"/>
            <w:sz w:val="20"/>
            <w:szCs w:val="20"/>
          </w:rPr>
          <w:t>2.2 skyrių</w:t>
        </w:r>
      </w:hyperlink>
      <w:r>
        <w:t>).</w:t>
      </w:r>
    </w:p>
    <w:p w:rsidR="00A45935" w:rsidRPr="00E05D08" w:rsidRDefault="00A45935" w:rsidP="00A3677F">
      <w:pPr>
        <w:tabs>
          <w:tab w:val="left" w:pos="680"/>
        </w:tabs>
        <w:spacing w:before="240" w:after="120" w:line="280" w:lineRule="atLeast"/>
        <w:mirrorIndents/>
        <w:jc w:val="left"/>
        <w:outlineLvl w:val="3"/>
        <w:rPr>
          <w:rFonts w:eastAsia="Calibri" w:cs="Times New Roman"/>
          <w:b/>
          <w:color w:val="57825E"/>
          <w:szCs w:val="20"/>
          <w:shd w:val="clear" w:color="auto" w:fill="FFFFFF"/>
        </w:rPr>
      </w:pPr>
      <w:r>
        <w:rPr>
          <w:b/>
          <w:color w:val="57825E"/>
          <w:szCs w:val="20"/>
          <w:shd w:val="clear" w:color="auto" w:fill="FFFFFF"/>
        </w:rPr>
        <w:t>Bendrųjų inovacijų vertinimo elementų papildymas (rekomenduojama)</w:t>
      </w:r>
    </w:p>
    <w:p w:rsidR="00A45935" w:rsidRPr="00E05D08" w:rsidRDefault="00A45935" w:rsidP="00A3677F">
      <w:pPr>
        <w:spacing w:after="0" w:line="280" w:lineRule="atLeast"/>
        <w:mirrorIndents/>
        <w:rPr>
          <w:rFonts w:eastAsia="Times New Roman" w:cs="Times New Roman"/>
          <w:szCs w:val="20"/>
        </w:rPr>
      </w:pPr>
      <w:r>
        <w:t>BSVS teikia pagrindinius vertinimo elementus, reikalingus atsakyti į su inovacijomis susijusius bendruosius vertinimo klausimus. Jei bendrųjų vertinimo elementų (vertinimo kriterijų</w:t>
      </w:r>
      <w:r>
        <w:rPr>
          <w:rFonts w:eastAsia="Times New Roman" w:cs="Times New Roman"/>
          <w:szCs w:val="20"/>
          <w:vertAlign w:val="superscript"/>
          <w:lang w:eastAsia="de-DE"/>
        </w:rPr>
        <w:footnoteReference w:id="41"/>
      </w:r>
      <w:r>
        <w:t xml:space="preserve"> ir bendrųjų rodiklių</w:t>
      </w:r>
      <w:r>
        <w:rPr>
          <w:rFonts w:eastAsia="Times New Roman" w:cs="Times New Roman"/>
          <w:szCs w:val="20"/>
          <w:vertAlign w:val="superscript"/>
          <w:lang w:eastAsia="de-DE"/>
        </w:rPr>
        <w:footnoteReference w:id="42"/>
      </w:r>
      <w:r>
        <w:t>) nepakanka, kad būtų galima aprėpti visą numatomą poveikį, trūkstamus elementus (pvz., papildomus vertinimo klausimus, papildomus vertinimo kriterijus</w:t>
      </w:r>
      <w:r>
        <w:rPr>
          <w:rFonts w:eastAsia="Times New Roman" w:cs="Times New Roman"/>
          <w:szCs w:val="20"/>
          <w:vertAlign w:val="superscript"/>
          <w:lang w:eastAsia="de-DE"/>
        </w:rPr>
        <w:footnoteReference w:id="43"/>
      </w:r>
      <w:r>
        <w:t xml:space="preserve"> ir papildomus kiekybinius bei kokybinius rodiklius</w:t>
      </w:r>
      <w:r>
        <w:rPr>
          <w:rFonts w:eastAsia="Times New Roman" w:cs="Times New Roman"/>
          <w:szCs w:val="20"/>
          <w:vertAlign w:val="superscript"/>
          <w:lang w:eastAsia="de-DE"/>
        </w:rPr>
        <w:footnoteReference w:id="44"/>
      </w:r>
      <w:r>
        <w:t>) gali parengti vadovaujančiosios institucijos, ir būtų geriausia, kad juos rengdamos jos bendradarbiautų su vertinimo ekspertais (6 diagramos žalios spalvos dalys), (žr. </w:t>
      </w:r>
      <w:hyperlink w:anchor="Complementing" w:history="1">
        <w:r>
          <w:rPr>
            <w:rStyle w:val="Hyperlink"/>
            <w:sz w:val="20"/>
            <w:szCs w:val="20"/>
          </w:rPr>
          <w:t>2.3 skyrių</w:t>
        </w:r>
      </w:hyperlink>
      <w:r>
        <w:t>).</w:t>
      </w:r>
    </w:p>
    <w:p w:rsidR="00A45935" w:rsidRPr="00E05D08" w:rsidRDefault="00A45935" w:rsidP="00D336B2">
      <w:pPr>
        <w:keepNext/>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Atsakymas į svarbius bendruosius vertinimo klausimus (privaloma)</w:t>
      </w:r>
    </w:p>
    <w:p w:rsidR="00A45935" w:rsidRPr="00E05D08" w:rsidRDefault="00A45935" w:rsidP="00E05D08">
      <w:pPr>
        <w:spacing w:after="120" w:line="280" w:lineRule="atLeast"/>
        <w:mirrorIndents/>
        <w:rPr>
          <w:rFonts w:eastAsia="Times New Roman" w:cs="Times New Roman"/>
          <w:szCs w:val="20"/>
        </w:rPr>
      </w:pPr>
      <w:r>
        <w:t>KPP vertintojai įvertins KPP inovacijų skatinimo rezultatus ir jos indėlį į ES ir nacionalinės / regioninės kaimo plėtros politikos tikslų įgyvendinimą. Jie vertinimo rezultatus panaudos formuluodami atsakymus į bendruosius, papildomus ir konkrečios programos vertinimo klausimus (6 diagramos oranžinės spalvos dalys). Siekiant atsakyti į su inovacijomis susijusius vertinimo klausimus, bus būtina taikyti specialų metodą (žr. </w:t>
      </w:r>
      <w:hyperlink w:anchor="Answering" w:history="1">
        <w:r>
          <w:rPr>
            <w:rStyle w:val="Hyperlink"/>
            <w:sz w:val="20"/>
            <w:szCs w:val="20"/>
          </w:rPr>
          <w:t>2.4 skyrių</w:t>
        </w:r>
      </w:hyperlink>
      <w:r>
        <w:t>).</w:t>
      </w:r>
    </w:p>
    <w:p w:rsidR="00A45935" w:rsidRPr="00EC5172" w:rsidRDefault="00626C0C" w:rsidP="00B421B9">
      <w:pPr>
        <w:pStyle w:val="HHeadingfigures"/>
      </w:pPr>
      <w:bookmarkStart w:id="88" w:name="_Toc508984037"/>
      <w:r>
        <w:t>Inovacijų kaimo plėtros programose (KPP) vertinimo metodas</w:t>
      </w:r>
      <w:bookmarkEnd w:id="88"/>
    </w:p>
    <w:p w:rsidR="00A45935" w:rsidRPr="00E05D08" w:rsidRDefault="00D336B2" w:rsidP="00E05D08">
      <w:pPr>
        <w:spacing w:after="120" w:line="280" w:lineRule="atLeast"/>
        <w:mirrorIndents/>
        <w:jc w:val="center"/>
        <w:rPr>
          <w:rFonts w:eastAsia="Times New Roman" w:cs="Times New Roman"/>
          <w:szCs w:val="20"/>
          <w:lang w:eastAsia="de-DE"/>
        </w:rPr>
      </w:pPr>
      <w:r w:rsidRPr="00D336B2">
        <w:rPr>
          <w:noProof/>
          <w:lang w:val="en-GB" w:eastAsia="en-GB"/>
        </w:rPr>
        <w:drawing>
          <wp:inline distT="0" distB="0" distL="0" distR="0" wp14:anchorId="760CADEB" wp14:editId="5F78F85F">
            <wp:extent cx="5731510" cy="3273408"/>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273408"/>
                    </a:xfrm>
                    <a:prstGeom prst="rect">
                      <a:avLst/>
                    </a:prstGeom>
                  </pic:spPr>
                </pic:pic>
              </a:graphicData>
            </a:graphic>
          </wp:inline>
        </w:drawing>
      </w:r>
    </w:p>
    <w:p w:rsidR="00A45935" w:rsidRPr="00B421B9" w:rsidRDefault="00A45935" w:rsidP="00B421B9">
      <w:pPr>
        <w:suppressAutoHyphens/>
        <w:spacing w:before="60" w:after="140" w:line="240" w:lineRule="auto"/>
        <w:ind w:left="1134" w:right="1134"/>
        <w:mirrorIndents/>
        <w:jc w:val="center"/>
        <w:rPr>
          <w:rFonts w:eastAsia="Times New Roman" w:cs="Times New Roman"/>
          <w:i/>
          <w:sz w:val="16"/>
          <w:szCs w:val="20"/>
        </w:rPr>
        <w:sectPr w:rsidR="00A45935" w:rsidRPr="00B421B9" w:rsidSect="00055039">
          <w:endnotePr>
            <w:numFmt w:val="decimal"/>
          </w:endnotePr>
          <w:type w:val="continuous"/>
          <w:pgSz w:w="11906" w:h="16838" w:code="9"/>
          <w:pgMar w:top="1440" w:right="1440" w:bottom="1134" w:left="1440" w:header="567" w:footer="1021" w:gutter="0"/>
          <w:cols w:space="708"/>
          <w:noEndnote/>
          <w:docGrid w:linePitch="360"/>
        </w:sectPr>
      </w:pPr>
      <w:r>
        <w:rPr>
          <w:i/>
          <w:sz w:val="16"/>
          <w:szCs w:val="20"/>
        </w:rPr>
        <w:t>Šaltinis: Europos kaimo plėtros vertinimo pagalbos tarnyba, 2017 m.</w:t>
      </w:r>
      <w:bookmarkStart w:id="89" w:name="_Toc493151902"/>
      <w:bookmarkStart w:id="90" w:name="_Toc501382128"/>
    </w:p>
    <w:p w:rsidR="00A45935" w:rsidRPr="002271D9" w:rsidRDefault="00A45935" w:rsidP="00B421B9">
      <w:pPr>
        <w:pStyle w:val="HHeading2"/>
        <w:numPr>
          <w:ilvl w:val="1"/>
          <w:numId w:val="119"/>
        </w:numPr>
        <w:ind w:left="567" w:hanging="567"/>
      </w:pPr>
      <w:bookmarkStart w:id="91" w:name="Screening_Potential"/>
      <w:bookmarkStart w:id="92" w:name="_Toc508976525"/>
      <w:bookmarkEnd w:id="91"/>
      <w:r>
        <w:t>KPP priemonių / pagalbinių priemonių inovacijų skatinimo potencialo analizė (rekomenduojama)</w:t>
      </w:r>
      <w:bookmarkEnd w:id="89"/>
      <w:bookmarkEnd w:id="90"/>
      <w:bookmarkEnd w:id="92"/>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Kodėl turėtume peržiūrėti KPP priemonių inovacijų skatinimo potencialą? </w:t>
      </w:r>
    </w:p>
    <w:p w:rsidR="00C64B64" w:rsidRPr="00E05D08" w:rsidRDefault="00A45935" w:rsidP="00E05D08">
      <w:pPr>
        <w:spacing w:after="120" w:line="280" w:lineRule="atLeast"/>
        <w:mirrorIndents/>
        <w:rPr>
          <w:rFonts w:eastAsia="Times New Roman" w:cs="Times New Roman"/>
          <w:szCs w:val="20"/>
        </w:rPr>
      </w:pPr>
      <w:r>
        <w:t xml:space="preserve">Vadovaujančioms institucijoms suteikta pakankamai lankstumo derinti ir rengti įvairias kaimo plėtros priemones pagal tikslines sritis (TS), todėl kaimo plėtros programose taikomi požiūriai į inovacijas labai skiriasi. Parinktų KPP priemonių / pagalbinių priemonių derinio analizė padeda geriau suprasti konkretų požiūrį į inovacijas, taip pat KPP inovacijų skatinimo potencialą. Šį analizė yra tinkamas pagrindas siekiant atsakyti į su inovacijomis susijusius bendruosius vertinimo klausimus, ypač vėlesniuose vertinimo etapuose (pvz., 2019 m. MĮA arba </w:t>
      </w:r>
      <w:r>
        <w:rPr>
          <w:i/>
          <w:szCs w:val="20"/>
        </w:rPr>
        <w:t>ex post</w:t>
      </w:r>
      <w:r>
        <w:t xml:space="preserve"> vertinimo ataskaitoje), kai bus galimybė įvertinti KPP poveikio inovacijų procesams rezultatus. </w:t>
      </w:r>
    </w:p>
    <w:p w:rsidR="00A45935" w:rsidRPr="00E05D08" w:rsidRDefault="00A45935" w:rsidP="00B421B9">
      <w:pPr>
        <w:pStyle w:val="HHeading4"/>
        <w:rPr>
          <w:rFonts w:eastAsia="Calibri"/>
          <w:shd w:val="clear" w:color="auto" w:fill="FFFFFF"/>
        </w:rPr>
      </w:pPr>
      <w:r>
        <w:rPr>
          <w:shd w:val="clear" w:color="auto" w:fill="FFFFFF"/>
        </w:rPr>
        <w:t xml:space="preserve">Koks yra KPP priemonių / pagalbinių priemonių inovacijų skatinimo potencialas? </w:t>
      </w:r>
    </w:p>
    <w:p w:rsidR="00A45935" w:rsidRPr="00E05D08" w:rsidRDefault="00A45935" w:rsidP="00E05D08">
      <w:pPr>
        <w:spacing w:after="120" w:line="280" w:lineRule="atLeast"/>
        <w:mirrorIndents/>
        <w:rPr>
          <w:rFonts w:eastAsia="Times New Roman" w:cs="Times New Roman"/>
          <w:szCs w:val="20"/>
        </w:rPr>
      </w:pPr>
      <w:r>
        <w:rPr>
          <w:b/>
          <w:szCs w:val="20"/>
        </w:rPr>
        <w:t>KPP priemonių / pagalbinių priemonių inovacijų skatinimo potencialas</w:t>
      </w:r>
      <w:r>
        <w:t>, kuris yra vertinamas pagal atskiras priemones arba derinant su kitomis pagal TS numatytomis priemonėmis / pagalbinėmis priemonėmis, suprantamas kaip galimybė skatinti inovacijas kaimo vietovių inovacijų sistemoje tokiais būdais: a) plėtojant novatoriškas idėjas, b) stiprinant gebėjimą diegti inovacijas per bendradarbiavimą ir c) sukuriant inovacijoms palankią aplinką.</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 xml:space="preserve">Kokie yra KPP inovacijų skatinimo potencialo nustatymo darbo etapai? </w:t>
      </w:r>
    </w:p>
    <w:p w:rsidR="00A45935" w:rsidRPr="00E05D08" w:rsidRDefault="00A45935" w:rsidP="00E05D08">
      <w:pPr>
        <w:spacing w:after="120" w:line="280" w:lineRule="atLeast"/>
        <w:mirrorIndents/>
        <w:rPr>
          <w:rFonts w:eastAsia="Times New Roman" w:cs="Times New Roman"/>
          <w:szCs w:val="20"/>
        </w:rPr>
      </w:pPr>
      <w:r>
        <w:rPr>
          <w:b/>
          <w:szCs w:val="20"/>
        </w:rPr>
        <w:t xml:space="preserve">KPP priemonių ir pagalbinių priemonių analize </w:t>
      </w:r>
      <w:r>
        <w:t>siekiama suprasti, kaip šiomis priemonėmis galima padėti plėtoti naujas idėjas, stiprinti gebėjimą diegti inovacijas arba sukurti inovacijoms palankią aplinką. Taikomi darbo metodai gali būti eksperto nuomone pagrįstas vertinimas arba dalyvaujamasis metodas, kurį taikant dalyvauja daugiau pagrindinių KPP suinteresuotųjų subjektų. Tokią analizę būtų galima atlikti atsakant į pagrindinius siūlomus klausimus (žr. </w:t>
      </w:r>
      <w:hyperlink w:anchor="Steps_of_the_screenig" w:history="1">
        <w:r>
          <w:rPr>
            <w:rStyle w:val="Hyperlink"/>
            <w:sz w:val="20"/>
            <w:szCs w:val="20"/>
          </w:rPr>
          <w:t>7 diagramą</w:t>
        </w:r>
      </w:hyperlink>
      <w:r>
        <w:t>).</w:t>
      </w:r>
    </w:p>
    <w:p w:rsidR="00A45935" w:rsidRDefault="00626C0C" w:rsidP="004B1986">
      <w:pPr>
        <w:pStyle w:val="HHeadingfigures"/>
      </w:pPr>
      <w:bookmarkStart w:id="93" w:name="Steps_of_the_screenig"/>
      <w:bookmarkStart w:id="94" w:name="_Toc508984038"/>
      <w:bookmarkEnd w:id="93"/>
      <w:r>
        <w:t>KPP priemonių / pagalbinių priemonių inovacijų skatinimo potencialo analizės etapai</w:t>
      </w:r>
      <w:bookmarkEnd w:id="94"/>
    </w:p>
    <w:p w:rsidR="004B1986" w:rsidRPr="004B1986" w:rsidRDefault="004B1986" w:rsidP="004B1986">
      <w:pPr>
        <w:pStyle w:val="HStandard"/>
      </w:pPr>
      <w:r w:rsidRPr="004B1986">
        <w:rPr>
          <w:noProof/>
          <w:lang w:val="en-GB" w:eastAsia="en-GB"/>
        </w:rPr>
        <w:drawing>
          <wp:inline distT="0" distB="0" distL="0" distR="0" wp14:anchorId="7A57F581" wp14:editId="1B725698">
            <wp:extent cx="5629275" cy="2714691"/>
            <wp:effectExtent l="0" t="0" r="0"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32829" cy="2716405"/>
                    </a:xfrm>
                    <a:prstGeom prst="rect">
                      <a:avLst/>
                    </a:prstGeom>
                  </pic:spPr>
                </pic:pic>
              </a:graphicData>
            </a:graphic>
          </wp:inline>
        </w:drawing>
      </w:r>
    </w:p>
    <w:p w:rsidR="00A45935" w:rsidRDefault="00A45935" w:rsidP="00E05D08">
      <w:pPr>
        <w:suppressAutoHyphens/>
        <w:spacing w:before="60" w:after="0" w:line="240" w:lineRule="auto"/>
        <w:ind w:left="1134" w:right="1134"/>
        <w:mirrorIndents/>
        <w:jc w:val="center"/>
        <w:rPr>
          <w:rFonts w:eastAsia="Times New Roman" w:cs="Times New Roman"/>
          <w:i/>
          <w:sz w:val="16"/>
          <w:szCs w:val="20"/>
        </w:rPr>
      </w:pPr>
      <w:r>
        <w:rPr>
          <w:i/>
          <w:sz w:val="16"/>
          <w:szCs w:val="20"/>
        </w:rPr>
        <w:t>Šaltinis: Europos kaimo plėtros vertinimo pagalbos tarnyba, 2017 m.</w:t>
      </w:r>
    </w:p>
    <w:p w:rsidR="00A45935" w:rsidRPr="00E05D08" w:rsidRDefault="00A3677F" w:rsidP="00E05D08">
      <w:pPr>
        <w:keepNext/>
        <w:keepLines/>
        <w:tabs>
          <w:tab w:val="left" w:pos="680"/>
        </w:tabs>
        <w:spacing w:before="240" w:after="240" w:line="280" w:lineRule="atLeast"/>
        <w:mirrorIndents/>
        <w:outlineLvl w:val="3"/>
        <w:rPr>
          <w:rFonts w:eastAsia="Times New Roman" w:cs="Times New Roman"/>
          <w:b/>
          <w:color w:val="57825E"/>
          <w:szCs w:val="20"/>
        </w:rPr>
      </w:pPr>
      <w:r>
        <w:rPr>
          <w:rFonts w:eastAsia="Times New Roman" w:cs="Times New Roman"/>
          <w:noProof/>
          <w:szCs w:val="20"/>
          <w:lang w:val="en-GB" w:eastAsia="en-GB"/>
        </w:rPr>
        <mc:AlternateContent>
          <mc:Choice Requires="wps">
            <w:drawing>
              <wp:anchor distT="0" distB="0" distL="114300" distR="114300" simplePos="0" relativeHeight="251740160" behindDoc="0" locked="0" layoutInCell="1" allowOverlap="1" wp14:anchorId="3FF27814" wp14:editId="53F57A82">
                <wp:simplePos x="0" y="0"/>
                <wp:positionH relativeFrom="column">
                  <wp:posOffset>3275330</wp:posOffset>
                </wp:positionH>
                <wp:positionV relativeFrom="paragraph">
                  <wp:posOffset>144145</wp:posOffset>
                </wp:positionV>
                <wp:extent cx="2640965" cy="3406140"/>
                <wp:effectExtent l="0" t="0" r="26035" b="22860"/>
                <wp:wrapSquare wrapText="bothSides"/>
                <wp:docPr id="64" name="Rectangle: Diagonal Corners Rounded 64"/>
                <wp:cNvGraphicFramePr/>
                <a:graphic xmlns:a="http://schemas.openxmlformats.org/drawingml/2006/main">
                  <a:graphicData uri="http://schemas.microsoft.com/office/word/2010/wordprocessingShape">
                    <wps:wsp>
                      <wps:cNvSpPr/>
                      <wps:spPr>
                        <a:xfrm>
                          <a:off x="0" y="0"/>
                          <a:ext cx="2640965" cy="3406140"/>
                        </a:xfrm>
                        <a:prstGeom prst="round2DiagRect">
                          <a:avLst>
                            <a:gd name="adj1" fmla="val 6437"/>
                            <a:gd name="adj2" fmla="val 0"/>
                          </a:avLst>
                        </a:prstGeom>
                        <a:noFill/>
                        <a:ln w="25400" cap="flat" cmpd="sng" algn="ctr">
                          <a:solidFill>
                            <a:srgbClr val="BE4A35"/>
                          </a:solidFill>
                          <a:prstDash val="solid"/>
                        </a:ln>
                        <a:effectLst/>
                      </wps:spPr>
                      <wps:txbx>
                        <w:txbxContent>
                          <w:p w:rsidR="001F67E3" w:rsidRPr="00275EE5" w:rsidRDefault="001F67E3" w:rsidP="00626C0C">
                            <w:pPr>
                              <w:pStyle w:val="Normal12PTcouleurgris"/>
                            </w:pPr>
                            <w:r>
                              <w:rPr>
                                <w:noProof/>
                                <w:lang w:val="en-GB" w:eastAsia="en-GB"/>
                              </w:rPr>
                              <w:drawing>
                                <wp:inline distT="0" distB="0" distL="0" distR="0" wp14:anchorId="05CFE21C" wp14:editId="1321FC93">
                                  <wp:extent cx="664845" cy="487680"/>
                                  <wp:effectExtent l="0" t="0" r="0" b="7620"/>
                                  <wp:docPr id="732"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A3677F">
                              <w:rPr>
                                <w:sz w:val="18"/>
                              </w:rPr>
                              <w:t>Reglamento (ES) Nr. 1305/2013 15 straipsniu</w:t>
                            </w:r>
                            <w:r>
                              <w:rPr>
                                <w:sz w:val="18"/>
                              </w:rPr>
                              <w:t xml:space="preserve"> nustatyti septyni elementai, kuriuos turi apimti teikiamos</w:t>
                            </w:r>
                            <w:r>
                              <w:rPr>
                                <w:color w:val="BE4A35"/>
                                <w:sz w:val="18"/>
                              </w:rPr>
                              <w:t xml:space="preserve"> </w:t>
                            </w:r>
                            <w:r>
                              <w:rPr>
                                <w:b/>
                                <w:color w:val="BE4A35"/>
                                <w:sz w:val="18"/>
                              </w:rPr>
                              <w:t>konsultacijos ir konsultavimo paslaugos</w:t>
                            </w:r>
                            <w:r>
                              <w:rPr>
                                <w:sz w:val="18"/>
                                <w:vertAlign w:val="superscript"/>
                              </w:rPr>
                              <w:t>45</w:t>
                            </w:r>
                            <w:r>
                              <w:rPr>
                                <w:sz w:val="18"/>
                              </w:rPr>
                              <w:t>. Iš jų tiktai viename (4 dalies c punktas), tiesiogiai minimos inovacijos. Nereikalaujama ir nėra aiškiai apibrėžta, kad inovacijos bus skatinamos kitokios rūšies konsultacijomis (pvz., 4 dalies g punkte nurodomos konkrečios konsultacijos pirmą kartą besikuriantiems ūkininkams). Taigi konkrečioje KPP numatytos priemonės struktūros analizė gali parodyti, ar ta priemonė (arba atitinkamai pagalbinė priemonė) galėtų būti svarbi skatinant inovacijas.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F27814" id="Rectangle: Diagonal Corners Rounded 64" o:spid="_x0000_s1037" style="position:absolute;left:0;text-align:left;margin-left:257.9pt;margin-top:11.35pt;width:207.95pt;height:268.2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0965,3406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" adj="-11796480,,5400" path="m169999,l2640965,r,l2640965,3236141v,93888,-76111,169999,-169999,169999l,3406140r,l,169999c,76111,76111,,169999,xe" filled="f" strokecolor="#be4a35" strokeweight="2pt">
                <v:stroke joinstyle="miter"/>
                <v:formulas/>
                <v:path arrowok="t" o:connecttype="custom" o:connectlocs="169999,0;2640965,0;2640965,0;2640965,3236141;2470966,3406140;0,3406140;0,3406140;0,169999;169999,0" o:connectangles="0,0,0,0,0,0,0,0,0" textboxrect="0,0,2640965,3406140"/>
                <v:textbox>
                  <w:txbxContent>
                    <w:p w:rsidR="001F67E3" w:rsidRPr="00275EE5" w:rsidRDefault="001F67E3" w:rsidP="00626C0C">
                      <w:pPr>
                        <w:pStyle w:val="Normal12PTcouleurgris"/>
                      </w:pPr>
                      <w:r>
                        <w:rPr>
                          <w:noProof/>
                          <w:lang w:val="en-GB" w:eastAsia="en-GB"/>
                        </w:rPr>
                        <w:drawing>
                          <wp:inline distT="0" distB="0" distL="0" distR="0" wp14:anchorId="05CFE21C" wp14:editId="1321FC93">
                            <wp:extent cx="664845" cy="487680"/>
                            <wp:effectExtent l="0" t="0" r="0" b="7620"/>
                            <wp:docPr id="732"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A3677F">
                        <w:rPr>
                          <w:sz w:val="18"/>
                        </w:rPr>
                        <w:t>Reglamento (ES) Nr. 1305/2013 15 straipsniu</w:t>
                      </w:r>
                      <w:r>
                        <w:rPr>
                          <w:sz w:val="18"/>
                        </w:rPr>
                        <w:t xml:space="preserve"> nustatyti septyni elementai, kuriuos turi apimti teikiamos</w:t>
                      </w:r>
                      <w:r>
                        <w:rPr>
                          <w:color w:val="BE4A35"/>
                          <w:sz w:val="18"/>
                        </w:rPr>
                        <w:t xml:space="preserve"> </w:t>
                      </w:r>
                      <w:r>
                        <w:rPr>
                          <w:b/>
                          <w:color w:val="BE4A35"/>
                          <w:sz w:val="18"/>
                        </w:rPr>
                        <w:t>konsultacijos ir konsultavimo paslaugos</w:t>
                      </w:r>
                      <w:r>
                        <w:rPr>
                          <w:sz w:val="18"/>
                          <w:vertAlign w:val="superscript"/>
                        </w:rPr>
                        <w:t>45</w:t>
                      </w:r>
                      <w:r>
                        <w:rPr>
                          <w:sz w:val="18"/>
                        </w:rPr>
                        <w:t>. Iš jų tiktai viename (4 dalies c punktas), tiesiogiai minimos inovacijos. Nereikalaujama ir nėra aiškiai apibrėžta, kad inovacijos bus skatinamos kitokios rūšies konsultacijomis (pvz., 4 dalies g punkte nurodomos konkrečios konsultacijos pirmą kartą besikuriantiems ūkininkams). Taigi konkrečioje KPP numatytos priemonės struktūros analizė gali parodyti, ar ta priemonė (arba atitinkamai pagalbinė priemonė) galėtų būti svarbi skatinant inovacijas.</w:t>
                      </w:r>
                    </w:p>
                  </w:txbxContent>
                </v:textbox>
                <w10:wrap type="square"/>
              </v:shape>
            </w:pict>
          </mc:Fallback>
        </mc:AlternateContent>
      </w:r>
      <w:r w:rsidR="00A45935">
        <w:rPr>
          <w:b/>
          <w:color w:val="57825E"/>
          <w:szCs w:val="20"/>
        </w:rPr>
        <w:t>Kas turėtų būti analizuojama kaimo plėtros programoje (KPP)?</w:t>
      </w:r>
    </w:p>
    <w:p w:rsidR="00A45935" w:rsidRPr="00E05D08" w:rsidRDefault="007A450E" w:rsidP="00E05D08">
      <w:pPr>
        <w:spacing w:after="120" w:line="280" w:lineRule="atLeast"/>
        <w:mirrorIndents/>
        <w:rPr>
          <w:rFonts w:eastAsia="Times New Roman" w:cs="Times New Roman"/>
          <w:szCs w:val="20"/>
        </w:rPr>
      </w:pPr>
      <w:r>
        <w:rPr>
          <w:b/>
          <w:szCs w:val="20"/>
        </w:rPr>
        <w:t>Analizuojant dėmesys turėtų būti sutelktas į galimybę</w:t>
      </w:r>
      <w:r>
        <w:t xml:space="preserve"> skatinti inovacijas </w:t>
      </w:r>
      <w:r>
        <w:rPr>
          <w:b/>
          <w:szCs w:val="20"/>
        </w:rPr>
        <w:t xml:space="preserve">tiek atskiromis pagal TS numatytomis priemonėmis, tiek priemonių grupėmis </w:t>
      </w:r>
      <w:r>
        <w:t xml:space="preserve">(pvz., jų gebėjimą remti tris inovacijų skatinimo kryptis, paaiškintas </w:t>
      </w:r>
      <w:hyperlink w:anchor="Innovation_RD" w:history="1">
        <w:r>
          <w:rPr>
            <w:rStyle w:val="Hyperlink"/>
            <w:sz w:val="20"/>
            <w:szCs w:val="20"/>
          </w:rPr>
          <w:t>1.1 skyriuje</w:t>
        </w:r>
      </w:hyperlink>
      <w:r>
        <w:t>)</w:t>
      </w:r>
      <w:r>
        <w:rPr>
          <w:rStyle w:val="FootnoteReference"/>
          <w:rFonts w:eastAsia="Times New Roman" w:cs="Times New Roman"/>
          <w:color w:val="FFFFFF" w:themeColor="background1"/>
          <w:szCs w:val="20"/>
          <w:lang w:eastAsia="de-DE"/>
        </w:rPr>
        <w:footnoteReference w:id="45"/>
      </w:r>
      <w:r>
        <w:t xml:space="preserve">. Panašiai </w:t>
      </w:r>
      <w:r>
        <w:rPr>
          <w:b/>
          <w:szCs w:val="20"/>
        </w:rPr>
        <w:t xml:space="preserve">NKT potencialas skatinant inovacijas </w:t>
      </w:r>
      <w:r>
        <w:t>gali būti nustatytas ir atliekant NKT veiksmų analizę (žr. </w:t>
      </w:r>
      <w:hyperlink w:anchor="CEQ_NRN" w:history="1">
        <w:r>
          <w:rPr>
            <w:rStyle w:val="Hyperlink"/>
            <w:sz w:val="20"/>
            <w:szCs w:val="20"/>
          </w:rPr>
          <w:t>2.4.3 skirsnį</w:t>
        </w:r>
      </w:hyperlink>
      <w:r>
        <w:t xml:space="preserve">). </w:t>
      </w:r>
    </w:p>
    <w:p w:rsidR="00A45935" w:rsidRPr="00E05D08" w:rsidRDefault="00A45935" w:rsidP="00E05D08">
      <w:pPr>
        <w:spacing w:after="120" w:line="280" w:lineRule="atLeast"/>
        <w:mirrorIndents/>
        <w:rPr>
          <w:rFonts w:eastAsia="Times New Roman" w:cs="Times New Roman"/>
          <w:szCs w:val="20"/>
        </w:rPr>
      </w:pPr>
      <w:r>
        <w:t xml:space="preserve">Apskritai inovacijų skatinimo potencialo analizė turėtų apimti bent šias su toliau pateikiamais BVK susijusias priemones: </w:t>
      </w:r>
    </w:p>
    <w:p w:rsidR="00A45935" w:rsidRPr="00E05D08" w:rsidRDefault="00A45935" w:rsidP="00C655D3">
      <w:pPr>
        <w:numPr>
          <w:ilvl w:val="0"/>
          <w:numId w:val="3"/>
        </w:numPr>
        <w:tabs>
          <w:tab w:val="clear" w:pos="644"/>
        </w:tabs>
        <w:spacing w:before="60" w:after="60" w:line="280" w:lineRule="atLeast"/>
        <w:ind w:hanging="567"/>
        <w:mirrorIndents/>
        <w:rPr>
          <w:rFonts w:eastAsia="Times New Roman" w:cs="Times New Roman"/>
          <w:szCs w:val="20"/>
        </w:rPr>
      </w:pPr>
      <w:r>
        <w:t>1-asis BVK susijęs su 1, 2 ir 16-ąja priemonėmis (atitinkamai Reglamento (ES) Nr. 1305/2013 14, 15 ir 35 straipsniai). Analize bus siekiama nustatyti šių priemonių inovacijų skatinimo potencialą ir ji padės atsakyti į su inovacijomis susijusius BVK klausimus;</w:t>
      </w:r>
    </w:p>
    <w:p w:rsidR="00A45935" w:rsidRPr="00E05D08" w:rsidRDefault="00A45935" w:rsidP="00C655D3">
      <w:pPr>
        <w:numPr>
          <w:ilvl w:val="0"/>
          <w:numId w:val="3"/>
        </w:numPr>
        <w:tabs>
          <w:tab w:val="clear" w:pos="644"/>
        </w:tabs>
        <w:spacing w:before="60" w:after="60" w:line="280" w:lineRule="atLeast"/>
        <w:ind w:hanging="567"/>
        <w:mirrorIndents/>
        <w:rPr>
          <w:rFonts w:eastAsia="Times New Roman" w:cs="Times New Roman"/>
          <w:szCs w:val="20"/>
        </w:rPr>
      </w:pPr>
      <w:r>
        <w:lastRenderedPageBreak/>
        <w:t>2-asis BVK susijęs su 16-ąja priemone (bendradarbiavimas). 16-osios priemonės pagalbinės priemonės bus analizuojamos daugiausia dėl jų galimybių remti tris inovacijų proceso kryptis. Gauti rezultatai padės atsakyti į su inovacijomis susijusius BVK klausimus;</w:t>
      </w:r>
    </w:p>
    <w:p w:rsidR="00A45935" w:rsidRPr="00E05D08" w:rsidRDefault="00A45935" w:rsidP="00C655D3">
      <w:pPr>
        <w:numPr>
          <w:ilvl w:val="0"/>
          <w:numId w:val="3"/>
        </w:numPr>
        <w:tabs>
          <w:tab w:val="clear" w:pos="644"/>
        </w:tabs>
        <w:spacing w:before="60" w:after="60" w:line="280" w:lineRule="atLeast"/>
        <w:ind w:hanging="567"/>
        <w:mirrorIndents/>
        <w:rPr>
          <w:rFonts w:eastAsia="Times New Roman" w:cs="Times New Roman"/>
          <w:szCs w:val="20"/>
        </w:rPr>
      </w:pPr>
      <w:r>
        <w:t>21-asis BVK apima keturis NKT tikslus. NKT inovacijų skatinimo potencialo analizė bus daugiausia susijusi su NKT veiksmais, kuriais prisidedama prie bendrojo NKT tikslo „skatinti inovacijas žemės ūkyje, maisto gamyboje, miškininkystėje ir kaimo vietovėse“. Ši analizė padės atsakyti į su inovacijomis susijusius BVK klausimus;</w:t>
      </w:r>
    </w:p>
    <w:p w:rsidR="00A45935" w:rsidRPr="00E05D08" w:rsidRDefault="00A45935" w:rsidP="00C655D3">
      <w:pPr>
        <w:numPr>
          <w:ilvl w:val="0"/>
          <w:numId w:val="3"/>
        </w:numPr>
        <w:spacing w:before="60" w:after="60" w:line="280" w:lineRule="atLeast"/>
        <w:ind w:hanging="567"/>
        <w:mirrorIndents/>
        <w:rPr>
          <w:rFonts w:eastAsia="Times New Roman" w:cs="Times New Roman"/>
          <w:szCs w:val="20"/>
        </w:rPr>
      </w:pPr>
      <w:r>
        <w:t>į 23-ąjį BVK bus atsakyta įvertinus KPP indėlį siekiant pagrindinio MTTP / inovacijų tikslo – investuoti 3 proc. bendrojo ES vidaus produkto (BVP) (derinant viešąsias ir privačias investicijas)</w:t>
      </w:r>
      <w:r>
        <w:rPr>
          <w:rFonts w:eastAsia="Times New Roman" w:cs="Times New Roman"/>
          <w:szCs w:val="20"/>
          <w:vertAlign w:val="superscript"/>
          <w:lang w:eastAsia="de-DE"/>
        </w:rPr>
        <w:footnoteReference w:id="46"/>
      </w:r>
      <w:r>
        <w:t>, kartu naudojant su šiuo tikslu susijusius rodiklius. Visų KPP priemonių inovacijų skatinimo potencialo analizė yra svarbi siekiant: a) nustatyti priemones, kuriomis prisidedama prie inovacijų skatinimo ir b) apskaičiuojant rodiklius, kurie naudojami siekiant atsakyti į 23-ąjį BVK, atsižvelgti į su šiomis priemonėmis susijusias išlaidas;</w:t>
      </w:r>
    </w:p>
    <w:p w:rsidR="00A45935" w:rsidRPr="00E05D08" w:rsidRDefault="00A45935" w:rsidP="00C655D3">
      <w:pPr>
        <w:numPr>
          <w:ilvl w:val="0"/>
          <w:numId w:val="3"/>
        </w:numPr>
        <w:spacing w:before="60" w:after="60" w:line="280" w:lineRule="atLeast"/>
        <w:ind w:hanging="567"/>
        <w:mirrorIndents/>
        <w:rPr>
          <w:rFonts w:eastAsia="Times New Roman" w:cs="Times New Roman"/>
          <w:szCs w:val="20"/>
        </w:rPr>
      </w:pPr>
      <w:r>
        <w:t xml:space="preserve">30-asis BVK susijęs su kompleksiniu inovacijų tikslu. Kalbant apie šį klausimą, bus analizuojamos visos pagal kiekvieną TS numatytos priemonės / pagalbinės priemonės ir jų deriniai siekiant nustatyti priemones, kuriomis būtų galima skatinti inovacijas  visomis trimis kryptimis. Ši analizė padės vertintojui parengti atvejo tyrimu pagrįstą vertinimą remiantis pokyčių teorija, kurią siūloma taikyti atsakant į 30-ąjį BVK.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Kokių rezultatų galima tikėtis? </w:t>
      </w:r>
    </w:p>
    <w:p w:rsidR="00A45935" w:rsidRDefault="00A45935" w:rsidP="00E05D08">
      <w:pPr>
        <w:spacing w:after="120" w:line="280" w:lineRule="atLeast"/>
        <w:mirrorIndents/>
        <w:rPr>
          <w:rFonts w:eastAsia="Times New Roman" w:cs="Times New Roman"/>
          <w:szCs w:val="20"/>
        </w:rPr>
      </w:pPr>
      <w:r>
        <w:rPr>
          <w:b/>
          <w:szCs w:val="20"/>
        </w:rPr>
        <w:t>Analizė padeda padaryti su inovacijomis susijusių KPP intervencinių veiksmų loginį pagrindą aiškesnį.</w:t>
      </w:r>
      <w:r>
        <w:t xml:space="preserve"> Atliekant analizę nustatomos KPP priemonės, kurių inovacijų skatinimo potencialas yra didžiausias, taip pat išaiškinama, su kokiomis sritimis (kryptimis) tos priemonės yra susijusios. Atliekant vėlesnį poveikio vertinimą, bus atsižvelgta į šios analizės rezultatus siekiant palyginti potencialą su realiai KPP pasiektais inovacijų skatinimo rezultatais. Tuo pasiekiama, kad vertintojas, atlikdamas savo darbą, sutelktų dėmesį į tas priemones ir pagalbines priemones, kurios laikomos itin svarbiomis skatinat inovacijas. </w:t>
      </w:r>
    </w:p>
    <w:p w:rsidR="007A450E" w:rsidRPr="00E05D08" w:rsidRDefault="00AF420C" w:rsidP="00E05D08">
      <w:pPr>
        <w:spacing w:after="120" w:line="280" w:lineRule="atLeast"/>
        <w:mirrorIndents/>
        <w:rPr>
          <w:rFonts w:eastAsia="Times New Roman" w:cs="Times New Roman"/>
          <w:szCs w:val="20"/>
          <w:lang w:eastAsia="de-DE"/>
        </w:rPr>
      </w:pPr>
      <w:r>
        <w:rPr>
          <w:b/>
          <w:noProof/>
          <w:lang w:val="en-GB" w:eastAsia="en-GB"/>
        </w:rPr>
        <mc:AlternateContent>
          <mc:Choice Requires="wps">
            <w:drawing>
              <wp:anchor distT="0" distB="0" distL="114300" distR="114300" simplePos="0" relativeHeight="251742208" behindDoc="0" locked="0" layoutInCell="1" allowOverlap="1" wp14:anchorId="20034E5B" wp14:editId="39E1C869">
                <wp:simplePos x="0" y="0"/>
                <wp:positionH relativeFrom="page">
                  <wp:posOffset>1331671</wp:posOffset>
                </wp:positionH>
                <wp:positionV relativeFrom="page">
                  <wp:posOffset>6250686</wp:posOffset>
                </wp:positionV>
                <wp:extent cx="4785995" cy="2049780"/>
                <wp:effectExtent l="0" t="0" r="14605" b="26670"/>
                <wp:wrapSquare wrapText="bothSides"/>
                <wp:docPr id="67" name="Rectangle: Diagonal Corners Rounded 67"/>
                <wp:cNvGraphicFramePr/>
                <a:graphic xmlns:a="http://schemas.openxmlformats.org/drawingml/2006/main">
                  <a:graphicData uri="http://schemas.microsoft.com/office/word/2010/wordprocessingShape">
                    <wps:wsp>
                      <wps:cNvSpPr/>
                      <wps:spPr>
                        <a:xfrm>
                          <a:off x="0" y="0"/>
                          <a:ext cx="4785995" cy="2049780"/>
                        </a:xfrm>
                        <a:prstGeom prst="round2DiagRect">
                          <a:avLst>
                            <a:gd name="adj1" fmla="val 9754"/>
                            <a:gd name="adj2" fmla="val 0"/>
                          </a:avLst>
                        </a:prstGeom>
                        <a:noFill/>
                        <a:ln w="25400" cap="flat" cmpd="sng" algn="ctr">
                          <a:solidFill>
                            <a:srgbClr val="8BAB80"/>
                          </a:solidFill>
                          <a:prstDash val="solid"/>
                        </a:ln>
                        <a:effectLst/>
                      </wps:spPr>
                      <wps:txbx>
                        <w:txbxContent>
                          <w:p w:rsidR="001F67E3" w:rsidRPr="00275EE5" w:rsidRDefault="001F67E3" w:rsidP="007A450E">
                            <w:pPr>
                              <w:pStyle w:val="Normal12PTcouleurgris"/>
                            </w:pPr>
                            <w:r w:rsidRPr="00171202">
                              <w:rPr>
                                <w:noProof/>
                                <w:sz w:val="18"/>
                                <w:lang w:val="en-GB" w:eastAsia="en-GB"/>
                              </w:rPr>
                              <w:drawing>
                                <wp:inline distT="0" distB="0" distL="0" distR="0" wp14:anchorId="030D4E36" wp14:editId="307E327A">
                                  <wp:extent cx="492370" cy="458959"/>
                                  <wp:effectExtent l="0" t="0" r="3175" b="0"/>
                                  <wp:docPr id="733"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2992" r="21270"/>
                                          <a:stretch/>
                                        </pic:blipFill>
                                        <pic:spPr bwMode="auto">
                                          <a:xfrm>
                                            <a:off x="0" y="0"/>
                                            <a:ext cx="490001" cy="45675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402"/>
                              <w:gridCol w:w="3402"/>
                            </w:tblGrid>
                            <w:tr w:rsidR="001F67E3" w:rsidRPr="0079762F" w:rsidTr="00E05D08">
                              <w:tc>
                                <w:tcPr>
                                  <w:tcW w:w="3402" w:type="dxa"/>
                                  <w:shd w:val="clear" w:color="auto" w:fill="FFFFFF"/>
                                </w:tcPr>
                                <w:p w:rsidR="001F67E3" w:rsidRPr="00B63DE8" w:rsidRDefault="001F67E3" w:rsidP="007A450E">
                                  <w:pPr>
                                    <w:suppressOverlap/>
                                    <w:jc w:val="left"/>
                                    <w:rPr>
                                      <w:rFonts w:cs="Arial"/>
                                      <w:b/>
                                      <w:color w:val="404040"/>
                                      <w:szCs w:val="18"/>
                                    </w:rPr>
                                  </w:pPr>
                                  <w:r>
                                    <w:rPr>
                                      <w:b/>
                                      <w:color w:val="404040"/>
                                      <w:szCs w:val="18"/>
                                    </w:rPr>
                                    <w:t>Ką reikėtų daryti</w:t>
                                  </w:r>
                                </w:p>
                                <w:p w:rsidR="001F67E3" w:rsidRPr="00B63DE8" w:rsidRDefault="001F67E3" w:rsidP="007A450E">
                                  <w:pPr>
                                    <w:pStyle w:val="Hlistbullet"/>
                                    <w:spacing w:line="160" w:lineRule="atLeast"/>
                                    <w:jc w:val="left"/>
                                    <w:rPr>
                                      <w:sz w:val="18"/>
                                      <w:szCs w:val="18"/>
                                    </w:rPr>
                                  </w:pPr>
                                  <w:r>
                                    <w:rPr>
                                      <w:sz w:val="18"/>
                                      <w:szCs w:val="18"/>
                                    </w:rPr>
                                    <w:t xml:space="preserve">Įvertinti priemonės struktūrą (ryšį su poreikiais, tikslais, atrankos kriterijais, paramos gavėjais), susijusią su potencialu skatinti inovacijas ir šio potencialo lygiu </w:t>
                                  </w:r>
                                </w:p>
                                <w:p w:rsidR="001F67E3" w:rsidRPr="00B63DE8" w:rsidRDefault="001F67E3" w:rsidP="007A450E">
                                  <w:pPr>
                                    <w:pStyle w:val="Hlistbullet"/>
                                    <w:spacing w:line="160" w:lineRule="atLeast"/>
                                    <w:jc w:val="left"/>
                                  </w:pPr>
                                  <w:r>
                                    <w:rPr>
                                      <w:sz w:val="18"/>
                                      <w:szCs w:val="18"/>
                                    </w:rPr>
                                    <w:t>Pripažinti su inovacijomis susijusių KPP intervencinių veiksmų loginį pagrindą</w:t>
                                  </w:r>
                                  <w:r>
                                    <w:t xml:space="preserve"> </w:t>
                                  </w:r>
                                </w:p>
                              </w:tc>
                              <w:tc>
                                <w:tcPr>
                                  <w:tcW w:w="3402" w:type="dxa"/>
                                  <w:shd w:val="clear" w:color="auto" w:fill="auto"/>
                                </w:tcPr>
                                <w:p w:rsidR="001F67E3" w:rsidRPr="00B63DE8" w:rsidRDefault="001F67E3" w:rsidP="007A450E">
                                  <w:pPr>
                                    <w:suppressOverlap/>
                                    <w:jc w:val="left"/>
                                    <w:rPr>
                                      <w:rFonts w:cs="Arial"/>
                                      <w:b/>
                                      <w:color w:val="404040"/>
                                      <w:szCs w:val="18"/>
                                    </w:rPr>
                                  </w:pPr>
                                  <w:r>
                                    <w:rPr>
                                      <w:b/>
                                      <w:color w:val="404040"/>
                                      <w:szCs w:val="18"/>
                                    </w:rPr>
                                    <w:t>Ko nereikėtų daryti</w:t>
                                  </w:r>
                                </w:p>
                                <w:p w:rsidR="001F67E3" w:rsidRPr="00B63DE8" w:rsidRDefault="001F67E3" w:rsidP="007A450E">
                                  <w:pPr>
                                    <w:pStyle w:val="Hlistbullet"/>
                                    <w:spacing w:line="160" w:lineRule="atLeast"/>
                                    <w:jc w:val="left"/>
                                    <w:rPr>
                                      <w:sz w:val="18"/>
                                      <w:szCs w:val="18"/>
                                    </w:rPr>
                                  </w:pPr>
                                  <w:r>
                                    <w:rPr>
                                      <w:sz w:val="18"/>
                                      <w:szCs w:val="18"/>
                                    </w:rPr>
                                    <w:t xml:space="preserve">Atliekant KPP inovacijų skatinimo potencialo analizę nereikėtų apsiriboti vien tik tais atrankos kriterijais ir priemonėmis, kuriuose paminėtas žodis „novatoriškas“ </w:t>
                                  </w:r>
                                </w:p>
                                <w:p w:rsidR="001F67E3" w:rsidRPr="00B63DE8" w:rsidRDefault="001F67E3" w:rsidP="007A450E">
                                  <w:pPr>
                                    <w:suppressOverlap/>
                                    <w:jc w:val="left"/>
                                    <w:rPr>
                                      <w:rFonts w:cs="Arial"/>
                                      <w:color w:val="1A1A1A"/>
                                      <w:szCs w:val="18"/>
                                    </w:rPr>
                                  </w:pPr>
                                </w:p>
                              </w:tc>
                            </w:tr>
                          </w:tbl>
                          <w:p w:rsidR="001F67E3" w:rsidRPr="00275EE5" w:rsidRDefault="001F67E3"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34E5B" id="Rectangle: Diagonal Corners Rounded 67" o:spid="_x0000_s1038" style="position:absolute;left:0;text-align:left;margin-left:104.85pt;margin-top:492.2pt;width:376.85pt;height:161.4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785995,2049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" adj="-11796480,,5400" path="m199936,l4785995,r,l4785995,1849844v,110422,-89514,199936,-199936,199936l,2049780r,l,199936c,89514,89514,,199936,xe" filled="f" strokecolor="#8bab80" strokeweight="2pt">
                <v:stroke joinstyle="miter"/>
                <v:formulas/>
                <v:path arrowok="t" o:connecttype="custom" o:connectlocs="199936,0;4785995,0;4785995,0;4785995,1849844;4586059,2049780;0,2049780;0,2049780;0,199936;199936,0" o:connectangles="0,0,0,0,0,0,0,0,0" textboxrect="0,0,4785995,2049780"/>
                <v:textbox>
                  <w:txbxContent>
                    <w:p w:rsidR="001F67E3" w:rsidRPr="00275EE5" w:rsidRDefault="001F67E3" w:rsidP="007A450E">
                      <w:pPr>
                        <w:pStyle w:val="Normal12PTcouleurgris"/>
                      </w:pPr>
                      <w:r w:rsidRPr="00171202">
                        <w:rPr>
                          <w:noProof/>
                          <w:sz w:val="18"/>
                          <w:lang w:val="en-GB" w:eastAsia="en-GB"/>
                        </w:rPr>
                        <w:drawing>
                          <wp:inline distT="0" distB="0" distL="0" distR="0" wp14:anchorId="030D4E36" wp14:editId="307E327A">
                            <wp:extent cx="492370" cy="458959"/>
                            <wp:effectExtent l="0" t="0" r="3175" b="0"/>
                            <wp:docPr id="733"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2992" r="21270"/>
                                    <a:stretch/>
                                  </pic:blipFill>
                                  <pic:spPr bwMode="auto">
                                    <a:xfrm>
                                      <a:off x="0" y="0"/>
                                      <a:ext cx="490001" cy="45675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402"/>
                        <w:gridCol w:w="3402"/>
                      </w:tblGrid>
                      <w:tr w:rsidR="001F67E3" w:rsidRPr="0079762F" w:rsidTr="00E05D08">
                        <w:tc>
                          <w:tcPr>
                            <w:tcW w:w="3402" w:type="dxa"/>
                            <w:shd w:val="clear" w:color="auto" w:fill="FFFFFF"/>
                          </w:tcPr>
                          <w:p w:rsidR="001F67E3" w:rsidRPr="00B63DE8" w:rsidRDefault="001F67E3" w:rsidP="007A450E">
                            <w:pPr>
                              <w:suppressOverlap/>
                              <w:jc w:val="left"/>
                              <w:rPr>
                                <w:rFonts w:cs="Arial"/>
                                <w:b/>
                                <w:color w:val="404040"/>
                                <w:szCs w:val="18"/>
                              </w:rPr>
                            </w:pPr>
                            <w:r>
                              <w:rPr>
                                <w:b/>
                                <w:color w:val="404040"/>
                                <w:szCs w:val="18"/>
                              </w:rPr>
                              <w:t>Ką reikėtų daryti</w:t>
                            </w:r>
                          </w:p>
                          <w:p w:rsidR="001F67E3" w:rsidRPr="00B63DE8" w:rsidRDefault="001F67E3" w:rsidP="007A450E">
                            <w:pPr>
                              <w:pStyle w:val="Hlistbullet"/>
                              <w:spacing w:line="160" w:lineRule="atLeast"/>
                              <w:jc w:val="left"/>
                              <w:rPr>
                                <w:sz w:val="18"/>
                                <w:szCs w:val="18"/>
                              </w:rPr>
                            </w:pPr>
                            <w:r>
                              <w:rPr>
                                <w:sz w:val="18"/>
                                <w:szCs w:val="18"/>
                              </w:rPr>
                              <w:t xml:space="preserve">Įvertinti priemonės struktūrą (ryšį su poreikiais, tikslais, atrankos kriterijais, paramos gavėjais), susijusią su potencialu skatinti inovacijas ir šio potencialo lygiu </w:t>
                            </w:r>
                          </w:p>
                          <w:p w:rsidR="001F67E3" w:rsidRPr="00B63DE8" w:rsidRDefault="001F67E3" w:rsidP="007A450E">
                            <w:pPr>
                              <w:pStyle w:val="Hlistbullet"/>
                              <w:spacing w:line="160" w:lineRule="atLeast"/>
                              <w:jc w:val="left"/>
                            </w:pPr>
                            <w:r>
                              <w:rPr>
                                <w:sz w:val="18"/>
                                <w:szCs w:val="18"/>
                              </w:rPr>
                              <w:t>Pripažinti su inovacijomis susijusių KPP intervencinių veiksmų loginį pagrindą</w:t>
                            </w:r>
                            <w:r>
                              <w:t xml:space="preserve"> </w:t>
                            </w:r>
                          </w:p>
                        </w:tc>
                        <w:tc>
                          <w:tcPr>
                            <w:tcW w:w="3402" w:type="dxa"/>
                            <w:shd w:val="clear" w:color="auto" w:fill="auto"/>
                          </w:tcPr>
                          <w:p w:rsidR="001F67E3" w:rsidRPr="00B63DE8" w:rsidRDefault="001F67E3" w:rsidP="007A450E">
                            <w:pPr>
                              <w:suppressOverlap/>
                              <w:jc w:val="left"/>
                              <w:rPr>
                                <w:rFonts w:cs="Arial"/>
                                <w:b/>
                                <w:color w:val="404040"/>
                                <w:szCs w:val="18"/>
                              </w:rPr>
                            </w:pPr>
                            <w:r>
                              <w:rPr>
                                <w:b/>
                                <w:color w:val="404040"/>
                                <w:szCs w:val="18"/>
                              </w:rPr>
                              <w:t>Ko nereikėtų daryti</w:t>
                            </w:r>
                          </w:p>
                          <w:p w:rsidR="001F67E3" w:rsidRPr="00B63DE8" w:rsidRDefault="001F67E3" w:rsidP="007A450E">
                            <w:pPr>
                              <w:pStyle w:val="Hlistbullet"/>
                              <w:spacing w:line="160" w:lineRule="atLeast"/>
                              <w:jc w:val="left"/>
                              <w:rPr>
                                <w:sz w:val="18"/>
                                <w:szCs w:val="18"/>
                              </w:rPr>
                            </w:pPr>
                            <w:r>
                              <w:rPr>
                                <w:sz w:val="18"/>
                                <w:szCs w:val="18"/>
                              </w:rPr>
                              <w:t xml:space="preserve">Atliekant KPP inovacijų skatinimo potencialo analizę nereikėtų apsiriboti vien tik tais atrankos kriterijais ir priemonėmis, kuriuose paminėtas žodis „novatoriškas“ </w:t>
                            </w:r>
                          </w:p>
                          <w:p w:rsidR="001F67E3" w:rsidRPr="00B63DE8" w:rsidRDefault="001F67E3" w:rsidP="007A450E">
                            <w:pPr>
                              <w:suppressOverlap/>
                              <w:jc w:val="left"/>
                              <w:rPr>
                                <w:rFonts w:cs="Arial"/>
                                <w:color w:val="1A1A1A"/>
                                <w:szCs w:val="18"/>
                              </w:rPr>
                            </w:pPr>
                          </w:p>
                        </w:tc>
                      </w:tr>
                    </w:tbl>
                    <w:p w:rsidR="001F67E3" w:rsidRPr="00275EE5" w:rsidRDefault="001F67E3" w:rsidP="007A450E">
                      <w:pPr>
                        <w:pStyle w:val="Normal12PTcouleurgris"/>
                      </w:pPr>
                    </w:p>
                  </w:txbxContent>
                </v:textbox>
                <w10:wrap type="square" anchorx="page" anchory="page"/>
              </v:shape>
            </w:pict>
          </mc:Fallback>
        </mc:AlternateContent>
      </w:r>
    </w:p>
    <w:p w:rsidR="00A45935" w:rsidRPr="00E05D08" w:rsidRDefault="00A45935" w:rsidP="009F5AB5">
      <w:pPr>
        <w:pStyle w:val="HStandard"/>
      </w:pPr>
    </w:p>
    <w:p w:rsidR="00A45935" w:rsidRPr="00E05D08" w:rsidRDefault="00A45935" w:rsidP="009F5AB5">
      <w:pPr>
        <w:pStyle w:val="HStandard"/>
      </w:pPr>
    </w:p>
    <w:p w:rsidR="00A45935" w:rsidRDefault="00A45935" w:rsidP="009F5AB5">
      <w:pPr>
        <w:pStyle w:val="HStandard"/>
      </w:pPr>
    </w:p>
    <w:p w:rsidR="000A43B7" w:rsidRDefault="000A43B7" w:rsidP="009F5AB5">
      <w:pPr>
        <w:pStyle w:val="HStandard"/>
      </w:pPr>
    </w:p>
    <w:p w:rsidR="000A43B7" w:rsidRDefault="000A43B7" w:rsidP="009F5AB5">
      <w:pPr>
        <w:pStyle w:val="HStandard"/>
      </w:pPr>
    </w:p>
    <w:p w:rsidR="007A450E" w:rsidRDefault="007A450E">
      <w:pPr>
        <w:jc w:val="left"/>
        <w:rPr>
          <w:rFonts w:eastAsia="Times New Roman" w:cs="Times New Roman"/>
          <w:b/>
          <w:szCs w:val="20"/>
        </w:rPr>
      </w:pPr>
      <w:bookmarkStart w:id="95" w:name="_Toc493151903"/>
      <w:bookmarkStart w:id="96" w:name="_Toc501382129"/>
      <w:r>
        <w:br w:type="page"/>
      </w:r>
    </w:p>
    <w:p w:rsidR="00A45935" w:rsidRPr="00FC7364" w:rsidRDefault="00A45935" w:rsidP="00B97A61">
      <w:pPr>
        <w:pStyle w:val="HHeading2"/>
        <w:numPr>
          <w:ilvl w:val="1"/>
          <w:numId w:val="119"/>
        </w:numPr>
        <w:spacing w:before="120" w:after="120"/>
        <w:ind w:left="567" w:hanging="567"/>
      </w:pPr>
      <w:bookmarkStart w:id="97" w:name="Complementing"/>
      <w:bookmarkStart w:id="98" w:name="_Toc508976526"/>
      <w:bookmarkEnd w:id="97"/>
      <w:r>
        <w:lastRenderedPageBreak/>
        <w:t>Bendrųjų inovacijų vertinimo elementų papildymas (rekomenduojama)</w:t>
      </w:r>
      <w:bookmarkEnd w:id="95"/>
      <w:bookmarkEnd w:id="96"/>
      <w:bookmarkEnd w:id="98"/>
    </w:p>
    <w:p w:rsidR="00A45935" w:rsidRPr="00E05D08" w:rsidRDefault="00A45935" w:rsidP="00B97A61">
      <w:pPr>
        <w:keepNext/>
        <w:keepLines/>
        <w:tabs>
          <w:tab w:val="left" w:pos="680"/>
        </w:tabs>
        <w:spacing w:before="240" w:after="12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Kodėl ir kada reikėtų papildyti BSVS? </w:t>
      </w:r>
    </w:p>
    <w:p w:rsidR="00A45935" w:rsidRPr="00E05D08" w:rsidRDefault="00A45935" w:rsidP="00E05D08">
      <w:pPr>
        <w:spacing w:after="120" w:line="280" w:lineRule="atLeast"/>
        <w:mirrorIndents/>
        <w:rPr>
          <w:rFonts w:eastAsia="Times New Roman" w:cs="Times New Roman"/>
          <w:szCs w:val="20"/>
        </w:rPr>
      </w:pPr>
      <w:r>
        <w:rPr>
          <w:b/>
          <w:szCs w:val="20"/>
        </w:rPr>
        <w:t xml:space="preserve">BSVS nustatomas pagrindinis vertinimo elementų rinkinys </w:t>
      </w:r>
      <w:r>
        <w:t>(bendrieji produkto rodikliai) siekiant atsakyti į atitinkamus bendruosius vertinimo klausimus, tai yra 1, 2 ir 21 klausimus (žr. </w:t>
      </w:r>
      <w:hyperlink w:anchor="Policy_framework" w:history="1">
        <w:r>
          <w:rPr>
            <w:rStyle w:val="Hyperlink"/>
            <w:sz w:val="20"/>
            <w:szCs w:val="20"/>
          </w:rPr>
          <w:t>1.2.1 skirsnį</w:t>
        </w:r>
      </w:hyperlink>
      <w:r>
        <w:t xml:space="preserve">). Be to, darbiniame dokumente pateikti pasiūlymai dėl visų su inovacijomis susijusių BVK vertinimo kriterijų ir dėl kai kurių papildomų rodiklių taikymo, </w:t>
      </w:r>
      <w:hyperlink r:id="rId33" w:history="1">
        <w:r>
          <w:rPr>
            <w:rStyle w:val="Hyperlink"/>
            <w:sz w:val="20"/>
            <w:szCs w:val="20"/>
          </w:rPr>
          <w:t>2014–2020 m. kaimo plėtros programų bendrieji vertinimo klausimai</w:t>
        </w:r>
      </w:hyperlink>
      <w:r>
        <w:t>. Pavyzdžiui, 23-asis BVK susijęs su pagrindiniu strategijos „Europa 2020“ tikslu, kurį galima naudoti kaip pagrindą atsakant į šį klausimą. 30-asis BVK yra vienintelis klausimas, kuris papildomas papildomais rodikliais</w:t>
      </w:r>
      <w:r>
        <w:rPr>
          <w:rFonts w:eastAsia="Times New Roman" w:cs="Times New Roman"/>
          <w:szCs w:val="20"/>
          <w:vertAlign w:val="superscript"/>
          <w:lang w:eastAsia="de-DE"/>
        </w:rPr>
        <w:footnoteReference w:id="47"/>
      </w:r>
      <w:r>
        <w:t xml:space="preserve">. </w:t>
      </w:r>
    </w:p>
    <w:p w:rsidR="00A45935" w:rsidRPr="00E05D08" w:rsidRDefault="00A45935" w:rsidP="00E05D08">
      <w:pPr>
        <w:spacing w:after="120" w:line="280" w:lineRule="atLeast"/>
        <w:mirrorIndents/>
        <w:rPr>
          <w:rFonts w:eastAsia="Times New Roman" w:cs="Times New Roman"/>
          <w:szCs w:val="20"/>
        </w:rPr>
      </w:pPr>
      <w:r>
        <w:rPr>
          <w:b/>
          <w:szCs w:val="20"/>
        </w:rPr>
        <w:t xml:space="preserve">Prieš pradedant vertinimą bendrieji vertinimo elementai turi būti peržiūrėti </w:t>
      </w:r>
      <w:r>
        <w:t xml:space="preserve"> ir prireikus papildyti. Atliekant šią analizę gali būti atsižvelgta į KPP turimo potencialo skatinti inovacijas analizės rezultatus (žr. </w:t>
      </w:r>
      <w:hyperlink w:anchor="Screening_Potential" w:history="1">
        <w:r>
          <w:rPr>
            <w:rStyle w:val="Hyperlink"/>
            <w:sz w:val="20"/>
            <w:szCs w:val="20"/>
          </w:rPr>
          <w:t>2.2 skyrių</w:t>
        </w:r>
      </w:hyperlink>
      <w:r>
        <w:t xml:space="preserve">). </w:t>
      </w:r>
    </w:p>
    <w:p w:rsidR="00A45935" w:rsidRPr="00E05D08" w:rsidRDefault="00A45935" w:rsidP="00B97A61">
      <w:pPr>
        <w:keepNext/>
        <w:keepLines/>
        <w:tabs>
          <w:tab w:val="left" w:pos="680"/>
        </w:tabs>
        <w:spacing w:before="240" w:after="120" w:line="280" w:lineRule="atLeast"/>
        <w:mirrorIndents/>
        <w:outlineLvl w:val="3"/>
        <w:rPr>
          <w:rFonts w:eastAsia="Calibri" w:cs="Times New Roman"/>
          <w:b/>
          <w:color w:val="57825E"/>
          <w:szCs w:val="20"/>
          <w:shd w:val="clear" w:color="auto" w:fill="FFFFFF"/>
        </w:rPr>
      </w:pPr>
      <w:r>
        <w:rPr>
          <w:b/>
          <w:color w:val="57825E"/>
          <w:szCs w:val="20"/>
          <w:shd w:val="clear" w:color="auto" w:fill="FFFFFF"/>
        </w:rPr>
        <w:t>Kokie yra papildomų ir konkrečios programos vertinimo elementų rengimo etapai?</w:t>
      </w:r>
    </w:p>
    <w:p w:rsidR="00A45935" w:rsidRPr="00E05D08" w:rsidRDefault="00A45935" w:rsidP="00E05D08">
      <w:pPr>
        <w:spacing w:after="120" w:line="280" w:lineRule="atLeast"/>
        <w:mirrorIndents/>
        <w:rPr>
          <w:rFonts w:eastAsia="Calibri" w:cs="Times New Roman"/>
          <w:szCs w:val="20"/>
        </w:rPr>
      </w:pPr>
      <w:r>
        <w:t xml:space="preserve">Papildomų vertinimo elementų rengimas (išsamiai aprašomas gairėse </w:t>
      </w:r>
      <w:hyperlink r:id="rId34" w:history="1">
        <w:r>
          <w:rPr>
            <w:rStyle w:val="Hyperlink"/>
            <w:sz w:val="20"/>
            <w:szCs w:val="20"/>
          </w:rPr>
          <w:t xml:space="preserve"> „KPP rezultatų vertinimas: kaip pasirengti teikti vertinimo ataskaitas 2017 m.“ (</w:t>
        </w:r>
        <w:r w:rsidR="001F67E3">
          <w:rPr>
            <w:rStyle w:val="Hyperlink"/>
            <w:sz w:val="20"/>
            <w:szCs w:val="20"/>
          </w:rPr>
          <w:t xml:space="preserve">angl. </w:t>
        </w:r>
        <w:r w:rsidRPr="001F67E3">
          <w:rPr>
            <w:rStyle w:val="Hyperlink"/>
            <w:i/>
            <w:iCs/>
            <w:sz w:val="20"/>
            <w:szCs w:val="20"/>
          </w:rPr>
          <w:t>Assessment of RDP results how to prepare for reporting on evaluation in 2017</w:t>
        </w:r>
      </w:hyperlink>
      <w:r>
        <w:t xml:space="preserve">) gali būti apibendrintas taip: </w:t>
      </w:r>
    </w:p>
    <w:p w:rsidR="00A45935" w:rsidRPr="00B10B3C" w:rsidRDefault="00AF420C" w:rsidP="00B421B9">
      <w:pPr>
        <w:pStyle w:val="Hlistbullet"/>
        <w:rPr>
          <w:rFonts w:eastAsia="Calibri"/>
        </w:rPr>
      </w:pPr>
      <w:r>
        <w:rPr>
          <w:noProof/>
          <w:highlight w:val="yellow"/>
          <w:lang w:val="en-GB" w:eastAsia="en-GB"/>
        </w:rPr>
        <mc:AlternateContent>
          <mc:Choice Requires="wps">
            <w:drawing>
              <wp:anchor distT="0" distB="0" distL="114300" distR="114300" simplePos="0" relativeHeight="251710464" behindDoc="0" locked="0" layoutInCell="1" allowOverlap="1" wp14:anchorId="16793C71" wp14:editId="441077BE">
                <wp:simplePos x="0" y="0"/>
                <wp:positionH relativeFrom="column">
                  <wp:posOffset>2910840</wp:posOffset>
                </wp:positionH>
                <wp:positionV relativeFrom="paragraph">
                  <wp:posOffset>69215</wp:posOffset>
                </wp:positionV>
                <wp:extent cx="2832735" cy="1894205"/>
                <wp:effectExtent l="0" t="0" r="24765" b="10795"/>
                <wp:wrapSquare wrapText="bothSides"/>
                <wp:docPr id="34" name="Rectangle: Diagonal Corners Rounded 34"/>
                <wp:cNvGraphicFramePr/>
                <a:graphic xmlns:a="http://schemas.openxmlformats.org/drawingml/2006/main">
                  <a:graphicData uri="http://schemas.microsoft.com/office/word/2010/wordprocessingShape">
                    <wps:wsp>
                      <wps:cNvSpPr/>
                      <wps:spPr>
                        <a:xfrm>
                          <a:off x="0" y="0"/>
                          <a:ext cx="2832735" cy="1894205"/>
                        </a:xfrm>
                        <a:prstGeom prst="round2DiagRect">
                          <a:avLst>
                            <a:gd name="adj1" fmla="val 7843"/>
                            <a:gd name="adj2" fmla="val 0"/>
                          </a:avLst>
                        </a:prstGeom>
                        <a:noFill/>
                        <a:ln w="25400" cap="flat" cmpd="sng" algn="ctr">
                          <a:solidFill>
                            <a:srgbClr val="BE4A35"/>
                          </a:solidFill>
                          <a:prstDash val="solid"/>
                        </a:ln>
                        <a:effectLst/>
                      </wps:spPr>
                      <wps:txbx>
                        <w:txbxContent>
                          <w:p w:rsidR="001F67E3" w:rsidRPr="00D450FE" w:rsidRDefault="001F67E3" w:rsidP="00E05D08">
                            <w:pPr>
                              <w:pStyle w:val="HStandard"/>
                              <w:rPr>
                                <w:sz w:val="18"/>
                                <w:szCs w:val="18"/>
                              </w:rPr>
                            </w:pPr>
                            <w:r>
                              <w:rPr>
                                <w:noProof/>
                                <w:lang w:val="en-GB" w:eastAsia="en-GB"/>
                              </w:rPr>
                              <w:drawing>
                                <wp:inline distT="0" distB="0" distL="0" distR="0" wp14:anchorId="5D1D4D04" wp14:editId="48207668">
                                  <wp:extent cx="664845" cy="487680"/>
                                  <wp:effectExtent l="0" t="0" r="0" b="7620"/>
                                  <wp:docPr id="734"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Šių gairių 2.4 skyriuje siūlomi papildomi vertinimo elementai (papildomi vertinimo klausimai, papildomi vertinimo kriterijai ir papildomi rodikliai) </w:t>
                            </w:r>
                            <w:r>
                              <w:rPr>
                                <w:b/>
                                <w:sz w:val="18"/>
                                <w:szCs w:val="18"/>
                              </w:rPr>
                              <w:t xml:space="preserve">yra neprivalomi! </w:t>
                            </w:r>
                            <w:r>
                              <w:rPr>
                                <w:sz w:val="18"/>
                                <w:szCs w:val="18"/>
                              </w:rPr>
                              <w:t xml:space="preserve">Kiekviena vadovaujančioji institucija gali nuspręsti parengti ir taikyti savo pačios parengtus papildomus ir konkrečiai programai skirtus vertinimo elementus.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93C71" id="Rectangle: Diagonal Corners Rounded 34" o:spid="_x0000_s1039" style="position:absolute;left:0;text-align:left;margin-left:229.2pt;margin-top:5.45pt;width:223.05pt;height:149.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2735,18942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" adj="-11796480,,5400" path="m148562,l2832735,r,l2832735,1745643v,82049,-66513,148562,-148562,148562l,1894205r,l,148562c,66513,66513,,148562,xe" filled="f" strokecolor="#be4a35" strokeweight="2pt">
                <v:stroke joinstyle="miter"/>
                <v:formulas/>
                <v:path arrowok="t" o:connecttype="custom" o:connectlocs="148562,0;2832735,0;2832735,0;2832735,1745643;2684173,1894205;0,1894205;0,1894205;0,148562;148562,0" o:connectangles="0,0,0,0,0,0,0,0,0" textboxrect="0,0,2832735,1894205"/>
                <v:textbox>
                  <w:txbxContent>
                    <w:p w:rsidR="001F67E3" w:rsidRPr="00D450FE" w:rsidRDefault="001F67E3" w:rsidP="00E05D08">
                      <w:pPr>
                        <w:pStyle w:val="HStandard"/>
                        <w:rPr>
                          <w:sz w:val="18"/>
                          <w:szCs w:val="18"/>
                        </w:rPr>
                      </w:pPr>
                      <w:r>
                        <w:rPr>
                          <w:noProof/>
                          <w:lang w:val="en-GB" w:eastAsia="en-GB"/>
                        </w:rPr>
                        <w:drawing>
                          <wp:inline distT="0" distB="0" distL="0" distR="0" wp14:anchorId="5D1D4D04" wp14:editId="48207668">
                            <wp:extent cx="664845" cy="487680"/>
                            <wp:effectExtent l="0" t="0" r="0" b="7620"/>
                            <wp:docPr id="734"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Šių gairių 2.4 skyriuje siūlomi papildomi vertinimo elementai (papildomi vertinimo klausimai, papildomi vertinimo kriterijai ir papildomi rodikliai) </w:t>
                      </w:r>
                      <w:r>
                        <w:rPr>
                          <w:b/>
                          <w:sz w:val="18"/>
                          <w:szCs w:val="18"/>
                        </w:rPr>
                        <w:t xml:space="preserve">yra neprivalomi! </w:t>
                      </w:r>
                      <w:r>
                        <w:rPr>
                          <w:sz w:val="18"/>
                          <w:szCs w:val="18"/>
                        </w:rPr>
                        <w:t xml:space="preserve">Kiekviena vadovaujančioji institucija gali nuspręsti parengti ir taikyti savo pačios parengtus papildomus ir konkrečiai programai skirtus vertinimo elementus. </w:t>
                      </w:r>
                    </w:p>
                  </w:txbxContent>
                </v:textbox>
                <w10:wrap type="square"/>
              </v:shape>
            </w:pict>
          </mc:Fallback>
        </mc:AlternateContent>
      </w:r>
      <w:r w:rsidR="00576A73">
        <w:t>peržiūrėkite KPP intervencinių veiksmų loginį pagrindą dėl sąsajų su inovacijomis (žr. </w:t>
      </w:r>
      <w:hyperlink w:anchor="Screening_Potential" w:history="1">
        <w:r w:rsidR="00576A73">
          <w:rPr>
            <w:rStyle w:val="Hyperlink"/>
            <w:sz w:val="20"/>
          </w:rPr>
          <w:t>2.2 skyrių</w:t>
        </w:r>
      </w:hyperlink>
      <w:r w:rsidR="00576A73">
        <w:t>);</w:t>
      </w:r>
    </w:p>
    <w:p w:rsidR="00A45935" w:rsidRPr="00B10B3C" w:rsidRDefault="00A45935" w:rsidP="00B421B9">
      <w:pPr>
        <w:pStyle w:val="Hlistbullet"/>
        <w:rPr>
          <w:rFonts w:eastAsia="Calibri"/>
        </w:rPr>
      </w:pPr>
      <w:r>
        <w:t xml:space="preserve">peržiūrėkite su inovacijomis susijusius bendruosius vertinimo klausimus, vertinimo kriterijus ir rodiklius ir patikrinkite, ar jie pakankami siekiant atsakyti į su inovacijomis susijusius BVK; </w:t>
      </w:r>
    </w:p>
    <w:p w:rsidR="00576A73" w:rsidRPr="00576A73" w:rsidRDefault="00A45935" w:rsidP="00B421B9">
      <w:pPr>
        <w:pStyle w:val="Hlistbullet"/>
        <w:rPr>
          <w:rFonts w:eastAsia="Calibri"/>
        </w:rPr>
      </w:pPr>
      <w:r>
        <w:t>papildykite BSVS papildomais su inovacijomis susijusiais vertinimo elementais, jei bendrųjų elementų nepakanka, kad būtų galima atsakyti į su inovacijomis susijusius BVK;</w:t>
      </w:r>
    </w:p>
    <w:p w:rsidR="00576A73" w:rsidRPr="00576A73" w:rsidRDefault="00A45935" w:rsidP="00B421B9">
      <w:pPr>
        <w:pStyle w:val="Hlistbullet"/>
        <w:rPr>
          <w:rFonts w:eastAsia="Calibri"/>
        </w:rPr>
      </w:pPr>
      <w:r>
        <w:t>parenkite konkrečios programos vertinio elementus, skirtus įvertinti inovacijas, susijusias su konkrečios programos tikslinėmis sritimis (TS) ir vertinimo klausimais, susijusiais su konkrečiu vadovaujančiosios institucijos interesu.</w:t>
      </w:r>
      <w:r>
        <w:rPr>
          <w:highlight w:val="yellow"/>
        </w:rPr>
        <w:t xml:space="preserve"> </w:t>
      </w:r>
    </w:p>
    <w:p w:rsidR="000A43B7" w:rsidRDefault="0028039D" w:rsidP="000A43B7">
      <w:pPr>
        <w:rPr>
          <w:noProof/>
          <w:szCs w:val="20"/>
          <w:highlight w:val="yellow"/>
        </w:rPr>
      </w:pPr>
      <w:r>
        <w:rPr>
          <w:rFonts w:cs="Arial"/>
          <w:b/>
          <w:noProof/>
          <w:color w:val="F07E31"/>
          <w:lang w:val="en-GB" w:eastAsia="en-GB"/>
        </w:rPr>
        <mc:AlternateContent>
          <mc:Choice Requires="wps">
            <w:drawing>
              <wp:anchor distT="0" distB="0" distL="114300" distR="114300" simplePos="0" relativeHeight="251738112" behindDoc="0" locked="0" layoutInCell="1" allowOverlap="1" wp14:anchorId="14E45ABB" wp14:editId="1779686B">
                <wp:simplePos x="0" y="0"/>
                <wp:positionH relativeFrom="column">
                  <wp:posOffset>400203</wp:posOffset>
                </wp:positionH>
                <wp:positionV relativeFrom="paragraph">
                  <wp:posOffset>559</wp:posOffset>
                </wp:positionV>
                <wp:extent cx="4702175" cy="1878965"/>
                <wp:effectExtent l="0" t="0" r="22225" b="26035"/>
                <wp:wrapSquare wrapText="bothSides"/>
                <wp:docPr id="70" name="Rectangle: Diagonal Corners Rounded 70"/>
                <wp:cNvGraphicFramePr/>
                <a:graphic xmlns:a="http://schemas.openxmlformats.org/drawingml/2006/main">
                  <a:graphicData uri="http://schemas.microsoft.com/office/word/2010/wordprocessingShape">
                    <wps:wsp>
                      <wps:cNvSpPr/>
                      <wps:spPr>
                        <a:xfrm>
                          <a:off x="0" y="0"/>
                          <a:ext cx="4702175" cy="1878965"/>
                        </a:xfrm>
                        <a:prstGeom prst="round2DiagRect">
                          <a:avLst>
                            <a:gd name="adj1" fmla="val 7630"/>
                            <a:gd name="adj2" fmla="val 0"/>
                          </a:avLst>
                        </a:prstGeom>
                        <a:noFill/>
                        <a:ln w="25400" cap="flat" cmpd="sng" algn="ctr">
                          <a:solidFill>
                            <a:srgbClr val="8BAB80"/>
                          </a:solidFill>
                          <a:prstDash val="solid"/>
                        </a:ln>
                        <a:effectLst/>
                      </wps:spPr>
                      <wps:txbx>
                        <w:txbxContent>
                          <w:p w:rsidR="001F67E3" w:rsidRPr="00275EE5" w:rsidRDefault="001F67E3" w:rsidP="001744D0">
                            <w:pPr>
                              <w:pStyle w:val="Normal12PTcouleurgris"/>
                            </w:pPr>
                            <w:r w:rsidRPr="00171202">
                              <w:rPr>
                                <w:noProof/>
                                <w:lang w:val="en-GB" w:eastAsia="en-GB"/>
                              </w:rPr>
                              <w:drawing>
                                <wp:inline distT="0" distB="0" distL="0" distR="0" wp14:anchorId="7E197E93" wp14:editId="3319D027">
                                  <wp:extent cx="721507" cy="442127"/>
                                  <wp:effectExtent l="0" t="0" r="0" b="0"/>
                                  <wp:docPr id="735"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19036" cy="44061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4052"/>
                              <w:gridCol w:w="2893"/>
                            </w:tblGrid>
                            <w:tr w:rsidR="001F67E3" w:rsidRPr="0079762F" w:rsidTr="00B97A61">
                              <w:tc>
                                <w:tcPr>
                                  <w:tcW w:w="4188" w:type="dxa"/>
                                  <w:shd w:val="clear" w:color="auto" w:fill="FFFFFF"/>
                                </w:tcPr>
                                <w:p w:rsidR="001F67E3" w:rsidRPr="00654F10" w:rsidRDefault="001F67E3" w:rsidP="001744D0">
                                  <w:pPr>
                                    <w:pStyle w:val="Normal12PTcouleurgris"/>
                                    <w:rPr>
                                      <w:b/>
                                      <w:color w:val="404040"/>
                                      <w:sz w:val="18"/>
                                    </w:rPr>
                                  </w:pPr>
                                  <w:r>
                                    <w:rPr>
                                      <w:b/>
                                      <w:color w:val="404040"/>
                                      <w:sz w:val="18"/>
                                    </w:rPr>
                                    <w:t>Ką reikėtų daryti</w:t>
                                  </w:r>
                                </w:p>
                                <w:p w:rsidR="001F67E3" w:rsidRPr="00654F10" w:rsidRDefault="001F67E3" w:rsidP="007A450E">
                                  <w:pPr>
                                    <w:pStyle w:val="Hlistbullet"/>
                                    <w:spacing w:line="160" w:lineRule="atLeast"/>
                                    <w:jc w:val="left"/>
                                    <w:rPr>
                                      <w:sz w:val="18"/>
                                      <w:szCs w:val="18"/>
                                    </w:rPr>
                                  </w:pPr>
                                  <w:r>
                                    <w:rPr>
                                      <w:sz w:val="18"/>
                                      <w:szCs w:val="18"/>
                                    </w:rPr>
                                    <w:t>Peržiūrėti BSVS vertinimo kriterijus ir rodiklius siekiant įsitikinti, kad jų pakanka siekiant atsakyti į BVK</w:t>
                                  </w:r>
                                </w:p>
                                <w:p w:rsidR="001F67E3" w:rsidRPr="00654F10" w:rsidRDefault="001F67E3" w:rsidP="007A450E">
                                  <w:pPr>
                                    <w:pStyle w:val="Hlistbullet"/>
                                    <w:spacing w:line="160" w:lineRule="atLeast"/>
                                    <w:jc w:val="left"/>
                                    <w:rPr>
                                      <w:sz w:val="18"/>
                                      <w:szCs w:val="18"/>
                                    </w:rPr>
                                  </w:pPr>
                                  <w:r>
                                    <w:rPr>
                                      <w:sz w:val="18"/>
                                      <w:szCs w:val="18"/>
                                    </w:rPr>
                                    <w:t>Parengti papildomus vertinimo kriterijus ir rodiklius, jei bendrųjų rodiklių nepakanka, kad būtų galima surinkti duomenis siekiant atsakyti į BVK</w:t>
                                  </w:r>
                                </w:p>
                              </w:tc>
                              <w:tc>
                                <w:tcPr>
                                  <w:tcW w:w="2960" w:type="dxa"/>
                                  <w:shd w:val="clear" w:color="auto" w:fill="auto"/>
                                </w:tcPr>
                                <w:p w:rsidR="001F67E3" w:rsidRPr="00654F10" w:rsidRDefault="001F67E3" w:rsidP="001744D0">
                                  <w:pPr>
                                    <w:pStyle w:val="Normal12PTcouleurgris"/>
                                    <w:rPr>
                                      <w:b/>
                                      <w:color w:val="404040"/>
                                      <w:sz w:val="18"/>
                                    </w:rPr>
                                  </w:pPr>
                                  <w:r>
                                    <w:rPr>
                                      <w:b/>
                                      <w:color w:val="404040"/>
                                      <w:sz w:val="18"/>
                                    </w:rPr>
                                    <w:t>Ko nereikėtų daryti</w:t>
                                  </w:r>
                                </w:p>
                                <w:p w:rsidR="001F67E3" w:rsidRPr="00654F10" w:rsidRDefault="001F67E3" w:rsidP="007A450E">
                                  <w:pPr>
                                    <w:pStyle w:val="Hlistbullet"/>
                                    <w:spacing w:line="160" w:lineRule="atLeast"/>
                                    <w:jc w:val="left"/>
                                    <w:rPr>
                                      <w:sz w:val="18"/>
                                      <w:szCs w:val="18"/>
                                    </w:rPr>
                                  </w:pPr>
                                  <w:r>
                                    <w:rPr>
                                      <w:sz w:val="18"/>
                                      <w:szCs w:val="18"/>
                                    </w:rPr>
                                    <w:t>Nereikėtų naudoti tik produkto rodiklius siekiant atsakyti į BVK (kurių nepakanka, kad būtų galima visapusiškai parodyti, ar buvo pasiektas politikos tikslas)</w:t>
                                  </w:r>
                                </w:p>
                                <w:p w:rsidR="001F67E3" w:rsidRPr="00654F10" w:rsidRDefault="001F67E3" w:rsidP="001744D0">
                                  <w:pPr>
                                    <w:pStyle w:val="Normal12PTcouleurgris"/>
                                    <w:rPr>
                                      <w:color w:val="1A1A1A"/>
                                      <w:sz w:val="18"/>
                                    </w:rPr>
                                  </w:pPr>
                                </w:p>
                              </w:tc>
                            </w:tr>
                          </w:tbl>
                          <w:p w:rsidR="001F67E3" w:rsidRPr="00275EE5" w:rsidRDefault="001F67E3"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45ABB" id="Rectangle: Diagonal Corners Rounded 70" o:spid="_x0000_s1040" style="position:absolute;left:0;text-align:left;margin-left:31.5pt;margin-top:.05pt;width:370.25pt;height:147.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02175,18789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" adj="-11796480,,5400" path="m143365,l4702175,r,l4702175,1735600v,79178,-64187,143365,-143365,143365l,1878965r,l,143365c,64187,64187,,143365,xe" filled="f" strokecolor="#8bab80" strokeweight="2pt">
                <v:stroke joinstyle="miter"/>
                <v:formulas/>
                <v:path arrowok="t" o:connecttype="custom" o:connectlocs="143365,0;4702175,0;4702175,0;4702175,1735600;4558810,1878965;0,1878965;0,1878965;0,143365;143365,0" o:connectangles="0,0,0,0,0,0,0,0,0" textboxrect="0,0,4702175,1878965"/>
                <v:textbox>
                  <w:txbxContent>
                    <w:p w:rsidR="001F67E3" w:rsidRPr="00275EE5" w:rsidRDefault="001F67E3" w:rsidP="001744D0">
                      <w:pPr>
                        <w:pStyle w:val="Normal12PTcouleurgris"/>
                      </w:pPr>
                      <w:r w:rsidRPr="00171202">
                        <w:rPr>
                          <w:noProof/>
                          <w:lang w:val="en-GB" w:eastAsia="en-GB"/>
                        </w:rPr>
                        <w:drawing>
                          <wp:inline distT="0" distB="0" distL="0" distR="0" wp14:anchorId="7E197E93" wp14:editId="3319D027">
                            <wp:extent cx="721507" cy="442127"/>
                            <wp:effectExtent l="0" t="0" r="0" b="0"/>
                            <wp:docPr id="735"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19036" cy="44061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4052"/>
                        <w:gridCol w:w="2893"/>
                      </w:tblGrid>
                      <w:tr w:rsidR="001F67E3" w:rsidRPr="0079762F" w:rsidTr="00B97A61">
                        <w:tc>
                          <w:tcPr>
                            <w:tcW w:w="4188" w:type="dxa"/>
                            <w:shd w:val="clear" w:color="auto" w:fill="FFFFFF"/>
                          </w:tcPr>
                          <w:p w:rsidR="001F67E3" w:rsidRPr="00654F10" w:rsidRDefault="001F67E3" w:rsidP="001744D0">
                            <w:pPr>
                              <w:pStyle w:val="Normal12PTcouleurgris"/>
                              <w:rPr>
                                <w:b/>
                                <w:color w:val="404040"/>
                                <w:sz w:val="18"/>
                              </w:rPr>
                            </w:pPr>
                            <w:r>
                              <w:rPr>
                                <w:b/>
                                <w:color w:val="404040"/>
                                <w:sz w:val="18"/>
                              </w:rPr>
                              <w:t>Ką reikėtų daryti</w:t>
                            </w:r>
                          </w:p>
                          <w:p w:rsidR="001F67E3" w:rsidRPr="00654F10" w:rsidRDefault="001F67E3" w:rsidP="007A450E">
                            <w:pPr>
                              <w:pStyle w:val="Hlistbullet"/>
                              <w:spacing w:line="160" w:lineRule="atLeast"/>
                              <w:jc w:val="left"/>
                              <w:rPr>
                                <w:sz w:val="18"/>
                                <w:szCs w:val="18"/>
                              </w:rPr>
                            </w:pPr>
                            <w:r>
                              <w:rPr>
                                <w:sz w:val="18"/>
                                <w:szCs w:val="18"/>
                              </w:rPr>
                              <w:t>Peržiūrėti BSVS vertinimo kriterijus ir rodiklius siekiant įsitikinti, kad jų pakanka siekiant atsakyti į BVK</w:t>
                            </w:r>
                          </w:p>
                          <w:p w:rsidR="001F67E3" w:rsidRPr="00654F10" w:rsidRDefault="001F67E3" w:rsidP="007A450E">
                            <w:pPr>
                              <w:pStyle w:val="Hlistbullet"/>
                              <w:spacing w:line="160" w:lineRule="atLeast"/>
                              <w:jc w:val="left"/>
                              <w:rPr>
                                <w:sz w:val="18"/>
                                <w:szCs w:val="18"/>
                              </w:rPr>
                            </w:pPr>
                            <w:r>
                              <w:rPr>
                                <w:sz w:val="18"/>
                                <w:szCs w:val="18"/>
                              </w:rPr>
                              <w:t>Parengti papildomus vertinimo kriterijus ir rodiklius, jei bendrųjų rodiklių nepakanka, kad būtų galima surinkti duomenis siekiant atsakyti į BVK</w:t>
                            </w:r>
                          </w:p>
                        </w:tc>
                        <w:tc>
                          <w:tcPr>
                            <w:tcW w:w="2960" w:type="dxa"/>
                            <w:shd w:val="clear" w:color="auto" w:fill="auto"/>
                          </w:tcPr>
                          <w:p w:rsidR="001F67E3" w:rsidRPr="00654F10" w:rsidRDefault="001F67E3" w:rsidP="001744D0">
                            <w:pPr>
                              <w:pStyle w:val="Normal12PTcouleurgris"/>
                              <w:rPr>
                                <w:b/>
                                <w:color w:val="404040"/>
                                <w:sz w:val="18"/>
                              </w:rPr>
                            </w:pPr>
                            <w:r>
                              <w:rPr>
                                <w:b/>
                                <w:color w:val="404040"/>
                                <w:sz w:val="18"/>
                              </w:rPr>
                              <w:t>Ko nereikėtų daryti</w:t>
                            </w:r>
                          </w:p>
                          <w:p w:rsidR="001F67E3" w:rsidRPr="00654F10" w:rsidRDefault="001F67E3" w:rsidP="007A450E">
                            <w:pPr>
                              <w:pStyle w:val="Hlistbullet"/>
                              <w:spacing w:line="160" w:lineRule="atLeast"/>
                              <w:jc w:val="left"/>
                              <w:rPr>
                                <w:sz w:val="18"/>
                                <w:szCs w:val="18"/>
                              </w:rPr>
                            </w:pPr>
                            <w:r>
                              <w:rPr>
                                <w:sz w:val="18"/>
                                <w:szCs w:val="18"/>
                              </w:rPr>
                              <w:t>Nereikėtų naudoti tik produkto rodiklius siekiant atsakyti į BVK (kurių nepakanka, kad būtų galima visapusiškai parodyti, ar buvo pasiektas politikos tikslas)</w:t>
                            </w:r>
                          </w:p>
                          <w:p w:rsidR="001F67E3" w:rsidRPr="00654F10" w:rsidRDefault="001F67E3" w:rsidP="001744D0">
                            <w:pPr>
                              <w:pStyle w:val="Normal12PTcouleurgris"/>
                              <w:rPr>
                                <w:color w:val="1A1A1A"/>
                                <w:sz w:val="18"/>
                              </w:rPr>
                            </w:pPr>
                          </w:p>
                        </w:tc>
                      </w:tr>
                    </w:tbl>
                    <w:p w:rsidR="001F67E3" w:rsidRPr="00275EE5" w:rsidRDefault="001F67E3" w:rsidP="007A450E">
                      <w:pPr>
                        <w:pStyle w:val="Normal12PTcouleurgris"/>
                      </w:pPr>
                    </w:p>
                  </w:txbxContent>
                </v:textbox>
                <w10:wrap type="square"/>
              </v:shape>
            </w:pict>
          </mc:Fallback>
        </mc:AlternateContent>
      </w:r>
    </w:p>
    <w:p w:rsidR="00A92E91" w:rsidRPr="00A92E91" w:rsidRDefault="00A45935" w:rsidP="00B421B9">
      <w:pPr>
        <w:pStyle w:val="HHeading2"/>
        <w:numPr>
          <w:ilvl w:val="1"/>
          <w:numId w:val="119"/>
        </w:numPr>
        <w:ind w:left="567" w:hanging="567"/>
        <w:rPr>
          <w:noProof/>
          <w:snapToGrid w:val="0"/>
        </w:rPr>
      </w:pPr>
      <w:bookmarkStart w:id="99" w:name="Answering"/>
      <w:bookmarkStart w:id="100" w:name="_Toc493151904"/>
      <w:bookmarkStart w:id="101" w:name="_Toc501382130"/>
      <w:bookmarkStart w:id="102" w:name="_Toc508976527"/>
      <w:bookmarkEnd w:id="11"/>
      <w:bookmarkEnd w:id="99"/>
      <w:r>
        <w:lastRenderedPageBreak/>
        <w:t>Atsakymas į svarbius bendruosius vertinimo klausimus (privaloma)</w:t>
      </w:r>
      <w:bookmarkEnd w:id="100"/>
      <w:bookmarkEnd w:id="101"/>
      <w:bookmarkEnd w:id="102"/>
    </w:p>
    <w:p w:rsidR="007A450E" w:rsidRDefault="007A450E" w:rsidP="00725801">
      <w:pPr>
        <w:spacing w:after="120" w:line="280" w:lineRule="atLeast"/>
        <w:mirrorIndents/>
        <w:rPr>
          <w:rFonts w:eastAsia="Times New Roman" w:cs="Times New Roman"/>
          <w:szCs w:val="20"/>
          <w:shd w:val="clear" w:color="auto" w:fill="FFFFFF"/>
        </w:rPr>
      </w:pPr>
      <w:r>
        <w:rPr>
          <w:noProof/>
          <w:color w:val="F07E31"/>
          <w:highlight w:val="yellow"/>
          <w:lang w:val="en-GB" w:eastAsia="en-GB"/>
        </w:rPr>
        <mc:AlternateContent>
          <mc:Choice Requires="wps">
            <w:drawing>
              <wp:anchor distT="0" distB="0" distL="114300" distR="114300" simplePos="0" relativeHeight="251717632" behindDoc="0" locked="0" layoutInCell="1" allowOverlap="1" wp14:anchorId="3C40B129" wp14:editId="36D62EA0">
                <wp:simplePos x="0" y="0"/>
                <wp:positionH relativeFrom="page">
                  <wp:posOffset>914400</wp:posOffset>
                </wp:positionH>
                <wp:positionV relativeFrom="paragraph">
                  <wp:posOffset>837565</wp:posOffset>
                </wp:positionV>
                <wp:extent cx="5795645" cy="3293110"/>
                <wp:effectExtent l="0" t="0" r="14605" b="21590"/>
                <wp:wrapSquare wrapText="bothSides"/>
                <wp:docPr id="19" name="Rectangle: Diagonal Corners Rounded 19"/>
                <wp:cNvGraphicFramePr/>
                <a:graphic xmlns:a="http://schemas.openxmlformats.org/drawingml/2006/main">
                  <a:graphicData uri="http://schemas.microsoft.com/office/word/2010/wordprocessingShape">
                    <wps:wsp>
                      <wps:cNvSpPr/>
                      <wps:spPr>
                        <a:xfrm>
                          <a:off x="0" y="0"/>
                          <a:ext cx="5795645" cy="3293110"/>
                        </a:xfrm>
                        <a:prstGeom prst="round2DiagRect">
                          <a:avLst>
                            <a:gd name="adj1" fmla="val 7843"/>
                            <a:gd name="adj2" fmla="val 0"/>
                          </a:avLst>
                        </a:prstGeom>
                        <a:noFill/>
                        <a:ln w="25400" cap="flat" cmpd="sng" algn="ctr">
                          <a:solidFill>
                            <a:srgbClr val="BE4A35"/>
                          </a:solidFill>
                          <a:prstDash val="solid"/>
                        </a:ln>
                        <a:effectLst/>
                      </wps:spPr>
                      <wps:txbx>
                        <w:txbxContent>
                          <w:p w:rsidR="001F67E3" w:rsidRPr="00AC3522" w:rsidRDefault="001F67E3" w:rsidP="00E05D08">
                            <w:pPr>
                              <w:pStyle w:val="Normal12PTcouleurgris"/>
                              <w:rPr>
                                <w:shd w:val="clear" w:color="auto" w:fill="FFFFFF"/>
                              </w:rPr>
                            </w:pPr>
                            <w:r>
                              <w:rPr>
                                <w:noProof/>
                                <w:lang w:val="en-GB" w:eastAsia="en-GB"/>
                              </w:rPr>
                              <w:drawing>
                                <wp:inline distT="0" distB="0" distL="0" distR="0" wp14:anchorId="76CC84B8" wp14:editId="1F0C75F7">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 xml:space="preserve">Kiekvienam BVK taikoma tokia struktūra: </w:t>
                            </w:r>
                          </w:p>
                          <w:p w:rsidR="001F67E3" w:rsidRPr="00A92E91" w:rsidRDefault="001F67E3" w:rsidP="008C0B17">
                            <w:pPr>
                              <w:pStyle w:val="Normal12PTcouleurgris"/>
                              <w:numPr>
                                <w:ilvl w:val="0"/>
                                <w:numId w:val="78"/>
                              </w:numPr>
                              <w:ind w:left="284" w:hanging="284"/>
                              <w:jc w:val="left"/>
                              <w:rPr>
                                <w:b/>
                                <w:shd w:val="clear" w:color="auto" w:fill="FFFFFF"/>
                              </w:rPr>
                            </w:pPr>
                            <w:r>
                              <w:rPr>
                                <w:b/>
                                <w:shd w:val="clear" w:color="auto" w:fill="FFFFFF"/>
                              </w:rPr>
                              <w:t>Kaip suprasti BVK?</w:t>
                            </w:r>
                          </w:p>
                          <w:p w:rsidR="001F67E3" w:rsidRPr="00A92E91" w:rsidRDefault="001F67E3" w:rsidP="008C0B17">
                            <w:pPr>
                              <w:pStyle w:val="Normal12PTcouleurgris"/>
                              <w:numPr>
                                <w:ilvl w:val="0"/>
                                <w:numId w:val="78"/>
                              </w:numPr>
                              <w:ind w:left="284" w:hanging="284"/>
                              <w:jc w:val="left"/>
                              <w:rPr>
                                <w:b/>
                                <w:shd w:val="clear" w:color="auto" w:fill="FFFFFF"/>
                              </w:rPr>
                            </w:pPr>
                            <w:r>
                              <w:rPr>
                                <w:b/>
                                <w:shd w:val="clear" w:color="auto" w:fill="FFFFFF"/>
                              </w:rPr>
                              <w:t xml:space="preserve">Konkretūs iššūkiai </w:t>
                            </w:r>
                          </w:p>
                          <w:p w:rsidR="001F67E3" w:rsidRPr="00A92E91" w:rsidRDefault="001F67E3" w:rsidP="008C0B17">
                            <w:pPr>
                              <w:pStyle w:val="Normal12PTcouleurgris"/>
                              <w:numPr>
                                <w:ilvl w:val="0"/>
                                <w:numId w:val="78"/>
                              </w:numPr>
                              <w:ind w:left="284" w:hanging="284"/>
                              <w:jc w:val="left"/>
                              <w:rPr>
                                <w:shd w:val="clear" w:color="auto" w:fill="FFFFFF"/>
                              </w:rPr>
                            </w:pPr>
                            <w:r>
                              <w:rPr>
                                <w:b/>
                                <w:shd w:val="clear" w:color="auto" w:fill="FFFFFF"/>
                              </w:rPr>
                              <w:t>Siūlomas atsakymo į BVK metodas</w:t>
                            </w:r>
                            <w:r>
                              <w:rPr>
                                <w:shd w:val="clear" w:color="auto" w:fill="FFFFFF"/>
                              </w:rPr>
                              <w:t xml:space="preserve">: </w:t>
                            </w:r>
                            <w:r>
                              <w:rPr>
                                <w:i/>
                                <w:shd w:val="clear" w:color="auto" w:fill="FFFFFF"/>
                              </w:rPr>
                              <w:t xml:space="preserve">šiame skyriuje pateikiami siūlomi etapai, metodai ir patarimai, kaip panaudoti bendruosius ir papildomus rodiklius atsakant į BVK. </w:t>
                            </w:r>
                          </w:p>
                          <w:p w:rsidR="001F67E3" w:rsidRPr="00A92E91" w:rsidRDefault="001F67E3" w:rsidP="008C0B17">
                            <w:pPr>
                              <w:pStyle w:val="Hlistabc2"/>
                              <w:numPr>
                                <w:ilvl w:val="0"/>
                                <w:numId w:val="54"/>
                              </w:numPr>
                              <w:spacing w:before="120" w:after="120"/>
                              <w:rPr>
                                <w:sz w:val="18"/>
                                <w:szCs w:val="18"/>
                              </w:rPr>
                            </w:pPr>
                            <w:r>
                              <w:rPr>
                                <w:sz w:val="18"/>
                                <w:szCs w:val="18"/>
                              </w:rPr>
                              <w:t xml:space="preserve">Intervencinių veiksmų loginis pagrindas </w:t>
                            </w:r>
                          </w:p>
                          <w:p w:rsidR="001F67E3" w:rsidRPr="00A92E91" w:rsidRDefault="001F67E3" w:rsidP="008C0B17">
                            <w:pPr>
                              <w:pStyle w:val="Hlistabc2"/>
                              <w:numPr>
                                <w:ilvl w:val="0"/>
                                <w:numId w:val="54"/>
                              </w:numPr>
                              <w:spacing w:before="120" w:after="120"/>
                              <w:rPr>
                                <w:sz w:val="18"/>
                                <w:szCs w:val="18"/>
                              </w:rPr>
                            </w:pPr>
                            <w:r>
                              <w:rPr>
                                <w:sz w:val="18"/>
                                <w:szCs w:val="18"/>
                              </w:rPr>
                              <w:t xml:space="preserve">Vertinimo elementai </w:t>
                            </w:r>
                          </w:p>
                          <w:p w:rsidR="001F67E3" w:rsidRPr="00A92E91" w:rsidRDefault="001F67E3" w:rsidP="008C0B17">
                            <w:pPr>
                              <w:pStyle w:val="Hlistabc2"/>
                              <w:numPr>
                                <w:ilvl w:val="0"/>
                                <w:numId w:val="54"/>
                              </w:numPr>
                              <w:spacing w:before="120" w:after="120"/>
                              <w:rPr>
                                <w:sz w:val="18"/>
                                <w:szCs w:val="18"/>
                              </w:rPr>
                            </w:pPr>
                            <w:r>
                              <w:rPr>
                                <w:sz w:val="18"/>
                                <w:szCs w:val="18"/>
                              </w:rPr>
                              <w:t xml:space="preserve">Siūloma vertinimo metodika </w:t>
                            </w:r>
                          </w:p>
                          <w:p w:rsidR="001F67E3" w:rsidRPr="00A92E91" w:rsidRDefault="001F67E3" w:rsidP="008C0B17">
                            <w:pPr>
                              <w:pStyle w:val="Hlistabc2"/>
                              <w:numPr>
                                <w:ilvl w:val="0"/>
                                <w:numId w:val="54"/>
                              </w:numPr>
                              <w:spacing w:before="120" w:after="120"/>
                              <w:rPr>
                                <w:sz w:val="18"/>
                                <w:szCs w:val="18"/>
                              </w:rPr>
                            </w:pPr>
                            <w:r>
                              <w:rPr>
                                <w:sz w:val="18"/>
                                <w:szCs w:val="18"/>
                              </w:rPr>
                              <w:t xml:space="preserve">Rizika ir sprendimai </w:t>
                            </w:r>
                          </w:p>
                          <w:p w:rsidR="001F67E3" w:rsidRPr="00A92E91" w:rsidRDefault="001F67E3" w:rsidP="008C0B17">
                            <w:pPr>
                              <w:pStyle w:val="Hlistabc2"/>
                              <w:numPr>
                                <w:ilvl w:val="0"/>
                                <w:numId w:val="54"/>
                              </w:numPr>
                              <w:spacing w:before="120" w:after="120"/>
                              <w:rPr>
                                <w:sz w:val="18"/>
                                <w:szCs w:val="18"/>
                              </w:rPr>
                            </w:pPr>
                            <w:r>
                              <w:rPr>
                                <w:sz w:val="18"/>
                                <w:szCs w:val="18"/>
                              </w:rPr>
                              <w:t>Išvados ir rekomendacijos</w:t>
                            </w:r>
                          </w:p>
                          <w:p w:rsidR="001F67E3" w:rsidRPr="00A92E91" w:rsidRDefault="001F67E3" w:rsidP="007372CD">
                            <w:pPr>
                              <w:pStyle w:val="Normal12PTcouleurgris"/>
                              <w:numPr>
                                <w:ilvl w:val="0"/>
                                <w:numId w:val="78"/>
                              </w:numPr>
                              <w:ind w:left="284" w:hanging="284"/>
                              <w:jc w:val="left"/>
                              <w:rPr>
                                <w:b/>
                                <w:shd w:val="clear" w:color="auto" w:fill="FFFFFF"/>
                              </w:rPr>
                            </w:pPr>
                            <w:r>
                              <w:rPr>
                                <w:b/>
                                <w:shd w:val="clear" w:color="auto" w:fill="FFFFFF"/>
                              </w:rPr>
                              <w:t>Daugiau informacijos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B129" id="Rectangle: Diagonal Corners Rounded 19" o:spid="_x0000_s1041" style="position:absolute;left:0;text-align:left;margin-left:1in;margin-top:65.95pt;width:456.35pt;height:259.3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5645,3293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" adj="-11796480,,5400" path="m258279,l5795645,r,l5795645,3034831v,142644,-115635,258279,-258279,258279l,3293110r,l,258279c,115635,115635,,258279,xe" filled="f" strokecolor="#be4a35" strokeweight="2pt">
                <v:stroke joinstyle="miter"/>
                <v:formulas/>
                <v:path arrowok="t" o:connecttype="custom" o:connectlocs="258279,0;5795645,0;5795645,0;5795645,3034831;5537366,3293110;0,3293110;0,3293110;0,258279;258279,0" o:connectangles="0,0,0,0,0,0,0,0,0" textboxrect="0,0,5795645,3293110"/>
                <v:textbox>
                  <w:txbxContent>
                    <w:p w:rsidR="001F67E3" w:rsidRPr="00AC3522" w:rsidRDefault="001F67E3" w:rsidP="00E05D08">
                      <w:pPr>
                        <w:pStyle w:val="Normal12PTcouleurgris"/>
                        <w:rPr>
                          <w:shd w:val="clear" w:color="auto" w:fill="FFFFFF"/>
                        </w:rPr>
                      </w:pPr>
                      <w:r>
                        <w:rPr>
                          <w:noProof/>
                          <w:lang w:val="en-GB" w:eastAsia="en-GB"/>
                        </w:rPr>
                        <w:drawing>
                          <wp:inline distT="0" distB="0" distL="0" distR="0" wp14:anchorId="76CC84B8" wp14:editId="1F0C75F7">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 xml:space="preserve">Kiekvienam BVK taikoma tokia struktūra: </w:t>
                      </w:r>
                    </w:p>
                    <w:p w:rsidR="001F67E3" w:rsidRPr="00A92E91" w:rsidRDefault="001F67E3" w:rsidP="008C0B17">
                      <w:pPr>
                        <w:pStyle w:val="Normal12PTcouleurgris"/>
                        <w:numPr>
                          <w:ilvl w:val="0"/>
                          <w:numId w:val="78"/>
                        </w:numPr>
                        <w:ind w:left="284" w:hanging="284"/>
                        <w:jc w:val="left"/>
                        <w:rPr>
                          <w:b/>
                          <w:shd w:val="clear" w:color="auto" w:fill="FFFFFF"/>
                        </w:rPr>
                      </w:pPr>
                      <w:r>
                        <w:rPr>
                          <w:b/>
                          <w:shd w:val="clear" w:color="auto" w:fill="FFFFFF"/>
                        </w:rPr>
                        <w:t>Kaip suprasti BVK?</w:t>
                      </w:r>
                    </w:p>
                    <w:p w:rsidR="001F67E3" w:rsidRPr="00A92E91" w:rsidRDefault="001F67E3" w:rsidP="008C0B17">
                      <w:pPr>
                        <w:pStyle w:val="Normal12PTcouleurgris"/>
                        <w:numPr>
                          <w:ilvl w:val="0"/>
                          <w:numId w:val="78"/>
                        </w:numPr>
                        <w:ind w:left="284" w:hanging="284"/>
                        <w:jc w:val="left"/>
                        <w:rPr>
                          <w:b/>
                          <w:shd w:val="clear" w:color="auto" w:fill="FFFFFF"/>
                        </w:rPr>
                      </w:pPr>
                      <w:r>
                        <w:rPr>
                          <w:b/>
                          <w:shd w:val="clear" w:color="auto" w:fill="FFFFFF"/>
                        </w:rPr>
                        <w:t xml:space="preserve">Konkretūs iššūkiai </w:t>
                      </w:r>
                    </w:p>
                    <w:p w:rsidR="001F67E3" w:rsidRPr="00A92E91" w:rsidRDefault="001F67E3" w:rsidP="008C0B17">
                      <w:pPr>
                        <w:pStyle w:val="Normal12PTcouleurgris"/>
                        <w:numPr>
                          <w:ilvl w:val="0"/>
                          <w:numId w:val="78"/>
                        </w:numPr>
                        <w:ind w:left="284" w:hanging="284"/>
                        <w:jc w:val="left"/>
                        <w:rPr>
                          <w:shd w:val="clear" w:color="auto" w:fill="FFFFFF"/>
                        </w:rPr>
                      </w:pPr>
                      <w:r>
                        <w:rPr>
                          <w:b/>
                          <w:shd w:val="clear" w:color="auto" w:fill="FFFFFF"/>
                        </w:rPr>
                        <w:t>Siūlomas atsakymo į BVK metodas</w:t>
                      </w:r>
                      <w:r>
                        <w:rPr>
                          <w:shd w:val="clear" w:color="auto" w:fill="FFFFFF"/>
                        </w:rPr>
                        <w:t xml:space="preserve">: </w:t>
                      </w:r>
                      <w:r>
                        <w:rPr>
                          <w:i/>
                          <w:shd w:val="clear" w:color="auto" w:fill="FFFFFF"/>
                        </w:rPr>
                        <w:t xml:space="preserve">šiame skyriuje pateikiami siūlomi etapai, metodai ir patarimai, kaip panaudoti bendruosius ir papildomus rodiklius atsakant į BVK. </w:t>
                      </w:r>
                    </w:p>
                    <w:p w:rsidR="001F67E3" w:rsidRPr="00A92E91" w:rsidRDefault="001F67E3" w:rsidP="008C0B17">
                      <w:pPr>
                        <w:pStyle w:val="Hlistabc2"/>
                        <w:numPr>
                          <w:ilvl w:val="0"/>
                          <w:numId w:val="54"/>
                        </w:numPr>
                        <w:spacing w:before="120" w:after="120"/>
                        <w:rPr>
                          <w:sz w:val="18"/>
                          <w:szCs w:val="18"/>
                        </w:rPr>
                      </w:pPr>
                      <w:r>
                        <w:rPr>
                          <w:sz w:val="18"/>
                          <w:szCs w:val="18"/>
                        </w:rPr>
                        <w:t xml:space="preserve">Intervencinių veiksmų loginis pagrindas </w:t>
                      </w:r>
                    </w:p>
                    <w:p w:rsidR="001F67E3" w:rsidRPr="00A92E91" w:rsidRDefault="001F67E3" w:rsidP="008C0B17">
                      <w:pPr>
                        <w:pStyle w:val="Hlistabc2"/>
                        <w:numPr>
                          <w:ilvl w:val="0"/>
                          <w:numId w:val="54"/>
                        </w:numPr>
                        <w:spacing w:before="120" w:after="120"/>
                        <w:rPr>
                          <w:sz w:val="18"/>
                          <w:szCs w:val="18"/>
                        </w:rPr>
                      </w:pPr>
                      <w:r>
                        <w:rPr>
                          <w:sz w:val="18"/>
                          <w:szCs w:val="18"/>
                        </w:rPr>
                        <w:t xml:space="preserve">Vertinimo elementai </w:t>
                      </w:r>
                    </w:p>
                    <w:p w:rsidR="001F67E3" w:rsidRPr="00A92E91" w:rsidRDefault="001F67E3" w:rsidP="008C0B17">
                      <w:pPr>
                        <w:pStyle w:val="Hlistabc2"/>
                        <w:numPr>
                          <w:ilvl w:val="0"/>
                          <w:numId w:val="54"/>
                        </w:numPr>
                        <w:spacing w:before="120" w:after="120"/>
                        <w:rPr>
                          <w:sz w:val="18"/>
                          <w:szCs w:val="18"/>
                        </w:rPr>
                      </w:pPr>
                      <w:r>
                        <w:rPr>
                          <w:sz w:val="18"/>
                          <w:szCs w:val="18"/>
                        </w:rPr>
                        <w:t xml:space="preserve">Siūloma vertinimo metodika </w:t>
                      </w:r>
                    </w:p>
                    <w:p w:rsidR="001F67E3" w:rsidRPr="00A92E91" w:rsidRDefault="001F67E3" w:rsidP="008C0B17">
                      <w:pPr>
                        <w:pStyle w:val="Hlistabc2"/>
                        <w:numPr>
                          <w:ilvl w:val="0"/>
                          <w:numId w:val="54"/>
                        </w:numPr>
                        <w:spacing w:before="120" w:after="120"/>
                        <w:rPr>
                          <w:sz w:val="18"/>
                          <w:szCs w:val="18"/>
                        </w:rPr>
                      </w:pPr>
                      <w:r>
                        <w:rPr>
                          <w:sz w:val="18"/>
                          <w:szCs w:val="18"/>
                        </w:rPr>
                        <w:t xml:space="preserve">Rizika ir sprendimai </w:t>
                      </w:r>
                    </w:p>
                    <w:p w:rsidR="001F67E3" w:rsidRPr="00A92E91" w:rsidRDefault="001F67E3" w:rsidP="008C0B17">
                      <w:pPr>
                        <w:pStyle w:val="Hlistabc2"/>
                        <w:numPr>
                          <w:ilvl w:val="0"/>
                          <w:numId w:val="54"/>
                        </w:numPr>
                        <w:spacing w:before="120" w:after="120"/>
                        <w:rPr>
                          <w:sz w:val="18"/>
                          <w:szCs w:val="18"/>
                        </w:rPr>
                      </w:pPr>
                      <w:r>
                        <w:rPr>
                          <w:sz w:val="18"/>
                          <w:szCs w:val="18"/>
                        </w:rPr>
                        <w:t>Išvados ir rekomendacijos</w:t>
                      </w:r>
                    </w:p>
                    <w:p w:rsidR="001F67E3" w:rsidRPr="00A92E91" w:rsidRDefault="001F67E3" w:rsidP="007372CD">
                      <w:pPr>
                        <w:pStyle w:val="Normal12PTcouleurgris"/>
                        <w:numPr>
                          <w:ilvl w:val="0"/>
                          <w:numId w:val="78"/>
                        </w:numPr>
                        <w:ind w:left="284" w:hanging="284"/>
                        <w:jc w:val="left"/>
                        <w:rPr>
                          <w:b/>
                          <w:shd w:val="clear" w:color="auto" w:fill="FFFFFF"/>
                        </w:rPr>
                      </w:pPr>
                      <w:r>
                        <w:rPr>
                          <w:b/>
                          <w:shd w:val="clear" w:color="auto" w:fill="FFFFFF"/>
                        </w:rPr>
                        <w:t>Daugiau informacijos</w:t>
                      </w:r>
                    </w:p>
                  </w:txbxContent>
                </v:textbox>
                <w10:wrap type="square" anchorx="page"/>
              </v:shape>
            </w:pict>
          </mc:Fallback>
        </mc:AlternateContent>
      </w:r>
      <w:r>
        <w:rPr>
          <w:szCs w:val="20"/>
          <w:shd w:val="clear" w:color="auto" w:fill="FFFFFF"/>
        </w:rPr>
        <w:t xml:space="preserve">Nors atsakyti į BVK klausimus yra privaloma, šiame skyriuje pateikiamos neprivalomos rekomendacijos, kaip atsakyti į su inovacijomis susijusius 1, 2, 21, 23 ir 30-ąjį BVK. Į šiuos klausimus turi būti atsakyta išsamesnėje 2019 m. teikiamoje metinėje įgyvendinimo ataskaitoje (MĮA) ir </w:t>
      </w:r>
      <w:r>
        <w:rPr>
          <w:i/>
          <w:szCs w:val="20"/>
          <w:shd w:val="clear" w:color="auto" w:fill="FFFFFF"/>
        </w:rPr>
        <w:t>ex post</w:t>
      </w:r>
      <w:r>
        <w:rPr>
          <w:szCs w:val="20"/>
          <w:shd w:val="clear" w:color="auto" w:fill="FFFFFF"/>
        </w:rPr>
        <w:t xml:space="preserve"> vertinimo ataskaitoje.</w:t>
      </w:r>
    </w:p>
    <w:p w:rsidR="00A45935" w:rsidRPr="00E05D08" w:rsidRDefault="00A45935" w:rsidP="00582F60">
      <w:pPr>
        <w:spacing w:after="120" w:line="280" w:lineRule="atLeast"/>
        <w:mirrorIndents/>
        <w:rPr>
          <w:rFonts w:eastAsia="Times New Roman" w:cs="Times New Roman"/>
          <w:color w:val="F07E31"/>
          <w:szCs w:val="20"/>
        </w:rPr>
        <w:sectPr w:rsidR="00A45935" w:rsidRPr="00E05D08" w:rsidSect="00055039">
          <w:headerReference w:type="even" r:id="rId35"/>
          <w:footerReference w:type="even" r:id="rId36"/>
          <w:footerReference w:type="default" r:id="rId37"/>
          <w:footerReference w:type="first" r:id="rId38"/>
          <w:endnotePr>
            <w:numFmt w:val="decimal"/>
          </w:endnotePr>
          <w:type w:val="continuous"/>
          <w:pgSz w:w="11906" w:h="16838" w:code="9"/>
          <w:pgMar w:top="1440" w:right="1440" w:bottom="1134" w:left="1440" w:header="567" w:footer="1021" w:gutter="0"/>
          <w:cols w:space="708"/>
          <w:noEndnote/>
          <w:titlePg/>
          <w:docGrid w:linePitch="360"/>
        </w:sectPr>
      </w:pPr>
      <w:r>
        <w:rPr>
          <w:szCs w:val="20"/>
          <w:shd w:val="clear" w:color="auto" w:fill="FFFFFF"/>
        </w:rPr>
        <w:t xml:space="preserve"> </w:t>
      </w:r>
      <w:bookmarkStart w:id="103" w:name="_Toc501382131"/>
      <w:r>
        <w:br w:type="page"/>
      </w:r>
    </w:p>
    <w:p w:rsidR="00A45935" w:rsidRPr="00501827" w:rsidRDefault="00A45935" w:rsidP="009B603C">
      <w:pPr>
        <w:pStyle w:val="HHeading3"/>
        <w:numPr>
          <w:ilvl w:val="2"/>
          <w:numId w:val="119"/>
        </w:numPr>
        <w:tabs>
          <w:tab w:val="clear" w:pos="567"/>
        </w:tabs>
        <w:spacing w:line="280" w:lineRule="exact"/>
        <w:ind w:left="567" w:hanging="578"/>
      </w:pPr>
      <w:bookmarkStart w:id="104" w:name="_Toc508976528"/>
      <w:r>
        <w:lastRenderedPageBreak/>
        <w:t>1-asis BVK. „Kiek pagal kaimo plėtros programą vykdant intervencijas paremtos inovacijos, bendradarbiavimas ir žinių bazės plėtojimas kaimo vietovėse?“</w:t>
      </w:r>
      <w:bookmarkEnd w:id="103"/>
      <w:bookmarkEnd w:id="104"/>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Kaip suprasti BVK?</w:t>
      </w:r>
    </w:p>
    <w:p w:rsidR="00A45935" w:rsidRPr="00E05D08" w:rsidRDefault="00A45935" w:rsidP="00E05D08">
      <w:pPr>
        <w:spacing w:after="120" w:line="280" w:lineRule="atLeast"/>
        <w:mirrorIndents/>
        <w:rPr>
          <w:rFonts w:eastAsia="Times New Roman" w:cs="Times New Roman"/>
          <w:szCs w:val="20"/>
        </w:rPr>
      </w:pPr>
      <w:r>
        <w:t>Yra trys priemonės, kuriomis daugiausia prisidedama siekiant su 1-uoju BVK susijusio tikslo (t. y. skatinti inovacijas): 1-oji priemonė (14 straipsnis „Žinių perdavimas ir informavimo veikla“), 2-oji priemonė (15 straipsnis „Konsultavimo paslaugos, ūkio valdymo ir ūkininkų pavadavimo paslaugos“) ir 16-oji priemonė (35 straipsnis „Bendradarbiavimas“)</w:t>
      </w:r>
      <w:r>
        <w:rPr>
          <w:rFonts w:eastAsia="Times New Roman" w:cs="Times New Roman"/>
          <w:szCs w:val="20"/>
          <w:vertAlign w:val="superscript"/>
          <w:lang w:eastAsia="de-DE"/>
        </w:rPr>
        <w:footnoteReference w:id="48"/>
      </w:r>
      <w:r>
        <w:t>. Be to, 19-ąją priemonę (Reglamento (ES) Nr. 1303/2013 42 ir 35 straipsniai) taip pat galima laikyti svarbiu veiksniu, padedančiu pasiekti su inovacijomis susijusį pirmiau minėto tikslo aspektą.</w:t>
      </w:r>
    </w:p>
    <w:p w:rsidR="00A45935" w:rsidRPr="00E05D08" w:rsidRDefault="00A45935" w:rsidP="00E05D08">
      <w:pPr>
        <w:spacing w:after="120" w:line="280" w:lineRule="atLeast"/>
        <w:mirrorIndents/>
        <w:rPr>
          <w:rFonts w:eastAsia="Times New Roman" w:cs="Times New Roman"/>
          <w:szCs w:val="20"/>
        </w:rPr>
      </w:pPr>
      <w:r>
        <w:t xml:space="preserve">Būtina išnagrinėti, kokiais priemonių aspektais remiamos inovacijos. Pavyzdžiui, remiantis konkrečiu 1 prioriteto intervencinių veiksmų loginiu pagrindu, galėtų būti parodyta, kad 1 ir 16-ąja priemonėmis taip pat tiesiogiai prisidedama ne vien tik prie 1A TS, bet ir prie 1B TS (16-oji priemonė) arba 1C TS (1-oji priemonė). </w:t>
      </w:r>
    </w:p>
    <w:p w:rsidR="00A45935" w:rsidRPr="00E05D08" w:rsidRDefault="00654F10" w:rsidP="00E05D08">
      <w:pPr>
        <w:spacing w:after="120" w:line="280" w:lineRule="atLeast"/>
        <w:mirrorIndents/>
        <w:rPr>
          <w:rFonts w:eastAsia="Times New Roman" w:cs="Times New Roman"/>
          <w:szCs w:val="20"/>
        </w:rPr>
      </w:pPr>
      <w:r>
        <w:t xml:space="preserve">Šiuos su inovacijomis susijusius priemonių elementus galima supaprastintai apibūdinti taip: </w:t>
      </w:r>
    </w:p>
    <w:p w:rsidR="00A45935" w:rsidRDefault="00A45935" w:rsidP="00E05D08">
      <w:pPr>
        <w:spacing w:after="120" w:line="280" w:lineRule="atLeast"/>
        <w:mirrorIndents/>
        <w:rPr>
          <w:rFonts w:eastAsia="Times New Roman" w:cs="Times New Roman"/>
          <w:szCs w:val="20"/>
        </w:rPr>
      </w:pPr>
      <w:r>
        <w:rPr>
          <w:b/>
          <w:szCs w:val="20"/>
        </w:rPr>
        <w:t>1-oji priemonė</w:t>
      </w:r>
      <w:r>
        <w:t xml:space="preserve"> (14 straipsnis) apima profesiniam mokymui ir įgūdžių įgijimui, demonstracinei ir informavimo veiklai teikiamą paramą. Be to, ji taip pat gali apimti paramą, teikiamą mainams ūkių ir miškų tvarkymo srityje, taip pat apsilankymams ūkiuose ir miškuose. Nors 14 straipsnyje inovacijos aiškiai nepaminėtos, minėta veikla gali būti svarbi </w:t>
      </w:r>
      <w:r>
        <w:rPr>
          <w:b/>
          <w:szCs w:val="20"/>
        </w:rPr>
        <w:t>stiprinant gebėjimą diegti inovacijas</w:t>
      </w:r>
      <w:r>
        <w:t>.</w:t>
      </w:r>
    </w:p>
    <w:p w:rsidR="00A45935" w:rsidRPr="00E05D08" w:rsidRDefault="00A45935" w:rsidP="00E05D08">
      <w:pPr>
        <w:spacing w:after="120" w:line="280" w:lineRule="atLeast"/>
        <w:mirrorIndents/>
        <w:rPr>
          <w:rFonts w:eastAsia="Times New Roman" w:cs="Times New Roman"/>
          <w:szCs w:val="20"/>
        </w:rPr>
      </w:pPr>
      <w:r>
        <w:rPr>
          <w:b/>
          <w:szCs w:val="20"/>
        </w:rPr>
        <w:t>2-oji priemonė</w:t>
      </w:r>
      <w:r>
        <w:t xml:space="preserve"> (15 straipsnis) apima atskiriems ūkininkams, jauniesiems ūkininkams ir kitiems žemės valdytojams tiekiamas konsultacijas, taip pat konsultantų arba paramos inovacijoms paslaugų teikėjų mokymą. Šios konsultacijos apima keletą elementų, pavyzdžiui, konsultacijas dėl KPP numatytų priemonių ūkio lygiu, kuriomis, </w:t>
      </w:r>
      <w:r>
        <w:rPr>
          <w:i/>
          <w:szCs w:val="20"/>
        </w:rPr>
        <w:t>inter alia,</w:t>
      </w:r>
      <w:r>
        <w:t xml:space="preserve"> siekiama inovacijų</w:t>
      </w:r>
      <w:r>
        <w:rPr>
          <w:rFonts w:eastAsia="Times New Roman" w:cs="Times New Roman"/>
          <w:szCs w:val="20"/>
          <w:vertAlign w:val="superscript"/>
          <w:lang w:eastAsia="de-DE"/>
        </w:rPr>
        <w:footnoteReference w:id="49"/>
      </w:r>
      <w:r>
        <w:t xml:space="preserve">. Konsultavimo paslaugų teikimas yra vienas iš būdų </w:t>
      </w:r>
      <w:r>
        <w:rPr>
          <w:b/>
          <w:szCs w:val="20"/>
        </w:rPr>
        <w:t>stiprinti gebėjimą diegti inovacijas</w:t>
      </w:r>
      <w:r>
        <w:t xml:space="preserve"> (žr. </w:t>
      </w:r>
      <w:hyperlink w:anchor="Innovation_RD" w:history="1">
        <w:r>
          <w:rPr>
            <w:rStyle w:val="Hyperlink"/>
            <w:sz w:val="20"/>
            <w:szCs w:val="20"/>
          </w:rPr>
          <w:t>1.1 skyrių</w:t>
        </w:r>
      </w:hyperlink>
      <w:r>
        <w:t>), kuris suteikia galimybę perduoti žinias. Be to, EIP kontekste konsultantai / paramos inovacijoms paslaugų teikėjai, dalyvaudami interaktyviame inovacijų kūrimo procese, veiklos grupių (VG) veikloje, atlieka „instruktorių“ vaidmenį.</w:t>
      </w:r>
    </w:p>
    <w:p w:rsidR="00A45935" w:rsidRDefault="00A45935" w:rsidP="00E05D08">
      <w:pPr>
        <w:spacing w:after="120" w:line="280" w:lineRule="atLeast"/>
        <w:mirrorIndents/>
        <w:rPr>
          <w:rFonts w:eastAsia="Times New Roman" w:cs="Times New Roman"/>
          <w:szCs w:val="20"/>
        </w:rPr>
      </w:pPr>
      <w:r>
        <w:rPr>
          <w:b/>
          <w:szCs w:val="20"/>
        </w:rPr>
        <w:t>16-ąja priemone</w:t>
      </w:r>
      <w:r>
        <w:t xml:space="preserve"> (35 straipsnis) remiamas: a) daugelio įvairių subjektų, kurie padeda įgyvendinti kaimo plėtros politikos tikslus (žemės ūkio ir miškininkystės sektorių, maisto grandinės subjektų, gamintojų grupių, kooperatyvų, tarpšakinių organizacijų ir kitų subjektų), tarpusavio bendradarbiavimas; b) klasterių ir tinklų kūrimas; ir c) EIP AGRI veiklos grupių steigimas ir veikla. 16-oji priemonė apima 10 pagalbinių priemonių ir ja remiamos inovacijos, susijusios su </w:t>
      </w:r>
      <w:r>
        <w:rPr>
          <w:b/>
          <w:szCs w:val="20"/>
        </w:rPr>
        <w:t>visomis trimis kryptimis</w:t>
      </w:r>
      <w:r>
        <w:t>, aprašytomis 1.1 skyriuje (žr. langelį toliau).</w:t>
      </w:r>
    </w:p>
    <w:p w:rsidR="006F1601" w:rsidRDefault="00A45935" w:rsidP="00E05D08">
      <w:pPr>
        <w:spacing w:after="120" w:line="280" w:lineRule="atLeast"/>
        <w:mirrorIndents/>
        <w:rPr>
          <w:rFonts w:eastAsia="Times New Roman" w:cs="Times New Roman"/>
          <w:szCs w:val="20"/>
        </w:rPr>
      </w:pPr>
      <w:r>
        <w:rPr>
          <w:b/>
          <w:szCs w:val="20"/>
        </w:rPr>
        <w:t xml:space="preserve">19-ąja priemone </w:t>
      </w:r>
      <w:r>
        <w:t>(42 straipsnis) taikant LEADER principus remiama vietos kaimo plėtra</w:t>
      </w:r>
      <w:r>
        <w:rPr>
          <w:rFonts w:eastAsia="Calibri" w:cs="Times New Roman"/>
          <w:szCs w:val="20"/>
          <w:vertAlign w:val="superscript"/>
          <w:lang w:eastAsia="de-DE"/>
        </w:rPr>
        <w:footnoteReference w:id="50"/>
      </w:r>
      <w:r>
        <w:t>. Vienu iš šių principų siekiama skatini inovacijas vykdant veiklą vietos veiklos grupėms ir paramos gavėjams pagal BIVP strategijas. 19-oji priemonė apima 5 pagalbines priemones, kuriomis inovacijos gali būti remiamos  viena, dviem arba visomis trimis 1.1 skyriuje aprašytomis kryptimis (žr. langelį toliau).</w:t>
      </w:r>
    </w:p>
    <w:p w:rsidR="006F1601" w:rsidRDefault="006F1601" w:rsidP="00E05D08">
      <w:pPr>
        <w:spacing w:after="120" w:line="280" w:lineRule="atLeast"/>
        <w:mirrorIndents/>
        <w:rPr>
          <w:rFonts w:eastAsia="Calibri" w:cs="Times New Roman"/>
          <w:szCs w:val="20"/>
          <w:lang w:eastAsia="de-DE"/>
        </w:rPr>
      </w:pPr>
    </w:p>
    <w:p w:rsidR="00A66F3C" w:rsidRDefault="0028039D" w:rsidP="00A66F3C">
      <w:pPr>
        <w:spacing w:after="120" w:line="280" w:lineRule="atLeast"/>
        <w:mirrorIndents/>
        <w:rPr>
          <w:rFonts w:eastAsia="Calibri" w:cs="Times New Roman"/>
          <w:b/>
          <w:color w:val="57825E"/>
          <w:szCs w:val="20"/>
          <w:shd w:val="clear" w:color="auto" w:fill="FFFFFF"/>
        </w:rPr>
      </w:pPr>
      <w:r>
        <w:rPr>
          <w:rFonts w:eastAsia="Times New Roman" w:cs="Times New Roman"/>
          <w:noProof/>
          <w:szCs w:val="20"/>
          <w:lang w:val="en-GB" w:eastAsia="en-GB"/>
        </w:rPr>
        <w:lastRenderedPageBreak/>
        <mc:AlternateContent>
          <mc:Choice Requires="wps">
            <w:drawing>
              <wp:anchor distT="0" distB="0" distL="114300" distR="114300" simplePos="0" relativeHeight="251736064" behindDoc="1" locked="0" layoutInCell="1" allowOverlap="1" wp14:anchorId="0D43C024" wp14:editId="7B2EE464">
                <wp:simplePos x="0" y="0"/>
                <wp:positionH relativeFrom="column">
                  <wp:posOffset>0</wp:posOffset>
                </wp:positionH>
                <wp:positionV relativeFrom="paragraph">
                  <wp:posOffset>285115</wp:posOffset>
                </wp:positionV>
                <wp:extent cx="5913755" cy="7820025"/>
                <wp:effectExtent l="0" t="0" r="10795" b="28575"/>
                <wp:wrapTight wrapText="bothSides">
                  <wp:wrapPolygon edited="0">
                    <wp:start x="765" y="0"/>
                    <wp:lineTo x="0" y="263"/>
                    <wp:lineTo x="0" y="21626"/>
                    <wp:lineTo x="20874" y="21626"/>
                    <wp:lineTo x="21083" y="21626"/>
                    <wp:lineTo x="21570" y="21205"/>
                    <wp:lineTo x="21570" y="0"/>
                    <wp:lineTo x="765" y="0"/>
                  </wp:wrapPolygon>
                </wp:wrapTight>
                <wp:docPr id="11" name="Rectangle: Diagonal Corners Rounded 11"/>
                <wp:cNvGraphicFramePr/>
                <a:graphic xmlns:a="http://schemas.openxmlformats.org/drawingml/2006/main">
                  <a:graphicData uri="http://schemas.microsoft.com/office/word/2010/wordprocessingShape">
                    <wps:wsp>
                      <wps:cNvSpPr/>
                      <wps:spPr>
                        <a:xfrm>
                          <a:off x="0" y="0"/>
                          <a:ext cx="5913755" cy="7820025"/>
                        </a:xfrm>
                        <a:prstGeom prst="round2DiagRect">
                          <a:avLst>
                            <a:gd name="adj1" fmla="val 5642"/>
                            <a:gd name="adj2" fmla="val 0"/>
                          </a:avLst>
                        </a:prstGeom>
                        <a:noFill/>
                        <a:ln w="25400" cap="flat" cmpd="sng" algn="ctr">
                          <a:solidFill>
                            <a:srgbClr val="F07E31"/>
                          </a:solidFill>
                          <a:prstDash val="solid"/>
                        </a:ln>
                        <a:effectLst/>
                      </wps:spPr>
                      <wps:txbx>
                        <w:txbxContent>
                          <w:p w:rsidR="001F67E3" w:rsidRDefault="001F67E3" w:rsidP="00C3334D">
                            <w:pPr>
                              <w:pStyle w:val="HStandard"/>
                              <w:ind w:left="284" w:right="23"/>
                            </w:pPr>
                            <w:r>
                              <w:rPr>
                                <w:noProof/>
                                <w:lang w:val="en-GB" w:eastAsia="en-GB"/>
                              </w:rPr>
                              <w:drawing>
                                <wp:inline distT="0" distB="0" distL="0" distR="0" wp14:anchorId="712277B3" wp14:editId="5256F43B">
                                  <wp:extent cx="353060" cy="359410"/>
                                  <wp:effectExtent l="0" t="0" r="8890" b="2540"/>
                                  <wp:docPr id="2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1F67E3" w:rsidRPr="00A66F3C" w:rsidRDefault="001F67E3" w:rsidP="00A66F3C">
                            <w:pPr>
                              <w:pStyle w:val="HStandard"/>
                              <w:ind w:right="23"/>
                              <w:rPr>
                                <w:b/>
                                <w:color w:val="F07E31"/>
                                <w:sz w:val="18"/>
                                <w:szCs w:val="18"/>
                              </w:rPr>
                            </w:pPr>
                            <w:r>
                              <w:rPr>
                                <w:b/>
                                <w:color w:val="F07E31"/>
                                <w:sz w:val="18"/>
                                <w:szCs w:val="18"/>
                              </w:rPr>
                              <w:t>Galimybių, kaip 1-ąja priemone galima sustiprinti gebėjimą diegti inovacijas, pavyzdžiai:</w:t>
                            </w:r>
                          </w:p>
                          <w:p w:rsidR="001F67E3" w:rsidRPr="00A66F3C" w:rsidRDefault="001F67E3" w:rsidP="00A66F3C">
                            <w:pPr>
                              <w:pStyle w:val="Hlistbullet"/>
                              <w:rPr>
                                <w:sz w:val="18"/>
                                <w:szCs w:val="18"/>
                              </w:rPr>
                            </w:pPr>
                            <w:r>
                              <w:rPr>
                                <w:sz w:val="18"/>
                                <w:szCs w:val="18"/>
                              </w:rPr>
                              <w:t>nauji ūkininkų / MVĮ įgūdžiai siekiant taikyti novatoriškus procesus / metodus arba naujus organizacinius įgūdžius;</w:t>
                            </w:r>
                          </w:p>
                          <w:p w:rsidR="001F67E3" w:rsidRPr="00A66F3C" w:rsidRDefault="001F67E3" w:rsidP="00A66F3C">
                            <w:pPr>
                              <w:pStyle w:val="Hlistbullet"/>
                              <w:rPr>
                                <w:sz w:val="18"/>
                                <w:szCs w:val="18"/>
                              </w:rPr>
                            </w:pPr>
                            <w:r>
                              <w:rPr>
                                <w:sz w:val="18"/>
                                <w:szCs w:val="18"/>
                              </w:rPr>
                              <w:t>mainai ir apsilankymai, padedantys perduoti žinias iš vieno ūkio / regiono į kitą.</w:t>
                            </w:r>
                          </w:p>
                          <w:p w:rsidR="001F67E3" w:rsidRPr="00A66F3C" w:rsidRDefault="001F67E3" w:rsidP="00C3334D">
                            <w:pPr>
                              <w:pStyle w:val="HStandard"/>
                              <w:ind w:right="54"/>
                              <w:rPr>
                                <w:b/>
                                <w:color w:val="F07E31"/>
                                <w:sz w:val="18"/>
                                <w:szCs w:val="18"/>
                              </w:rPr>
                            </w:pPr>
                            <w:r>
                              <w:rPr>
                                <w:b/>
                                <w:color w:val="F07E31"/>
                                <w:sz w:val="18"/>
                                <w:szCs w:val="18"/>
                              </w:rPr>
                              <w:t>16-ąja priemone remiamų inovacijų pavyzdžiai:</w:t>
                            </w:r>
                          </w:p>
                          <w:p w:rsidR="001F67E3" w:rsidRPr="00A66F3C" w:rsidRDefault="001F67E3" w:rsidP="00A66F3C">
                            <w:pPr>
                              <w:pStyle w:val="Hlistbullet"/>
                              <w:rPr>
                                <w:sz w:val="18"/>
                                <w:szCs w:val="18"/>
                              </w:rPr>
                            </w:pPr>
                            <w:r>
                              <w:rPr>
                                <w:sz w:val="18"/>
                                <w:szCs w:val="18"/>
                              </w:rPr>
                              <w:t>naujų produktų, praktikos, technologijų žemės ūkio, maisto ir miškininkystės sektoriuose kūrimas (16.2 pagalbinė priemonė</w:t>
                            </w:r>
                            <w:r>
                              <w:rPr>
                                <w:sz w:val="18"/>
                                <w:szCs w:val="18"/>
                                <w:vertAlign w:val="superscript"/>
                              </w:rPr>
                              <w:t>51</w:t>
                            </w:r>
                            <w:r>
                              <w:rPr>
                                <w:sz w:val="18"/>
                                <w:szCs w:val="18"/>
                              </w:rPr>
                              <w:t xml:space="preserve">) yra susijęs su bendradarbiavimu pagrįstu inovacijų nustatymu ir plėtojimu; </w:t>
                            </w:r>
                          </w:p>
                          <w:p w:rsidR="001F67E3" w:rsidRPr="00A66F3C" w:rsidRDefault="001F67E3" w:rsidP="00A66F3C">
                            <w:pPr>
                              <w:pStyle w:val="Hlistbullet"/>
                              <w:rPr>
                                <w:sz w:val="18"/>
                                <w:szCs w:val="18"/>
                              </w:rPr>
                            </w:pPr>
                            <w:r>
                              <w:rPr>
                                <w:sz w:val="18"/>
                                <w:szCs w:val="18"/>
                              </w:rPr>
                              <w:t xml:space="preserve">visomis kitomis pagalbinėmis priemonėmis galima </w:t>
                            </w:r>
                            <w:r>
                              <w:rPr>
                                <w:b/>
                                <w:sz w:val="18"/>
                                <w:szCs w:val="18"/>
                              </w:rPr>
                              <w:t>sustiprinti gebėjimą diegti inovacijas</w:t>
                            </w:r>
                            <w:r>
                              <w:rPr>
                                <w:sz w:val="18"/>
                                <w:szCs w:val="18"/>
                              </w:rPr>
                              <w:t>, jeigu bendradarbiavimo procese bendrai nustatomos naujos galimybės, kuriamos naujos idėjos, eksperimentuojama su nauja technologija arba nustatomi nauji darbų atlikimo būdai;</w:t>
                            </w:r>
                          </w:p>
                          <w:p w:rsidR="001F67E3" w:rsidRPr="00A66F3C" w:rsidRDefault="001F67E3" w:rsidP="00A66F3C">
                            <w:pPr>
                              <w:pStyle w:val="Hlistbullet"/>
                              <w:rPr>
                                <w:sz w:val="18"/>
                                <w:szCs w:val="18"/>
                              </w:rPr>
                            </w:pPr>
                            <w:r>
                              <w:rPr>
                                <w:sz w:val="18"/>
                                <w:szCs w:val="18"/>
                              </w:rPr>
                              <w:t xml:space="preserve">be to, konsultantų / paramos inovacijoms paslaugų teikėjų siūloma parama bendradarbiavimo projektams, įskaitant NKT šiuo tikslu siūlomą paramą, gali padėti </w:t>
                            </w:r>
                            <w:r>
                              <w:rPr>
                                <w:b/>
                                <w:sz w:val="18"/>
                                <w:szCs w:val="18"/>
                              </w:rPr>
                              <w:t>sustiprinti gebėjimą diegti inovacijas</w:t>
                            </w:r>
                            <w:r>
                              <w:rPr>
                                <w:sz w:val="18"/>
                                <w:szCs w:val="18"/>
                              </w:rPr>
                              <w:t>;</w:t>
                            </w:r>
                          </w:p>
                          <w:p w:rsidR="001F67E3" w:rsidRPr="00A66F3C" w:rsidRDefault="001F67E3" w:rsidP="00A66F3C">
                            <w:pPr>
                              <w:pStyle w:val="Hlistbullet"/>
                              <w:rPr>
                                <w:sz w:val="18"/>
                                <w:szCs w:val="18"/>
                              </w:rPr>
                            </w:pPr>
                            <w:r>
                              <w:rPr>
                                <w:sz w:val="18"/>
                                <w:szCs w:val="18"/>
                              </w:rPr>
                              <w:t xml:space="preserve">inovacijų srities suinteresuotųjų subjektų  (pvz., paramos inovacijoms paslaugų teikėjų, inovacijų padalinių, MTTP centrų arba inovacijų ir technologijų centrų) dalyvavimas bendradarbiavimo projektuose gali padėti </w:t>
                            </w:r>
                            <w:r>
                              <w:rPr>
                                <w:b/>
                                <w:sz w:val="18"/>
                                <w:szCs w:val="18"/>
                              </w:rPr>
                              <w:t>sukurti inovacijoms palankią aplinką</w:t>
                            </w:r>
                            <w:r>
                              <w:rPr>
                                <w:sz w:val="18"/>
                                <w:szCs w:val="18"/>
                              </w:rPr>
                              <w:t>. Pavyzdžiui, bendrai įgyvendinant mokslinių tyrimų projektą gali būti pasiektas rezultatas, kuris gali padaryti poveikį teisėkūrai (pvz., aplinkos apsaugos srities teisės aktams);</w:t>
                            </w:r>
                          </w:p>
                          <w:p w:rsidR="001F67E3" w:rsidRPr="00A66F3C" w:rsidRDefault="001F67E3" w:rsidP="00A66F3C">
                            <w:pPr>
                              <w:pStyle w:val="Hlistbullet"/>
                              <w:rPr>
                                <w:sz w:val="18"/>
                                <w:szCs w:val="18"/>
                              </w:rPr>
                            </w:pPr>
                            <w:r>
                              <w:rPr>
                                <w:sz w:val="18"/>
                                <w:szCs w:val="18"/>
                              </w:rPr>
                              <w:t xml:space="preserve">Įsteigus veiklos grupes ir joms vykdant veiklą galima užtikrinti dar platesnį visaapimantį požiūrį į inovacijų rėmimą derinant </w:t>
                            </w:r>
                            <w:r>
                              <w:rPr>
                                <w:b/>
                                <w:sz w:val="18"/>
                                <w:szCs w:val="18"/>
                              </w:rPr>
                              <w:t>visas tris kryptis</w:t>
                            </w:r>
                            <w:r>
                              <w:rPr>
                                <w:sz w:val="18"/>
                                <w:szCs w:val="18"/>
                              </w:rPr>
                              <w:t>: naujų idėjų nustatymą (VG veiklos atskaitos taškas), gebėjimo diegti inovacijas stiprinimą (konsultantų / paramos inovacijoms paslaugų teikėjų parama) ir palankios inovacijoms aplinkos kūrimą (VG projektų rezultatai).</w:t>
                            </w:r>
                          </w:p>
                          <w:p w:rsidR="001F67E3" w:rsidRPr="00A66F3C" w:rsidRDefault="001F67E3" w:rsidP="00C3334D">
                            <w:pPr>
                              <w:pStyle w:val="Normal12PTcouleurgris"/>
                              <w:ind w:left="284"/>
                              <w:rPr>
                                <w:color w:val="F07E31"/>
                                <w:sz w:val="18"/>
                              </w:rPr>
                            </w:pPr>
                            <w:r>
                              <w:rPr>
                                <w:b/>
                                <w:color w:val="F07E31"/>
                                <w:sz w:val="18"/>
                              </w:rPr>
                              <w:t>19-ąja priemone remiamų inovacijų pavyzdžiai:</w:t>
                            </w:r>
                          </w:p>
                          <w:p w:rsidR="001F67E3" w:rsidRPr="00A66F3C" w:rsidRDefault="001F67E3" w:rsidP="00A66F3C">
                            <w:pPr>
                              <w:pStyle w:val="Hlistbullet"/>
                              <w:rPr>
                                <w:sz w:val="18"/>
                                <w:szCs w:val="18"/>
                              </w:rPr>
                            </w:pPr>
                            <w:r>
                              <w:rPr>
                                <w:sz w:val="18"/>
                                <w:szCs w:val="18"/>
                              </w:rPr>
                              <w:t xml:space="preserve">naujų strategijos kūrimo būdų taikymas, įskaitant įvairias savitas vietos gyventojų dalyvavimo priimant strateginius sprendimus užtikrinimo formas (pvz., įvairi veiklumo skatinimo veikla, susijusi su informacijos rinkimu, įvairūs praktiniai seminarai, diskusijų platformos ir kt.), taip prisidedant prie </w:t>
                            </w:r>
                            <w:r>
                              <w:rPr>
                                <w:b/>
                                <w:sz w:val="18"/>
                                <w:szCs w:val="18"/>
                              </w:rPr>
                              <w:t>palankios inovacijoms aplinkos kūrimo (3 kryptis)</w:t>
                            </w:r>
                            <w:r>
                              <w:rPr>
                                <w:sz w:val="18"/>
                                <w:szCs w:val="18"/>
                              </w:rPr>
                              <w:t>;</w:t>
                            </w:r>
                          </w:p>
                          <w:p w:rsidR="001F67E3" w:rsidRPr="00A66F3C" w:rsidRDefault="001F67E3" w:rsidP="00A66F3C">
                            <w:pPr>
                              <w:pStyle w:val="Hlistbullet"/>
                              <w:rPr>
                                <w:sz w:val="18"/>
                                <w:szCs w:val="18"/>
                              </w:rPr>
                            </w:pPr>
                            <w:r>
                              <w:rPr>
                                <w:sz w:val="18"/>
                                <w:szCs w:val="18"/>
                              </w:rPr>
                              <w:t xml:space="preserve">novatoriškos veiklumo skatinimo veiklos, kuri yra platesnė nei strategijos kūrimo ir įgyvendinimo veikla ir kuria užtikrinamas platesnės visuomenės dalyvavimas vykdant įvairius VVG novatoriškus veiksmus, įgyvendinimas (pvz., veikla siekiant atkurti ryškų teritorinį tapatumą, vykdoma pasitelkiant, pavyzdžiui, gamtos ir kultūros paveldą), o tai padeda toliau remti </w:t>
                            </w:r>
                            <w:r>
                              <w:rPr>
                                <w:b/>
                                <w:sz w:val="18"/>
                                <w:szCs w:val="18"/>
                              </w:rPr>
                              <w:t>palankios aplinkos kūrimą ir plėtoti galimas novatoriškas idėjas (3 ir 1 kryptys);</w:t>
                            </w:r>
                          </w:p>
                          <w:p w:rsidR="001F67E3" w:rsidRPr="00A66F3C" w:rsidRDefault="001F67E3" w:rsidP="00A66F3C">
                            <w:pPr>
                              <w:pStyle w:val="Hlistbullet"/>
                              <w:rPr>
                                <w:sz w:val="18"/>
                                <w:szCs w:val="18"/>
                              </w:rPr>
                            </w:pPr>
                            <w:r>
                              <w:rPr>
                                <w:sz w:val="18"/>
                                <w:szCs w:val="18"/>
                              </w:rPr>
                              <w:t xml:space="preserve">novatoriškų bendradarbiavimo projektų, leidžiančių perduoti į VVG teritoriją naujas žinias, patirtį ir technologijas ir sudarančių galimybes </w:t>
                            </w:r>
                            <w:r>
                              <w:rPr>
                                <w:b/>
                                <w:sz w:val="18"/>
                                <w:szCs w:val="18"/>
                              </w:rPr>
                              <w:t xml:space="preserve">plėtoti novatoriškas idėjas (1 būdas), </w:t>
                            </w:r>
                            <w:r>
                              <w:rPr>
                                <w:sz w:val="18"/>
                                <w:szCs w:val="18"/>
                              </w:rPr>
                              <w:t>inicijavimas.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3C024" id="Rectangle: Diagonal Corners Rounded 11" o:spid="_x0000_s1042" style="position:absolute;left:0;text-align:left;margin-left:0;margin-top:22.45pt;width:465.65pt;height:615.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3755,7820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" adj="-11796480,,5400" path="m333654,l5913755,r,l5913755,7486371v,184272,-149382,333654,-333654,333654l,7820025r,l,333654c,149382,149382,,333654,xe" filled="f" strokecolor="#f07e31" strokeweight="2pt">
                <v:stroke joinstyle="miter"/>
                <v:formulas/>
                <v:path arrowok="t" o:connecttype="custom" o:connectlocs="333654,0;5913755,0;5913755,0;5913755,7486371;5580101,7820025;0,7820025;0,7820025;0,333654;333654,0" o:connectangles="0,0,0,0,0,0,0,0,0" textboxrect="0,0,5913755,7820025"/>
                <v:textbox>
                  <w:txbxContent>
                    <w:p w:rsidR="001F67E3" w:rsidRDefault="001F67E3" w:rsidP="00C3334D">
                      <w:pPr>
                        <w:pStyle w:val="HStandard"/>
                        <w:ind w:left="284" w:right="23"/>
                      </w:pPr>
                      <w:r>
                        <w:rPr>
                          <w:noProof/>
                          <w:lang w:val="en-GB" w:eastAsia="en-GB"/>
                        </w:rPr>
                        <w:drawing>
                          <wp:inline distT="0" distB="0" distL="0" distR="0" wp14:anchorId="712277B3" wp14:editId="5256F43B">
                            <wp:extent cx="353060" cy="359410"/>
                            <wp:effectExtent l="0" t="0" r="8890" b="2540"/>
                            <wp:docPr id="2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1F67E3" w:rsidRPr="00A66F3C" w:rsidRDefault="001F67E3" w:rsidP="00A66F3C">
                      <w:pPr>
                        <w:pStyle w:val="HStandard"/>
                        <w:ind w:right="23"/>
                        <w:rPr>
                          <w:b/>
                          <w:color w:val="F07E31"/>
                          <w:sz w:val="18"/>
                          <w:szCs w:val="18"/>
                        </w:rPr>
                      </w:pPr>
                      <w:r>
                        <w:rPr>
                          <w:b/>
                          <w:color w:val="F07E31"/>
                          <w:sz w:val="18"/>
                          <w:szCs w:val="18"/>
                        </w:rPr>
                        <w:t>Galimybių, kaip 1-ąja priemone galima sustiprinti gebėjimą diegti inovacijas, pavyzdžiai:</w:t>
                      </w:r>
                    </w:p>
                    <w:p w:rsidR="001F67E3" w:rsidRPr="00A66F3C" w:rsidRDefault="001F67E3" w:rsidP="00A66F3C">
                      <w:pPr>
                        <w:pStyle w:val="Hlistbullet"/>
                        <w:rPr>
                          <w:sz w:val="18"/>
                          <w:szCs w:val="18"/>
                        </w:rPr>
                      </w:pPr>
                      <w:r>
                        <w:rPr>
                          <w:sz w:val="18"/>
                          <w:szCs w:val="18"/>
                        </w:rPr>
                        <w:t>nauji ūkininkų / MVĮ įgūdžiai siekiant taikyti novatoriškus procesus / metodus arba naujus organizacinius įgūdžius;</w:t>
                      </w:r>
                    </w:p>
                    <w:p w:rsidR="001F67E3" w:rsidRPr="00A66F3C" w:rsidRDefault="001F67E3" w:rsidP="00A66F3C">
                      <w:pPr>
                        <w:pStyle w:val="Hlistbullet"/>
                        <w:rPr>
                          <w:sz w:val="18"/>
                          <w:szCs w:val="18"/>
                        </w:rPr>
                      </w:pPr>
                      <w:r>
                        <w:rPr>
                          <w:sz w:val="18"/>
                          <w:szCs w:val="18"/>
                        </w:rPr>
                        <w:t>mainai ir apsilankymai, padedantys perduoti žinias iš vieno ūkio / regiono į kitą.</w:t>
                      </w:r>
                    </w:p>
                    <w:p w:rsidR="001F67E3" w:rsidRPr="00A66F3C" w:rsidRDefault="001F67E3" w:rsidP="00C3334D">
                      <w:pPr>
                        <w:pStyle w:val="HStandard"/>
                        <w:ind w:right="54"/>
                        <w:rPr>
                          <w:b/>
                          <w:color w:val="F07E31"/>
                          <w:sz w:val="18"/>
                          <w:szCs w:val="18"/>
                        </w:rPr>
                      </w:pPr>
                      <w:r>
                        <w:rPr>
                          <w:b/>
                          <w:color w:val="F07E31"/>
                          <w:sz w:val="18"/>
                          <w:szCs w:val="18"/>
                        </w:rPr>
                        <w:t>16-ąja priemone remiamų inovacijų pavyzdžiai:</w:t>
                      </w:r>
                    </w:p>
                    <w:p w:rsidR="001F67E3" w:rsidRPr="00A66F3C" w:rsidRDefault="001F67E3" w:rsidP="00A66F3C">
                      <w:pPr>
                        <w:pStyle w:val="Hlistbullet"/>
                        <w:rPr>
                          <w:sz w:val="18"/>
                          <w:szCs w:val="18"/>
                        </w:rPr>
                      </w:pPr>
                      <w:r>
                        <w:rPr>
                          <w:sz w:val="18"/>
                          <w:szCs w:val="18"/>
                        </w:rPr>
                        <w:t>naujų produktų, praktikos, technologijų žemės ūkio, maisto ir miškininkystės sektoriuose kūrimas (16.2 pagalbinė priemonė</w:t>
                      </w:r>
                      <w:r>
                        <w:rPr>
                          <w:sz w:val="18"/>
                          <w:szCs w:val="18"/>
                          <w:vertAlign w:val="superscript"/>
                        </w:rPr>
                        <w:t>51</w:t>
                      </w:r>
                      <w:r>
                        <w:rPr>
                          <w:sz w:val="18"/>
                          <w:szCs w:val="18"/>
                        </w:rPr>
                        <w:t xml:space="preserve">) yra susijęs su bendradarbiavimu pagrįstu inovacijų nustatymu ir plėtojimu; </w:t>
                      </w:r>
                    </w:p>
                    <w:p w:rsidR="001F67E3" w:rsidRPr="00A66F3C" w:rsidRDefault="001F67E3" w:rsidP="00A66F3C">
                      <w:pPr>
                        <w:pStyle w:val="Hlistbullet"/>
                        <w:rPr>
                          <w:sz w:val="18"/>
                          <w:szCs w:val="18"/>
                        </w:rPr>
                      </w:pPr>
                      <w:r>
                        <w:rPr>
                          <w:sz w:val="18"/>
                          <w:szCs w:val="18"/>
                        </w:rPr>
                        <w:t xml:space="preserve">visomis kitomis pagalbinėmis priemonėmis galima </w:t>
                      </w:r>
                      <w:r>
                        <w:rPr>
                          <w:b/>
                          <w:sz w:val="18"/>
                          <w:szCs w:val="18"/>
                        </w:rPr>
                        <w:t>sustiprinti gebėjimą diegti inovacijas</w:t>
                      </w:r>
                      <w:r>
                        <w:rPr>
                          <w:sz w:val="18"/>
                          <w:szCs w:val="18"/>
                        </w:rPr>
                        <w:t>, jeigu bendradarbiavimo procese bendrai nustatomos naujos galimybės, kuriamos naujos idėjos, eksperimentuojama su nauja technologija arba nustatomi nauji darbų atlikimo būdai;</w:t>
                      </w:r>
                    </w:p>
                    <w:p w:rsidR="001F67E3" w:rsidRPr="00A66F3C" w:rsidRDefault="001F67E3" w:rsidP="00A66F3C">
                      <w:pPr>
                        <w:pStyle w:val="Hlistbullet"/>
                        <w:rPr>
                          <w:sz w:val="18"/>
                          <w:szCs w:val="18"/>
                        </w:rPr>
                      </w:pPr>
                      <w:r>
                        <w:rPr>
                          <w:sz w:val="18"/>
                          <w:szCs w:val="18"/>
                        </w:rPr>
                        <w:t xml:space="preserve">be to, konsultantų / paramos inovacijoms paslaugų teikėjų siūloma parama bendradarbiavimo projektams, įskaitant NKT šiuo tikslu siūlomą paramą, gali padėti </w:t>
                      </w:r>
                      <w:r>
                        <w:rPr>
                          <w:b/>
                          <w:sz w:val="18"/>
                          <w:szCs w:val="18"/>
                        </w:rPr>
                        <w:t>sustiprinti gebėjimą diegti inovacijas</w:t>
                      </w:r>
                      <w:r>
                        <w:rPr>
                          <w:sz w:val="18"/>
                          <w:szCs w:val="18"/>
                        </w:rPr>
                        <w:t>;</w:t>
                      </w:r>
                    </w:p>
                    <w:p w:rsidR="001F67E3" w:rsidRPr="00A66F3C" w:rsidRDefault="001F67E3" w:rsidP="00A66F3C">
                      <w:pPr>
                        <w:pStyle w:val="Hlistbullet"/>
                        <w:rPr>
                          <w:sz w:val="18"/>
                          <w:szCs w:val="18"/>
                        </w:rPr>
                      </w:pPr>
                      <w:r>
                        <w:rPr>
                          <w:sz w:val="18"/>
                          <w:szCs w:val="18"/>
                        </w:rPr>
                        <w:t xml:space="preserve">inovacijų srities suinteresuotųjų subjektų  (pvz., paramos inovacijoms paslaugų teikėjų, inovacijų padalinių, MTTP centrų arba inovacijų ir technologijų centrų) dalyvavimas bendradarbiavimo projektuose gali padėti </w:t>
                      </w:r>
                      <w:r>
                        <w:rPr>
                          <w:b/>
                          <w:sz w:val="18"/>
                          <w:szCs w:val="18"/>
                        </w:rPr>
                        <w:t>sukurti inovacijoms palankią aplinką</w:t>
                      </w:r>
                      <w:r>
                        <w:rPr>
                          <w:sz w:val="18"/>
                          <w:szCs w:val="18"/>
                        </w:rPr>
                        <w:t>. Pavyzdžiui, bendrai įgyvendinant mokslinių tyrimų projektą gali būti pasiektas rezultatas, kuris gali padaryti poveikį teisėkūrai (pvz., aplinkos apsaugos srities teisės aktams);</w:t>
                      </w:r>
                    </w:p>
                    <w:p w:rsidR="001F67E3" w:rsidRPr="00A66F3C" w:rsidRDefault="001F67E3" w:rsidP="00A66F3C">
                      <w:pPr>
                        <w:pStyle w:val="Hlistbullet"/>
                        <w:rPr>
                          <w:sz w:val="18"/>
                          <w:szCs w:val="18"/>
                        </w:rPr>
                      </w:pPr>
                      <w:r>
                        <w:rPr>
                          <w:sz w:val="18"/>
                          <w:szCs w:val="18"/>
                        </w:rPr>
                        <w:t xml:space="preserve">Įsteigus veiklos grupes ir joms vykdant veiklą galima užtikrinti dar platesnį visaapimantį požiūrį į inovacijų rėmimą derinant </w:t>
                      </w:r>
                      <w:r>
                        <w:rPr>
                          <w:b/>
                          <w:sz w:val="18"/>
                          <w:szCs w:val="18"/>
                        </w:rPr>
                        <w:t>visas tris kryptis</w:t>
                      </w:r>
                      <w:r>
                        <w:rPr>
                          <w:sz w:val="18"/>
                          <w:szCs w:val="18"/>
                        </w:rPr>
                        <w:t>: naujų idėjų nustatymą (VG veiklos atskaitos taškas), gebėjimo diegti inovacijas stiprinimą (konsultantų / paramos inovacijoms paslaugų teikėjų parama) ir palankios inovacijoms aplinkos kūrimą (VG projektų rezultatai).</w:t>
                      </w:r>
                    </w:p>
                    <w:p w:rsidR="001F67E3" w:rsidRPr="00A66F3C" w:rsidRDefault="001F67E3" w:rsidP="00C3334D">
                      <w:pPr>
                        <w:pStyle w:val="Normal12PTcouleurgris"/>
                        <w:ind w:left="284"/>
                        <w:rPr>
                          <w:color w:val="F07E31"/>
                          <w:sz w:val="18"/>
                        </w:rPr>
                      </w:pPr>
                      <w:r>
                        <w:rPr>
                          <w:b/>
                          <w:color w:val="F07E31"/>
                          <w:sz w:val="18"/>
                        </w:rPr>
                        <w:t>19-ąja priemone remiamų inovacijų pavyzdžiai:</w:t>
                      </w:r>
                    </w:p>
                    <w:p w:rsidR="001F67E3" w:rsidRPr="00A66F3C" w:rsidRDefault="001F67E3" w:rsidP="00A66F3C">
                      <w:pPr>
                        <w:pStyle w:val="Hlistbullet"/>
                        <w:rPr>
                          <w:sz w:val="18"/>
                          <w:szCs w:val="18"/>
                        </w:rPr>
                      </w:pPr>
                      <w:r>
                        <w:rPr>
                          <w:sz w:val="18"/>
                          <w:szCs w:val="18"/>
                        </w:rPr>
                        <w:t xml:space="preserve">naujų strategijos kūrimo būdų taikymas, įskaitant įvairias savitas vietos gyventojų dalyvavimo priimant strateginius sprendimus užtikrinimo formas (pvz., įvairi veiklumo skatinimo veikla, susijusi su informacijos rinkimu, įvairūs praktiniai seminarai, diskusijų platformos ir kt.), taip prisidedant prie </w:t>
                      </w:r>
                      <w:r>
                        <w:rPr>
                          <w:b/>
                          <w:sz w:val="18"/>
                          <w:szCs w:val="18"/>
                        </w:rPr>
                        <w:t>palankios inovacijoms aplinkos kūrimo (3 kryptis)</w:t>
                      </w:r>
                      <w:r>
                        <w:rPr>
                          <w:sz w:val="18"/>
                          <w:szCs w:val="18"/>
                        </w:rPr>
                        <w:t>;</w:t>
                      </w:r>
                    </w:p>
                    <w:p w:rsidR="001F67E3" w:rsidRPr="00A66F3C" w:rsidRDefault="001F67E3" w:rsidP="00A66F3C">
                      <w:pPr>
                        <w:pStyle w:val="Hlistbullet"/>
                        <w:rPr>
                          <w:sz w:val="18"/>
                          <w:szCs w:val="18"/>
                        </w:rPr>
                      </w:pPr>
                      <w:r>
                        <w:rPr>
                          <w:sz w:val="18"/>
                          <w:szCs w:val="18"/>
                        </w:rPr>
                        <w:t xml:space="preserve">novatoriškos veiklumo skatinimo veiklos, kuri yra platesnė nei strategijos kūrimo ir įgyvendinimo veikla ir kuria užtikrinamas platesnės visuomenės dalyvavimas vykdant įvairius VVG novatoriškus veiksmus, įgyvendinimas (pvz., veikla siekiant atkurti ryškų teritorinį tapatumą, vykdoma pasitelkiant, pavyzdžiui, gamtos ir kultūros paveldą), o tai padeda toliau remti </w:t>
                      </w:r>
                      <w:r>
                        <w:rPr>
                          <w:b/>
                          <w:sz w:val="18"/>
                          <w:szCs w:val="18"/>
                        </w:rPr>
                        <w:t>palankios aplinkos kūrimą ir plėtoti galimas novatoriškas idėjas (3 ir 1 kryptys);</w:t>
                      </w:r>
                    </w:p>
                    <w:p w:rsidR="001F67E3" w:rsidRPr="00A66F3C" w:rsidRDefault="001F67E3" w:rsidP="00A66F3C">
                      <w:pPr>
                        <w:pStyle w:val="Hlistbullet"/>
                        <w:rPr>
                          <w:sz w:val="18"/>
                          <w:szCs w:val="18"/>
                        </w:rPr>
                      </w:pPr>
                      <w:r>
                        <w:rPr>
                          <w:sz w:val="18"/>
                          <w:szCs w:val="18"/>
                        </w:rPr>
                        <w:t xml:space="preserve">novatoriškų bendradarbiavimo projektų, leidžiančių perduoti į VVG teritoriją naujas žinias, patirtį ir technologijas ir sudarančių galimybes </w:t>
                      </w:r>
                      <w:r>
                        <w:rPr>
                          <w:b/>
                          <w:sz w:val="18"/>
                          <w:szCs w:val="18"/>
                        </w:rPr>
                        <w:t xml:space="preserve">plėtoti novatoriškas idėjas (1 būdas), </w:t>
                      </w:r>
                      <w:r>
                        <w:rPr>
                          <w:sz w:val="18"/>
                          <w:szCs w:val="18"/>
                        </w:rPr>
                        <w:t>inicijavimas.</w:t>
                      </w:r>
                    </w:p>
                  </w:txbxContent>
                </v:textbox>
                <w10:wrap type="tight"/>
              </v:shape>
            </w:pict>
          </mc:Fallback>
        </mc:AlternateContent>
      </w:r>
      <w:r w:rsidR="00C3092C">
        <w:rPr>
          <w:rStyle w:val="FootnoteReference"/>
          <w:rFonts w:eastAsia="Calibri" w:cs="Times New Roman"/>
          <w:b/>
          <w:color w:val="FFFFFF" w:themeColor="background1"/>
          <w:szCs w:val="20"/>
          <w:shd w:val="clear" w:color="auto" w:fill="FFFFFF"/>
        </w:rPr>
        <w:footnoteReference w:id="51"/>
      </w:r>
    </w:p>
    <w:p w:rsidR="00863DB0" w:rsidRDefault="00863DB0">
      <w:pPr>
        <w:jc w:val="left"/>
        <w:rPr>
          <w:rFonts w:eastAsia="Calibri" w:cs="Times New Roman"/>
          <w:b/>
          <w:color w:val="57825E"/>
          <w:szCs w:val="20"/>
          <w:shd w:val="clear" w:color="auto" w:fill="FFFFFF"/>
        </w:rPr>
      </w:pPr>
      <w:r>
        <w:br w:type="page"/>
      </w:r>
    </w:p>
    <w:p w:rsidR="00A45935" w:rsidRPr="00E05D08" w:rsidRDefault="00A45935" w:rsidP="00A66F3C">
      <w:pPr>
        <w:spacing w:after="120" w:line="280" w:lineRule="atLeast"/>
        <w:mirrorIndents/>
        <w:rPr>
          <w:rFonts w:eastAsia="Calibri" w:cs="Times New Roman"/>
          <w:b/>
          <w:color w:val="57825E"/>
          <w:szCs w:val="20"/>
          <w:shd w:val="clear" w:color="auto" w:fill="FFFFFF"/>
        </w:rPr>
      </w:pPr>
      <w:r>
        <w:rPr>
          <w:b/>
          <w:color w:val="57825E"/>
          <w:szCs w:val="20"/>
          <w:shd w:val="clear" w:color="auto" w:fill="FFFFFF"/>
        </w:rPr>
        <w:lastRenderedPageBreak/>
        <w:t xml:space="preserve">Konkretūs iššūkiai </w:t>
      </w:r>
    </w:p>
    <w:p w:rsidR="00A45935" w:rsidRPr="000A718F" w:rsidRDefault="00A45935" w:rsidP="00A66F3C">
      <w:pPr>
        <w:pStyle w:val="Hlistbullet"/>
      </w:pPr>
      <w:r>
        <w:rPr>
          <w:b/>
        </w:rPr>
        <w:t>Papildomų</w:t>
      </w:r>
      <w:r>
        <w:rPr>
          <w:b/>
          <w:shd w:val="clear" w:color="auto" w:fill="FFFFFF"/>
        </w:rPr>
        <w:t xml:space="preserve"> ir konkrečios programos vertinimo elementų parengimas</w:t>
      </w:r>
      <w:r>
        <w:rPr>
          <w:shd w:val="clear" w:color="auto" w:fill="FFFFFF"/>
        </w:rPr>
        <w:t xml:space="preserve">: 1-asis BVK susijęs su vienu bendru tiksliniu rodikliu (T1), kuris gali būti nepakankamas siekiant atsakyti į šį BVK ir todėl gali prireikti ji papildyti papildomais rodikliais, kad būtų galima apskaičiuoti su inovacijomis susijusias atitinkamų priemonių išlaidas. Taip pat, siekiant atsakyti į 1-ąjį BVK, galima naudoti du bendruosius produkto rodiklius (O.13 produkto rodiklis – paramos gavėjų, kuriems buvo suteiktos konsultacijos, skaičius ir O.16 produkto rodiklis – EIP veiksmų skaičius). Atsižvelgiant į konkretų intervencinių </w:t>
      </w:r>
      <w:r w:rsidR="00A963F4">
        <w:rPr>
          <w:shd w:val="clear" w:color="auto" w:fill="FFFFFF"/>
        </w:rPr>
        <w:t>veiksmų</w:t>
      </w:r>
      <w:r>
        <w:rPr>
          <w:shd w:val="clear" w:color="auto" w:fill="FFFFFF"/>
        </w:rPr>
        <w:t xml:space="preserve"> loginį pagrindą, gali būti reikalingi papildomi vertinimo elementai siekiant įvertinti visus su inovacijomis susijusius aspektus. </w:t>
      </w:r>
    </w:p>
    <w:p w:rsidR="00A45935" w:rsidRPr="000A718F" w:rsidRDefault="00A45935" w:rsidP="00A66F3C">
      <w:pPr>
        <w:pStyle w:val="Hlistbullet"/>
        <w:rPr>
          <w:rFonts w:eastAsia="Calibri"/>
          <w:shd w:val="clear" w:color="auto" w:fill="FFFFFF"/>
        </w:rPr>
      </w:pPr>
      <w:r>
        <w:rPr>
          <w:b/>
          <w:shd w:val="clear" w:color="auto" w:fill="FFFFFF"/>
        </w:rPr>
        <w:t xml:space="preserve">Pastebėtų pokyčių </w:t>
      </w:r>
      <w:r w:rsidR="00A963F4">
        <w:rPr>
          <w:b/>
          <w:shd w:val="clear" w:color="auto" w:fill="FFFFFF"/>
        </w:rPr>
        <w:t xml:space="preserve">susiejimas, </w:t>
      </w:r>
      <w:r w:rsidR="00A963F4">
        <w:rPr>
          <w:shd w:val="clear" w:color="auto" w:fill="FFFFFF"/>
        </w:rPr>
        <w:t>atsižvelgiant</w:t>
      </w:r>
      <w:r>
        <w:rPr>
          <w:shd w:val="clear" w:color="auto" w:fill="FFFFFF"/>
        </w:rPr>
        <w:t xml:space="preserve"> į jų paramą inovacijoms, su 1, 2, 16 ir 19-ąja </w:t>
      </w:r>
      <w:r>
        <w:rPr>
          <w:b/>
          <w:shd w:val="clear" w:color="auto" w:fill="FFFFFF"/>
        </w:rPr>
        <w:t>priemonėmis</w:t>
      </w:r>
      <w:r>
        <w:rPr>
          <w:shd w:val="clear" w:color="auto" w:fill="FFFFFF"/>
        </w:rPr>
        <w:t>.</w:t>
      </w:r>
    </w:p>
    <w:p w:rsidR="00A45935" w:rsidRPr="000A718F" w:rsidRDefault="00A45935" w:rsidP="00A66F3C">
      <w:pPr>
        <w:pStyle w:val="Hlistbullet"/>
        <w:rPr>
          <w:rFonts w:eastAsia="Calibri"/>
          <w:shd w:val="clear" w:color="auto" w:fill="FFFFFF"/>
        </w:rPr>
      </w:pPr>
      <w:r>
        <w:rPr>
          <w:b/>
          <w:shd w:val="clear" w:color="auto" w:fill="FFFFFF"/>
        </w:rPr>
        <w:t xml:space="preserve">Pagal kitas tikslines sritis (TS) </w:t>
      </w:r>
      <w:r>
        <w:rPr>
          <w:shd w:val="clear" w:color="auto" w:fill="FFFFFF"/>
        </w:rPr>
        <w:t>(ne pagal 1B TS)</w:t>
      </w:r>
      <w:r>
        <w:rPr>
          <w:b/>
          <w:shd w:val="clear" w:color="auto" w:fill="FFFFFF"/>
        </w:rPr>
        <w:t xml:space="preserve"> programuojamų priemonių indėlio </w:t>
      </w:r>
      <w:r>
        <w:rPr>
          <w:shd w:val="clear" w:color="auto" w:fill="FFFFFF"/>
        </w:rPr>
        <w:t>į inovacijų rėmimą</w:t>
      </w:r>
      <w:r>
        <w:rPr>
          <w:b/>
          <w:shd w:val="clear" w:color="auto" w:fill="FFFFFF"/>
        </w:rPr>
        <w:t xml:space="preserve"> įvertinimas</w:t>
      </w:r>
      <w:r>
        <w:rPr>
          <w:shd w:val="clear" w:color="auto" w:fill="FFFFFF"/>
        </w:rP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Siūlomas atsakymo į 1-ąjį BVK metodas:</w:t>
      </w:r>
    </w:p>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 xml:space="preserve">Intervencinių veiksmų loginis pagrindas </w:t>
      </w:r>
    </w:p>
    <w:p w:rsidR="00863DB0" w:rsidRDefault="00A45935" w:rsidP="00A66F3C">
      <w:pPr>
        <w:spacing w:after="120" w:line="280" w:lineRule="atLeast"/>
        <w:mirrorIndents/>
        <w:rPr>
          <w:rFonts w:eastAsia="Times New Roman" w:cs="Times New Roman"/>
          <w:szCs w:val="20"/>
        </w:rPr>
      </w:pPr>
      <w:r>
        <w:t>Su 1-uoju BVK susijęs intervencinių veiksmų loginis pagrindas taip pat gali būti peržiūrėtas inovacijų požiūriu. Tai galima padaryti remiantis 1, 2, 16 ir 19-osios priemonių, kurios paprastai programuojamos pagal kitas nei 1A tikslines sritis derinant jas su kitomis priemonėmis, inovacijų skatinimo potencialo analizės rezultatais (žr. </w:t>
      </w:r>
      <w:hyperlink w:anchor="Screening_Potential" w:history="1">
        <w:r>
          <w:rPr>
            <w:rStyle w:val="Hyperlink"/>
            <w:sz w:val="20"/>
            <w:szCs w:val="20"/>
          </w:rPr>
          <w:t>2.2 skyrių</w:t>
        </w:r>
      </w:hyperlink>
      <w:r>
        <w:t xml:space="preserve">). Tai padės panaudoti programos pasiektus rezultatus, susijusius su 1A TS, ir nustatyti, kokie KPP paramos gavėjai ir suinteresuotieji subjektai gali būti duomenų ir informacijos teikėjais. </w:t>
      </w:r>
    </w:p>
    <w:p w:rsidR="00863DB0" w:rsidRDefault="00863DB0">
      <w:pPr>
        <w:jc w:val="left"/>
        <w:rPr>
          <w:rFonts w:eastAsia="Times New Roman" w:cs="Times New Roman"/>
          <w:szCs w:val="20"/>
        </w:rPr>
      </w:pPr>
      <w:r>
        <w:br w:type="page"/>
      </w:r>
    </w:p>
    <w:p w:rsidR="00A45935" w:rsidRPr="00D66501" w:rsidRDefault="00DD247A" w:rsidP="00A66F3C">
      <w:pPr>
        <w:pStyle w:val="HHeadingfigures"/>
      </w:pPr>
      <w:bookmarkStart w:id="105" w:name="_Toc508984039"/>
      <w:r>
        <w:lastRenderedPageBreak/>
        <w:t>Su 1-uoju BVK susijusio intervencinių veiksmų loginio pagrindo pavyzdys</w:t>
      </w:r>
      <w:bookmarkEnd w:id="105"/>
      <w:r>
        <w:t xml:space="preserve"> </w:t>
      </w:r>
    </w:p>
    <w:p w:rsidR="007D2A0C" w:rsidRDefault="001B129C" w:rsidP="00690E70">
      <w:pPr>
        <w:spacing w:after="120" w:line="280" w:lineRule="atLeast"/>
        <w:mirrorIndents/>
        <w:jc w:val="center"/>
        <w:rPr>
          <w:rFonts w:eastAsia="Times New Roman" w:cs="Times New Roman"/>
          <w:i/>
          <w:sz w:val="16"/>
          <w:szCs w:val="16"/>
          <w:lang w:eastAsia="de-DE"/>
        </w:rPr>
      </w:pPr>
      <w:r w:rsidRPr="001B129C">
        <w:rPr>
          <w:noProof/>
          <w:lang w:val="en-GB" w:eastAsia="en-GB"/>
        </w:rPr>
        <w:drawing>
          <wp:inline distT="0" distB="0" distL="0" distR="0" wp14:anchorId="74BFE2BD" wp14:editId="006A630D">
            <wp:extent cx="5731510" cy="311010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3110103"/>
                    </a:xfrm>
                    <a:prstGeom prst="rect">
                      <a:avLst/>
                    </a:prstGeom>
                  </pic:spPr>
                </pic:pic>
              </a:graphicData>
            </a:graphic>
          </wp:inline>
        </w:drawing>
      </w:r>
    </w:p>
    <w:p w:rsidR="00A45935" w:rsidRPr="00E05D08" w:rsidRDefault="007D2A0C" w:rsidP="00690E70">
      <w:pPr>
        <w:spacing w:after="120" w:line="280" w:lineRule="atLeast"/>
        <w:mirrorIndents/>
        <w:jc w:val="center"/>
        <w:rPr>
          <w:rFonts w:eastAsia="Times New Roman" w:cs="Times New Roman"/>
          <w:i/>
          <w:sz w:val="16"/>
          <w:szCs w:val="20"/>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r>
        <w:rPr>
          <w:rFonts w:eastAsia="Times New Roman" w:cs="Times New Roman"/>
          <w:i/>
          <w:noProof/>
          <w:sz w:val="18"/>
          <w:szCs w:val="24"/>
          <w:lang w:val="en-GB" w:eastAsia="en-GB"/>
        </w:rPr>
        <mc:AlternateContent>
          <mc:Choice Requires="wps">
            <w:drawing>
              <wp:anchor distT="0" distB="0" distL="114300" distR="114300" simplePos="0" relativeHeight="251753472" behindDoc="0" locked="0" layoutInCell="1" allowOverlap="1" wp14:anchorId="324B7104" wp14:editId="1536FF22">
                <wp:simplePos x="0" y="0"/>
                <wp:positionH relativeFrom="column">
                  <wp:posOffset>0</wp:posOffset>
                </wp:positionH>
                <wp:positionV relativeFrom="paragraph">
                  <wp:posOffset>303630</wp:posOffset>
                </wp:positionV>
                <wp:extent cx="5732780" cy="1828800"/>
                <wp:effectExtent l="0" t="0" r="20320" b="19050"/>
                <wp:wrapSquare wrapText="bothSides"/>
                <wp:docPr id="23" name="Rectangle: Diagonal Corners Rounded 23"/>
                <wp:cNvGraphicFramePr/>
                <a:graphic xmlns:a="http://schemas.openxmlformats.org/drawingml/2006/main">
                  <a:graphicData uri="http://schemas.microsoft.com/office/word/2010/wordprocessingShape">
                    <wps:wsp>
                      <wps:cNvSpPr/>
                      <wps:spPr>
                        <a:xfrm>
                          <a:off x="0" y="0"/>
                          <a:ext cx="5732780" cy="1828800"/>
                        </a:xfrm>
                        <a:prstGeom prst="round2DiagRect">
                          <a:avLst>
                            <a:gd name="adj1" fmla="val 11556"/>
                            <a:gd name="adj2" fmla="val 0"/>
                          </a:avLst>
                        </a:prstGeom>
                        <a:noFill/>
                        <a:ln w="25400" cap="flat" cmpd="sng" algn="ctr">
                          <a:solidFill>
                            <a:srgbClr val="F07E31"/>
                          </a:solidFill>
                          <a:prstDash val="solid"/>
                        </a:ln>
                        <a:effectLst/>
                      </wps:spPr>
                      <wps:txbx>
                        <w:txbxContent>
                          <w:p w:rsidR="001F67E3" w:rsidRPr="00D33212" w:rsidRDefault="001F67E3" w:rsidP="00863DB0">
                            <w:pPr>
                              <w:pStyle w:val="H-Standard"/>
                            </w:pPr>
                            <w:r>
                              <w:rPr>
                                <w:noProof/>
                                <w:lang w:val="en-GB" w:eastAsia="en-GB"/>
                              </w:rPr>
                              <w:drawing>
                                <wp:inline distT="0" distB="0" distL="0" distR="0" wp14:anchorId="566D8A6F" wp14:editId="4364A9B4">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t>Šiame pavyzdyje nustatyta, kad 1-osios priemonės pagalbine priemone „mokymas ir įgūdžių įgijimo veikla“ ir 2-osios priemonės pagalbine priemone „konsultantų mokymas“ galima remti inovacijas stiprinant gebėjimą diegti inovacijas. Derinant 16.7 ir 16.8 pagalbines priemones galima remti inovacijas plėtojant novatoriškas idėjas, o 16.1 pagalbine priemone galima remti inovacijas visais trim būdais. 19.2 pagalbinė priemonė, kuria remiamos BVIP strategijos, padeda kurti palankią aplinką. programos LEADER priemonės „Bendradarbiavimas“ pagalbinė priemonė (19.3) padeda bendradarbiaujant plėtoti novatoriškas idėjas ir stiprinti gebėjimą diegti inovacijas.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B7104" id="Rectangle: Diagonal Corners Rounded 23" o:spid="_x0000_s1043" style="position:absolute;left:0;text-align:left;margin-left:0;margin-top:23.9pt;width:451.4pt;height:2in;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2780,182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" adj="-11796480,,5400" path="m211336,l5732780,r,l5732780,1617464v,116718,-94618,211336,-211336,211336l,1828800r,l,211336c,94618,94618,,211336,xe" filled="f" strokecolor="#f07e31" strokeweight="2pt">
                <v:stroke joinstyle="miter"/>
                <v:formulas/>
                <v:path arrowok="t" o:connecttype="custom" o:connectlocs="211336,0;5732780,0;5732780,0;5732780,1617464;5521444,1828800;0,1828800;0,1828800;0,211336;211336,0" o:connectangles="0,0,0,0,0,0,0,0,0" textboxrect="0,0,5732780,1828800"/>
                <v:textbox>
                  <w:txbxContent>
                    <w:p w:rsidR="001F67E3" w:rsidRPr="00D33212" w:rsidRDefault="001F67E3" w:rsidP="00863DB0">
                      <w:pPr>
                        <w:pStyle w:val="H-Standard"/>
                      </w:pPr>
                      <w:r>
                        <w:rPr>
                          <w:noProof/>
                          <w:lang w:val="en-GB" w:eastAsia="en-GB"/>
                        </w:rPr>
                        <w:drawing>
                          <wp:inline distT="0" distB="0" distL="0" distR="0" wp14:anchorId="566D8A6F" wp14:editId="4364A9B4">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t>Šiame pavyzdyje nustatyta, kad 1-osios priemonės pagalbine priemone „mokymas ir įgūdžių įgijimo veikla“ ir 2-osios priemonės pagalbine priemone „konsultantų mokymas“ galima remti inovacijas stiprinant gebėjimą diegti inovacijas. Derinant 16.7 ir 16.8 pagalbines priemones galima remti inovacijas plėtojant novatoriškas idėjas, o 16.1 pagalbine priemone galima remti inovacijas visais trim būdais. 19.2 pagalbinė priemonė, kuria remiamos BVIP strategijos, padeda kurti palankią aplinką. programos LEADER priemonės „Bendradarbiavimas“ pagalbinė priemonė (19.3) padeda bendradarbiaujant plėtoti novatoriškas idėjas ir stiprinti gebėjimą diegti inovacijas.</w:t>
                      </w:r>
                    </w:p>
                  </w:txbxContent>
                </v:textbox>
                <w10:wrap type="square"/>
              </v:shape>
            </w:pict>
          </mc:Fallback>
        </mc:AlternateContent>
      </w:r>
      <w:r>
        <w:rPr>
          <w:i/>
          <w:sz w:val="16"/>
          <w:szCs w:val="16"/>
        </w:rPr>
        <w:t>Šaltinis: Europos kaimo plėtros vertinimo pagalbos tarnyba, 2017 m.</w:t>
      </w:r>
    </w:p>
    <w:p w:rsidR="00A45935"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t xml:space="preserve">Vertinimo elementai </w:t>
      </w:r>
    </w:p>
    <w:p w:rsidR="00A45935" w:rsidRDefault="00734B11" w:rsidP="00E05D08">
      <w:pPr>
        <w:spacing w:before="120" w:after="120" w:line="280" w:lineRule="atLeast"/>
        <w:mirrorIndents/>
        <w:rPr>
          <w:rFonts w:eastAsia="Times New Roman" w:cs="Times New Roman"/>
          <w:szCs w:val="20"/>
        </w:rPr>
      </w:pPr>
      <w:r>
        <w:t>Bendrieji 1-ojo BVK vertinimo kriterijai ir rodikliai išlieka pagal 1, 2, 16 ir 19-ąją priemones remiamų veiksmų produkto lygmenyje. Gali prireikti parengti papildomus vertinimo kriterijus ir rodiklius siekiant įvertinti šių priemonių rezultatus (žr. </w:t>
      </w:r>
      <w:hyperlink w:anchor="Evaluation_elements" w:history="1">
        <w:r>
          <w:rPr>
            <w:rStyle w:val="Hyperlink"/>
            <w:sz w:val="20"/>
            <w:szCs w:val="20"/>
          </w:rPr>
          <w:t>1 lentelę</w:t>
        </w:r>
      </w:hyperlink>
      <w:r>
        <w:t>).</w:t>
      </w:r>
    </w:p>
    <w:p w:rsidR="00863DB0" w:rsidRPr="00E05D08" w:rsidRDefault="00863DB0" w:rsidP="00E05D08">
      <w:pPr>
        <w:spacing w:before="120" w:after="120" w:line="280" w:lineRule="atLeast"/>
        <w:mirrorIndents/>
        <w:rPr>
          <w:rFonts w:eastAsia="Times New Roman" w:cs="Times New Roman"/>
          <w:szCs w:val="20"/>
          <w:lang w:eastAsia="de-DE"/>
        </w:rPr>
      </w:pPr>
    </w:p>
    <w:p w:rsidR="00A45935" w:rsidRPr="00E05D08" w:rsidRDefault="00A45935" w:rsidP="00E05D08">
      <w:pPr>
        <w:numPr>
          <w:ilvl w:val="0"/>
          <w:numId w:val="9"/>
        </w:numPr>
        <w:spacing w:before="60" w:after="0" w:line="280" w:lineRule="atLeast"/>
        <w:ind w:left="0" w:firstLine="0"/>
        <w:rPr>
          <w:rFonts w:eastAsia="Times New Roman" w:cs="Arial"/>
          <w:szCs w:val="18"/>
          <w:lang w:eastAsia="de-DE"/>
          <w14:textFill>
            <w14:solidFill>
              <w14:srgbClr w14:val="373737">
                <w14:lumMod w14:val="75000"/>
              </w14:srgbClr>
            </w14:solidFill>
          </w14:textFill>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A43EFD" w:rsidRDefault="00A45935" w:rsidP="00A17DD0">
      <w:pPr>
        <w:pStyle w:val="HHeadingtables"/>
      </w:pPr>
      <w:bookmarkStart w:id="106" w:name="Evaluation_elements"/>
      <w:bookmarkStart w:id="107" w:name="_Toc508979905"/>
      <w:r>
        <w:lastRenderedPageBreak/>
        <w:t>Su 1-uoju BVK susiję vertinimo elementai ir informacijos šaltiniai</w:t>
      </w:r>
      <w:bookmarkEnd w:id="106"/>
      <w:bookmarkEnd w:id="107"/>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6"/>
        <w:gridCol w:w="3118"/>
        <w:gridCol w:w="2835"/>
        <w:gridCol w:w="128"/>
        <w:gridCol w:w="5627"/>
      </w:tblGrid>
      <w:tr w:rsidR="00A45935" w:rsidRPr="00E05D08" w:rsidTr="00E05D08">
        <w:trPr>
          <w:tblHeader/>
        </w:trPr>
        <w:tc>
          <w:tcPr>
            <w:tcW w:w="2547"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Vertinimo kriterijai</w:t>
            </w:r>
          </w:p>
        </w:tc>
        <w:tc>
          <w:tcPr>
            <w:tcW w:w="311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Rodikliai</w:t>
            </w:r>
          </w:p>
        </w:tc>
        <w:tc>
          <w:tcPr>
            <w:tcW w:w="2835"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Duomenų poreikis</w:t>
            </w:r>
          </w:p>
        </w:tc>
        <w:tc>
          <w:tcPr>
            <w:tcW w:w="5756" w:type="dxa"/>
            <w:gridSpan w:val="2"/>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Duomenų šaltiniai</w:t>
            </w:r>
          </w:p>
        </w:tc>
      </w:tr>
      <w:tr w:rsidR="00A45935" w:rsidRPr="00E05D08" w:rsidTr="00E05D08">
        <w:tc>
          <w:tcPr>
            <w:tcW w:w="14256" w:type="dxa"/>
            <w:gridSpan w:val="5"/>
            <w:shd w:val="clear" w:color="auto" w:fill="8BAB80"/>
          </w:tcPr>
          <w:p w:rsidR="00A45935" w:rsidRPr="00F200A2" w:rsidRDefault="00A45935" w:rsidP="00E05D08">
            <w:pPr>
              <w:spacing w:after="120" w:line="280" w:lineRule="atLeast"/>
              <w:mirrorIndents/>
              <w:rPr>
                <w:rFonts w:cs="Arial"/>
                <w:b/>
                <w:color w:val="FFFFFF"/>
                <w:sz w:val="18"/>
                <w:szCs w:val="18"/>
              </w:rPr>
            </w:pPr>
            <w:r>
              <w:rPr>
                <w:b/>
                <w:color w:val="FFFFFF"/>
                <w:sz w:val="18"/>
                <w:szCs w:val="18"/>
              </w:rPr>
              <w:t>Bendrieji vertinimo elementai (BSVS ir darbiniame dokumente „2014–2020 m. bendrieji vertinimo klausimai“ pateikti siūlomi elementai)</w:t>
            </w:r>
          </w:p>
        </w:tc>
      </w:tr>
      <w:tr w:rsidR="00A45935" w:rsidRPr="00E05D08" w:rsidTr="00A17DD0">
        <w:trPr>
          <w:trHeight w:val="1184"/>
        </w:trPr>
        <w:tc>
          <w:tcPr>
            <w:tcW w:w="2547" w:type="dxa"/>
          </w:tcPr>
          <w:p w:rsidR="00A45935" w:rsidRPr="00385368" w:rsidRDefault="00A45935" w:rsidP="00FF4D19">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KPP projektai buvo </w:t>
            </w:r>
            <w:r w:rsidR="00FF4D19">
              <w:rPr>
                <w:sz w:val="18"/>
                <w:szCs w:val="18"/>
                <w14:textFill>
                  <w14:solidFill>
                    <w14:srgbClr w14:val="373737">
                      <w14:lumMod w14:val="75000"/>
                    </w14:srgbClr>
                  </w14:solidFill>
                </w14:textFill>
              </w:rPr>
              <w:t>novatoriški</w:t>
            </w:r>
            <w:r>
              <w:rPr>
                <w:sz w:val="18"/>
                <w:szCs w:val="18"/>
                <w14:textFill>
                  <w14:solidFill>
                    <w14:srgbClr w14:val="373737">
                      <w14:lumMod w14:val="75000"/>
                    </w14:srgbClr>
                  </w14:solidFill>
                </w14:textFill>
              </w:rPr>
              <w:t xml:space="preserve"> ir pagrįsti žinių baze.</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T1: išlaidų dalis pagal Reglamento (ES) Nr. 1305/2013 14, 15 ir 35 straipsnius, palyginti su KPP tekusiomis visomis išlaidomis</w:t>
            </w:r>
          </w:p>
          <w:p w:rsidR="00A45935" w:rsidRPr="00385368" w:rsidRDefault="00A45935" w:rsidP="007E63EF">
            <w:pPr>
              <w:spacing w:after="120" w:line="280" w:lineRule="atLeast"/>
              <w:jc w:val="left"/>
              <w:rPr>
                <w:rFonts w:eastAsia="Calibri" w:cs="Arial"/>
                <w:color w:val="57825E"/>
                <w:sz w:val="18"/>
                <w:szCs w:val="18"/>
                <w14:textFill>
                  <w14:solidFill>
                    <w14:srgbClr w14:val="57825E">
                      <w14:lumMod w14:val="75000"/>
                    </w14:srgbClr>
                  </w14:solidFill>
                </w14:textFill>
              </w:rPr>
            </w:pPr>
            <w:r>
              <w:rPr>
                <w:color w:val="57825E"/>
                <w:sz w:val="18"/>
                <w:szCs w:val="18"/>
                <w:u w:val="single"/>
                <w14:textFill>
                  <w14:solidFill>
                    <w14:srgbClr w14:val="57825E">
                      <w14:lumMod w14:val="75000"/>
                    </w14:srgbClr>
                  </w14:solidFill>
                </w14:textFill>
              </w:rPr>
              <w:t>Papildomas rodiklis</w:t>
            </w:r>
            <w:r>
              <w:rPr>
                <w:color w:val="57825E"/>
                <w:sz w:val="18"/>
                <w:szCs w:val="18"/>
                <w14:textFill>
                  <w14:solidFill>
                    <w14:srgbClr w14:val="57825E">
                      <w14:lumMod w14:val="75000"/>
                    </w14:srgbClr>
                  </w14:solidFill>
                </w14:textFill>
              </w:rPr>
              <w:t xml:space="preserve">: novatoriškų projektų procentinė dalis, palyginti su visais pagal KPP paremtais projektais </w:t>
            </w:r>
          </w:p>
        </w:tc>
        <w:tc>
          <w:tcPr>
            <w:tcW w:w="2963" w:type="dxa"/>
            <w:gridSpan w:val="2"/>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Duomenys apie išlaidas, susijusias su 1, 2 ir 16-ąja priemonėmis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Kai įmanoma, taip pat turėtų būti renkami duomenys apie išlaidas, tekusias pagalbinėms priemonėms, kuriomis, kaip nustatyta, galima remti inovacijas.</w:t>
            </w:r>
          </w:p>
        </w:tc>
        <w:tc>
          <w:tcPr>
            <w:tcW w:w="5628"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KPP stebėsenos sistema </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Paramos gavėjų paraiškų formos (projekto pradžia)</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Paramos gavėjų mokėjimo prašymai (projekto pabaiga)</w:t>
            </w:r>
          </w:p>
        </w:tc>
      </w:tr>
      <w:tr w:rsidR="00A45935" w:rsidRPr="00E05D08" w:rsidTr="00A17DD0">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Buvo sukurtos veiklos grupės.</w:t>
            </w:r>
          </w:p>
        </w:tc>
        <w:tc>
          <w:tcPr>
            <w:tcW w:w="3118" w:type="dxa"/>
          </w:tcPr>
          <w:p w:rsidR="00A45935" w:rsidRPr="00385368" w:rsidRDefault="00A45935" w:rsidP="00F200A2">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EIP veiksmų skaičius</w:t>
            </w:r>
          </w:p>
        </w:tc>
        <w:tc>
          <w:tcPr>
            <w:tcW w:w="2963" w:type="dxa"/>
            <w:gridSpan w:val="2"/>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 veiksmų skaičius (O.16 duomenų elementas)</w:t>
            </w:r>
          </w:p>
        </w:tc>
        <w:tc>
          <w:tcPr>
            <w:tcW w:w="5628"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KPP stebėsenos sistema </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Paramos gavėjų paraiškų formos (projekto pradžia)</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Paramos gavėjų mokėjimo prašymai (projekto pabaiga)</w:t>
            </w:r>
          </w:p>
        </w:tc>
      </w:tr>
      <w:tr w:rsidR="00A45935" w:rsidRPr="00E05D08" w:rsidTr="00A17DD0">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 veiklos grupių (VG) veikloje dalyvaujančių partnerių įvairovė</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EIP grupių partnerių skaičius ir rūšys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u w:val="single"/>
                <w14:textFill>
                  <w14:solidFill>
                    <w14:srgbClr w14:val="57825E">
                      <w14:lumMod w14:val="75000"/>
                    </w14:srgbClr>
                  </w14:solidFill>
                </w14:textFill>
              </w:rPr>
              <w:t>Papildomas rodiklis</w:t>
            </w:r>
            <w:r>
              <w:rPr>
                <w:color w:val="57825E"/>
                <w:sz w:val="18"/>
                <w:szCs w:val="18"/>
                <w14:textFill>
                  <w14:solidFill>
                    <w14:srgbClr w14:val="57825E">
                      <w14:lumMod w14:val="75000"/>
                    </w14:srgbClr>
                  </w14:solidFill>
                </w14:textFill>
              </w:rPr>
              <w:t>: bendradarbiavimo projektuose dalyvaujančių partnerių skaičius ir jų rūšys</w:t>
            </w:r>
          </w:p>
        </w:tc>
        <w:tc>
          <w:tcPr>
            <w:tcW w:w="2963" w:type="dxa"/>
            <w:gridSpan w:val="2"/>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Partnerių skaičius ir rūšys</w:t>
            </w:r>
          </w:p>
        </w:tc>
        <w:tc>
          <w:tcPr>
            <w:tcW w:w="5628"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KPP stebėsenos sistema </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Paramos gavėjų paraiškų formos (projekto pradžia)</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Paramos gavėjų mokėjimo prašymai (projekto pabaiga)</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VG veiklos santraukos</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p>
        </w:tc>
      </w:tr>
      <w:tr w:rsidR="00A45935" w:rsidRPr="00E05D08" w:rsidTr="00A17DD0">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Novatoriškus veiksmus įgyvendino ir informaciją apie juos paskleidė EIP veiklos grupės.</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EIP veiksmų skaičius</w:t>
            </w:r>
          </w:p>
          <w:p w:rsidR="00A45935" w:rsidRPr="00385368" w:rsidRDefault="00A45935" w:rsidP="007E63EF">
            <w:pPr>
              <w:spacing w:after="120" w:line="280" w:lineRule="atLeast"/>
              <w:jc w:val="left"/>
              <w:rPr>
                <w:rFonts w:eastAsia="Calibri" w:cs="Arial"/>
                <w:color w:val="57825E"/>
                <w:sz w:val="18"/>
                <w:szCs w:val="18"/>
              </w:rPr>
            </w:pPr>
            <w:r>
              <w:rPr>
                <w:color w:val="57825E"/>
                <w:sz w:val="18"/>
                <w:szCs w:val="18"/>
                <w:u w:val="single"/>
              </w:rPr>
              <w:t>Papildomas rodiklis</w:t>
            </w:r>
            <w:r>
              <w:rPr>
                <w:color w:val="57825E"/>
                <w:sz w:val="18"/>
                <w:szCs w:val="18"/>
              </w:rPr>
              <w:t>: paremtų novatoriškų veiksmų, kuriuos įgyvendino ir apie kuriuos informaciją paskleidė EIP veiklos grupės, skaičius pagal rūšis, sektorių ir kt.</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 xml:space="preserve"> </w:t>
            </w:r>
          </w:p>
        </w:tc>
        <w:tc>
          <w:tcPr>
            <w:tcW w:w="2963" w:type="dxa"/>
            <w:gridSpan w:val="2"/>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EIP veiksmų skaičius (O.16 duomenų elementas).</w:t>
            </w:r>
          </w:p>
        </w:tc>
        <w:tc>
          <w:tcPr>
            <w:tcW w:w="5628"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KPP stebėsenos sistema </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Paramos gavėjų paraiškų formos (projekto pradžia)</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Paramos gavėjų mokėjimo prašymai (projekto pabaiga)</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VG veiklos santraukos</w:t>
            </w:r>
          </w:p>
        </w:tc>
      </w:tr>
      <w:tr w:rsidR="00A45935" w:rsidRPr="00E05D08" w:rsidTr="00E05D08">
        <w:tc>
          <w:tcPr>
            <w:tcW w:w="14256" w:type="dxa"/>
            <w:gridSpan w:val="5"/>
            <w:shd w:val="clear" w:color="auto" w:fill="8BAB80"/>
          </w:tcPr>
          <w:p w:rsidR="00A45935" w:rsidRPr="00406C98" w:rsidRDefault="00A45935" w:rsidP="00E05D08">
            <w:pPr>
              <w:spacing w:after="120" w:line="280" w:lineRule="atLeast"/>
              <w:rPr>
                <w:rFonts w:eastAsia="Calibri" w:cs="Arial"/>
                <w:b/>
                <w:color w:val="FFFFFF"/>
                <w:sz w:val="18"/>
                <w:szCs w:val="18"/>
                <w14:textFill>
                  <w14:solidFill>
                    <w14:srgbClr w14:val="FFFFFF">
                      <w14:lumMod w14:val="75000"/>
                      <w14:lumMod w14:val="75000"/>
                    </w14:srgbClr>
                  </w14:solidFill>
                </w14:textFill>
              </w:rPr>
            </w:pPr>
            <w:r>
              <w:rPr>
                <w:b/>
                <w:color w:val="FFFFFF" w:themeColor="background1"/>
                <w:sz w:val="18"/>
                <w:szCs w:val="18"/>
              </w:rPr>
              <w:t>Papildomi vertinimo elementai (neprivaloma)</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Į EIP veiklos grupių sudėtį įeina inovacijų srities suinteresuotieji subjektai.</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 veiklos grupių sudėtis (partnerių skaičius ir rūšys), kurioje yra inovacijų srities suinteresuotųjų subjektų</w:t>
            </w:r>
          </w:p>
        </w:tc>
        <w:tc>
          <w:tcPr>
            <w:tcW w:w="2835" w:type="dxa"/>
          </w:tcPr>
          <w:p w:rsidR="00A45935" w:rsidRPr="00E05D08" w:rsidRDefault="00A45935" w:rsidP="007E63EF">
            <w:pPr>
              <w:suppressAutoHyphens/>
              <w:spacing w:before="40" w:after="40"/>
              <w:jc w:val="left"/>
              <w:rPr>
                <w:rFonts w:cs="Arial"/>
                <w:sz w:val="18"/>
                <w:szCs w:val="18"/>
              </w:rPr>
            </w:pPr>
            <w:r>
              <w:rPr>
                <w:sz w:val="18"/>
                <w:szCs w:val="18"/>
              </w:rPr>
              <w:t>VG partnerių skaičius</w:t>
            </w:r>
          </w:p>
          <w:p w:rsidR="00A45935" w:rsidRPr="00E05D08" w:rsidRDefault="00A45935" w:rsidP="007E63EF">
            <w:pPr>
              <w:suppressAutoHyphens/>
              <w:spacing w:before="40" w:after="40"/>
              <w:jc w:val="left"/>
              <w:rPr>
                <w:rFonts w:cs="Arial"/>
                <w:sz w:val="18"/>
                <w:szCs w:val="18"/>
              </w:rPr>
            </w:pPr>
            <w:r>
              <w:rPr>
                <w:sz w:val="18"/>
                <w:szCs w:val="18"/>
              </w:rPr>
              <w:t>VG partnerių rūšis</w:t>
            </w:r>
          </w:p>
        </w:tc>
        <w:tc>
          <w:tcPr>
            <w:tcW w:w="5756" w:type="dxa"/>
            <w:gridSpan w:val="2"/>
          </w:tcPr>
          <w:p w:rsidR="00A45935" w:rsidRPr="00E05D08" w:rsidRDefault="00A45935" w:rsidP="007E63EF">
            <w:pPr>
              <w:suppressAutoHyphens/>
              <w:spacing w:before="40" w:after="40"/>
              <w:jc w:val="left"/>
              <w:rPr>
                <w:rFonts w:cs="Arial"/>
                <w:sz w:val="18"/>
                <w:szCs w:val="18"/>
              </w:rPr>
            </w:pPr>
            <w:r>
              <w:rPr>
                <w:sz w:val="18"/>
                <w:szCs w:val="18"/>
              </w:rPr>
              <w:t xml:space="preserve">KPP stebėsenos sistema </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Paramos gavėjų paraiškų formos (projekto pradžia)</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Paramos gavėjų mokėjimo prašymai (projekto pabaiga)</w:t>
            </w:r>
          </w:p>
          <w:p w:rsidR="00A45935" w:rsidRPr="00385368" w:rsidRDefault="00A45935" w:rsidP="007E63EF">
            <w:pPr>
              <w:suppressAutoHyphens/>
              <w:spacing w:before="40" w:after="40"/>
              <w:jc w:val="left"/>
              <w:rPr>
                <w:rFonts w:cs="Arial"/>
                <w:sz w:val="18"/>
                <w:szCs w:val="18"/>
              </w:rPr>
            </w:pPr>
            <w:r>
              <w:rPr>
                <w:sz w:val="18"/>
                <w:szCs w:val="18"/>
              </w:rPr>
              <w:t>EIP veiklos grupių apklausos ir apklausos su VVG</w:t>
            </w:r>
          </w:p>
          <w:p w:rsidR="00A45935" w:rsidRPr="00385368" w:rsidRDefault="00A45935" w:rsidP="007E63EF">
            <w:pPr>
              <w:suppressAutoHyphens/>
              <w:spacing w:before="40" w:after="40"/>
              <w:jc w:val="left"/>
              <w:rPr>
                <w:rFonts w:cs="Arial"/>
                <w:sz w:val="18"/>
                <w:szCs w:val="18"/>
              </w:rPr>
            </w:pPr>
            <w:r>
              <w:rPr>
                <w:sz w:val="18"/>
                <w:szCs w:val="18"/>
              </w:rPr>
              <w:t>Veiklos grupių interneto platformos</w:t>
            </w:r>
          </w:p>
          <w:p w:rsidR="00A45935" w:rsidRPr="00E05D08" w:rsidRDefault="00A45935" w:rsidP="007E63EF">
            <w:pPr>
              <w:suppressAutoHyphens/>
              <w:spacing w:before="40" w:after="40"/>
              <w:jc w:val="left"/>
              <w:rPr>
                <w:rFonts w:cs="Arial"/>
                <w:sz w:val="18"/>
                <w:szCs w:val="18"/>
              </w:rPr>
            </w:pPr>
            <w:r>
              <w:rPr>
                <w:sz w:val="18"/>
                <w:szCs w:val="18"/>
              </w:rPr>
              <w:t>VG veiklos santraukos</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VVG parėmė inovacijų projektus</w:t>
            </w:r>
          </w:p>
        </w:tc>
        <w:tc>
          <w:tcPr>
            <w:tcW w:w="3118" w:type="dxa"/>
          </w:tcPr>
          <w:p w:rsidR="00A45935" w:rsidRPr="00385368" w:rsidRDefault="00A45935" w:rsidP="00FF4D19">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VVG įgyvendintų projektų, kurie pažymėti kaip </w:t>
            </w:r>
            <w:r w:rsidR="00FF4D19">
              <w:rPr>
                <w:sz w:val="18"/>
                <w:szCs w:val="18"/>
                <w14:textFill>
                  <w14:solidFill>
                    <w14:srgbClr w14:val="373737">
                      <w14:lumMod w14:val="75000"/>
                    </w14:srgbClr>
                  </w14:solidFill>
                </w14:textFill>
              </w:rPr>
              <w:t>novatoriški</w:t>
            </w:r>
            <w:r>
              <w:rPr>
                <w:sz w:val="18"/>
                <w:szCs w:val="18"/>
                <w14:textFill>
                  <w14:solidFill>
                    <w14:srgbClr w14:val="373737">
                      <w14:lumMod w14:val="75000"/>
                    </w14:srgbClr>
                  </w14:solidFill>
                </w14:textFill>
              </w:rPr>
              <w:t xml:space="preserve"> projektai, skaičius ir jų paramos gavėjai (vadovaujantis tinkamumo ir atrankos kriterijais)</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Duomenų apie VVG projektus stebėsena </w:t>
            </w:r>
          </w:p>
        </w:tc>
        <w:tc>
          <w:tcPr>
            <w:tcW w:w="5756" w:type="dxa"/>
            <w:gridSpan w:val="2"/>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VVG veiksmų duomenų bazė</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Inovacijų srities suinteresuotiesiems subjektams buvo surengti mokymai.</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Išmokytų inovacijų srities suinteresuotųjų subjektų skaičius ir rūšis</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Išmokytų suinteresuotųjų subjektų skaičius ir rūšis</w:t>
            </w:r>
          </w:p>
        </w:tc>
        <w:tc>
          <w:tcPr>
            <w:tcW w:w="5756" w:type="dxa"/>
            <w:gridSpan w:val="2"/>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KPP stebėsenos sistema </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Paramos gavėjų paraiškų formos (projekto pradžia)</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Paramos gavėjų mokėjimo prašymai (projekto pabaiga)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Pokalbiai su vadovaujančiomis institucijomis ir su mokymo paslaugų teikėjais ir jų apklausos</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Pagrindiniai paramos inovacijoms pagal 1, 2, 16 ir 19-ąją priemones sėkmę lemiantys veiksniai</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Pagrindinių veiksnių, padėjusių remti inovacijas kaimo vietovėse, aprašymas</w:t>
            </w:r>
          </w:p>
        </w:tc>
        <w:tc>
          <w:tcPr>
            <w:tcW w:w="2835"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Kokybinė informacija</w:t>
            </w:r>
          </w:p>
        </w:tc>
        <w:tc>
          <w:tcPr>
            <w:tcW w:w="5756" w:type="dxa"/>
            <w:gridSpan w:val="2"/>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Pokalbiai, apklausos ir tikslinės grupės su paramos gavėjais pagal su inovacijomis susijusias 1 ir 2-osios priemonių pagalbines priemones ir su veiklos grupėmis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 AGRI ir VVG</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VG veiklos santraukos </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VVG veiksmų duomenų bazė</w:t>
            </w:r>
          </w:p>
        </w:tc>
      </w:tr>
    </w:tbl>
    <w:p w:rsidR="00A45935" w:rsidRPr="00E05D08" w:rsidRDefault="00A45935" w:rsidP="00E05D08">
      <w:pPr>
        <w:spacing w:after="120" w:line="280" w:lineRule="atLeast"/>
        <w:mirrorIndents/>
        <w:rPr>
          <w:rFonts w:eastAsia="Times New Roman" w:cs="Times New Roman"/>
          <w:color w:val="FF0000"/>
          <w:szCs w:val="20"/>
          <w:lang w:eastAsia="de-DE"/>
        </w:rPr>
      </w:pPr>
    </w:p>
    <w:p w:rsidR="00A45935" w:rsidRPr="00E05D08" w:rsidRDefault="00A45935" w:rsidP="00541A7D">
      <w:pPr>
        <w:spacing w:before="60" w:after="0" w:line="280" w:lineRule="atLeast"/>
        <w:rPr>
          <w:rFonts w:eastAsia="Times New Roman" w:cs="Arial"/>
          <w:szCs w:val="18"/>
          <w:lang w:eastAsia="de-DE"/>
          <w14:textFill>
            <w14:solidFill>
              <w14:srgbClr w14:val="373737">
                <w14:lumMod w14:val="75000"/>
              </w14:srgbClr>
            </w14:solidFill>
          </w14:textFill>
        </w:r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lastRenderedPageBreak/>
        <w:t xml:space="preserve">Siūloma vertinimo metodika siekiant atsakyti į 1-ąjį BVK </w:t>
      </w:r>
    </w:p>
    <w:p w:rsidR="00A45935" w:rsidRPr="00E05D08" w:rsidRDefault="00A45935" w:rsidP="00E05D08">
      <w:pPr>
        <w:spacing w:after="120" w:line="280" w:lineRule="atLeast"/>
        <w:mirrorIndents/>
        <w:rPr>
          <w:rFonts w:eastAsia="Times New Roman" w:cs="Times New Roman"/>
          <w:szCs w:val="20"/>
        </w:rPr>
      </w:pPr>
      <w:r>
        <w:t>Bendrųjų su 1-uoju BVK susijusių rodiklių apskaičiavimo būdas aprašytas gairių „</w:t>
      </w:r>
      <w:hyperlink r:id="rId40" w:history="1">
        <w:r>
          <w:rPr>
            <w:color w:val="F07E31"/>
            <w:szCs w:val="20"/>
            <w:u w:val="single"/>
          </w:rPr>
          <w:t>KPP rezultatų vertinimas:</w:t>
        </w:r>
      </w:hyperlink>
      <w:hyperlink r:id="rId41" w:history="1">
        <w:r>
          <w:rPr>
            <w:color w:val="F07E31"/>
            <w:szCs w:val="20"/>
            <w:u w:val="single"/>
          </w:rPr>
          <w:t xml:space="preserve"> kaip pasirengti teikti vertinimo ataskaitas 2017 m. </w:t>
        </w:r>
      </w:hyperlink>
      <w:r>
        <w:t xml:space="preserve">“ 11 priede. </w:t>
      </w:r>
    </w:p>
    <w:p w:rsidR="00A45935" w:rsidRPr="00E05D08" w:rsidRDefault="00A45935" w:rsidP="00E05D08">
      <w:pPr>
        <w:spacing w:after="120" w:line="280" w:lineRule="atLeast"/>
        <w:mirrorIndents/>
        <w:rPr>
          <w:rFonts w:eastAsia="Times New Roman" w:cs="Times New Roman"/>
          <w:szCs w:val="20"/>
        </w:rPr>
      </w:pPr>
      <w:r>
        <w:t>Siekiant įvertinti 1-ojo BVK dalį, susijusią su inovacijomis, siūloma:</w:t>
      </w:r>
    </w:p>
    <w:p w:rsidR="00A45935" w:rsidRPr="00331223" w:rsidRDefault="00A45935" w:rsidP="00C202EC">
      <w:pPr>
        <w:pStyle w:val="Hlistbullet"/>
      </w:pPr>
      <w:r>
        <w:rPr>
          <w:b/>
        </w:rPr>
        <w:t xml:space="preserve">1 ETAPAS. Nustatyti paramos gavėjų pagal 1, 2, 16 ir 19-ąją priemones / pagalbines priemones </w:t>
      </w:r>
      <w:r>
        <w:t xml:space="preserve">(paramos gavėjų, kurių atlikti veiksmai buvo įvertinti, kaip </w:t>
      </w:r>
      <w:r w:rsidR="00FF4D19">
        <w:t>novatoriški</w:t>
      </w:r>
      <w:r>
        <w:t>)</w:t>
      </w:r>
      <w:r>
        <w:rPr>
          <w:b/>
        </w:rPr>
        <w:t xml:space="preserve"> inovacijų skatinimo potencialą</w:t>
      </w:r>
      <w:r>
        <w:t xml:space="preserve">; </w:t>
      </w:r>
    </w:p>
    <w:p w:rsidR="00A45935" w:rsidRPr="00331223" w:rsidRDefault="00A45935" w:rsidP="00C202EC">
      <w:pPr>
        <w:pStyle w:val="Hlistbullet"/>
      </w:pPr>
      <w:r>
        <w:rPr>
          <w:b/>
        </w:rPr>
        <w:t>2 ETAPAS. Kiekybiškai įvertinti produkto ir tikslinius rodiklius</w:t>
      </w:r>
      <w:r>
        <w:t xml:space="preserve"> panaudojant iš KPP / VVG veiksmų duomenų bazės gautus stebėsenos duomenis apie paramos gavėjus (kurių atlikti veiksmai buvo įvertinti kaip </w:t>
      </w:r>
      <w:r w:rsidR="00FF4D19">
        <w:t>novatoriški</w:t>
      </w:r>
      <w:r>
        <w:t xml:space="preserve">). Vadovaujančiosios institucijos, siekdamos pasinaudoti veiksmų duomenų baze inovacijoms įvertinti, gali pasirinkti papildyti ir rinkti su inovacijomis susijusius duomenų elementus; </w:t>
      </w:r>
    </w:p>
    <w:p w:rsidR="00A45935" w:rsidRPr="00331223" w:rsidRDefault="00A45935" w:rsidP="00C202EC">
      <w:pPr>
        <w:pStyle w:val="Hlistbullet"/>
      </w:pPr>
      <w:r>
        <w:rPr>
          <w:b/>
        </w:rPr>
        <w:t>3 ETAPAS. Rinkti duomenis siekiant atsakyti į BVK remiantis nurodytais metodais.</w:t>
      </w:r>
      <w:r>
        <w:t xml:space="preserve"> Pavyzdžiui, apklausos, tikslinės grupės ir Delfi metodas gali padėti renkant siūlomiems vertinimo kriterijams ir papildomiems rezultatų rodikliams reikalingus duomenis. Taikant šiuos metodus turėtų būti atsižvelgiama į paramos gavėjų teikiamų duomenų kokybę ir pagrįstumą (žr. </w:t>
      </w:r>
      <w:hyperlink w:anchor="Recommended_Methods" w:history="1">
        <w:r>
          <w:rPr>
            <w:rStyle w:val="Hyperlink"/>
            <w:sz w:val="20"/>
          </w:rPr>
          <w:t>2 lentelė</w:t>
        </w:r>
      </w:hyperlink>
      <w:r>
        <w:t xml:space="preserve">); </w:t>
      </w:r>
    </w:p>
    <w:p w:rsidR="00A45935" w:rsidRPr="00C202EC" w:rsidRDefault="00A45935" w:rsidP="00C202EC">
      <w:pPr>
        <w:pStyle w:val="Hlistbullet"/>
        <w:rPr>
          <w:b/>
          <w:sz w:val="16"/>
        </w:rPr>
      </w:pPr>
      <w:r>
        <w:rPr>
          <w:b/>
        </w:rPr>
        <w:t>4 ETAPAS. Analizuoti ir aiškinti surinktus duomenis</w:t>
      </w:r>
      <w:r>
        <w:t xml:space="preserve"> ir panaudoti juos atsakant į 1-ąjį BVK, atsižvelgiant į paramos inovacijoms siekį. </w:t>
      </w:r>
    </w:p>
    <w:p w:rsidR="00A45935" w:rsidRPr="00FA6691" w:rsidRDefault="00A45935" w:rsidP="00FA6691">
      <w:pPr>
        <w:pStyle w:val="HHeadingtables"/>
        <w:rPr>
          <w:color w:val="6F6F6F"/>
          <w:sz w:val="18"/>
          <w:szCs w:val="18"/>
        </w:rPr>
      </w:pPr>
      <w:bookmarkStart w:id="108" w:name="Recommended_Methods"/>
      <w:bookmarkStart w:id="109" w:name="_Toc508979906"/>
      <w:bookmarkEnd w:id="108"/>
      <w:r>
        <w:rPr>
          <w:color w:val="6F6F6F"/>
          <w:sz w:val="18"/>
          <w:szCs w:val="18"/>
        </w:rPr>
        <w:t>Metodai, kuriuos rekomenduojama taikyti atsakant į 1-ąjį BVK</w:t>
      </w:r>
      <w:bookmarkEnd w:id="109"/>
      <w:r>
        <w:rPr>
          <w:color w:val="6F6F6F"/>
          <w:sz w:val="18"/>
          <w:szCs w:val="18"/>
        </w:rPr>
        <w:t xml:space="preserve"> </w:t>
      </w:r>
    </w:p>
    <w:tbl>
      <w:tblPr>
        <w:tblStyle w:val="TableGrid"/>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43"/>
        <w:gridCol w:w="6770"/>
      </w:tblGrid>
      <w:tr w:rsidR="00A45935" w:rsidRPr="00E05D08" w:rsidTr="00E05D08">
        <w:trPr>
          <w:tblHeader/>
        </w:trPr>
        <w:tc>
          <w:tcPr>
            <w:tcW w:w="1843"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Metodai</w:t>
            </w:r>
          </w:p>
        </w:tc>
        <w:tc>
          <w:tcPr>
            <w:tcW w:w="6770"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Patarimai, kaip taikyti šiuos metodus</w:t>
            </w:r>
          </w:p>
        </w:tc>
      </w:tr>
      <w:tr w:rsidR="00A45935" w:rsidRPr="00E05D08" w:rsidTr="00E05D08">
        <w:tc>
          <w:tcPr>
            <w:tcW w:w="1843" w:type="dxa"/>
          </w:tcPr>
          <w:p w:rsidR="00A45935" w:rsidRPr="00385368" w:rsidRDefault="00A45935" w:rsidP="007E63EF">
            <w:pPr>
              <w:spacing w:after="120" w:line="280" w:lineRule="atLeast"/>
              <w:ind w:right="116"/>
              <w:mirrorIndents/>
              <w:jc w:val="left"/>
              <w:rPr>
                <w:sz w:val="18"/>
                <w:szCs w:val="18"/>
              </w:rPr>
            </w:pPr>
            <w:r>
              <w:rPr>
                <w:sz w:val="18"/>
                <w:szCs w:val="18"/>
              </w:rPr>
              <w:t xml:space="preserve">1 ir 2-osios priemonių įgyvendinimo vadovų apklausos </w:t>
            </w:r>
          </w:p>
          <w:p w:rsidR="00A45935" w:rsidRPr="00385368" w:rsidRDefault="00A45935" w:rsidP="007E63EF">
            <w:pPr>
              <w:spacing w:after="120" w:line="280" w:lineRule="atLeast"/>
              <w:ind w:right="116"/>
              <w:mirrorIndents/>
              <w:jc w:val="left"/>
              <w:rPr>
                <w:sz w:val="18"/>
                <w:szCs w:val="18"/>
              </w:rPr>
            </w:pPr>
            <w:r>
              <w:rPr>
                <w:sz w:val="18"/>
                <w:szCs w:val="18"/>
              </w:rPr>
              <w:t>Paramos gavėjų pagal 1 ir 2-ąją priemones apklausos</w:t>
            </w:r>
          </w:p>
          <w:p w:rsidR="00A45935" w:rsidRPr="00385368" w:rsidRDefault="00A45935" w:rsidP="007E63EF">
            <w:pPr>
              <w:spacing w:after="120" w:line="280" w:lineRule="atLeast"/>
              <w:ind w:right="116"/>
              <w:mirrorIndents/>
              <w:jc w:val="left"/>
              <w:rPr>
                <w:sz w:val="18"/>
                <w:szCs w:val="18"/>
              </w:rPr>
            </w:pPr>
            <w:r>
              <w:rPr>
                <w:sz w:val="18"/>
                <w:szCs w:val="18"/>
              </w:rPr>
              <w:t>Veiklos grupių apklausos dėl bendradarbiavimo projektų</w:t>
            </w:r>
          </w:p>
          <w:p w:rsidR="00A45935" w:rsidRPr="00385368" w:rsidRDefault="00A45935" w:rsidP="007E63EF">
            <w:pPr>
              <w:spacing w:after="120" w:line="280" w:lineRule="atLeast"/>
              <w:ind w:right="116"/>
              <w:mirrorIndents/>
              <w:jc w:val="left"/>
              <w:rPr>
                <w:sz w:val="18"/>
                <w:szCs w:val="18"/>
              </w:rPr>
            </w:pPr>
            <w:r>
              <w:rPr>
                <w:sz w:val="18"/>
                <w:szCs w:val="18"/>
              </w:rPr>
              <w:t xml:space="preserve">VVG ir jų paramos gavėjų apklausos </w:t>
            </w:r>
          </w:p>
        </w:tc>
        <w:tc>
          <w:tcPr>
            <w:tcW w:w="6770" w:type="dxa"/>
          </w:tcPr>
          <w:p w:rsidR="00A45935" w:rsidRPr="00385368" w:rsidRDefault="00A45935" w:rsidP="00C202EC">
            <w:pPr>
              <w:pStyle w:val="Hlistbullet"/>
              <w:rPr>
                <w:sz w:val="18"/>
                <w:szCs w:val="18"/>
              </w:rPr>
            </w:pPr>
            <w:r>
              <w:rPr>
                <w:sz w:val="18"/>
                <w:szCs w:val="18"/>
              </w:rPr>
              <w:t xml:space="preserve">Atrinkite su inovacijomis susijusių 1 ir 2-osios priemonių įgyvendinimo vadovus / paramos pagal šias priemones gavėjus apklausai atlikti. </w:t>
            </w:r>
          </w:p>
          <w:p w:rsidR="00A45935" w:rsidRPr="00385368" w:rsidRDefault="00A45935" w:rsidP="00C202EC">
            <w:pPr>
              <w:pStyle w:val="Hlistbullet"/>
              <w:rPr>
                <w:sz w:val="18"/>
                <w:szCs w:val="18"/>
              </w:rPr>
            </w:pPr>
            <w:r>
              <w:rPr>
                <w:sz w:val="18"/>
                <w:szCs w:val="18"/>
              </w:rPr>
              <w:t>Atrinkite bendradarbiavimo projektų imtį (pvz., pagal sektorių, VG dydį, geografinę padėtį ir pan.), kad per apklausą iš paramos gavėjų būtų galima surinkti su rodikliais susijusius duomenis ir informaciją.</w:t>
            </w:r>
          </w:p>
          <w:p w:rsidR="00A45935" w:rsidRPr="00385368" w:rsidRDefault="00A45935" w:rsidP="00C202EC">
            <w:pPr>
              <w:pStyle w:val="Hlistbullet"/>
              <w:rPr>
                <w:sz w:val="18"/>
                <w:szCs w:val="18"/>
              </w:rPr>
            </w:pPr>
            <w:r>
              <w:rPr>
                <w:sz w:val="18"/>
                <w:szCs w:val="18"/>
              </w:rPr>
              <w:t>Renkite apklausas įtraukdami atvirus klausimus apie tai, kaip pagal 1 ir 2-ąją priemones vykdoma veikla, Veiklos grupių ir VVG veikla prisidėta prie: a) keitimosi novatoriškomis idėjomis, b) gebėjimo diegti inovacijas stiprinimo, c) palankios inovacijoms aplinkos kūrimo.</w:t>
            </w:r>
          </w:p>
          <w:p w:rsidR="00A45935" w:rsidRPr="00385368" w:rsidRDefault="00A45935" w:rsidP="00C202EC">
            <w:pPr>
              <w:pStyle w:val="Hlistbullet"/>
              <w:rPr>
                <w:sz w:val="18"/>
                <w:szCs w:val="18"/>
              </w:rPr>
            </w:pPr>
            <w:r>
              <w:rPr>
                <w:sz w:val="18"/>
                <w:szCs w:val="18"/>
              </w:rPr>
              <w:t>Pasinaudokite apklausų rezultatais, kad būtų galima:</w:t>
            </w:r>
          </w:p>
          <w:p w:rsidR="00A45935" w:rsidRPr="00385368" w:rsidRDefault="00A45935" w:rsidP="00C202EC">
            <w:pPr>
              <w:pStyle w:val="Hlistbullet2"/>
              <w:rPr>
                <w:sz w:val="18"/>
                <w:szCs w:val="18"/>
              </w:rPr>
            </w:pPr>
            <w:r>
              <w:rPr>
                <w:sz w:val="18"/>
                <w:szCs w:val="18"/>
              </w:rPr>
              <w:t>įvertinti, kaip skirtingomis mokymo formomis ir informavimo veiksmais, remiamais pagal 1-ąją priemonę, padedama remti inovacijas;</w:t>
            </w:r>
          </w:p>
          <w:p w:rsidR="00A45935" w:rsidRPr="00385368" w:rsidRDefault="00A45935" w:rsidP="00C202EC">
            <w:pPr>
              <w:pStyle w:val="Hlistbullet2"/>
              <w:rPr>
                <w:sz w:val="18"/>
                <w:szCs w:val="18"/>
              </w:rPr>
            </w:pPr>
            <w:r>
              <w:rPr>
                <w:sz w:val="18"/>
                <w:szCs w:val="18"/>
              </w:rPr>
              <w:t>įvertinti, kaip konsultavimo paslaugos padeda remti inovacijas;</w:t>
            </w:r>
          </w:p>
          <w:p w:rsidR="00A45935" w:rsidRPr="00385368" w:rsidRDefault="00A45935" w:rsidP="00C202EC">
            <w:pPr>
              <w:pStyle w:val="Hlistbullet2"/>
              <w:rPr>
                <w:sz w:val="18"/>
                <w:szCs w:val="18"/>
              </w:rPr>
            </w:pPr>
            <w:r>
              <w:rPr>
                <w:sz w:val="18"/>
                <w:szCs w:val="18"/>
              </w:rPr>
              <w:t xml:space="preserve">įvertinti, kaip VG padeda gauti rezultatus, kuriuos galima panaudoti; </w:t>
            </w:r>
          </w:p>
          <w:p w:rsidR="00A45935" w:rsidRPr="00385368" w:rsidRDefault="00A45935" w:rsidP="00C202EC">
            <w:pPr>
              <w:pStyle w:val="Hlistbullet2"/>
            </w:pPr>
            <w:r>
              <w:rPr>
                <w:sz w:val="18"/>
                <w:szCs w:val="18"/>
              </w:rPr>
              <w:t>įvertinti, kaip VVG skatina inovacijas įgyvendindamos pagal BIVP strategijas remiamus projektus arba vykdydamos veiklumo skatinimo veiklą.</w:t>
            </w:r>
          </w:p>
        </w:tc>
      </w:tr>
      <w:tr w:rsidR="00A45935" w:rsidRPr="00E05D08" w:rsidTr="00E05D08">
        <w:tc>
          <w:tcPr>
            <w:tcW w:w="1843" w:type="dxa"/>
          </w:tcPr>
          <w:p w:rsidR="00A45935" w:rsidRPr="00E05D08" w:rsidRDefault="00A45935" w:rsidP="007E63EF">
            <w:pPr>
              <w:spacing w:after="120" w:line="280" w:lineRule="atLeast"/>
              <w:mirrorIndents/>
              <w:jc w:val="left"/>
              <w:rPr>
                <w:sz w:val="18"/>
                <w:szCs w:val="18"/>
              </w:rPr>
            </w:pPr>
            <w:r>
              <w:rPr>
                <w:sz w:val="18"/>
                <w:szCs w:val="18"/>
              </w:rPr>
              <w:t>Tikslinės grupės</w:t>
            </w:r>
          </w:p>
        </w:tc>
        <w:tc>
          <w:tcPr>
            <w:tcW w:w="6770" w:type="dxa"/>
          </w:tcPr>
          <w:p w:rsidR="00A45935" w:rsidRPr="00385368" w:rsidRDefault="00A45935" w:rsidP="00C202EC">
            <w:pPr>
              <w:pStyle w:val="Hlistbullet"/>
              <w:rPr>
                <w:sz w:val="18"/>
                <w:szCs w:val="18"/>
              </w:rPr>
            </w:pPr>
            <w:r>
              <w:rPr>
                <w:sz w:val="18"/>
                <w:szCs w:val="18"/>
              </w:rPr>
              <w:t xml:space="preserve">Įtraukite inovacijų srities subjektus į tikslines grupes (pvz., paramos inovacijoms paslaugų teikėjus, konsultantus, veikiančius, kaip inovacijų tarpininkai, mokslinių tyrimų ir inovacijų centrus ir </w:t>
            </w:r>
            <w:r w:rsidR="001F67E3">
              <w:rPr>
                <w:sz w:val="18"/>
                <w:szCs w:val="18"/>
              </w:rPr>
              <w:t>k</w:t>
            </w:r>
            <w:r>
              <w:rPr>
                <w:sz w:val="18"/>
                <w:szCs w:val="18"/>
              </w:rPr>
              <w:t>t.).</w:t>
            </w:r>
          </w:p>
          <w:p w:rsidR="00A45935" w:rsidRPr="00385368" w:rsidRDefault="00A45935" w:rsidP="00C202EC">
            <w:pPr>
              <w:pStyle w:val="Hlistbullet"/>
              <w:rPr>
                <w:sz w:val="18"/>
                <w:szCs w:val="18"/>
              </w:rPr>
            </w:pPr>
            <w:r>
              <w:rPr>
                <w:sz w:val="18"/>
                <w:szCs w:val="18"/>
              </w:rPr>
              <w:lastRenderedPageBreak/>
              <w:t>Ištirkite, kokią įtaką atitinkamos 1 ir 2-osios priemonių pagalbinės priemonės ir veiklos grupės bei VVG daro gebėjimui diegti inovacijas ir inovacijoms palankios aplinkos kūrimui.</w:t>
            </w:r>
          </w:p>
          <w:p w:rsidR="00A45935" w:rsidRPr="00385368" w:rsidRDefault="00A45935" w:rsidP="00C202EC">
            <w:pPr>
              <w:pStyle w:val="Hlistbullet"/>
              <w:rPr>
                <w:sz w:val="18"/>
                <w:szCs w:val="18"/>
              </w:rPr>
            </w:pPr>
            <w:r>
              <w:rPr>
                <w:sz w:val="18"/>
                <w:szCs w:val="18"/>
              </w:rPr>
              <w:t>Apsvarstykite galimybę pasirinkti temines tikslines grupes (pvz., tikslinę tarpininkavimo inovacijoms grupę).</w:t>
            </w:r>
          </w:p>
        </w:tc>
      </w:tr>
      <w:tr w:rsidR="00A45935" w:rsidRPr="00E05D08" w:rsidTr="00E05D08">
        <w:tc>
          <w:tcPr>
            <w:tcW w:w="1843" w:type="dxa"/>
          </w:tcPr>
          <w:p w:rsidR="00A45935" w:rsidRPr="00E05D08" w:rsidRDefault="00A45935" w:rsidP="00E05D08">
            <w:pPr>
              <w:spacing w:after="120" w:line="280" w:lineRule="atLeast"/>
              <w:ind w:right="399"/>
              <w:mirrorIndents/>
              <w:rPr>
                <w:sz w:val="18"/>
                <w:szCs w:val="18"/>
              </w:rPr>
            </w:pPr>
            <w:r>
              <w:rPr>
                <w:sz w:val="18"/>
                <w:szCs w:val="18"/>
              </w:rPr>
              <w:lastRenderedPageBreak/>
              <w:t>Delfi metodas</w:t>
            </w:r>
          </w:p>
        </w:tc>
        <w:tc>
          <w:tcPr>
            <w:tcW w:w="6770" w:type="dxa"/>
          </w:tcPr>
          <w:p w:rsidR="00A45935" w:rsidRPr="00385368" w:rsidRDefault="00A45935" w:rsidP="00C202EC">
            <w:pPr>
              <w:pStyle w:val="Hlistbullet"/>
              <w:rPr>
                <w:sz w:val="18"/>
                <w:szCs w:val="18"/>
              </w:rPr>
            </w:pPr>
            <w:r>
              <w:rPr>
                <w:sz w:val="18"/>
                <w:szCs w:val="18"/>
              </w:rPr>
              <w:t>Įtraukite inovacijų srities ekspertus (pvz., ekspertus, dalyvaujančius įgyvendinant priemones ir bendradarbiavimo projektus, taip pat ir kitus inovacijų srities ekspertus, pavyzdžiui, mokslininkus).</w:t>
            </w:r>
          </w:p>
        </w:tc>
      </w:tr>
    </w:tbl>
    <w:p w:rsidR="00EF1B0F" w:rsidRPr="00E05D08" w:rsidRDefault="00EF1B0F" w:rsidP="00EF1B0F">
      <w:pPr>
        <w:spacing w:before="240" w:after="120" w:line="280" w:lineRule="atLeast"/>
        <w:mirrorIndents/>
        <w:rPr>
          <w:rFonts w:eastAsia="Times New Roman" w:cs="Times New Roman"/>
          <w:b/>
          <w:i/>
          <w:sz w:val="18"/>
          <w:szCs w:val="18"/>
        </w:rPr>
      </w:pPr>
      <w:r>
        <w:rPr>
          <w:b/>
          <w:i/>
          <w:sz w:val="18"/>
          <w:szCs w:val="18"/>
        </w:rPr>
        <w:t>2017 m. metinėse įgyvendinimo ataskaitose (MĮA) pateikta vertinimo patirtis</w:t>
      </w:r>
    </w:p>
    <w:p w:rsidR="00A45935" w:rsidRPr="00E05D08" w:rsidRDefault="00A45935" w:rsidP="00E05D08">
      <w:pPr>
        <w:spacing w:after="120" w:line="280" w:lineRule="atLeast"/>
        <w:mirrorIndents/>
        <w:rPr>
          <w:rFonts w:eastAsia="Times New Roman" w:cs="Times New Roman"/>
          <w:i/>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C202EC" w:rsidRDefault="006F1601" w:rsidP="00E05D08">
      <w:pPr>
        <w:spacing w:after="120" w:line="280" w:lineRule="atLeast"/>
        <w:mirrorIndents/>
        <w:rPr>
          <w:rFonts w:eastAsia="Times New Roman" w:cs="Times New Roman"/>
          <w:b/>
          <w:i/>
          <w:sz w:val="18"/>
          <w:szCs w:val="18"/>
        </w:rPr>
      </w:pPr>
      <w:r>
        <w:rPr>
          <w:rFonts w:eastAsia="Times New Roman" w:cs="Times New Roman"/>
          <w:noProof/>
          <w:sz w:val="18"/>
          <w:szCs w:val="24"/>
          <w:lang w:val="en-GB" w:eastAsia="en-GB"/>
        </w:rPr>
        <mc:AlternateContent>
          <mc:Choice Requires="wps">
            <w:drawing>
              <wp:inline distT="0" distB="0" distL="0" distR="0" wp14:anchorId="39F6C028" wp14:editId="57336FA5">
                <wp:extent cx="5878195" cy="5534025"/>
                <wp:effectExtent l="0" t="0" r="27305" b="28575"/>
                <wp:docPr id="60" name="Rectangle: Diagonal Corners Rounded 60"/>
                <wp:cNvGraphicFramePr/>
                <a:graphic xmlns:a="http://schemas.openxmlformats.org/drawingml/2006/main">
                  <a:graphicData uri="http://schemas.microsoft.com/office/word/2010/wordprocessingShape">
                    <wps:wsp>
                      <wps:cNvSpPr/>
                      <wps:spPr>
                        <a:xfrm>
                          <a:off x="0" y="0"/>
                          <a:ext cx="5878195" cy="5534025"/>
                        </a:xfrm>
                        <a:prstGeom prst="round2DiagRect">
                          <a:avLst>
                            <a:gd name="adj1" fmla="val 5521"/>
                            <a:gd name="adj2" fmla="val 0"/>
                          </a:avLst>
                        </a:prstGeom>
                        <a:noFill/>
                        <a:ln w="25400" cap="flat" cmpd="sng" algn="ctr">
                          <a:solidFill>
                            <a:srgbClr val="F07E31"/>
                          </a:solidFill>
                          <a:prstDash val="solid"/>
                        </a:ln>
                        <a:effectLst/>
                      </wps:spPr>
                      <wps:txbx>
                        <w:txbxContent>
                          <w:p w:rsidR="001F67E3" w:rsidRPr="00C202EC" w:rsidRDefault="001F67E3" w:rsidP="00E05D08">
                            <w:pPr>
                              <w:pStyle w:val="Normal12PTcouleurgris"/>
                              <w:ind w:left="567" w:hanging="567"/>
                              <w:rPr>
                                <w:b/>
                                <w:color w:val="F07E31"/>
                                <w:sz w:val="18"/>
                              </w:rPr>
                            </w:pPr>
                            <w:r>
                              <w:rPr>
                                <w:noProof/>
                                <w:color w:val="F07E31"/>
                                <w:lang w:val="en-GB" w:eastAsia="en-GB"/>
                              </w:rPr>
                              <w:drawing>
                                <wp:inline distT="0" distB="0" distL="0" distR="0" wp14:anchorId="421568C1" wp14:editId="4A608F00">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1F67E3" w:rsidRPr="00C202EC" w:rsidRDefault="001F67E3" w:rsidP="00C202EC">
                            <w:pPr>
                              <w:pStyle w:val="Normal12PTcouleurgris"/>
                              <w:spacing w:after="120"/>
                              <w:ind w:left="567" w:hanging="567"/>
                              <w:rPr>
                                <w:b/>
                                <w:color w:val="F07E31"/>
                                <w:sz w:val="18"/>
                              </w:rPr>
                            </w:pPr>
                            <w:r>
                              <w:rPr>
                                <w:b/>
                                <w:color w:val="F07E31"/>
                                <w:sz w:val="18"/>
                              </w:rPr>
                              <w:t>Inovacijų skatinimo potencialo nustatymo pavyzdžiai</w:t>
                            </w:r>
                          </w:p>
                          <w:p w:rsidR="001F67E3" w:rsidRPr="00C202EC" w:rsidRDefault="001F67E3" w:rsidP="00C202EC">
                            <w:pPr>
                              <w:pStyle w:val="Hlistbullet"/>
                              <w:rPr>
                                <w:sz w:val="18"/>
                                <w:szCs w:val="18"/>
                              </w:rPr>
                            </w:pPr>
                            <w:r>
                              <w:rPr>
                                <w:b/>
                                <w:sz w:val="18"/>
                                <w:szCs w:val="18"/>
                              </w:rPr>
                              <w:t>Kastilija ir Leonas (ES)</w:t>
                            </w:r>
                            <w:r>
                              <w:rPr>
                                <w:sz w:val="18"/>
                                <w:szCs w:val="18"/>
                              </w:rPr>
                              <w:t xml:space="preserve"> – pabrėžiamas VVG inovacijų skatinimo potencialas ir rekomenduojama išnagrinėti vietos plėtros strategijas siekiant nustatyti veiksmų, įgyvendintų pagal strategijas, kuriomis skatinamas VVG indėlis į su inovacijomis susijusių 1A TS tikslų įgyvendinimą, rūšis.</w:t>
                            </w:r>
                            <w:r>
                              <w:rPr>
                                <w:b/>
                                <w:sz w:val="18"/>
                                <w:szCs w:val="18"/>
                              </w:rPr>
                              <w:t xml:space="preserve"> </w:t>
                            </w:r>
                          </w:p>
                          <w:p w:rsidR="001F67E3" w:rsidRPr="00C202EC" w:rsidRDefault="001F67E3" w:rsidP="00C202EC">
                            <w:pPr>
                              <w:pStyle w:val="Hlistbullet"/>
                              <w:rPr>
                                <w:sz w:val="18"/>
                                <w:szCs w:val="18"/>
                              </w:rPr>
                            </w:pPr>
                            <w:r>
                              <w:rPr>
                                <w:b/>
                                <w:sz w:val="18"/>
                                <w:szCs w:val="18"/>
                              </w:rPr>
                              <w:t>Kanarų salos (ES)</w:t>
                            </w:r>
                            <w:r>
                              <w:rPr>
                                <w:sz w:val="18"/>
                                <w:szCs w:val="18"/>
                              </w:rPr>
                              <w:t xml:space="preserve"> – taip pat pabrėžiamas VVG inovacijų skatinimo potencialas ir rekomenduojama į stebėsenos ir vertinimo sistemą įtraukti kintamąjį rodiklį, parodantį, ar VVG veiksmai, įgyvendinti pagal 19-ąją priemonę atsižvelgiant į vietos plėtros strategijas, yra novatoriški.</w:t>
                            </w:r>
                          </w:p>
                          <w:p w:rsidR="001F67E3" w:rsidRPr="00C202EC" w:rsidRDefault="001F67E3" w:rsidP="003F6478">
                            <w:pPr>
                              <w:pStyle w:val="HStandard"/>
                              <w:ind w:left="567" w:hanging="567"/>
                              <w:rPr>
                                <w:b/>
                                <w:color w:val="F07E31"/>
                                <w:sz w:val="18"/>
                                <w:szCs w:val="18"/>
                              </w:rPr>
                            </w:pPr>
                            <w:r>
                              <w:rPr>
                                <w:b/>
                                <w:color w:val="F07E31"/>
                                <w:sz w:val="18"/>
                                <w:szCs w:val="18"/>
                              </w:rPr>
                              <w:t xml:space="preserve">Papildomų vertinimo elementų pavyzdžiai </w:t>
                            </w:r>
                          </w:p>
                          <w:p w:rsidR="001F67E3" w:rsidRPr="00C202EC" w:rsidRDefault="001F67E3" w:rsidP="00C202EC">
                            <w:pPr>
                              <w:pStyle w:val="Hlistbullet"/>
                              <w:rPr>
                                <w:sz w:val="18"/>
                                <w:szCs w:val="18"/>
                              </w:rPr>
                            </w:pPr>
                            <w:r>
                              <w:rPr>
                                <w:b/>
                                <w:sz w:val="18"/>
                                <w:szCs w:val="18"/>
                              </w:rPr>
                              <w:t>Bavarija (DE)</w:t>
                            </w:r>
                            <w:r>
                              <w:rPr>
                                <w:sz w:val="18"/>
                                <w:szCs w:val="18"/>
                              </w:rPr>
                              <w:t xml:space="preserve"> – minima, kad buvo panaudoti papildomi vertinimo kriterijai, susiję su inovacijomis VVG lygmeniu (pvz., nauji VVG įgyvendinami daugelį sektorių apimantys projektai, išbandyti nauji procesai / metodai). Panaudotas papildomas rezultato rodiklis (naujos idėjos / sprendimai, inovacijos – 19-oji priemonė). Šis rodiklis kiekybiškai įvertintas ir informacija surinkta pasitelkus: a) VVG vadovų internetinę apklausą; b) pusiau struktūruotus pokalbius su pasirinktais VVG vadovais. </w:t>
                            </w:r>
                          </w:p>
                          <w:p w:rsidR="001F67E3" w:rsidRPr="00C202EC" w:rsidRDefault="001F67E3" w:rsidP="00C202EC">
                            <w:pPr>
                              <w:pStyle w:val="Hlistbullet"/>
                              <w:rPr>
                                <w:sz w:val="18"/>
                                <w:szCs w:val="18"/>
                              </w:rPr>
                            </w:pPr>
                            <w:r>
                              <w:rPr>
                                <w:b/>
                                <w:sz w:val="18"/>
                                <w:szCs w:val="18"/>
                              </w:rPr>
                              <w:t>Čekijos Respublika –</w:t>
                            </w:r>
                            <w:r>
                              <w:rPr>
                                <w:sz w:val="18"/>
                                <w:szCs w:val="18"/>
                              </w:rPr>
                              <w:t xml:space="preserve"> aprašomas papildomo rezultato rodiklio „dalyvių, baigiančių įgyvendinti į inovacijas orientuotą veiklą, skaičius“ duomenų rinkimas pasinaudojant veiksmų duomenų baze. Taip pat minima remiamų projektų paramos gavėjų apklausa, surengta siekiant surinkti informaciją apie inovacijas.</w:t>
                            </w:r>
                          </w:p>
                          <w:p w:rsidR="001F67E3" w:rsidRPr="00C202EC" w:rsidRDefault="001F67E3" w:rsidP="00142A64">
                            <w:pPr>
                              <w:pStyle w:val="HStandard"/>
                              <w:rPr>
                                <w:b/>
                                <w:sz w:val="18"/>
                                <w:szCs w:val="18"/>
                              </w:rPr>
                            </w:pPr>
                            <w:r>
                              <w:rPr>
                                <w:b/>
                                <w:color w:val="F07E31"/>
                                <w:sz w:val="18"/>
                                <w:szCs w:val="18"/>
                              </w:rPr>
                              <w:t>Metodų pavyzdžiai</w:t>
                            </w:r>
                          </w:p>
                          <w:p w:rsidR="001F67E3" w:rsidRPr="00C202EC" w:rsidRDefault="001F67E3" w:rsidP="00C202EC">
                            <w:pPr>
                              <w:pStyle w:val="Hlistbullet"/>
                              <w:rPr>
                                <w:sz w:val="18"/>
                                <w:szCs w:val="18"/>
                              </w:rPr>
                            </w:pPr>
                            <w:r>
                              <w:rPr>
                                <w:b/>
                                <w:sz w:val="18"/>
                                <w:szCs w:val="18"/>
                              </w:rPr>
                              <w:t>Kastilija ir Leonas (ES)</w:t>
                            </w:r>
                            <w:r>
                              <w:rPr>
                                <w:sz w:val="18"/>
                                <w:szCs w:val="18"/>
                              </w:rPr>
                              <w:t xml:space="preserve"> – rekomenduojama rengti pokalbius su kiekvienos priemonės įgyvendinimo vadovais įtraukiant papildomus duomenų elementus į stebėsenos sistemą, kuri leidžia įvertinti, kaip įvairiais veiksmais įdiegiami novatoriški elementai ir prisidedama prie inovacijų tikslų.</w:t>
                            </w:r>
                          </w:p>
                          <w:p w:rsidR="001F67E3" w:rsidRPr="00C202EC" w:rsidRDefault="001F67E3" w:rsidP="00C202EC">
                            <w:pPr>
                              <w:pStyle w:val="Hlistbullet"/>
                            </w:pPr>
                            <w:r>
                              <w:rPr>
                                <w:b/>
                                <w:sz w:val="18"/>
                                <w:szCs w:val="18"/>
                              </w:rPr>
                              <w:t>Kastilija–La Manča (ES) –</w:t>
                            </w:r>
                            <w:r>
                              <w:rPr>
                                <w:sz w:val="18"/>
                                <w:szCs w:val="18"/>
                              </w:rPr>
                              <w:t xml:space="preserve"> pasitelkta apklausa, kuri buvo išsiųsta visiems mokymo dalyviams siekiant įvertinti, </w:t>
                            </w:r>
                            <w:r>
                              <w:rPr>
                                <w:i/>
                                <w:sz w:val="18"/>
                                <w:szCs w:val="18"/>
                              </w:rPr>
                              <w:t>inter alia,</w:t>
                            </w:r>
                            <w:r>
                              <w:rPr>
                                <w:sz w:val="18"/>
                                <w:szCs w:val="18"/>
                              </w:rPr>
                              <w:t xml:space="preserve"> kaip žinių ir informacijos perdavimo veiksmais prisidedama prie inovacijų. Apklausa leido įvertinti novatoriškus mokymo kursus.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F6C028" id="Rectangle: Diagonal Corners Rounded 60" o:spid="_x0000_s1044" style="width:462.85pt;height:435.75pt;visibility:visible;mso-wrap-style:square;mso-left-percent:-10001;mso-top-percent:-10001;mso-position-horizontal:absolute;mso-position-horizontal-relative:char;mso-position-vertical:absolute;mso-position-vertical-relative:line;mso-left-percent:-10001;mso-top-percent:-10001;v-text-anchor:middle" coordsize="5878195,5534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" adj="-11796480,,5400" path="m305534,l5878195,r,l5878195,5228491v,168742,-136792,305534,-305534,305534l,5534025r,l,305534c,136792,136792,,305534,xe" filled="f" strokecolor="#f07e31" strokeweight="2pt">
                <v:stroke joinstyle="miter"/>
                <v:formulas/>
                <v:path arrowok="t" o:connecttype="custom" o:connectlocs="305534,0;5878195,0;5878195,0;5878195,5228491;5572661,5534025;0,5534025;0,5534025;0,305534;305534,0" o:connectangles="0,0,0,0,0,0,0,0,0" textboxrect="0,0,5878195,5534025"/>
                <v:textbox>
                  <w:txbxContent>
                    <w:p w:rsidR="001F67E3" w:rsidRPr="00C202EC" w:rsidRDefault="001F67E3" w:rsidP="00E05D08">
                      <w:pPr>
                        <w:pStyle w:val="Normal12PTcouleurgris"/>
                        <w:ind w:left="567" w:hanging="567"/>
                        <w:rPr>
                          <w:b/>
                          <w:color w:val="F07E31"/>
                          <w:sz w:val="18"/>
                        </w:rPr>
                      </w:pPr>
                      <w:r>
                        <w:rPr>
                          <w:noProof/>
                          <w:color w:val="F07E31"/>
                          <w:lang w:val="en-GB" w:eastAsia="en-GB"/>
                        </w:rPr>
                        <w:drawing>
                          <wp:inline distT="0" distB="0" distL="0" distR="0" wp14:anchorId="421568C1" wp14:editId="4A608F00">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1F67E3" w:rsidRPr="00C202EC" w:rsidRDefault="001F67E3" w:rsidP="00C202EC">
                      <w:pPr>
                        <w:pStyle w:val="Normal12PTcouleurgris"/>
                        <w:spacing w:after="120"/>
                        <w:ind w:left="567" w:hanging="567"/>
                        <w:rPr>
                          <w:b/>
                          <w:color w:val="F07E31"/>
                          <w:sz w:val="18"/>
                        </w:rPr>
                      </w:pPr>
                      <w:r>
                        <w:rPr>
                          <w:b/>
                          <w:color w:val="F07E31"/>
                          <w:sz w:val="18"/>
                        </w:rPr>
                        <w:t>Inovacijų skatinimo potencialo nustatymo pavyzdžiai</w:t>
                      </w:r>
                    </w:p>
                    <w:p w:rsidR="001F67E3" w:rsidRPr="00C202EC" w:rsidRDefault="001F67E3" w:rsidP="00C202EC">
                      <w:pPr>
                        <w:pStyle w:val="Hlistbullet"/>
                        <w:rPr>
                          <w:sz w:val="18"/>
                          <w:szCs w:val="18"/>
                        </w:rPr>
                      </w:pPr>
                      <w:r>
                        <w:rPr>
                          <w:b/>
                          <w:sz w:val="18"/>
                          <w:szCs w:val="18"/>
                        </w:rPr>
                        <w:t>Kastilija ir Leonas (ES)</w:t>
                      </w:r>
                      <w:r>
                        <w:rPr>
                          <w:sz w:val="18"/>
                          <w:szCs w:val="18"/>
                        </w:rPr>
                        <w:t xml:space="preserve"> – pabrėžiamas VVG inovacijų skatinimo potencialas ir rekomenduojama išnagrinėti vietos plėtros strategijas siekiant nustatyti veiksmų, įgyvendintų pagal strategijas, kuriomis skatinamas VVG indėlis į su inovacijomis susijusių 1A TS tikslų įgyvendinimą, rūšis.</w:t>
                      </w:r>
                      <w:r>
                        <w:rPr>
                          <w:b/>
                          <w:sz w:val="18"/>
                          <w:szCs w:val="18"/>
                        </w:rPr>
                        <w:t xml:space="preserve"> </w:t>
                      </w:r>
                    </w:p>
                    <w:p w:rsidR="001F67E3" w:rsidRPr="00C202EC" w:rsidRDefault="001F67E3" w:rsidP="00C202EC">
                      <w:pPr>
                        <w:pStyle w:val="Hlistbullet"/>
                        <w:rPr>
                          <w:sz w:val="18"/>
                          <w:szCs w:val="18"/>
                        </w:rPr>
                      </w:pPr>
                      <w:r>
                        <w:rPr>
                          <w:b/>
                          <w:sz w:val="18"/>
                          <w:szCs w:val="18"/>
                        </w:rPr>
                        <w:t>Kanarų salos (ES)</w:t>
                      </w:r>
                      <w:r>
                        <w:rPr>
                          <w:sz w:val="18"/>
                          <w:szCs w:val="18"/>
                        </w:rPr>
                        <w:t xml:space="preserve"> – taip pat pabrėžiamas VVG inovacijų skatinimo potencialas ir rekomenduojama į stebėsenos ir vertinimo sistemą įtraukti kintamąjį rodiklį, parodantį, ar VVG veiksmai, įgyvendinti pagal 19-ąją priemonę atsižvelgiant į vietos plėtros strategijas, yra novatoriški.</w:t>
                      </w:r>
                    </w:p>
                    <w:p w:rsidR="001F67E3" w:rsidRPr="00C202EC" w:rsidRDefault="001F67E3" w:rsidP="003F6478">
                      <w:pPr>
                        <w:pStyle w:val="HStandard"/>
                        <w:ind w:left="567" w:hanging="567"/>
                        <w:rPr>
                          <w:b/>
                          <w:color w:val="F07E31"/>
                          <w:sz w:val="18"/>
                          <w:szCs w:val="18"/>
                        </w:rPr>
                      </w:pPr>
                      <w:r>
                        <w:rPr>
                          <w:b/>
                          <w:color w:val="F07E31"/>
                          <w:sz w:val="18"/>
                          <w:szCs w:val="18"/>
                        </w:rPr>
                        <w:t xml:space="preserve">Papildomų vertinimo elementų pavyzdžiai </w:t>
                      </w:r>
                    </w:p>
                    <w:p w:rsidR="001F67E3" w:rsidRPr="00C202EC" w:rsidRDefault="001F67E3" w:rsidP="00C202EC">
                      <w:pPr>
                        <w:pStyle w:val="Hlistbullet"/>
                        <w:rPr>
                          <w:sz w:val="18"/>
                          <w:szCs w:val="18"/>
                        </w:rPr>
                      </w:pPr>
                      <w:r>
                        <w:rPr>
                          <w:b/>
                          <w:sz w:val="18"/>
                          <w:szCs w:val="18"/>
                        </w:rPr>
                        <w:t>Bavarija (DE)</w:t>
                      </w:r>
                      <w:r>
                        <w:rPr>
                          <w:sz w:val="18"/>
                          <w:szCs w:val="18"/>
                        </w:rPr>
                        <w:t xml:space="preserve"> – minima, kad buvo panaudoti papildomi vertinimo kriterijai, susiję su inovacijomis VVG lygmeniu (pvz., nauji VVG įgyvendinami daugelį sektorių apimantys projektai, išbandyti nauji procesai / metodai). Panaudotas papildomas rezultato rodiklis (naujos idėjos / sprendimai, inovacijos – 19-oji priemonė). Šis rodiklis kiekybiškai įvertintas ir informacija surinkta pasitelkus: a) VVG vadovų internetinę apklausą; b) pusiau struktūruotus pokalbius su pasirinktais VVG vadovais. </w:t>
                      </w:r>
                    </w:p>
                    <w:p w:rsidR="001F67E3" w:rsidRPr="00C202EC" w:rsidRDefault="001F67E3" w:rsidP="00C202EC">
                      <w:pPr>
                        <w:pStyle w:val="Hlistbullet"/>
                        <w:rPr>
                          <w:sz w:val="18"/>
                          <w:szCs w:val="18"/>
                        </w:rPr>
                      </w:pPr>
                      <w:r>
                        <w:rPr>
                          <w:b/>
                          <w:sz w:val="18"/>
                          <w:szCs w:val="18"/>
                        </w:rPr>
                        <w:t>Čekijos Respublika –</w:t>
                      </w:r>
                      <w:r>
                        <w:rPr>
                          <w:sz w:val="18"/>
                          <w:szCs w:val="18"/>
                        </w:rPr>
                        <w:t xml:space="preserve"> aprašomas papildomo rezultato rodiklio „dalyvių, baigiančių įgyvendinti į inovacijas orientuotą veiklą, skaičius“ duomenų rinkimas pasinaudojant veiksmų duomenų baze. Taip pat minima remiamų projektų paramos gavėjų apklausa, surengta siekiant surinkti informaciją apie inovacijas.</w:t>
                      </w:r>
                    </w:p>
                    <w:p w:rsidR="001F67E3" w:rsidRPr="00C202EC" w:rsidRDefault="001F67E3" w:rsidP="00142A64">
                      <w:pPr>
                        <w:pStyle w:val="HStandard"/>
                        <w:rPr>
                          <w:b/>
                          <w:sz w:val="18"/>
                          <w:szCs w:val="18"/>
                        </w:rPr>
                      </w:pPr>
                      <w:r>
                        <w:rPr>
                          <w:b/>
                          <w:color w:val="F07E31"/>
                          <w:sz w:val="18"/>
                          <w:szCs w:val="18"/>
                        </w:rPr>
                        <w:t>Metodų pavyzdžiai</w:t>
                      </w:r>
                    </w:p>
                    <w:p w:rsidR="001F67E3" w:rsidRPr="00C202EC" w:rsidRDefault="001F67E3" w:rsidP="00C202EC">
                      <w:pPr>
                        <w:pStyle w:val="Hlistbullet"/>
                        <w:rPr>
                          <w:sz w:val="18"/>
                          <w:szCs w:val="18"/>
                        </w:rPr>
                      </w:pPr>
                      <w:r>
                        <w:rPr>
                          <w:b/>
                          <w:sz w:val="18"/>
                          <w:szCs w:val="18"/>
                        </w:rPr>
                        <w:t>Kastilija ir Leonas (ES)</w:t>
                      </w:r>
                      <w:r>
                        <w:rPr>
                          <w:sz w:val="18"/>
                          <w:szCs w:val="18"/>
                        </w:rPr>
                        <w:t xml:space="preserve"> – rekomenduojama rengti pokalbius su kiekvienos priemonės įgyvendinimo vadovais įtraukiant papildomus duomenų elementus į stebėsenos sistemą, kuri leidžia įvertinti, kaip įvairiais veiksmais įdiegiami novatoriški elementai ir prisidedama prie inovacijų tikslų.</w:t>
                      </w:r>
                    </w:p>
                    <w:p w:rsidR="001F67E3" w:rsidRPr="00C202EC" w:rsidRDefault="001F67E3" w:rsidP="00C202EC">
                      <w:pPr>
                        <w:pStyle w:val="Hlistbullet"/>
                      </w:pPr>
                      <w:r>
                        <w:rPr>
                          <w:b/>
                          <w:sz w:val="18"/>
                          <w:szCs w:val="18"/>
                        </w:rPr>
                        <w:t>Kastilija–La Manča (ES) –</w:t>
                      </w:r>
                      <w:r>
                        <w:rPr>
                          <w:sz w:val="18"/>
                          <w:szCs w:val="18"/>
                        </w:rPr>
                        <w:t xml:space="preserve"> pasitelkta apklausa, kuri buvo išsiųsta visiems mokymo dalyviams siekiant įvertinti, </w:t>
                      </w:r>
                      <w:r>
                        <w:rPr>
                          <w:i/>
                          <w:sz w:val="18"/>
                          <w:szCs w:val="18"/>
                        </w:rPr>
                        <w:t>inter alia,</w:t>
                      </w:r>
                      <w:r>
                        <w:rPr>
                          <w:sz w:val="18"/>
                          <w:szCs w:val="18"/>
                        </w:rPr>
                        <w:t xml:space="preserve"> kaip žinių ir informacijos perdavimo veiksmais prisidedama prie inovacijų. Apklausa leido įvertinti novatoriškus mokymo kursus.</w:t>
                      </w:r>
                    </w:p>
                  </w:txbxContent>
                </v:textbox>
                <w10:anchorlock/>
              </v:shape>
            </w:pict>
          </mc:Fallback>
        </mc:AlternateContent>
      </w:r>
    </w:p>
    <w:p w:rsidR="00C202EC" w:rsidRDefault="00C202EC">
      <w:pPr>
        <w:jc w:val="left"/>
        <w:rPr>
          <w:rFonts w:eastAsia="Times New Roman" w:cs="Times New Roman"/>
          <w:b/>
          <w:i/>
          <w:sz w:val="18"/>
          <w:szCs w:val="18"/>
        </w:rPr>
      </w:pPr>
      <w:r>
        <w:br w:type="page"/>
      </w:r>
    </w:p>
    <w:p w:rsidR="00A45935" w:rsidRPr="00AB16BB" w:rsidRDefault="00A45935" w:rsidP="00AB16BB">
      <w:pPr>
        <w:pStyle w:val="ListParagraph"/>
        <w:numPr>
          <w:ilvl w:val="0"/>
          <w:numId w:val="55"/>
        </w:numPr>
        <w:spacing w:after="120" w:line="280" w:lineRule="atLeast"/>
        <w:ind w:left="567" w:hanging="567"/>
        <w:rPr>
          <w:rFonts w:eastAsia="Times New Roman" w:cs="Times New Roman"/>
          <w:b/>
          <w:szCs w:val="20"/>
        </w:rPr>
      </w:pPr>
      <w:r>
        <w:rPr>
          <w:b/>
          <w:szCs w:val="20"/>
        </w:rPr>
        <w:lastRenderedPageBreak/>
        <w:t xml:space="preserve">Rizika ir sprendimai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E05D08" w:rsidTr="00E05D08">
        <w:tc>
          <w:tcPr>
            <w:tcW w:w="3833" w:type="dxa"/>
            <w:shd w:val="clear" w:color="auto" w:fill="F07E31"/>
            <w:hideMark/>
          </w:tcPr>
          <w:p w:rsidR="00A45935" w:rsidRPr="00AB16BB" w:rsidRDefault="00A45935" w:rsidP="00E05D08">
            <w:pPr>
              <w:tabs>
                <w:tab w:val="left" w:pos="2070"/>
              </w:tabs>
              <w:spacing w:after="120" w:line="280" w:lineRule="atLeast"/>
              <w:mirrorIndents/>
              <w:jc w:val="center"/>
              <w:rPr>
                <w:b/>
                <w:color w:val="FFFFFF" w:themeColor="background1"/>
                <w:sz w:val="18"/>
                <w:szCs w:val="18"/>
              </w:rPr>
            </w:pPr>
            <w:r>
              <w:rPr>
                <w:b/>
                <w:color w:val="FFFFFF" w:themeColor="background1"/>
                <w:sz w:val="18"/>
                <w:szCs w:val="18"/>
              </w:rPr>
              <w:t>Rizikos rūšys</w:t>
            </w:r>
          </w:p>
        </w:tc>
        <w:tc>
          <w:tcPr>
            <w:tcW w:w="5097" w:type="dxa"/>
            <w:shd w:val="clear" w:color="auto" w:fill="F07E31"/>
            <w:hideMark/>
          </w:tcPr>
          <w:p w:rsidR="00A45935" w:rsidRPr="00AB16BB" w:rsidRDefault="00A45935" w:rsidP="00E05D08">
            <w:pPr>
              <w:spacing w:after="120" w:line="280" w:lineRule="atLeast"/>
              <w:mirrorIndents/>
              <w:jc w:val="center"/>
              <w:rPr>
                <w:b/>
                <w:color w:val="FFFFFF" w:themeColor="background1"/>
                <w:sz w:val="18"/>
                <w:szCs w:val="18"/>
              </w:rPr>
            </w:pPr>
            <w:r>
              <w:rPr>
                <w:b/>
                <w:color w:val="FFFFFF" w:themeColor="background1"/>
                <w:sz w:val="18"/>
                <w:szCs w:val="18"/>
              </w:rPr>
              <w:t>Sprendimai</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Kai kurių duomenų elementų (pvz., galutinis bendradarbiavimo projektų skaičius) gali nebūti tol, kol nesibaigs programavimo laikotarpis.</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Bendradarbiavimo struktūrų ir (arba) įkurtų veiklos grupių (VG) rūšys (teisinė struktūra, sudėtis, partnerių įsipareigojimo pareiškimas ir kt.) gali būti analizuojamos naudojant vietoj galutinio bendradarbiavimo struktūrų skaičiaus duomenų kokybinio vertinimo metodą.</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Informacija apie bendradarbiavimo projektų partnerių arba 1 ir 2-osios priemonių inovacijų srities suinteresuotųjų subjektų sudėtį ir rūšis gali būti neįtraukiama į stebėsenos duomenis.</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Partnerių sudėtis ir rūšys gali būti vertinamos rengiant apklausas ir pokalbius apie remiamus veiksmus. Taip pat naudingų duomenų gali būti pateikta paraiškose dėl remiamų veiksmų.</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Informacija apie sukurtos inovacijos rūšį ir jos paskirtį gali būti neįrašoma stebėsenos lentelėse.</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 xml:space="preserve">Apklausos, tikslinės grupės ir pokalbiai kartu su veiklos grupėmis gali padėti įvertinti sukurtų inovacijų rūšį. </w:t>
            </w:r>
          </w:p>
        </w:tc>
      </w:tr>
    </w:tbl>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Išvados ir rekomendacijos</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Išvados ir rekomendacijos turėtų padėti spręsti bent tokius politikos klausimus, kaip:</w:t>
      </w:r>
    </w:p>
    <w:p w:rsidR="00A45935" w:rsidRPr="00B41573" w:rsidRDefault="00A45935" w:rsidP="00AB16BB">
      <w:pPr>
        <w:pStyle w:val="Hlistbullet"/>
        <w:rPr>
          <w:rFonts w:eastAsia="Calibri"/>
          <w:shd w:val="clear" w:color="auto" w:fill="FFFFFF"/>
        </w:rPr>
      </w:pPr>
      <w:r>
        <w:rPr>
          <w:shd w:val="clear" w:color="auto" w:fill="FFFFFF"/>
        </w:rPr>
        <w:t xml:space="preserve">1, 2, 16 ir 19-osios priemonių ir nustatytų jų pagalbinių priemonių </w:t>
      </w:r>
      <w:r>
        <w:rPr>
          <w:b/>
          <w:shd w:val="clear" w:color="auto" w:fill="FFFFFF"/>
        </w:rPr>
        <w:t>inovacijų skatinimo potencialo įgyvendinimas</w:t>
      </w:r>
      <w:r>
        <w:rPr>
          <w:shd w:val="clear" w:color="auto" w:fill="FFFFFF"/>
        </w:rPr>
        <w:t xml:space="preserve"> (taikant tris minėtus būdus);</w:t>
      </w:r>
    </w:p>
    <w:p w:rsidR="00A45935" w:rsidRPr="00B41573" w:rsidRDefault="00A45935" w:rsidP="00AB16BB">
      <w:pPr>
        <w:pStyle w:val="Hlistbullet"/>
        <w:rPr>
          <w:rFonts w:eastAsia="Calibri"/>
          <w:shd w:val="clear" w:color="auto" w:fill="FFFFFF"/>
        </w:rPr>
      </w:pPr>
      <w:r>
        <w:rPr>
          <w:shd w:val="clear" w:color="auto" w:fill="FFFFFF"/>
        </w:rPr>
        <w:t xml:space="preserve">1-ąja priemone remiamų </w:t>
      </w:r>
      <w:r>
        <w:rPr>
          <w:b/>
          <w:shd w:val="clear" w:color="auto" w:fill="FFFFFF"/>
        </w:rPr>
        <w:t xml:space="preserve">mokymo ir informavimo veiksmų </w:t>
      </w:r>
      <w:r>
        <w:rPr>
          <w:shd w:val="clear" w:color="auto" w:fill="FFFFFF"/>
        </w:rPr>
        <w:t xml:space="preserve">ir 2-ąja priemone remiamų konsultavimo paslaugų </w:t>
      </w:r>
      <w:r>
        <w:rPr>
          <w:b/>
          <w:shd w:val="clear" w:color="auto" w:fill="FFFFFF"/>
        </w:rPr>
        <w:t>poveikis</w:t>
      </w:r>
      <w:r>
        <w:rPr>
          <w:shd w:val="clear" w:color="auto" w:fill="FFFFFF"/>
        </w:rPr>
        <w:t xml:space="preserve"> gebėjimo diegti inovacijas stiprinimui;</w:t>
      </w:r>
    </w:p>
    <w:p w:rsidR="00A45935" w:rsidRPr="00B41573" w:rsidRDefault="00A45935" w:rsidP="00AB16BB">
      <w:pPr>
        <w:pStyle w:val="Hlistbullet"/>
        <w:rPr>
          <w:rFonts w:eastAsia="Calibri"/>
          <w:shd w:val="clear" w:color="auto" w:fill="FFFFFF"/>
        </w:rPr>
      </w:pPr>
      <w:r>
        <w:rPr>
          <w:b/>
          <w:shd w:val="clear" w:color="auto" w:fill="FFFFFF"/>
        </w:rPr>
        <w:t>bendradarbiavimo projektų</w:t>
      </w:r>
      <w:r>
        <w:rPr>
          <w:shd w:val="clear" w:color="auto" w:fill="FFFFFF"/>
        </w:rPr>
        <w:t>, ypač VG projektų,</w:t>
      </w:r>
      <w:r>
        <w:rPr>
          <w:b/>
          <w:shd w:val="clear" w:color="auto" w:fill="FFFFFF"/>
        </w:rPr>
        <w:t xml:space="preserve"> poveikis </w:t>
      </w:r>
      <w:r>
        <w:rPr>
          <w:shd w:val="clear" w:color="auto" w:fill="FFFFFF"/>
        </w:rPr>
        <w:t>remiant inovacijas, būtent:</w:t>
      </w:r>
    </w:p>
    <w:p w:rsidR="00A45935" w:rsidRPr="00E05D08" w:rsidRDefault="00A45935" w:rsidP="00AB16BB">
      <w:pPr>
        <w:pStyle w:val="Hlistbullet2"/>
        <w:rPr>
          <w:rFonts w:eastAsia="Calibri"/>
          <w:shd w:val="clear" w:color="auto" w:fill="FFFFFF"/>
        </w:rPr>
      </w:pPr>
      <w:r>
        <w:rPr>
          <w:shd w:val="clear" w:color="auto" w:fill="FFFFFF"/>
        </w:rPr>
        <w:t>remiantis duomenimis apie VG projektų skaičių, apimtį, turinį ir trukmę, galima padaryti vertingas išvadas, susijusias su novatoriškų idėjų, kurios turėtų būti įgyvendintos praktikoje, nustatymu;</w:t>
      </w:r>
    </w:p>
    <w:p w:rsidR="00A45935" w:rsidRPr="00E05D08" w:rsidRDefault="00A45935" w:rsidP="00AB16BB">
      <w:pPr>
        <w:pStyle w:val="Hlistbullet2"/>
        <w:rPr>
          <w:rFonts w:eastAsia="Calibri"/>
          <w:shd w:val="clear" w:color="auto" w:fill="FFFFFF"/>
        </w:rPr>
      </w:pPr>
      <w:r>
        <w:rPr>
          <w:shd w:val="clear" w:color="auto" w:fill="FFFFFF"/>
        </w:rPr>
        <w:t>remiantis duomenimis apie VG projektų skaičių ir rūšis, taip pat inovacijų srities suinteresuotųjų subjektų dalyvavimą, galima padaryti svarbias išvadas dėl remiant bendradarbiavimo priemonę pasiektų rezultatų, susijusių su kaimo vietovių inovacijų pajėgumu;</w:t>
      </w:r>
    </w:p>
    <w:p w:rsidR="00A45935" w:rsidRPr="00E05D08" w:rsidRDefault="00A45935" w:rsidP="00AB16BB">
      <w:pPr>
        <w:pStyle w:val="Hlistbullet2"/>
        <w:rPr>
          <w:rFonts w:eastAsia="Calibri"/>
          <w:shd w:val="clear" w:color="auto" w:fill="FFFFFF"/>
        </w:rPr>
      </w:pPr>
      <w:r>
        <w:rPr>
          <w:shd w:val="clear" w:color="auto" w:fill="FFFFFF"/>
        </w:rPr>
        <w:t xml:space="preserve">išvados dėl masto, kuriuo VG projektai padeda kurti inovacijų diegimą palengvinančias struktūras ir procedūras; </w:t>
      </w:r>
    </w:p>
    <w:p w:rsidR="00A45935" w:rsidRPr="000A1399" w:rsidRDefault="00A45935" w:rsidP="008C0B17">
      <w:pPr>
        <w:numPr>
          <w:ilvl w:val="0"/>
          <w:numId w:val="88"/>
        </w:numPr>
        <w:tabs>
          <w:tab w:val="left" w:pos="426"/>
        </w:tabs>
        <w:ind w:left="426" w:hanging="284"/>
        <w:mirrorIndents/>
        <w:rPr>
          <w:rFonts w:eastAsia="Calibri"/>
          <w:szCs w:val="20"/>
          <w:shd w:val="clear" w:color="auto" w:fill="FFFFFF"/>
        </w:rPr>
      </w:pPr>
      <w:r>
        <w:rPr>
          <w:b/>
          <w:szCs w:val="20"/>
          <w:shd w:val="clear" w:color="auto" w:fill="FFFFFF"/>
        </w:rPr>
        <w:t xml:space="preserve">VVG veiklos poveikis </w:t>
      </w:r>
      <w:r>
        <w:rPr>
          <w:szCs w:val="20"/>
          <w:shd w:val="clear" w:color="auto" w:fill="FFFFFF"/>
        </w:rPr>
        <w:t xml:space="preserve">(įskaitant VVG tarpusavio bendradarbiavimą) ir taikant BVIP strategijas įgyvendinti projektai.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Daugiau informacijos</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0EBD5931" wp14:editId="250CB79C">
                <wp:extent cx="5633634" cy="1903228"/>
                <wp:effectExtent l="0" t="0" r="24765" b="20955"/>
                <wp:docPr id="5" name="Rectangle: Diagonal Corners Rounded 5"/>
                <wp:cNvGraphicFramePr/>
                <a:graphic xmlns:a="http://schemas.openxmlformats.org/drawingml/2006/main">
                  <a:graphicData uri="http://schemas.microsoft.com/office/word/2010/wordprocessingShape">
                    <wps:wsp>
                      <wps:cNvSpPr/>
                      <wps:spPr>
                        <a:xfrm>
                          <a:off x="0" y="0"/>
                          <a:ext cx="5633634" cy="1903228"/>
                        </a:xfrm>
                        <a:prstGeom prst="round2DiagRect">
                          <a:avLst>
                            <a:gd name="adj1" fmla="val 11556"/>
                            <a:gd name="adj2" fmla="val 0"/>
                          </a:avLst>
                        </a:prstGeom>
                        <a:noFill/>
                        <a:ln w="25400" cap="flat" cmpd="sng" algn="ctr">
                          <a:solidFill>
                            <a:srgbClr val="59638E"/>
                          </a:solidFill>
                          <a:prstDash val="solid"/>
                        </a:ln>
                        <a:effectLst/>
                      </wps:spPr>
                      <wps:txbx>
                        <w:txbxContent>
                          <w:p w:rsidR="001F67E3" w:rsidRDefault="001F67E3" w:rsidP="00E05D08">
                            <w:pPr>
                              <w:pStyle w:val="HStandard"/>
                              <w:rPr>
                                <w:color w:val="000000"/>
                                <w:sz w:val="18"/>
                              </w:rPr>
                            </w:pPr>
                            <w:r>
                              <w:rPr>
                                <w:noProof/>
                                <w:lang w:val="en-GB" w:eastAsia="en-GB"/>
                              </w:rPr>
                              <w:drawing>
                                <wp:inline distT="0" distB="0" distL="0" distR="0" wp14:anchorId="573F0447" wp14:editId="279405F0">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1F67E3" w:rsidRPr="00EB3015" w:rsidRDefault="001F67E3" w:rsidP="00E05D08">
                            <w:pPr>
                              <w:pStyle w:val="HStandard"/>
                              <w:rPr>
                                <w:color w:val="000000"/>
                                <w:sz w:val="18"/>
                              </w:rPr>
                            </w:pPr>
                            <w:r>
                              <w:rPr>
                                <w:sz w:val="18"/>
                              </w:rPr>
                              <w:t>Gairių</w:t>
                            </w:r>
                            <w:r>
                              <w:rPr>
                                <w:color w:val="000000"/>
                                <w:sz w:val="18"/>
                              </w:rPr>
                              <w:t xml:space="preserve"> </w:t>
                            </w:r>
                            <w:hyperlink r:id="rId43" w:history="1">
                              <w:r>
                                <w:rPr>
                                  <w:rStyle w:val="Hyperlink"/>
                                  <w:sz w:val="18"/>
                                </w:rPr>
                                <w:t>„KPP rezultatų vertinimas:</w:t>
                              </w:r>
                            </w:hyperlink>
                            <w:hyperlink r:id="rId44" w:history="1">
                              <w:r>
                                <w:rPr>
                                  <w:rStyle w:val="Hyperlink"/>
                                  <w:sz w:val="18"/>
                                </w:rPr>
                                <w:t xml:space="preserve"> kaip pasirengti teikti vertinimo ataskaitas 2017 m. </w:t>
                              </w:r>
                            </w:hyperlink>
                            <w:r>
                              <w:t>“ 11 priedas.</w:t>
                            </w:r>
                            <w:r>
                              <w:rPr>
                                <w:color w:val="000000"/>
                                <w:sz w:val="18"/>
                              </w:rPr>
                              <w:t xml:space="preserve"> </w:t>
                            </w:r>
                          </w:p>
                          <w:p w:rsidR="001F67E3" w:rsidRPr="00730192" w:rsidRDefault="001F67E3" w:rsidP="00E05D08">
                            <w:pPr>
                              <w:pStyle w:val="HStandard"/>
                              <w:rPr>
                                <w:sz w:val="18"/>
                              </w:rPr>
                            </w:pPr>
                            <w:r>
                              <w:t xml:space="preserve">2014 m. lapkričio mėn. </w:t>
                            </w:r>
                            <w:r>
                              <w:rPr>
                                <w:sz w:val="18"/>
                              </w:rPr>
                              <w:t>rekomendacinis dokumentas „</w:t>
                            </w:r>
                            <w:hyperlink r:id="rId45" w:history="1">
                              <w:r>
                                <w:rPr>
                                  <w:rStyle w:val="Hyperlink"/>
                                  <w:sz w:val="18"/>
                                </w:rPr>
                                <w:t>Bendradarbiavimo priemonė</w:t>
                              </w:r>
                            </w:hyperlink>
                            <w:r>
                              <w:t xml:space="preserve">“ (angl. </w:t>
                            </w:r>
                            <w:r w:rsidRPr="001F67E3">
                              <w:rPr>
                                <w:i/>
                                <w:iCs/>
                              </w:rPr>
                              <w:t>Cooperation measure</w:t>
                            </w:r>
                            <w:r>
                              <w:t xml:space="preserve">), </w:t>
                            </w:r>
                            <w:r>
                              <w:rPr>
                                <w:sz w:val="18"/>
                              </w:rPr>
                              <w:t>Reglamento (ES) Nr. 1305/2013 35 straipsnis.</w:t>
                            </w:r>
                          </w:p>
                          <w:p w:rsidR="001F67E3" w:rsidRPr="009D62F4" w:rsidRDefault="001F67E3" w:rsidP="00E05D08">
                            <w:pPr>
                              <w:pStyle w:val="HStandard"/>
                              <w:rPr>
                                <w:sz w:val="18"/>
                                <w:szCs w:val="18"/>
                              </w:rPr>
                            </w:pPr>
                            <w:r>
                              <w:rPr>
                                <w:sz w:val="18"/>
                              </w:rPr>
                              <w:t xml:space="preserve">Europos kaimo plėtros tinklo praktinio seminaro dokumentai dėl 16-osios priemonės „Bendradarbiavimas“, 2016 m. birželio mėn., Briuselis, </w:t>
                            </w:r>
                            <w:hyperlink r:id="rId46" w:history="1">
                              <w:r>
                                <w:rPr>
                                  <w:rStyle w:val="Hyperlink"/>
                                  <w:sz w:val="18"/>
                                </w:rPr>
                                <w:t>http://enrd.ec.europa.eu/news-events/events/enrd-workshop-measure-16-cooperation_en</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BD5931" id="Rectangle: Diagonal Corners Rounded 5" o:spid="_x0000_s1045" style="width:443.6pt;height:149.85pt;visibility:visible;mso-wrap-style:square;mso-left-percent:-10001;mso-top-percent:-10001;mso-position-horizontal:absolute;mso-position-horizontal-relative:char;mso-position-vertical:absolute;mso-position-vertical-relative:line;mso-left-percent:-10001;mso-top-percent:-10001;v-text-anchor:middle" coordsize="5633634,19032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" adj="-11796480,,5400" path="m219937,l5633634,r,l5633634,1683291v,121468,-98469,219937,-219937,219937l,1903228r,l,219937c,98469,98469,,219937,xe" filled="f" strokecolor="#59638e" strokeweight="2pt">
                <v:stroke joinstyle="miter"/>
                <v:formulas/>
                <v:path arrowok="t" o:connecttype="custom" o:connectlocs="219937,0;5633634,0;5633634,0;5633634,1683291;5413697,1903228;0,1903228;0,1903228;0,219937;219937,0" o:connectangles="0,0,0,0,0,0,0,0,0" textboxrect="0,0,5633634,1903228"/>
                <v:textbox>
                  <w:txbxContent>
                    <w:p w:rsidR="001F67E3" w:rsidRDefault="001F67E3" w:rsidP="00E05D08">
                      <w:pPr>
                        <w:pStyle w:val="HStandard"/>
                        <w:rPr>
                          <w:color w:val="000000"/>
                          <w:sz w:val="18"/>
                        </w:rPr>
                      </w:pPr>
                      <w:r>
                        <w:rPr>
                          <w:noProof/>
                          <w:lang w:val="en-GB" w:eastAsia="en-GB"/>
                        </w:rPr>
                        <w:drawing>
                          <wp:inline distT="0" distB="0" distL="0" distR="0" wp14:anchorId="573F0447" wp14:editId="279405F0">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1F67E3" w:rsidRPr="00EB3015" w:rsidRDefault="001F67E3" w:rsidP="00E05D08">
                      <w:pPr>
                        <w:pStyle w:val="HStandard"/>
                        <w:rPr>
                          <w:color w:val="000000"/>
                          <w:sz w:val="18"/>
                        </w:rPr>
                      </w:pPr>
                      <w:r>
                        <w:rPr>
                          <w:sz w:val="18"/>
                        </w:rPr>
                        <w:t>Gairių</w:t>
                      </w:r>
                      <w:r>
                        <w:rPr>
                          <w:color w:val="000000"/>
                          <w:sz w:val="18"/>
                        </w:rPr>
                        <w:t xml:space="preserve"> </w:t>
                      </w:r>
                      <w:hyperlink r:id="rId47" w:history="1">
                        <w:r>
                          <w:rPr>
                            <w:rStyle w:val="Hyperlink"/>
                            <w:sz w:val="18"/>
                          </w:rPr>
                          <w:t>„KPP rezultatų vertinimas:</w:t>
                        </w:r>
                      </w:hyperlink>
                      <w:hyperlink r:id="rId48" w:history="1">
                        <w:r>
                          <w:rPr>
                            <w:rStyle w:val="Hyperlink"/>
                            <w:sz w:val="18"/>
                          </w:rPr>
                          <w:t xml:space="preserve"> kaip pasirengti teikti vertinimo ataskaitas 2017 m. </w:t>
                        </w:r>
                      </w:hyperlink>
                      <w:r>
                        <w:t>“ 11 priedas.</w:t>
                      </w:r>
                      <w:r>
                        <w:rPr>
                          <w:color w:val="000000"/>
                          <w:sz w:val="18"/>
                        </w:rPr>
                        <w:t xml:space="preserve"> </w:t>
                      </w:r>
                    </w:p>
                    <w:p w:rsidR="001F67E3" w:rsidRPr="00730192" w:rsidRDefault="001F67E3" w:rsidP="00E05D08">
                      <w:pPr>
                        <w:pStyle w:val="HStandard"/>
                        <w:rPr>
                          <w:sz w:val="18"/>
                        </w:rPr>
                      </w:pPr>
                      <w:r>
                        <w:t xml:space="preserve">2014 m. lapkričio mėn. </w:t>
                      </w:r>
                      <w:r>
                        <w:rPr>
                          <w:sz w:val="18"/>
                        </w:rPr>
                        <w:t>rekomendacinis dokumentas „</w:t>
                      </w:r>
                      <w:hyperlink r:id="rId49" w:history="1">
                        <w:r>
                          <w:rPr>
                            <w:rStyle w:val="Hyperlink"/>
                            <w:sz w:val="18"/>
                          </w:rPr>
                          <w:t>Bendradarbiavimo priemonė</w:t>
                        </w:r>
                      </w:hyperlink>
                      <w:r>
                        <w:t xml:space="preserve">“ (angl. </w:t>
                      </w:r>
                      <w:r w:rsidRPr="001F67E3">
                        <w:rPr>
                          <w:i/>
                          <w:iCs/>
                        </w:rPr>
                        <w:t>Cooperation measure</w:t>
                      </w:r>
                      <w:r>
                        <w:t xml:space="preserve">), </w:t>
                      </w:r>
                      <w:r>
                        <w:rPr>
                          <w:sz w:val="18"/>
                        </w:rPr>
                        <w:t>Reglamento (ES) Nr. 1305/2013 35 straipsnis.</w:t>
                      </w:r>
                    </w:p>
                    <w:p w:rsidR="001F67E3" w:rsidRPr="009D62F4" w:rsidRDefault="001F67E3" w:rsidP="00E05D08">
                      <w:pPr>
                        <w:pStyle w:val="HStandard"/>
                        <w:rPr>
                          <w:sz w:val="18"/>
                          <w:szCs w:val="18"/>
                        </w:rPr>
                      </w:pPr>
                      <w:r>
                        <w:rPr>
                          <w:sz w:val="18"/>
                        </w:rPr>
                        <w:t xml:space="preserve">Europos kaimo plėtros tinklo praktinio seminaro dokumentai dėl 16-osios priemonės „Bendradarbiavimas“, 2016 m. birželio mėn., Briuselis, </w:t>
                      </w:r>
                      <w:hyperlink r:id="rId50" w:history="1">
                        <w:r>
                          <w:rPr>
                            <w:rStyle w:val="Hyperlink"/>
                            <w:sz w:val="18"/>
                          </w:rPr>
                          <w:t>http://enrd.ec.europa.eu/news-events/events/enrd-workshop-measure-16-cooperation_en</w:t>
                        </w:r>
                      </w:hyperlink>
                      <w:r>
                        <w:t>.</w:t>
                      </w:r>
                    </w:p>
                  </w:txbxContent>
                </v:textbox>
                <w10:anchorlock/>
              </v:shape>
            </w:pict>
          </mc:Fallback>
        </mc:AlternateContent>
      </w:r>
    </w:p>
    <w:p w:rsidR="00A45935" w:rsidRPr="00BB551B" w:rsidRDefault="00A45935" w:rsidP="009B603C">
      <w:pPr>
        <w:pStyle w:val="HHeading3"/>
        <w:numPr>
          <w:ilvl w:val="2"/>
          <w:numId w:val="119"/>
        </w:numPr>
        <w:tabs>
          <w:tab w:val="clear" w:pos="567"/>
        </w:tabs>
        <w:spacing w:line="280" w:lineRule="exact"/>
        <w:ind w:left="567" w:hanging="567"/>
      </w:pPr>
      <w:bookmarkStart w:id="110" w:name="_Toc501382132"/>
      <w:bookmarkStart w:id="111" w:name="_Toc508976529"/>
      <w:r>
        <w:t>2-asis BVK. „Kiek pagal KPP vykdant intervencijas paremtas žemės ūkio, maisto produktų gamybos bei miškininkystės ir mokslinių tyrimų bei inovacijų ryšių stiprinimas, be kita ko, siekiant geresnio aplinkosaugos valdymo ir aplinkosauginio veiksmingumo?“</w:t>
      </w:r>
      <w:bookmarkEnd w:id="110"/>
      <w:bookmarkEnd w:id="111"/>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Kaip suprasti BVK?</w:t>
      </w:r>
    </w:p>
    <w:p w:rsidR="00A45935" w:rsidRPr="00E05D08" w:rsidRDefault="00A45935" w:rsidP="00E05D08">
      <w:pPr>
        <w:spacing w:after="120" w:line="280" w:lineRule="atLeast"/>
        <w:mirrorIndents/>
        <w:rPr>
          <w:rFonts w:eastAsia="Times New Roman" w:cs="Times New Roman"/>
          <w:szCs w:val="20"/>
        </w:rPr>
      </w:pPr>
      <w:r>
        <w:t>2-asis BVK pirmiausia susijęs su 35 straipsnyje „Bendradarbiavimas“ nustatyta 16-ąja priemone ir jos 10 pagalbinių priemonių</w:t>
      </w:r>
      <w:r>
        <w:rPr>
          <w:rFonts w:eastAsia="Times New Roman" w:cs="Arial"/>
          <w:szCs w:val="20"/>
          <w:vertAlign w:val="superscript"/>
          <w:lang w:eastAsia="de-DE"/>
        </w:rPr>
        <w:footnoteReference w:id="52"/>
      </w:r>
      <w:r>
        <w:t xml:space="preserve">. </w:t>
      </w:r>
      <w:r>
        <w:rPr>
          <w:b/>
          <w:szCs w:val="20"/>
        </w:rPr>
        <w:t xml:space="preserve">Žemės ūkio, maisto produktų gamybos, miškininkystės, mokslinių tyrimų ir inovacijų ryšiai </w:t>
      </w:r>
      <w:r>
        <w:t>gali būti remiami trim būdais</w:t>
      </w:r>
      <w:r>
        <w:rPr>
          <w:rFonts w:eastAsia="Times New Roman" w:cs="Times New Roman"/>
          <w:szCs w:val="20"/>
          <w:vertAlign w:val="superscript"/>
          <w:lang w:eastAsia="de-DE"/>
        </w:rPr>
        <w:footnoteReference w:id="53"/>
      </w:r>
      <w:r>
        <w:t>:</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daugelio įvairių žemės ūkio ir miškininkystės sektorių, maisto grandinės ir kitų subjektų, kurie padeda siekti kaimo plėtros politikos tikslų, taip pat gamintojų grupių, kooperatyvų ir tarpšakinių organizacijų tarpusavio bendradarbiavimu;</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kuriant klasterius ir tinklus, kurie yra labiau specifinės, tačiau svarbios bendradarbiavimo formos;</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kuriant EIP AGRI veiklos grupes (VG) – naują kaimo plėtros politikos komponentą siekiant glaudžiau susieti mokslinius tyrimus ir praktiką.</w:t>
      </w:r>
    </w:p>
    <w:p w:rsidR="00A45935" w:rsidRPr="00E05D08" w:rsidRDefault="00A45935" w:rsidP="00E05D08">
      <w:pPr>
        <w:spacing w:after="120" w:line="280" w:lineRule="atLeast"/>
        <w:mirrorIndents/>
        <w:rPr>
          <w:rFonts w:eastAsia="Times New Roman" w:cs="Times New Roman"/>
          <w:szCs w:val="20"/>
        </w:rPr>
      </w:pPr>
      <w:r>
        <w:t>Laikui bėgant kaimo plėtros politikos parama šioms bendradarbiavimo formoms keitėsi. Ankstesniu programavimo laikotarpiu buvo remiamos labai specifinės bendradarbiavimo formos (maisto kokybės schemos ir gamintojų grupės) arba bendradarbiavimas vietos lygmeniu (pagal LEADER). Dabartine politika remiami įvairesnių subjektų tarpusavio ryšiai ir užtikrinama daugiau lankstumo, susijusio su bendradarbiavimo veiksmų apimtimi ir struktūra. Įgyvendinant kaimo plėtros politiką, kuria žemės ūkis, miškininkystė ir maisto grandinė susiejami su mokslinių tyrimų / inovacijų srities subjektais, daug dėmesio skiriama inovacijoms, kaip būdui pasiekti KPP tikslus. Pavyzdžiui:</w:t>
      </w:r>
    </w:p>
    <w:p w:rsidR="00A45935" w:rsidRPr="00D35751" w:rsidRDefault="00A45935" w:rsidP="00AB16BB">
      <w:pPr>
        <w:pStyle w:val="Hlistbullet"/>
      </w:pPr>
      <w:r>
        <w:t>mokslinių tyrimų ir praktikos sąsaja gali padėti nustatyti inovacijas, kuriomis būtų galima pagerinti programos įgyvendinimą ir prisidėti prie KPP tikslų;</w:t>
      </w:r>
    </w:p>
    <w:p w:rsidR="00EF1B0F" w:rsidRPr="00EF1B0F" w:rsidRDefault="00A45935" w:rsidP="00734B11">
      <w:pPr>
        <w:pStyle w:val="Hlistbullet"/>
      </w:pPr>
      <w:r>
        <w:t xml:space="preserve">didesnis dėmesys konsultantų ir paramos inovacijoms paslaugų teikėjų teikiamai bendradarbiavimo projektams pagalbai (įskaitant NKT teikiamą paramą) gali padėti stiprinti gebėjimą diegti inovacijas ir pagerinti konkurencingumą ir (arba) aplinką; </w:t>
      </w:r>
    </w:p>
    <w:p w:rsidR="00EF1B0F" w:rsidRDefault="00A2532A" w:rsidP="00734B11">
      <w:pPr>
        <w:pStyle w:val="Hlistbullet"/>
      </w:pPr>
      <w:r>
        <w:rPr>
          <w:noProof/>
          <w:color w:val="auto"/>
          <w:sz w:val="18"/>
          <w:lang w:val="en-GB" w:eastAsia="en-GB"/>
        </w:rPr>
        <w:lastRenderedPageBreak/>
        <mc:AlternateContent>
          <mc:Choice Requires="wps">
            <w:drawing>
              <wp:anchor distT="0" distB="0" distL="114300" distR="114300" simplePos="0" relativeHeight="251723776" behindDoc="0" locked="0" layoutInCell="1" allowOverlap="1" wp14:anchorId="0302FC4E" wp14:editId="2495DE95">
                <wp:simplePos x="0" y="0"/>
                <wp:positionH relativeFrom="column">
                  <wp:posOffset>95250</wp:posOffset>
                </wp:positionH>
                <wp:positionV relativeFrom="page">
                  <wp:posOffset>1902460</wp:posOffset>
                </wp:positionV>
                <wp:extent cx="5763260" cy="6783070"/>
                <wp:effectExtent l="0" t="0" r="27940" b="17780"/>
                <wp:wrapSquare wrapText="bothSides"/>
                <wp:docPr id="24" name="Rectangle: Diagonal Corners Rounded 24"/>
                <wp:cNvGraphicFramePr/>
                <a:graphic xmlns:a="http://schemas.openxmlformats.org/drawingml/2006/main">
                  <a:graphicData uri="http://schemas.microsoft.com/office/word/2010/wordprocessingShape">
                    <wps:wsp>
                      <wps:cNvSpPr/>
                      <wps:spPr>
                        <a:xfrm>
                          <a:off x="0" y="0"/>
                          <a:ext cx="5763260" cy="6783070"/>
                        </a:xfrm>
                        <a:prstGeom prst="round2DiagRect">
                          <a:avLst>
                            <a:gd name="adj1" fmla="val 5422"/>
                            <a:gd name="adj2" fmla="val 0"/>
                          </a:avLst>
                        </a:prstGeom>
                        <a:noFill/>
                        <a:ln w="25400" cap="flat" cmpd="sng" algn="ctr">
                          <a:solidFill>
                            <a:srgbClr val="F07E31"/>
                          </a:solidFill>
                          <a:prstDash val="solid"/>
                        </a:ln>
                        <a:effectLst/>
                      </wps:spPr>
                      <wps:txbx>
                        <w:txbxContent>
                          <w:p w:rsidR="001F67E3" w:rsidRPr="007B4A6D" w:rsidRDefault="001F67E3" w:rsidP="00E05D08">
                            <w:pPr>
                              <w:pStyle w:val="HStandard"/>
                              <w:ind w:left="567" w:hanging="567"/>
                              <w:rPr>
                                <w:b/>
                                <w:color w:val="648659"/>
                                <w:sz w:val="18"/>
                                <w:szCs w:val="18"/>
                              </w:rPr>
                            </w:pPr>
                            <w:r>
                              <w:rPr>
                                <w:noProof/>
                                <w:sz w:val="18"/>
                                <w:szCs w:val="18"/>
                                <w:lang w:val="en-GB" w:eastAsia="en-GB"/>
                              </w:rPr>
                              <w:drawing>
                                <wp:inline distT="0" distB="0" distL="0" distR="0" wp14:anchorId="2715F632" wp14:editId="1092B4E2">
                                  <wp:extent cx="353060" cy="359410"/>
                                  <wp:effectExtent l="0" t="0" r="8890" b="2540"/>
                                  <wp:docPr id="1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Pavyzdys. Bendradarbiavimo priemonės, panaudotos siekiant pagerinti aplinkos valdymą</w:t>
                            </w:r>
                          </w:p>
                          <w:p w:rsidR="001F67E3" w:rsidRPr="007B4A6D" w:rsidRDefault="001F67E3" w:rsidP="00E05D08">
                            <w:pPr>
                              <w:pStyle w:val="HStandard"/>
                              <w:rPr>
                                <w:sz w:val="18"/>
                                <w:szCs w:val="18"/>
                              </w:rPr>
                            </w:pPr>
                            <w:r>
                              <w:rPr>
                                <w:b/>
                                <w:sz w:val="18"/>
                                <w:szCs w:val="18"/>
                              </w:rPr>
                              <w:t>Suomija –</w:t>
                            </w:r>
                            <w:r>
                              <w:rPr>
                                <w:sz w:val="18"/>
                                <w:szCs w:val="18"/>
                              </w:rPr>
                              <w:t xml:space="preserve"> 16-oji priemonė papildo kitas KPP priemones siekiant P4 ir P5 prioritetų tikslų:</w:t>
                            </w:r>
                          </w:p>
                          <w:p w:rsidR="001F67E3" w:rsidRPr="00055039" w:rsidRDefault="001F67E3" w:rsidP="008C0B17">
                            <w:pPr>
                              <w:pStyle w:val="HStandard"/>
                              <w:numPr>
                                <w:ilvl w:val="0"/>
                                <w:numId w:val="24"/>
                              </w:numPr>
                              <w:ind w:left="567" w:hanging="567"/>
                              <w:rPr>
                                <w:sz w:val="18"/>
                                <w:szCs w:val="18"/>
                              </w:rPr>
                            </w:pPr>
                            <w:r>
                              <w:rPr>
                                <w:sz w:val="18"/>
                                <w:szCs w:val="18"/>
                              </w:rPr>
                              <w:t>58 proc. 16-osios priemonės, taip pat dalis 1 ir 2-osios priemonių lėšų panaudojama siekiant skatinti energijos vartojimo efektyvumą;</w:t>
                            </w:r>
                          </w:p>
                          <w:p w:rsidR="001F67E3" w:rsidRPr="00D66182" w:rsidRDefault="001F67E3" w:rsidP="008C0B17">
                            <w:pPr>
                              <w:pStyle w:val="HStandard"/>
                              <w:numPr>
                                <w:ilvl w:val="0"/>
                                <w:numId w:val="24"/>
                              </w:numPr>
                              <w:ind w:left="567" w:hanging="567"/>
                              <w:rPr>
                                <w:sz w:val="18"/>
                                <w:szCs w:val="18"/>
                              </w:rPr>
                            </w:pPr>
                            <w:r>
                              <w:rPr>
                                <w:sz w:val="18"/>
                                <w:szCs w:val="18"/>
                              </w:rPr>
                              <w:t>49 proc. 16-osios priemonės, taip pat dalis 1 ir 2-osios priemonių lėšų panaudojama anglies dioksido sekvestracijai ir išsaugojimui;</w:t>
                            </w:r>
                          </w:p>
                          <w:p w:rsidR="001F67E3" w:rsidRPr="000E1D4B" w:rsidRDefault="001F67E3" w:rsidP="008C0B17">
                            <w:pPr>
                              <w:pStyle w:val="HStandard"/>
                              <w:numPr>
                                <w:ilvl w:val="0"/>
                                <w:numId w:val="24"/>
                              </w:numPr>
                              <w:ind w:left="567" w:hanging="567"/>
                              <w:rPr>
                                <w:sz w:val="18"/>
                                <w:szCs w:val="18"/>
                              </w:rPr>
                            </w:pPr>
                            <w:r>
                              <w:rPr>
                                <w:sz w:val="18"/>
                                <w:szCs w:val="18"/>
                              </w:rPr>
                              <w:t>10 proc. 16-osios priemonės, 84 proc. 4-osios priemonės, taip pat dalis 1 ir 2-osios priemonių lėšų panaudojama atsinaujinantiesiems ištekliams ir atliekų tvarkymui;</w:t>
                            </w:r>
                          </w:p>
                          <w:p w:rsidR="001F67E3" w:rsidRPr="000E1D4B" w:rsidRDefault="001F67E3" w:rsidP="008C0B17">
                            <w:pPr>
                              <w:pStyle w:val="HStandard"/>
                              <w:numPr>
                                <w:ilvl w:val="0"/>
                                <w:numId w:val="24"/>
                              </w:numPr>
                              <w:ind w:left="567" w:hanging="567"/>
                              <w:rPr>
                                <w:sz w:val="18"/>
                                <w:szCs w:val="18"/>
                              </w:rPr>
                            </w:pPr>
                            <w:r>
                              <w:rPr>
                                <w:sz w:val="18"/>
                                <w:szCs w:val="18"/>
                              </w:rPr>
                              <w:t>5,5 proc. 16-osios priemonės, 89 proc. 4-osios priemonės, taip pat dalis 1 ir 2-osios priemonių lėšų panaudojama šiltnamio efektą sukeliančių dujų ir išmetamo amoniako kiekiui mažinti.</w:t>
                            </w:r>
                          </w:p>
                          <w:p w:rsidR="001F67E3" w:rsidRPr="000E1D4B" w:rsidRDefault="001F67E3" w:rsidP="00E05D08">
                            <w:pPr>
                              <w:pStyle w:val="HStandard"/>
                              <w:rPr>
                                <w:sz w:val="18"/>
                                <w:szCs w:val="18"/>
                              </w:rPr>
                            </w:pPr>
                            <w:r>
                              <w:rPr>
                                <w:sz w:val="18"/>
                                <w:szCs w:val="18"/>
                              </w:rPr>
                              <w:t>Bendradarbiavimo priemonės pagalbinės priemonės (pvz., parama bandomiesiems projektams (16.2 priemonė), parama vykdant bendrus veiksmus, susijusius su klimato kaitos švelninimu arba prisitaikymu prie jos ir parama bendram požiūriui taikyti įgyvendinant aplinkos apsaugos ir vykdant aplinkosaugos veiklą (16.5 priemonė) daro reikšmingą poveikį 4A–C ir 5A–E tikslinėms sritims (TS).</w:t>
                            </w:r>
                          </w:p>
                          <w:p w:rsidR="001F67E3" w:rsidRPr="00AB16BB" w:rsidRDefault="001F67E3" w:rsidP="00AB16BB">
                            <w:pPr>
                              <w:pStyle w:val="HSource"/>
                              <w:ind w:right="8"/>
                              <w:jc w:val="right"/>
                              <w:rPr>
                                <w:rFonts w:eastAsia="Calibri"/>
                                <w:sz w:val="14"/>
                                <w:szCs w:val="14"/>
                              </w:rPr>
                            </w:pPr>
                            <w:r>
                              <w:rPr>
                                <w:sz w:val="14"/>
                                <w:szCs w:val="14"/>
                              </w:rPr>
                              <w:t>Šaltinis: ENRD (2016) (EKPT 2013 m. ataskaita) 2016 m. EKPT praktinis seminaras dėl 16-osios priemonės „Bendradarbiavimas“ (</w:t>
                            </w:r>
                            <w:r w:rsidR="00127F70">
                              <w:rPr>
                                <w:sz w:val="14"/>
                                <w:szCs w:val="14"/>
                              </w:rPr>
                              <w:t>angl.Workshop on M 16 Cooperation</w:t>
                            </w:r>
                            <w:r>
                              <w:rPr>
                                <w:sz w:val="14"/>
                                <w:szCs w:val="14"/>
                              </w:rPr>
                              <w:t>)</w:t>
                            </w:r>
                            <w:r>
                              <w:rPr>
                                <w:sz w:val="14"/>
                                <w:szCs w:val="14"/>
                                <w:vertAlign w:val="superscript"/>
                              </w:rPr>
                              <w:t>54</w:t>
                            </w:r>
                            <w:r>
                              <w:rPr>
                                <w:sz w:val="14"/>
                                <w:szCs w:val="14"/>
                              </w:rPr>
                              <w:t>.</w:t>
                            </w:r>
                          </w:p>
                          <w:p w:rsidR="001F67E3" w:rsidRPr="007B4A6D" w:rsidRDefault="001F67E3" w:rsidP="00235D46">
                            <w:pPr>
                              <w:pStyle w:val="HStandard"/>
                              <w:spacing w:after="0"/>
                              <w:ind w:left="567" w:hanging="567"/>
                              <w:rPr>
                                <w:b/>
                                <w:sz w:val="18"/>
                                <w:szCs w:val="18"/>
                              </w:rPr>
                            </w:pPr>
                            <w:r>
                              <w:rPr>
                                <w:b/>
                                <w:color w:val="F07E31"/>
                                <w:sz w:val="18"/>
                                <w:szCs w:val="18"/>
                              </w:rPr>
                              <w:t>Pavyzdys.</w:t>
                            </w:r>
                            <w:r>
                              <w:rPr>
                                <w:color w:val="F07E31"/>
                                <w:sz w:val="18"/>
                                <w:szCs w:val="18"/>
                              </w:rPr>
                              <w:t xml:space="preserve"> </w:t>
                            </w:r>
                            <w:r>
                              <w:rPr>
                                <w:b/>
                                <w:color w:val="F07E31"/>
                                <w:sz w:val="18"/>
                                <w:szCs w:val="18"/>
                              </w:rPr>
                              <w:t>Tyrėjų ir ūkininkų ryšių užmezgimas</w:t>
                            </w:r>
                            <w:r>
                              <w:rPr>
                                <w:color w:val="F07E31"/>
                                <w:sz w:val="18"/>
                                <w:szCs w:val="18"/>
                              </w:rPr>
                              <w:t xml:space="preserve"> </w:t>
                            </w:r>
                          </w:p>
                          <w:p w:rsidR="001F67E3" w:rsidRPr="00D66182" w:rsidRDefault="001F67E3" w:rsidP="00235D46">
                            <w:pPr>
                              <w:pStyle w:val="HStandard"/>
                              <w:rPr>
                                <w:sz w:val="18"/>
                                <w:szCs w:val="18"/>
                              </w:rPr>
                            </w:pPr>
                            <w:r>
                              <w:rPr>
                                <w:b/>
                                <w:sz w:val="18"/>
                                <w:szCs w:val="18"/>
                              </w:rPr>
                              <w:t>Belgija</w:t>
                            </w:r>
                            <w:r>
                              <w:rPr>
                                <w:sz w:val="18"/>
                                <w:szCs w:val="18"/>
                              </w:rPr>
                              <w:t xml:space="preserve"> – pažangi kiaulidė padeda sumažinti išmetamą amoniako kiekį. Tyrėjų ir ūkininkų tarpusavio ryšių užmezgimas pasinaudojant paramos inovacijoms paslaugomis buvo labai svarbus kuriant ir išbandant šiuos amoniako mažinimo metodus, kai į kiaulių mėšlą dedama tam tikrų bakterijų. Tai taip pat padeda siekti aplinkosauginių KPP tikslų. </w:t>
                            </w:r>
                          </w:p>
                          <w:p w:rsidR="001F67E3" w:rsidRPr="00AB16BB" w:rsidRDefault="001F67E3" w:rsidP="00AB16BB">
                            <w:pPr>
                              <w:pStyle w:val="HStandard"/>
                              <w:jc w:val="right"/>
                              <w:rPr>
                                <w:sz w:val="14"/>
                                <w:szCs w:val="14"/>
                                <w:vertAlign w:val="superscript"/>
                              </w:rPr>
                            </w:pPr>
                            <w:r>
                              <w:rPr>
                                <w:i/>
                                <w:sz w:val="14"/>
                                <w:szCs w:val="14"/>
                              </w:rPr>
                              <w:t>Šaltinis: EIP paslaugų centras</w:t>
                            </w:r>
                            <w:r>
                              <w:rPr>
                                <w:i/>
                                <w:sz w:val="14"/>
                                <w:szCs w:val="14"/>
                                <w:vertAlign w:val="superscript"/>
                              </w:rPr>
                              <w:t>55</w:t>
                            </w:r>
                          </w:p>
                          <w:p w:rsidR="001F67E3" w:rsidRPr="007B4A6D" w:rsidRDefault="001F67E3" w:rsidP="00235D46">
                            <w:pPr>
                              <w:pStyle w:val="HStandard"/>
                              <w:rPr>
                                <w:b/>
                                <w:color w:val="F07E31"/>
                                <w:sz w:val="18"/>
                                <w:szCs w:val="18"/>
                              </w:rPr>
                            </w:pPr>
                            <w:r>
                              <w:rPr>
                                <w:b/>
                                <w:color w:val="F07E31"/>
                                <w:sz w:val="18"/>
                                <w:szCs w:val="18"/>
                              </w:rPr>
                              <w:t xml:space="preserve">Pavyzdys. Paramos inovacijoms paslaugos </w:t>
                            </w:r>
                          </w:p>
                          <w:p w:rsidR="001F67E3" w:rsidRPr="007B4A6D" w:rsidRDefault="001F67E3" w:rsidP="00235D46">
                            <w:pPr>
                              <w:pStyle w:val="HStandard"/>
                              <w:spacing w:after="0"/>
                              <w:rPr>
                                <w:b/>
                                <w:sz w:val="18"/>
                                <w:szCs w:val="18"/>
                              </w:rPr>
                            </w:pPr>
                            <w:r>
                              <w:rPr>
                                <w:b/>
                                <w:sz w:val="18"/>
                                <w:szCs w:val="18"/>
                              </w:rPr>
                              <w:t>Hesenas (DE) –</w:t>
                            </w:r>
                            <w:r>
                              <w:rPr>
                                <w:sz w:val="18"/>
                                <w:szCs w:val="18"/>
                              </w:rPr>
                              <w:t xml:space="preserve"> paramos inovacijoms paslaugos padėjo sustiprinti gebėjimą diegti inovacijas pasitelkiant</w:t>
                            </w:r>
                            <w:r>
                              <w:rPr>
                                <w:b/>
                                <w:sz w:val="18"/>
                                <w:szCs w:val="18"/>
                              </w:rPr>
                              <w:t>:</w:t>
                            </w:r>
                          </w:p>
                          <w:p w:rsidR="001F67E3" w:rsidRPr="00055039" w:rsidRDefault="001F67E3" w:rsidP="00235D46">
                            <w:pPr>
                              <w:pStyle w:val="HStandard"/>
                              <w:numPr>
                                <w:ilvl w:val="0"/>
                                <w:numId w:val="24"/>
                              </w:numPr>
                              <w:ind w:left="567" w:hanging="567"/>
                              <w:rPr>
                                <w:sz w:val="18"/>
                                <w:szCs w:val="18"/>
                              </w:rPr>
                            </w:pPr>
                            <w:r>
                              <w:rPr>
                                <w:sz w:val="18"/>
                                <w:szCs w:val="18"/>
                              </w:rPr>
                              <w:t>paramą įgyvendinant 16-ąją priemonę,</w:t>
                            </w:r>
                          </w:p>
                          <w:p w:rsidR="001F67E3" w:rsidRPr="00D66182" w:rsidRDefault="001F67E3" w:rsidP="00235D46">
                            <w:pPr>
                              <w:pStyle w:val="HStandard"/>
                              <w:numPr>
                                <w:ilvl w:val="0"/>
                                <w:numId w:val="24"/>
                              </w:numPr>
                              <w:ind w:left="567" w:hanging="567"/>
                              <w:rPr>
                                <w:sz w:val="18"/>
                                <w:szCs w:val="18"/>
                              </w:rPr>
                            </w:pPr>
                            <w:r>
                              <w:rPr>
                                <w:sz w:val="18"/>
                                <w:szCs w:val="18"/>
                              </w:rPr>
                              <w:t>regione vykdomas informavimo ir viešinimo priemones,</w:t>
                            </w:r>
                          </w:p>
                          <w:p w:rsidR="001F67E3" w:rsidRPr="000E1D4B" w:rsidRDefault="001F67E3" w:rsidP="00235D46">
                            <w:pPr>
                              <w:pStyle w:val="HStandard"/>
                              <w:numPr>
                                <w:ilvl w:val="0"/>
                                <w:numId w:val="24"/>
                              </w:numPr>
                              <w:ind w:left="567" w:hanging="567"/>
                              <w:rPr>
                                <w:sz w:val="18"/>
                                <w:szCs w:val="18"/>
                              </w:rPr>
                            </w:pPr>
                            <w:r>
                              <w:rPr>
                                <w:sz w:val="18"/>
                                <w:szCs w:val="18"/>
                              </w:rPr>
                              <w:t>bendradarbiavimo veiklos subjektų tinklaveiką Hesene, Vokietijoje,</w:t>
                            </w:r>
                          </w:p>
                          <w:p w:rsidR="001F67E3" w:rsidRPr="000E1D4B" w:rsidRDefault="001F67E3" w:rsidP="00235D46">
                            <w:pPr>
                              <w:pStyle w:val="HStandard"/>
                              <w:numPr>
                                <w:ilvl w:val="0"/>
                                <w:numId w:val="24"/>
                              </w:numPr>
                              <w:ind w:left="567" w:hanging="567"/>
                              <w:rPr>
                                <w:sz w:val="18"/>
                                <w:szCs w:val="18"/>
                              </w:rPr>
                            </w:pPr>
                            <w:r>
                              <w:rPr>
                                <w:sz w:val="18"/>
                                <w:szCs w:val="18"/>
                              </w:rPr>
                              <w:t>paramą bendradarbiavimo veiklai priemonės parengimo ir įgyvendinimo etapuose.</w:t>
                            </w:r>
                          </w:p>
                          <w:p w:rsidR="001F67E3" w:rsidRPr="00AB16BB" w:rsidRDefault="001F67E3" w:rsidP="00A2532A">
                            <w:pPr>
                              <w:pStyle w:val="HSource"/>
                              <w:spacing w:before="0" w:after="0"/>
                              <w:ind w:left="0" w:right="11"/>
                              <w:jc w:val="right"/>
                              <w:rPr>
                                <w:rFonts w:eastAsia="Calibri"/>
                                <w:sz w:val="14"/>
                                <w:szCs w:val="14"/>
                              </w:rPr>
                            </w:pPr>
                            <w:r>
                              <w:rPr>
                                <w:sz w:val="14"/>
                                <w:szCs w:val="14"/>
                              </w:rPr>
                              <w:t xml:space="preserve">Šaltinis: 2016 m. EKPT </w:t>
                            </w:r>
                          </w:p>
                          <w:p w:rsidR="001F67E3" w:rsidRPr="00AB16BB" w:rsidRDefault="001F67E3" w:rsidP="00A2532A">
                            <w:pPr>
                              <w:pStyle w:val="HSource"/>
                              <w:spacing w:before="0" w:after="0"/>
                              <w:ind w:left="0" w:right="11"/>
                              <w:jc w:val="right"/>
                              <w:rPr>
                                <w:sz w:val="14"/>
                                <w:szCs w:val="14"/>
                              </w:rPr>
                            </w:pPr>
                            <w:r>
                              <w:rPr>
                                <w:sz w:val="14"/>
                                <w:szCs w:val="14"/>
                              </w:rPr>
                              <w:t>2016 m. EKPT praktinis seminaras dėl 16-osios priemonės „Bendradarbiavimas“ (</w:t>
                            </w:r>
                            <w:r w:rsidR="00127F70">
                              <w:rPr>
                                <w:sz w:val="14"/>
                                <w:szCs w:val="14"/>
                              </w:rPr>
                              <w:t>angl. Workshop on M 16 Cooperation</w:t>
                            </w:r>
                            <w:r>
                              <w:rPr>
                                <w:sz w:val="14"/>
                                <w:szCs w:val="14"/>
                              </w:rPr>
                              <w:t>)</w:t>
                            </w:r>
                            <w:r>
                              <w:rPr>
                                <w:sz w:val="14"/>
                                <w:szCs w:val="14"/>
                                <w:vertAlign w:val="superscript"/>
                              </w:rPr>
                              <w:t>56</w:t>
                            </w:r>
                            <w:r>
                              <w:rPr>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2FC4E" id="Rectangle: Diagonal Corners Rounded 24" o:spid="_x0000_s1046" style="position:absolute;left:0;text-align:left;margin-left:7.5pt;margin-top:149.8pt;width:453.8pt;height:53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3260,6783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" adj="-11796480,,5400" path="m312484,l5763260,r,l5763260,6470586v,172580,-139904,312484,-312484,312484l,6783070r,l,312484c,139904,139904,,312484,xe" filled="f" strokecolor="#f07e31" strokeweight="2pt">
                <v:stroke joinstyle="miter"/>
                <v:formulas/>
                <v:path arrowok="t" o:connecttype="custom" o:connectlocs="312484,0;5763260,0;5763260,0;5763260,6470586;5450776,6783070;0,6783070;0,6783070;0,312484;312484,0" o:connectangles="0,0,0,0,0,0,0,0,0" textboxrect="0,0,5763260,6783070"/>
                <v:textbox>
                  <w:txbxContent>
                    <w:p w:rsidR="001F67E3" w:rsidRPr="007B4A6D" w:rsidRDefault="001F67E3" w:rsidP="00E05D08">
                      <w:pPr>
                        <w:pStyle w:val="HStandard"/>
                        <w:ind w:left="567" w:hanging="567"/>
                        <w:rPr>
                          <w:b/>
                          <w:color w:val="648659"/>
                          <w:sz w:val="18"/>
                          <w:szCs w:val="18"/>
                        </w:rPr>
                      </w:pPr>
                      <w:r>
                        <w:rPr>
                          <w:noProof/>
                          <w:sz w:val="18"/>
                          <w:szCs w:val="18"/>
                          <w:lang w:val="en-GB" w:eastAsia="en-GB"/>
                        </w:rPr>
                        <w:drawing>
                          <wp:inline distT="0" distB="0" distL="0" distR="0" wp14:anchorId="2715F632" wp14:editId="1092B4E2">
                            <wp:extent cx="353060" cy="359410"/>
                            <wp:effectExtent l="0" t="0" r="8890" b="2540"/>
                            <wp:docPr id="1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Pavyzdys. Bendradarbiavimo priemonės, panaudotos siekiant pagerinti aplinkos valdymą</w:t>
                      </w:r>
                    </w:p>
                    <w:p w:rsidR="001F67E3" w:rsidRPr="007B4A6D" w:rsidRDefault="001F67E3" w:rsidP="00E05D08">
                      <w:pPr>
                        <w:pStyle w:val="HStandard"/>
                        <w:rPr>
                          <w:sz w:val="18"/>
                          <w:szCs w:val="18"/>
                        </w:rPr>
                      </w:pPr>
                      <w:r>
                        <w:rPr>
                          <w:b/>
                          <w:sz w:val="18"/>
                          <w:szCs w:val="18"/>
                        </w:rPr>
                        <w:t>Suomija –</w:t>
                      </w:r>
                      <w:r>
                        <w:rPr>
                          <w:sz w:val="18"/>
                          <w:szCs w:val="18"/>
                        </w:rPr>
                        <w:t xml:space="preserve"> 16-oji priemonė papildo kitas KPP priemones siekiant P4 ir P5 prioritetų tikslų:</w:t>
                      </w:r>
                    </w:p>
                    <w:p w:rsidR="001F67E3" w:rsidRPr="00055039" w:rsidRDefault="001F67E3" w:rsidP="008C0B17">
                      <w:pPr>
                        <w:pStyle w:val="HStandard"/>
                        <w:numPr>
                          <w:ilvl w:val="0"/>
                          <w:numId w:val="24"/>
                        </w:numPr>
                        <w:ind w:left="567" w:hanging="567"/>
                        <w:rPr>
                          <w:sz w:val="18"/>
                          <w:szCs w:val="18"/>
                        </w:rPr>
                      </w:pPr>
                      <w:r>
                        <w:rPr>
                          <w:sz w:val="18"/>
                          <w:szCs w:val="18"/>
                        </w:rPr>
                        <w:t>58 proc. 16-osios priemonės, taip pat dalis 1 ir 2-osios priemonių lėšų panaudojama siekiant skatinti energijos vartojimo efektyvumą;</w:t>
                      </w:r>
                    </w:p>
                    <w:p w:rsidR="001F67E3" w:rsidRPr="00D66182" w:rsidRDefault="001F67E3" w:rsidP="008C0B17">
                      <w:pPr>
                        <w:pStyle w:val="HStandard"/>
                        <w:numPr>
                          <w:ilvl w:val="0"/>
                          <w:numId w:val="24"/>
                        </w:numPr>
                        <w:ind w:left="567" w:hanging="567"/>
                        <w:rPr>
                          <w:sz w:val="18"/>
                          <w:szCs w:val="18"/>
                        </w:rPr>
                      </w:pPr>
                      <w:r>
                        <w:rPr>
                          <w:sz w:val="18"/>
                          <w:szCs w:val="18"/>
                        </w:rPr>
                        <w:t>49 proc. 16-osios priemonės, taip pat dalis 1 ir 2-osios priemonių lėšų panaudojama anglies dioksido sekvestracijai ir išsaugojimui;</w:t>
                      </w:r>
                    </w:p>
                    <w:p w:rsidR="001F67E3" w:rsidRPr="000E1D4B" w:rsidRDefault="001F67E3" w:rsidP="008C0B17">
                      <w:pPr>
                        <w:pStyle w:val="HStandard"/>
                        <w:numPr>
                          <w:ilvl w:val="0"/>
                          <w:numId w:val="24"/>
                        </w:numPr>
                        <w:ind w:left="567" w:hanging="567"/>
                        <w:rPr>
                          <w:sz w:val="18"/>
                          <w:szCs w:val="18"/>
                        </w:rPr>
                      </w:pPr>
                      <w:r>
                        <w:rPr>
                          <w:sz w:val="18"/>
                          <w:szCs w:val="18"/>
                        </w:rPr>
                        <w:t>10 proc. 16-osios priemonės, 84 proc. 4-osios priemonės, taip pat dalis 1 ir 2-osios priemonių lėšų panaudojama atsinaujinantiesiems ištekliams ir atliekų tvarkymui;</w:t>
                      </w:r>
                    </w:p>
                    <w:p w:rsidR="001F67E3" w:rsidRPr="000E1D4B" w:rsidRDefault="001F67E3" w:rsidP="008C0B17">
                      <w:pPr>
                        <w:pStyle w:val="HStandard"/>
                        <w:numPr>
                          <w:ilvl w:val="0"/>
                          <w:numId w:val="24"/>
                        </w:numPr>
                        <w:ind w:left="567" w:hanging="567"/>
                        <w:rPr>
                          <w:sz w:val="18"/>
                          <w:szCs w:val="18"/>
                        </w:rPr>
                      </w:pPr>
                      <w:r>
                        <w:rPr>
                          <w:sz w:val="18"/>
                          <w:szCs w:val="18"/>
                        </w:rPr>
                        <w:t>5,5 proc. 16-osios priemonės, 89 proc. 4-osios priemonės, taip pat dalis 1 ir 2-osios priemonių lėšų panaudojama šiltnamio efektą sukeliančių dujų ir išmetamo amoniako kiekiui mažinti.</w:t>
                      </w:r>
                    </w:p>
                    <w:p w:rsidR="001F67E3" w:rsidRPr="000E1D4B" w:rsidRDefault="001F67E3" w:rsidP="00E05D08">
                      <w:pPr>
                        <w:pStyle w:val="HStandard"/>
                        <w:rPr>
                          <w:sz w:val="18"/>
                          <w:szCs w:val="18"/>
                        </w:rPr>
                      </w:pPr>
                      <w:r>
                        <w:rPr>
                          <w:sz w:val="18"/>
                          <w:szCs w:val="18"/>
                        </w:rPr>
                        <w:t>Bendradarbiavimo priemonės pagalbinės priemonės (pvz., parama bandomiesiems projektams (16.2 priemonė), parama vykdant bendrus veiksmus, susijusius su klimato kaitos švelninimu arba prisitaikymu prie jos ir parama bendram požiūriui taikyti įgyvendinant aplinkos apsaugos ir vykdant aplinkosaugos veiklą (16.5 priemonė) daro reikšmingą poveikį 4A–C ir 5A–E tikslinėms sritims (TS).</w:t>
                      </w:r>
                    </w:p>
                    <w:p w:rsidR="001F67E3" w:rsidRPr="00AB16BB" w:rsidRDefault="001F67E3" w:rsidP="00AB16BB">
                      <w:pPr>
                        <w:pStyle w:val="HSource"/>
                        <w:ind w:right="8"/>
                        <w:jc w:val="right"/>
                        <w:rPr>
                          <w:rFonts w:eastAsia="Calibri"/>
                          <w:sz w:val="14"/>
                          <w:szCs w:val="14"/>
                        </w:rPr>
                      </w:pPr>
                      <w:r>
                        <w:rPr>
                          <w:sz w:val="14"/>
                          <w:szCs w:val="14"/>
                        </w:rPr>
                        <w:t>Šaltinis: ENRD (2016) (EKPT 2013 m. ataskaita) 2016 m. EKPT praktinis seminaras dėl 16-osios priemonės „Bendradarbiavimas“ (</w:t>
                      </w:r>
                      <w:r w:rsidR="00127F70">
                        <w:rPr>
                          <w:sz w:val="14"/>
                          <w:szCs w:val="14"/>
                        </w:rPr>
                        <w:t>angl.Workshop on M 16 Cooperation</w:t>
                      </w:r>
                      <w:r>
                        <w:rPr>
                          <w:sz w:val="14"/>
                          <w:szCs w:val="14"/>
                        </w:rPr>
                        <w:t>)</w:t>
                      </w:r>
                      <w:r>
                        <w:rPr>
                          <w:sz w:val="14"/>
                          <w:szCs w:val="14"/>
                          <w:vertAlign w:val="superscript"/>
                        </w:rPr>
                        <w:t>54</w:t>
                      </w:r>
                      <w:r>
                        <w:rPr>
                          <w:sz w:val="14"/>
                          <w:szCs w:val="14"/>
                        </w:rPr>
                        <w:t>.</w:t>
                      </w:r>
                    </w:p>
                    <w:p w:rsidR="001F67E3" w:rsidRPr="007B4A6D" w:rsidRDefault="001F67E3" w:rsidP="00235D46">
                      <w:pPr>
                        <w:pStyle w:val="HStandard"/>
                        <w:spacing w:after="0"/>
                        <w:ind w:left="567" w:hanging="567"/>
                        <w:rPr>
                          <w:b/>
                          <w:sz w:val="18"/>
                          <w:szCs w:val="18"/>
                        </w:rPr>
                      </w:pPr>
                      <w:r>
                        <w:rPr>
                          <w:b/>
                          <w:color w:val="F07E31"/>
                          <w:sz w:val="18"/>
                          <w:szCs w:val="18"/>
                        </w:rPr>
                        <w:t>Pavyzdys.</w:t>
                      </w:r>
                      <w:r>
                        <w:rPr>
                          <w:color w:val="F07E31"/>
                          <w:sz w:val="18"/>
                          <w:szCs w:val="18"/>
                        </w:rPr>
                        <w:t xml:space="preserve"> </w:t>
                      </w:r>
                      <w:r>
                        <w:rPr>
                          <w:b/>
                          <w:color w:val="F07E31"/>
                          <w:sz w:val="18"/>
                          <w:szCs w:val="18"/>
                        </w:rPr>
                        <w:t>Tyrėjų ir ūkininkų ryšių užmezgimas</w:t>
                      </w:r>
                      <w:r>
                        <w:rPr>
                          <w:color w:val="F07E31"/>
                          <w:sz w:val="18"/>
                          <w:szCs w:val="18"/>
                        </w:rPr>
                        <w:t xml:space="preserve"> </w:t>
                      </w:r>
                    </w:p>
                    <w:p w:rsidR="001F67E3" w:rsidRPr="00D66182" w:rsidRDefault="001F67E3" w:rsidP="00235D46">
                      <w:pPr>
                        <w:pStyle w:val="HStandard"/>
                        <w:rPr>
                          <w:sz w:val="18"/>
                          <w:szCs w:val="18"/>
                        </w:rPr>
                      </w:pPr>
                      <w:r>
                        <w:rPr>
                          <w:b/>
                          <w:sz w:val="18"/>
                          <w:szCs w:val="18"/>
                        </w:rPr>
                        <w:t>Belgija</w:t>
                      </w:r>
                      <w:r>
                        <w:rPr>
                          <w:sz w:val="18"/>
                          <w:szCs w:val="18"/>
                        </w:rPr>
                        <w:t xml:space="preserve"> – pažangi kiaulidė padeda sumažinti išmetamą amoniako kiekį. Tyrėjų ir ūkininkų tarpusavio ryšių užmezgimas pasinaudojant paramos inovacijoms paslaugomis buvo labai svarbus kuriant ir išbandant šiuos amoniako mažinimo metodus, kai į kiaulių mėšlą dedama tam tikrų bakterijų. Tai taip pat padeda siekti aplinkosauginių KPP tikslų. </w:t>
                      </w:r>
                    </w:p>
                    <w:p w:rsidR="001F67E3" w:rsidRPr="00AB16BB" w:rsidRDefault="001F67E3" w:rsidP="00AB16BB">
                      <w:pPr>
                        <w:pStyle w:val="HStandard"/>
                        <w:jc w:val="right"/>
                        <w:rPr>
                          <w:sz w:val="14"/>
                          <w:szCs w:val="14"/>
                          <w:vertAlign w:val="superscript"/>
                        </w:rPr>
                      </w:pPr>
                      <w:r>
                        <w:rPr>
                          <w:i/>
                          <w:sz w:val="14"/>
                          <w:szCs w:val="14"/>
                        </w:rPr>
                        <w:t>Šaltinis: EIP paslaugų centras</w:t>
                      </w:r>
                      <w:r>
                        <w:rPr>
                          <w:i/>
                          <w:sz w:val="14"/>
                          <w:szCs w:val="14"/>
                          <w:vertAlign w:val="superscript"/>
                        </w:rPr>
                        <w:t>55</w:t>
                      </w:r>
                    </w:p>
                    <w:p w:rsidR="001F67E3" w:rsidRPr="007B4A6D" w:rsidRDefault="001F67E3" w:rsidP="00235D46">
                      <w:pPr>
                        <w:pStyle w:val="HStandard"/>
                        <w:rPr>
                          <w:b/>
                          <w:color w:val="F07E31"/>
                          <w:sz w:val="18"/>
                          <w:szCs w:val="18"/>
                        </w:rPr>
                      </w:pPr>
                      <w:r>
                        <w:rPr>
                          <w:b/>
                          <w:color w:val="F07E31"/>
                          <w:sz w:val="18"/>
                          <w:szCs w:val="18"/>
                        </w:rPr>
                        <w:t xml:space="preserve">Pavyzdys. Paramos inovacijoms paslaugos </w:t>
                      </w:r>
                    </w:p>
                    <w:p w:rsidR="001F67E3" w:rsidRPr="007B4A6D" w:rsidRDefault="001F67E3" w:rsidP="00235D46">
                      <w:pPr>
                        <w:pStyle w:val="HStandard"/>
                        <w:spacing w:after="0"/>
                        <w:rPr>
                          <w:b/>
                          <w:sz w:val="18"/>
                          <w:szCs w:val="18"/>
                        </w:rPr>
                      </w:pPr>
                      <w:r>
                        <w:rPr>
                          <w:b/>
                          <w:sz w:val="18"/>
                          <w:szCs w:val="18"/>
                        </w:rPr>
                        <w:t>Hesenas (DE) –</w:t>
                      </w:r>
                      <w:r>
                        <w:rPr>
                          <w:sz w:val="18"/>
                          <w:szCs w:val="18"/>
                        </w:rPr>
                        <w:t xml:space="preserve"> paramos inovacijoms paslaugos padėjo sustiprinti gebėjimą diegti inovacijas pasitelkiant</w:t>
                      </w:r>
                      <w:r>
                        <w:rPr>
                          <w:b/>
                          <w:sz w:val="18"/>
                          <w:szCs w:val="18"/>
                        </w:rPr>
                        <w:t>:</w:t>
                      </w:r>
                    </w:p>
                    <w:p w:rsidR="001F67E3" w:rsidRPr="00055039" w:rsidRDefault="001F67E3" w:rsidP="00235D46">
                      <w:pPr>
                        <w:pStyle w:val="HStandard"/>
                        <w:numPr>
                          <w:ilvl w:val="0"/>
                          <w:numId w:val="24"/>
                        </w:numPr>
                        <w:ind w:left="567" w:hanging="567"/>
                        <w:rPr>
                          <w:sz w:val="18"/>
                          <w:szCs w:val="18"/>
                        </w:rPr>
                      </w:pPr>
                      <w:r>
                        <w:rPr>
                          <w:sz w:val="18"/>
                          <w:szCs w:val="18"/>
                        </w:rPr>
                        <w:t>paramą įgyvendinant 16-ąją priemonę,</w:t>
                      </w:r>
                    </w:p>
                    <w:p w:rsidR="001F67E3" w:rsidRPr="00D66182" w:rsidRDefault="001F67E3" w:rsidP="00235D46">
                      <w:pPr>
                        <w:pStyle w:val="HStandard"/>
                        <w:numPr>
                          <w:ilvl w:val="0"/>
                          <w:numId w:val="24"/>
                        </w:numPr>
                        <w:ind w:left="567" w:hanging="567"/>
                        <w:rPr>
                          <w:sz w:val="18"/>
                          <w:szCs w:val="18"/>
                        </w:rPr>
                      </w:pPr>
                      <w:r>
                        <w:rPr>
                          <w:sz w:val="18"/>
                          <w:szCs w:val="18"/>
                        </w:rPr>
                        <w:t>regione vykdomas informavimo ir viešinimo priemones,</w:t>
                      </w:r>
                    </w:p>
                    <w:p w:rsidR="001F67E3" w:rsidRPr="000E1D4B" w:rsidRDefault="001F67E3" w:rsidP="00235D46">
                      <w:pPr>
                        <w:pStyle w:val="HStandard"/>
                        <w:numPr>
                          <w:ilvl w:val="0"/>
                          <w:numId w:val="24"/>
                        </w:numPr>
                        <w:ind w:left="567" w:hanging="567"/>
                        <w:rPr>
                          <w:sz w:val="18"/>
                          <w:szCs w:val="18"/>
                        </w:rPr>
                      </w:pPr>
                      <w:r>
                        <w:rPr>
                          <w:sz w:val="18"/>
                          <w:szCs w:val="18"/>
                        </w:rPr>
                        <w:t>bendradarbiavimo veiklos subjektų tinklaveiką Hesene, Vokietijoje,</w:t>
                      </w:r>
                    </w:p>
                    <w:p w:rsidR="001F67E3" w:rsidRPr="000E1D4B" w:rsidRDefault="001F67E3" w:rsidP="00235D46">
                      <w:pPr>
                        <w:pStyle w:val="HStandard"/>
                        <w:numPr>
                          <w:ilvl w:val="0"/>
                          <w:numId w:val="24"/>
                        </w:numPr>
                        <w:ind w:left="567" w:hanging="567"/>
                        <w:rPr>
                          <w:sz w:val="18"/>
                          <w:szCs w:val="18"/>
                        </w:rPr>
                      </w:pPr>
                      <w:r>
                        <w:rPr>
                          <w:sz w:val="18"/>
                          <w:szCs w:val="18"/>
                        </w:rPr>
                        <w:t>paramą bendradarbiavimo veiklai priemonės parengimo ir įgyvendinimo etapuose.</w:t>
                      </w:r>
                    </w:p>
                    <w:p w:rsidR="001F67E3" w:rsidRPr="00AB16BB" w:rsidRDefault="001F67E3" w:rsidP="00A2532A">
                      <w:pPr>
                        <w:pStyle w:val="HSource"/>
                        <w:spacing w:before="0" w:after="0"/>
                        <w:ind w:left="0" w:right="11"/>
                        <w:jc w:val="right"/>
                        <w:rPr>
                          <w:rFonts w:eastAsia="Calibri"/>
                          <w:sz w:val="14"/>
                          <w:szCs w:val="14"/>
                        </w:rPr>
                      </w:pPr>
                      <w:r>
                        <w:rPr>
                          <w:sz w:val="14"/>
                          <w:szCs w:val="14"/>
                        </w:rPr>
                        <w:t xml:space="preserve">Šaltinis: 2016 m. EKPT </w:t>
                      </w:r>
                    </w:p>
                    <w:p w:rsidR="001F67E3" w:rsidRPr="00AB16BB" w:rsidRDefault="001F67E3" w:rsidP="00A2532A">
                      <w:pPr>
                        <w:pStyle w:val="HSource"/>
                        <w:spacing w:before="0" w:after="0"/>
                        <w:ind w:left="0" w:right="11"/>
                        <w:jc w:val="right"/>
                        <w:rPr>
                          <w:sz w:val="14"/>
                          <w:szCs w:val="14"/>
                        </w:rPr>
                      </w:pPr>
                      <w:r>
                        <w:rPr>
                          <w:sz w:val="14"/>
                          <w:szCs w:val="14"/>
                        </w:rPr>
                        <w:t>2016 m. EKPT praktinis seminaras dėl 16-osios priemonės „Bendradarbiavimas“ (</w:t>
                      </w:r>
                      <w:r w:rsidR="00127F70">
                        <w:rPr>
                          <w:sz w:val="14"/>
                          <w:szCs w:val="14"/>
                        </w:rPr>
                        <w:t>angl. Workshop on M 16 Cooperation</w:t>
                      </w:r>
                      <w:r>
                        <w:rPr>
                          <w:sz w:val="14"/>
                          <w:szCs w:val="14"/>
                        </w:rPr>
                        <w:t>)</w:t>
                      </w:r>
                      <w:r>
                        <w:rPr>
                          <w:sz w:val="14"/>
                          <w:szCs w:val="14"/>
                          <w:vertAlign w:val="superscript"/>
                        </w:rPr>
                        <w:t>56</w:t>
                      </w:r>
                      <w:r>
                        <w:rPr>
                          <w:sz w:val="14"/>
                          <w:szCs w:val="14"/>
                        </w:rPr>
                        <w:t xml:space="preserve">. </w:t>
                      </w:r>
                    </w:p>
                  </w:txbxContent>
                </v:textbox>
                <w10:wrap type="square" anchory="page"/>
              </v:shape>
            </w:pict>
          </mc:Fallback>
        </mc:AlternateContent>
      </w:r>
      <w:r w:rsidR="00A45935">
        <w:rPr>
          <w:b/>
        </w:rPr>
        <w:t xml:space="preserve">Bendradarbiavimas siekiant geresnio aplinkosaugos valdymo ir </w:t>
      </w:r>
      <w:r w:rsidR="00A963F4">
        <w:rPr>
          <w:b/>
        </w:rPr>
        <w:t>aplinkosauginio</w:t>
      </w:r>
      <w:r w:rsidR="00A45935">
        <w:rPr>
          <w:b/>
        </w:rPr>
        <w:t xml:space="preserve"> veiksmingumo</w:t>
      </w:r>
      <w:r w:rsidR="00A45935">
        <w:t xml:space="preserve"> yra kitas 2-ojo BVK tikslas. bendradarbiavimo projektų taikymo sritis apima gamtinių išteklių (vandens, dirvožemio ir oro), biologinės įvairovės ir natūralios aplinkos apsaugą ir gerinimą, taip pat klimato kaitos švelninimo, prisitaikymo prie klimato kaitos priemones. Aplinkos valdymas kovojant su klimato kaita gali apimti veiksmus, susijusius su vandens ir energijos vartojimo efektyvumu ir taupymu.</w:t>
      </w:r>
    </w:p>
    <w:p w:rsidR="00A45935" w:rsidRPr="00A66638" w:rsidRDefault="00A66638" w:rsidP="00EF1B0F">
      <w:pPr>
        <w:pStyle w:val="Hlistbullet"/>
        <w:numPr>
          <w:ilvl w:val="0"/>
          <w:numId w:val="0"/>
        </w:numPr>
        <w:rPr>
          <w:color w:val="FFFFFF" w:themeColor="background1"/>
        </w:rPr>
      </w:pPr>
      <w:r>
        <w:rPr>
          <w:rStyle w:val="FootnoteReference"/>
          <w:color w:val="FFFFFF" w:themeColor="background1"/>
        </w:rPr>
        <w:footnoteReference w:id="54"/>
      </w:r>
      <w:r>
        <w:rPr>
          <w:color w:val="FFFFFF" w:themeColor="background1"/>
        </w:rPr>
        <w:t xml:space="preserve"> </w:t>
      </w:r>
      <w:r>
        <w:rPr>
          <w:rStyle w:val="FootnoteReference"/>
          <w:color w:val="FFFFFF" w:themeColor="background1"/>
        </w:rPr>
        <w:footnoteReference w:id="55"/>
      </w:r>
      <w:r>
        <w:rPr>
          <w:rStyle w:val="FootnoteReference"/>
          <w:color w:val="FFFFFF" w:themeColor="background1"/>
        </w:rPr>
        <w:footnoteReference w:id="56"/>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shd w:val="clear" w:color="auto" w:fill="FFFFFF"/>
        </w:rPr>
        <w:lastRenderedPageBreak/>
        <w:t xml:space="preserve">Konkretūs iššūkiai </w:t>
      </w:r>
    </w:p>
    <w:p w:rsidR="00A45935" w:rsidRPr="00183E9B" w:rsidRDefault="00A45935" w:rsidP="00AB16BB">
      <w:pPr>
        <w:pStyle w:val="Hlistbullet"/>
      </w:pPr>
      <w:r>
        <w:rPr>
          <w:b/>
          <w:shd w:val="clear" w:color="auto" w:fill="FFFFFF"/>
        </w:rPr>
        <w:t>Papildomų ir konkrečios programos vertinimo elementų parengimas</w:t>
      </w:r>
      <w:r>
        <w:rPr>
          <w:shd w:val="clear" w:color="auto" w:fill="FFFFFF"/>
        </w:rPr>
        <w:t xml:space="preserve">: </w:t>
      </w:r>
      <w:r>
        <w:rPr>
          <w:color w:val="545454"/>
          <w:shd w:val="clear" w:color="auto" w:fill="FFFFFF"/>
        </w:rPr>
        <w:t xml:space="preserve">2-asis BVK susijęs tik su vienu bendruoju tiksliniu rodikliu (T2:  </w:t>
      </w:r>
      <w:r>
        <w:t xml:space="preserve">bendras bendradarbiavimo veiksmų, remiamų pagal bendradarbiavimo priemonę, skaičius), </w:t>
      </w:r>
      <w:r>
        <w:rPr>
          <w:color w:val="545454"/>
          <w:shd w:val="clear" w:color="auto" w:fill="FFFFFF"/>
        </w:rPr>
        <w:t>kuris gali būti nepakankamas, kad būtų galima atsakyti į BVK.</w:t>
      </w:r>
    </w:p>
    <w:p w:rsidR="00A45935" w:rsidRPr="00183E9B" w:rsidRDefault="00A45935" w:rsidP="00AB16BB">
      <w:pPr>
        <w:pStyle w:val="Hlistbullet"/>
        <w:rPr>
          <w:rFonts w:eastAsia="Calibri"/>
          <w:shd w:val="clear" w:color="auto" w:fill="FFFFFF"/>
        </w:rPr>
      </w:pPr>
      <w:r>
        <w:rPr>
          <w:b/>
          <w:shd w:val="clear" w:color="auto" w:fill="FFFFFF"/>
        </w:rPr>
        <w:t xml:space="preserve">Pastebėtų pokyčių susiejimas </w:t>
      </w:r>
      <w:r>
        <w:rPr>
          <w:shd w:val="clear" w:color="auto" w:fill="FFFFFF"/>
        </w:rPr>
        <w:t>su žemės ūkio, miškininkystės ir mokslinių tyrimų bei inovacijų tarpusavio ryšiais. Tai pokyčiai, susiję su aplinkosaugos valdymu ir aplinkosauginiu veiksmingumu</w:t>
      </w:r>
      <w:r>
        <w:rPr>
          <w:b/>
          <w:shd w:val="clear" w:color="auto" w:fill="FFFFFF"/>
        </w:rPr>
        <w:t xml:space="preserve">, </w:t>
      </w:r>
      <w:r>
        <w:rPr>
          <w:shd w:val="clear" w:color="auto" w:fill="FFFFFF"/>
        </w:rPr>
        <w:t xml:space="preserve">su 16-ąja bendradarbiavimo priemone ir jos indėliu siekiant KPP tikslų. </w:t>
      </w:r>
    </w:p>
    <w:p w:rsidR="00A45935" w:rsidRPr="00183E9B" w:rsidRDefault="00A963F4" w:rsidP="00AB16BB">
      <w:pPr>
        <w:pStyle w:val="Hlistbullet"/>
        <w:rPr>
          <w:rFonts w:eastAsia="Calibri"/>
          <w:shd w:val="clear" w:color="auto" w:fill="FFFFFF"/>
        </w:rPr>
      </w:pPr>
      <w:r>
        <w:rPr>
          <w:b/>
          <w:shd w:val="clear" w:color="auto" w:fill="FFFFFF"/>
        </w:rPr>
        <w:t>Pagal kitas TS (ne pagal 1B TS) programuojamų priemonių</w:t>
      </w:r>
      <w:r>
        <w:rPr>
          <w:shd w:val="clear" w:color="auto" w:fill="FFFFFF"/>
        </w:rPr>
        <w:t xml:space="preserve"> (įskaitant 16-osios priemonės pagalbines priemones), skirtų žemės ūkio, maisto produktų gamybos bei miškininkystės ir mokslinių tyrimų bei inovacijų ryšiams stiprinti, visų pirma priemonių, susijusių su aplinkosaugos valdymu ir aplinkosauginiu veiksmingumu, </w:t>
      </w:r>
      <w:r>
        <w:rPr>
          <w:b/>
          <w:shd w:val="clear" w:color="auto" w:fill="FFFFFF"/>
        </w:rPr>
        <w:t>indėlio įvertinimas</w:t>
      </w:r>
      <w:r>
        <w:rPr>
          <w:shd w:val="clear" w:color="auto" w:fill="FFFFFF"/>
        </w:rP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Siūlomas atsakymo į 2-ąjį BVK metodas:</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Intervencinių veiksmų loginis pagrindas </w:t>
      </w:r>
    </w:p>
    <w:p w:rsidR="00A45935" w:rsidRPr="00E05D08" w:rsidRDefault="00A45935" w:rsidP="00E05D08">
      <w:pPr>
        <w:spacing w:after="120" w:line="280" w:lineRule="atLeast"/>
        <w:mirrorIndents/>
        <w:rPr>
          <w:rFonts w:eastAsia="Times New Roman" w:cs="Times New Roman"/>
          <w:szCs w:val="20"/>
        </w:rPr>
      </w:pPr>
      <w:r>
        <w:t xml:space="preserve">Toliau pateiktame pavyzdyje su 2-uoju BVK susijusį intervencinių veiksmų loginį pagrindą sudaro 16-osios priemonės pagalbinės priemonės, kaip suprogramuota pagal 1B TS arba pagal kitas TS, kuriomis prisidedama prie 1B TS tikslų. </w:t>
      </w:r>
    </w:p>
    <w:p w:rsidR="00A45935" w:rsidRPr="00E05D08" w:rsidRDefault="00A45935" w:rsidP="00E05D08">
      <w:pPr>
        <w:spacing w:after="120" w:line="280" w:lineRule="atLeast"/>
        <w:mirrorIndents/>
        <w:rPr>
          <w:rFonts w:eastAsia="Times New Roman" w:cs="Times New Roman"/>
          <w:szCs w:val="20"/>
        </w:rPr>
      </w:pPr>
      <w:r>
        <w:t xml:space="preserve">Galimas intervencinių veiksmų loginio pagrindo peržiūros pradžios taškas yra 16-osios priemonės pagalbinių priemonių inovacijų skatinimo potencialo, susijusio su inovacijų skatinimu trimis kryptimis, analizė. </w:t>
      </w:r>
    </w:p>
    <w:p w:rsidR="00A45935" w:rsidRPr="00BC5B1D" w:rsidRDefault="00BE1F31" w:rsidP="00B64A1B">
      <w:pPr>
        <w:pStyle w:val="HHeadingfigures"/>
        <w:tabs>
          <w:tab w:val="clear" w:pos="964"/>
        </w:tabs>
        <w:ind w:left="360"/>
      </w:pPr>
      <w:bookmarkStart w:id="112" w:name="_Toc508984040"/>
      <w:r>
        <w:t>Kiekvienos 16-osios priemonės pagalbinės priemonės inovacijų skatinimo potencialo pavyzdys</w:t>
      </w:r>
      <w:bookmarkEnd w:id="112"/>
    </w:p>
    <w:p w:rsidR="00A45935" w:rsidRPr="00E05D08" w:rsidRDefault="00E35525" w:rsidP="002C2C15">
      <w:pPr>
        <w:spacing w:after="120" w:line="280" w:lineRule="atLeast"/>
        <w:mirrorIndents/>
        <w:jc w:val="center"/>
        <w:rPr>
          <w:rFonts w:eastAsia="Times New Roman" w:cs="Times New Roman"/>
          <w:szCs w:val="20"/>
          <w:lang w:eastAsia="de-DE"/>
        </w:rPr>
      </w:pPr>
      <w:r w:rsidRPr="00E35525">
        <w:rPr>
          <w:noProof/>
          <w:lang w:val="en-GB" w:eastAsia="en-GB"/>
        </w:rPr>
        <w:drawing>
          <wp:inline distT="0" distB="0" distL="0" distR="0" wp14:anchorId="3CCAE1FB" wp14:editId="4E4C2B1B">
            <wp:extent cx="5731510" cy="3249034"/>
            <wp:effectExtent l="0" t="0" r="254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3249034"/>
                    </a:xfrm>
                    <a:prstGeom prst="rect">
                      <a:avLst/>
                    </a:prstGeom>
                  </pic:spPr>
                </pic:pic>
              </a:graphicData>
            </a:graphic>
          </wp:inline>
        </w:drawing>
      </w:r>
    </w:p>
    <w:p w:rsidR="00A45935" w:rsidRPr="00E05D08" w:rsidRDefault="00A45935" w:rsidP="00BD7227">
      <w:pPr>
        <w:suppressAutoHyphens/>
        <w:spacing w:before="60" w:after="140" w:line="240" w:lineRule="auto"/>
        <w:mirrorIndents/>
        <w:jc w:val="center"/>
        <w:rPr>
          <w:rFonts w:eastAsia="Times New Roman" w:cs="Times New Roman"/>
          <w:i/>
          <w:sz w:val="16"/>
          <w:szCs w:val="20"/>
        </w:rPr>
      </w:pPr>
      <w:r>
        <w:rPr>
          <w:i/>
          <w:sz w:val="16"/>
          <w:szCs w:val="20"/>
        </w:rPr>
        <w:t>Šaltinis: Europos kaimo plėtros vertinimo pagalbos tarnyba, 2017 m.</w:t>
      </w:r>
    </w:p>
    <w:p w:rsidR="00A45935" w:rsidRPr="00E05D08" w:rsidRDefault="00647766"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anchor distT="0" distB="0" distL="114300" distR="114300" simplePos="0" relativeHeight="251724800" behindDoc="0" locked="0" layoutInCell="1" allowOverlap="1" wp14:anchorId="0187B8F4" wp14:editId="6D4D0473">
                <wp:simplePos x="0" y="0"/>
                <wp:positionH relativeFrom="column">
                  <wp:posOffset>-46635</wp:posOffset>
                </wp:positionH>
                <wp:positionV relativeFrom="paragraph">
                  <wp:posOffset>813844</wp:posOffset>
                </wp:positionV>
                <wp:extent cx="5733415" cy="1921510"/>
                <wp:effectExtent l="0" t="0" r="19685" b="21590"/>
                <wp:wrapSquare wrapText="bothSides"/>
                <wp:docPr id="83" name="Rectangle: Diagonal Corners Rounded 83"/>
                <wp:cNvGraphicFramePr/>
                <a:graphic xmlns:a="http://schemas.openxmlformats.org/drawingml/2006/main">
                  <a:graphicData uri="http://schemas.microsoft.com/office/word/2010/wordprocessingShape">
                    <wps:wsp>
                      <wps:cNvSpPr/>
                      <wps:spPr>
                        <a:xfrm>
                          <a:off x="0" y="0"/>
                          <a:ext cx="5733415" cy="1921510"/>
                        </a:xfrm>
                        <a:prstGeom prst="round2DiagRect">
                          <a:avLst>
                            <a:gd name="adj1" fmla="val 11556"/>
                            <a:gd name="adj2" fmla="val 0"/>
                          </a:avLst>
                        </a:prstGeom>
                        <a:noFill/>
                        <a:ln w="25400" cap="flat" cmpd="sng" algn="ctr">
                          <a:solidFill>
                            <a:srgbClr val="F07E31"/>
                          </a:solidFill>
                          <a:prstDash val="solid"/>
                        </a:ln>
                        <a:effectLst/>
                      </wps:spPr>
                      <wps:txbx>
                        <w:txbxContent>
                          <w:p w:rsidR="001F67E3" w:rsidRPr="00A10ACC" w:rsidRDefault="001F67E3" w:rsidP="00E05D08">
                            <w:pPr>
                              <w:pStyle w:val="HStandard"/>
                              <w:rPr>
                                <w:sz w:val="18"/>
                              </w:rPr>
                            </w:pPr>
                            <w:r>
                              <w:rPr>
                                <w:noProof/>
                                <w:lang w:val="en-GB" w:eastAsia="en-GB"/>
                              </w:rPr>
                              <w:drawing>
                                <wp:inline distT="0" distB="0" distL="0" distR="0" wp14:anchorId="55C8DFA3" wp14:editId="16384EED">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Šiuo pavyzdžiu parodomas 16-osios priemonės pagalbinių priemonių inovacijų skatinimo potencialas (kuris gali būti programuojamas pagal bet kurią kaimo plėtros tikslinę sritį (TS), padedantis siekti 1B TS politikos tikslų. Nors visos dešimt 16-osios priemonės pagalbinių priemonių padeda stiprinti žemės ūkio, maisto produktų gamybos, miškininkystės, mokslinių tyrimų ir inovacijų tarpusavio ryšius, tik 5, 6, 8 ir 9-ąja pagalbinėmis priemonėmis sudaromos galimybės prisidėti prie šių ryšių stiprinimo aplinkosaugos valdymo ir aplinkosauginio veiksmingumo srityje. Kalbant apie tris inovacijų skatinimo kryptis, 1, 5, 6, 7 ir 8-oji pagalbinės priemonės padeda plėtoti novatoriškas idėjas (1 kryptis). 1-oji pagalbinė priemonė taip pat padeda skatinti gebėjimų stiprinimą ir palankios aplinkos kūrimą (2 ir 3 būdai).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7B8F4" id="Rectangle: Diagonal Corners Rounded 83" o:spid="_x0000_s1047" style="position:absolute;left:0;text-align:left;margin-left:-3.65pt;margin-top:64.1pt;width:451.45pt;height:151.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3415,1921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" adj="-11796480,,5400" path="m222050,l5733415,r,l5733415,1699460v,122635,-99415,222050,-222050,222050l,1921510r,l,222050c,99415,99415,,222050,xe" filled="f" strokecolor="#f07e31" strokeweight="2pt">
                <v:stroke joinstyle="miter"/>
                <v:formulas/>
                <v:path arrowok="t" o:connecttype="custom" o:connectlocs="222050,0;5733415,0;5733415,0;5733415,1699460;5511365,1921510;0,1921510;0,1921510;0,222050;222050,0" o:connectangles="0,0,0,0,0,0,0,0,0" textboxrect="0,0,5733415,1921510"/>
                <v:textbox>
                  <w:txbxContent>
                    <w:p w:rsidR="001F67E3" w:rsidRPr="00A10ACC" w:rsidRDefault="001F67E3" w:rsidP="00E05D08">
                      <w:pPr>
                        <w:pStyle w:val="HStandard"/>
                        <w:rPr>
                          <w:sz w:val="18"/>
                        </w:rPr>
                      </w:pPr>
                      <w:r>
                        <w:rPr>
                          <w:noProof/>
                          <w:lang w:val="en-GB" w:eastAsia="en-GB"/>
                        </w:rPr>
                        <w:drawing>
                          <wp:inline distT="0" distB="0" distL="0" distR="0" wp14:anchorId="55C8DFA3" wp14:editId="16384EED">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Šiuo pavyzdžiu parodomas 16-osios priemonės pagalbinių priemonių inovacijų skatinimo potencialas (kuris gali būti programuojamas pagal bet kurią kaimo plėtros tikslinę sritį (TS), padedantis siekti 1B TS politikos tikslų. Nors visos dešimt 16-osios priemonės pagalbinių priemonių padeda stiprinti žemės ūkio, maisto produktų gamybos, miškininkystės, mokslinių tyrimų ir inovacijų tarpusavio ryšius, tik 5, 6, 8 ir 9-ąja pagalbinėmis priemonėmis sudaromos galimybės prisidėti prie šių ryšių stiprinimo aplinkosaugos valdymo ir aplinkosauginio veiksmingumo srityje. Kalbant apie tris inovacijų skatinimo kryptis, 1, 5, 6, 7 ir 8-oji pagalbinės priemonės padeda plėtoti novatoriškas idėjas (1 kryptis). 1-oji pagalbinė priemonė taip pat padeda skatinti gebėjimų stiprinimą ir palankios aplinkos kūrimą (2 ir 3 būdai).</w:t>
                      </w:r>
                    </w:p>
                  </w:txbxContent>
                </v:textbox>
                <w10:wrap type="square"/>
              </v:shape>
            </w:pict>
          </mc:Fallback>
        </mc:AlternateContent>
      </w:r>
      <w:r>
        <w:t>Be to, visos 16-osios priemonės pagalbinės priemonės, numatytos pagal kitas nei 1B TS, turėtų būti įtrauktos vertinant, ar buvo įgyvendinti su inovacijomis susiję 2-ojo BVK aspektai. Pavyzdžiui, jei 16.1 pagalbinė priemonė programuojama pagal 2A TS, vertinant 2-ąjį BVK galima atsižvelgti į tai, kaip ja prisidedama prie ūkininkų, tyrėjų ir inovacijų srities konsultantų tarpusavio ryšių nustatymo.</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Vertinimo elementai </w:t>
      </w:r>
    </w:p>
    <w:p w:rsidR="00A45935" w:rsidRDefault="00734B11" w:rsidP="00E05D08">
      <w:pPr>
        <w:spacing w:after="120" w:line="280" w:lineRule="atLeast"/>
        <w:mirrorIndents/>
      </w:pPr>
      <w:r>
        <w:t>Bendrieji 2-ojo BVK vertinimo kriterijai ir rodikliai išlieka pagal bendradarbiavimo priemonę remiamų veiksmų produkto lygmenyje. Gali prireikti parengti papildomus vertinimo kriterijus ir rodiklius, kad būtų galima įvertinti šių priemonių rezultatus. Toliau lentelėje pateikti atsakant į 2-ąjį BVK taikomi vertinimo kriterijai, rodikliai ir duomenų reikalavimai.</w:t>
      </w:r>
    </w:p>
    <w:p w:rsidR="00767A42" w:rsidRPr="00E05D08" w:rsidRDefault="00767A42" w:rsidP="00E05D08">
      <w:pPr>
        <w:spacing w:after="120" w:line="280" w:lineRule="atLeast"/>
        <w:mirrorIndents/>
        <w:rPr>
          <w:rFonts w:eastAsia="Times New Roman" w:cs="Times New Roman"/>
          <w:szCs w:val="20"/>
        </w:rPr>
        <w:sectPr w:rsidR="00767A42" w:rsidRPr="00E05D08" w:rsidSect="00055039">
          <w:endnotePr>
            <w:numFmt w:val="decimal"/>
          </w:endnotePr>
          <w:type w:val="continuous"/>
          <w:pgSz w:w="11906" w:h="16838" w:code="9"/>
          <w:pgMar w:top="1134" w:right="1440" w:bottom="1440" w:left="1440" w:header="567" w:footer="1021" w:gutter="0"/>
          <w:cols w:space="708"/>
          <w:noEndnote/>
          <w:docGrid w:linePitch="360"/>
        </w:sectPr>
      </w:pPr>
    </w:p>
    <w:p w:rsidR="00A45935" w:rsidRPr="009A2DAD" w:rsidRDefault="00A45935" w:rsidP="009A2DAD">
      <w:pPr>
        <w:pStyle w:val="HHeadingtables"/>
        <w:rPr>
          <w:color w:val="6F6F6F"/>
          <w:sz w:val="18"/>
          <w:szCs w:val="18"/>
        </w:rPr>
      </w:pPr>
      <w:bookmarkStart w:id="113" w:name="_Toc508979907"/>
      <w:r>
        <w:rPr>
          <w:color w:val="6F6F6F"/>
          <w:sz w:val="18"/>
          <w:szCs w:val="18"/>
        </w:rPr>
        <w:lastRenderedPageBreak/>
        <w:t>Vertinimo kriterijai, rodikliai ir duomenų poreikis bei šaltiniai</w:t>
      </w:r>
      <w:bookmarkEnd w:id="113"/>
    </w:p>
    <w:tbl>
      <w:tblPr>
        <w:tblStyle w:val="TableGrid"/>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E05D08" w:rsidTr="00E05D08">
        <w:trPr>
          <w:tblHeader/>
        </w:trPr>
        <w:tc>
          <w:tcPr>
            <w:tcW w:w="3578" w:type="dxa"/>
            <w:shd w:val="clear" w:color="auto" w:fill="F07E31"/>
          </w:tcPr>
          <w:p w:rsidR="00A45935" w:rsidRPr="00E05D08" w:rsidRDefault="00A45935" w:rsidP="00E05D08">
            <w:pPr>
              <w:spacing w:after="120" w:line="280" w:lineRule="atLeast"/>
              <w:ind w:left="29" w:right="110"/>
              <w:mirrorIndents/>
              <w:jc w:val="center"/>
              <w:rPr>
                <w:rFonts w:cs="Arial"/>
                <w:b/>
                <w:color w:val="FFFFFF"/>
                <w:sz w:val="18"/>
                <w:szCs w:val="18"/>
              </w:rPr>
            </w:pPr>
            <w:r>
              <w:rPr>
                <w:b/>
                <w:color w:val="FFFFFF"/>
                <w:sz w:val="18"/>
                <w:szCs w:val="18"/>
              </w:rPr>
              <w:t>Vertinimo kriterijai</w:t>
            </w:r>
          </w:p>
        </w:tc>
        <w:tc>
          <w:tcPr>
            <w:tcW w:w="3578" w:type="dxa"/>
            <w:shd w:val="clear" w:color="auto" w:fill="F07E31"/>
          </w:tcPr>
          <w:p w:rsidR="00A45935" w:rsidRPr="00E05D08" w:rsidRDefault="00A45935" w:rsidP="00E05D08">
            <w:pPr>
              <w:spacing w:after="120" w:line="280" w:lineRule="atLeast"/>
              <w:ind w:left="75" w:right="61"/>
              <w:mirrorIndents/>
              <w:jc w:val="center"/>
              <w:rPr>
                <w:rFonts w:cs="Arial"/>
                <w:b/>
                <w:color w:val="FFFFFF"/>
                <w:sz w:val="18"/>
                <w:szCs w:val="18"/>
              </w:rPr>
            </w:pPr>
            <w:r>
              <w:rPr>
                <w:b/>
                <w:color w:val="FFFFFF"/>
                <w:sz w:val="18"/>
                <w:szCs w:val="18"/>
              </w:rPr>
              <w:t>Rodikliai</w:t>
            </w:r>
          </w:p>
        </w:tc>
        <w:tc>
          <w:tcPr>
            <w:tcW w:w="3578" w:type="dxa"/>
            <w:shd w:val="clear" w:color="auto" w:fill="F07E31"/>
          </w:tcPr>
          <w:p w:rsidR="00A45935" w:rsidRPr="00E05D08" w:rsidRDefault="00A45935" w:rsidP="00E05D08">
            <w:pPr>
              <w:spacing w:after="120" w:line="280" w:lineRule="atLeast"/>
              <w:ind w:left="11" w:right="12"/>
              <w:mirrorIndents/>
              <w:jc w:val="center"/>
              <w:rPr>
                <w:rFonts w:cs="Arial"/>
                <w:b/>
                <w:color w:val="FFFFFF"/>
                <w:sz w:val="18"/>
                <w:szCs w:val="18"/>
              </w:rPr>
            </w:pPr>
            <w:r>
              <w:rPr>
                <w:b/>
                <w:color w:val="FFFFFF"/>
                <w:sz w:val="18"/>
                <w:szCs w:val="18"/>
              </w:rPr>
              <w:t>Duomenų poreikis</w:t>
            </w:r>
          </w:p>
        </w:tc>
        <w:tc>
          <w:tcPr>
            <w:tcW w:w="3578" w:type="dxa"/>
            <w:shd w:val="clear" w:color="auto" w:fill="F07E31"/>
          </w:tcPr>
          <w:p w:rsidR="00A45935" w:rsidRPr="00E05D08" w:rsidRDefault="00A45935" w:rsidP="00E05D08">
            <w:pPr>
              <w:spacing w:after="120" w:line="280" w:lineRule="atLeast"/>
              <w:ind w:left="355" w:right="31"/>
              <w:mirrorIndents/>
              <w:jc w:val="center"/>
              <w:rPr>
                <w:rFonts w:cs="Arial"/>
                <w:b/>
                <w:color w:val="FFFFFF"/>
                <w:sz w:val="18"/>
                <w:szCs w:val="18"/>
              </w:rPr>
            </w:pPr>
            <w:r>
              <w:rPr>
                <w:b/>
                <w:color w:val="FFFFFF"/>
                <w:sz w:val="18"/>
                <w:szCs w:val="18"/>
              </w:rPr>
              <w:t>Duomenų šaltiniai</w:t>
            </w:r>
          </w:p>
        </w:tc>
      </w:tr>
      <w:tr w:rsidR="00A45935" w:rsidRPr="00E05D08" w:rsidTr="00406C98">
        <w:tc>
          <w:tcPr>
            <w:tcW w:w="14312" w:type="dxa"/>
            <w:gridSpan w:val="4"/>
            <w:tcBorders>
              <w:bottom w:val="single" w:sz="4" w:space="0" w:color="808080"/>
            </w:tcBorders>
            <w:shd w:val="clear" w:color="auto" w:fill="8BAB80"/>
          </w:tcPr>
          <w:p w:rsidR="00A45935" w:rsidRPr="005474FA" w:rsidRDefault="00A45935" w:rsidP="00E05D08">
            <w:pPr>
              <w:spacing w:after="120" w:line="280" w:lineRule="atLeast"/>
              <w:ind w:left="355" w:right="31"/>
              <w:mirrorIndents/>
              <w:rPr>
                <w:rFonts w:cs="Arial"/>
                <w:b/>
                <w:color w:val="FFFFFF"/>
                <w:sz w:val="18"/>
                <w:szCs w:val="18"/>
              </w:rPr>
            </w:pPr>
            <w:r>
              <w:rPr>
                <w:b/>
                <w:color w:val="FFFFFF"/>
                <w:sz w:val="18"/>
                <w:szCs w:val="18"/>
              </w:rPr>
              <w:t>Bendrieji vertinimo elementai (BSVS ir darbiniame dokumente „2014–2020 m. bendrieji vertinimo klausimai“ pateikti siūlomi elementai)</w:t>
            </w:r>
          </w:p>
        </w:tc>
      </w:tr>
      <w:tr w:rsidR="00A45935" w:rsidRPr="00E05D08" w:rsidTr="00406C98">
        <w:tc>
          <w:tcPr>
            <w:tcW w:w="3578" w:type="dxa"/>
            <w:tcBorders>
              <w:bottom w:val="nil"/>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Užmegzti ilgalaikiai žemės ūkio, maisto produktų gamybos ir miškininkystės subjektų ir mokslinių tyrimų bei inovacijų institucijų partnerystės ryšiai</w:t>
            </w:r>
          </w:p>
        </w:tc>
        <w:tc>
          <w:tcPr>
            <w:tcW w:w="3578" w:type="dxa"/>
            <w:tcBorders>
              <w:bottom w:val="nil"/>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T2: bendras bendradarbiavimo veiksmų, remiamų taikant bendradarbiavimo priemonę, skaičius (Reglamento (ES) Nr. 1305/2013 35 straipsnis) (grupės, tinklai / klasteriai, bandomieji projektai)</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Papildomas rodiklis:</w:t>
            </w:r>
            <w:r>
              <w:rPr>
                <w:color w:val="57825E"/>
                <w:sz w:val="18"/>
                <w:szCs w:val="18"/>
              </w:rPr>
              <w:t xml:space="preserve"> bendradarbiavimo projektuose dalyvaujančių partnerių skaičius ir jų rūšys, įskaitant jų funkcijas ir atsakomybę</w:t>
            </w:r>
          </w:p>
        </w:tc>
        <w:tc>
          <w:tcPr>
            <w:tcW w:w="3578" w:type="dxa"/>
            <w:tcBorders>
              <w:bottom w:val="nil"/>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EIP veiksmų skaičius (O.16 duomenų elementas)</w:t>
            </w:r>
          </w:p>
          <w:p w:rsidR="00A45935" w:rsidRPr="00385368" w:rsidRDefault="00A45935" w:rsidP="007E63EF">
            <w:pPr>
              <w:spacing w:after="120" w:line="280" w:lineRule="atLeast"/>
              <w:ind w:left="11" w:right="12"/>
              <w:mirrorIndents/>
              <w:jc w:val="left"/>
              <w:rPr>
                <w:rFonts w:cs="Arial"/>
                <w:sz w:val="18"/>
                <w:szCs w:val="18"/>
              </w:rPr>
            </w:pPr>
            <w:r>
              <w:rPr>
                <w:sz w:val="18"/>
                <w:szCs w:val="18"/>
              </w:rPr>
              <w:t>Kitų bendradarbiavimo veiksmų skaičius (grupės, tinklai / klasteriai, bandomieji projektai), kurie bus remiami pagal 16-ąją priemonę „Bendradarbiavimas“ (O.17 duomenų elementas)</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Dalyvaujančių partnerių rūšys ir skaičius </w:t>
            </w:r>
          </w:p>
        </w:tc>
        <w:tc>
          <w:tcPr>
            <w:tcW w:w="3578" w:type="dxa"/>
            <w:tcBorders>
              <w:bottom w:val="nil"/>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KPP stebėsenos sistema</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Paramos gavėjų paraiškų formos (projekto pradžia)</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Paramos gavėjų mokėjimo prašymai (projekto pabaiga)</w:t>
            </w:r>
          </w:p>
        </w:tc>
      </w:tr>
      <w:tr w:rsidR="00A45935" w:rsidRPr="00E05D08" w:rsidTr="005520BA">
        <w:tc>
          <w:tcPr>
            <w:tcW w:w="3578" w:type="dxa"/>
            <w:tcBorders>
              <w:top w:val="nil"/>
              <w:bottom w:val="single" w:sz="4" w:space="0" w:color="808080"/>
            </w:tcBorders>
          </w:tcPr>
          <w:p w:rsidR="00A45935" w:rsidRPr="00A963F4" w:rsidRDefault="00A45935" w:rsidP="007E63EF">
            <w:pPr>
              <w:spacing w:after="120" w:line="280" w:lineRule="atLeast"/>
              <w:ind w:left="29" w:right="110"/>
              <w:mirrorIndents/>
              <w:jc w:val="left"/>
              <w:rPr>
                <w:rFonts w:cs="Arial"/>
                <w:sz w:val="18"/>
                <w:szCs w:val="18"/>
              </w:rPr>
            </w:pPr>
          </w:p>
        </w:tc>
        <w:tc>
          <w:tcPr>
            <w:tcW w:w="3578" w:type="dxa"/>
            <w:tcBorders>
              <w:top w:val="nil"/>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Veiksmų, kuriems skirta parama, skaičius</w:t>
            </w:r>
          </w:p>
        </w:tc>
        <w:tc>
          <w:tcPr>
            <w:tcW w:w="3578" w:type="dxa"/>
            <w:tcBorders>
              <w:top w:val="nil"/>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Visas veiksmų, kuriems skirta parama, skaičius</w:t>
            </w:r>
          </w:p>
          <w:p w:rsidR="00A45935" w:rsidRPr="00385368" w:rsidRDefault="00A45935" w:rsidP="007E63EF">
            <w:pPr>
              <w:spacing w:after="120" w:line="280" w:lineRule="atLeast"/>
              <w:ind w:left="11" w:right="12"/>
              <w:mirrorIndents/>
              <w:jc w:val="left"/>
              <w:rPr>
                <w:rFonts w:cs="Arial"/>
                <w:sz w:val="18"/>
                <w:szCs w:val="18"/>
              </w:rPr>
            </w:pPr>
            <w:r>
              <w:rPr>
                <w:sz w:val="18"/>
                <w:szCs w:val="18"/>
              </w:rPr>
              <w:t>Bendradarbiavimo veiksmų, kuriems skirta parama, skaičius (O.16+O.17)</w:t>
            </w:r>
          </w:p>
        </w:tc>
        <w:tc>
          <w:tcPr>
            <w:tcW w:w="3578" w:type="dxa"/>
            <w:tcBorders>
              <w:top w:val="nil"/>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 xml:space="preserve">KPP stebėsenos sistema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Paramos gavėjų paraiškų formos (projekto pradžia)</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Paramos gavėjų mokėjimo prašymai (projekto pabaiga)</w:t>
            </w:r>
          </w:p>
        </w:tc>
      </w:tr>
      <w:tr w:rsidR="00A45935" w:rsidRPr="00E05D08" w:rsidTr="005520BA">
        <w:trPr>
          <w:trHeight w:val="1003"/>
        </w:trPr>
        <w:tc>
          <w:tcPr>
            <w:tcW w:w="3578" w:type="dxa"/>
            <w:tcBorders>
              <w:bottom w:val="single" w:sz="4" w:space="0" w:color="808080"/>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Įgyvendinti bendradarbiavimo veiksmai  žemės ūkio, maisto produktų gamybos, miškininkystės, mokslinių tyrimų ir inovacijų srityse siekiant užtikrinti geresnį aplinkosaugos valdymą ir aplinkosauginį veiksmingumą.</w:t>
            </w:r>
          </w:p>
        </w:tc>
        <w:tc>
          <w:tcPr>
            <w:tcW w:w="3578" w:type="dxa"/>
            <w:tcBorders>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T2: bendras bendradarbiavimo veiksmų, remiamų taikant bendradarbiavimo priemonę, skaičius (Reglamento (ES) Nr. 1305/2013 35 straipsnis) (grupės, tinklai / klasteriai, bandomieji projektai) </w:t>
            </w:r>
          </w:p>
          <w:p w:rsidR="00A45935" w:rsidRPr="00385368" w:rsidRDefault="00A45935" w:rsidP="007E63EF">
            <w:pPr>
              <w:spacing w:after="120" w:line="280" w:lineRule="atLeast"/>
              <w:ind w:left="75" w:right="61"/>
              <w:mirrorIndents/>
              <w:jc w:val="left"/>
              <w:rPr>
                <w:rFonts w:cs="Arial"/>
                <w:color w:val="57825E"/>
                <w:sz w:val="18"/>
                <w:szCs w:val="18"/>
              </w:rPr>
            </w:pPr>
            <w:r>
              <w:rPr>
                <w:color w:val="57825E"/>
                <w:sz w:val="18"/>
                <w:szCs w:val="18"/>
                <w:u w:val="single"/>
              </w:rPr>
              <w:t>Papildomas rodiklis:</w:t>
            </w:r>
            <w:r>
              <w:rPr>
                <w:color w:val="57825E"/>
                <w:sz w:val="18"/>
                <w:szCs w:val="18"/>
              </w:rPr>
              <w:t xml:space="preserve"> bendradarbiavimo veiksmų, kurie vykdomi nutraukus paramą pagal KPP, įskaitant veiksmus siekiant užtikrinti geresnį aplinkosaugos </w:t>
            </w:r>
            <w:r>
              <w:rPr>
                <w:color w:val="57825E"/>
                <w:sz w:val="18"/>
                <w:szCs w:val="18"/>
              </w:rPr>
              <w:lastRenderedPageBreak/>
              <w:t>valdymą ir aplinkosauginį veiksmingumą, procentinė dalis</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Papildomas rodiklis:</w:t>
            </w:r>
            <w:r>
              <w:rPr>
                <w:color w:val="57825E"/>
                <w:sz w:val="18"/>
                <w:szCs w:val="18"/>
              </w:rPr>
              <w:t xml:space="preserve"> bendradarbiavimo projektuose dalyvaujančių partnerių skaičius ir jų rūšys, įskaitant jų funkcijas ir atsakomybę</w:t>
            </w:r>
          </w:p>
        </w:tc>
        <w:tc>
          <w:tcPr>
            <w:tcW w:w="3578" w:type="dxa"/>
            <w:tcBorders>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lastRenderedPageBreak/>
              <w:t>EIP veiksmų, skirtų geresniam aplinkosaugos valdymui ir aplinkosauginiam veiksmingumui užtikrinti, skaičius (O.16 duomenų elementas)</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Kitų bendradarbiavimo veiksmų, skirtų geresniam aplinkosaugos valdymui ir aplinkosauginiam veiksmingumui užtikrinti, skaičius (grupės, tinklai / klasteriai, bandomieji projektai), kurie bus remiami pagal 16-ąją priemonę </w:t>
            </w:r>
            <w:r>
              <w:rPr>
                <w:sz w:val="18"/>
                <w:szCs w:val="18"/>
              </w:rPr>
              <w:lastRenderedPageBreak/>
              <w:t>„Bendradarbiavimas“ (O.17 duomenų elementas).</w:t>
            </w:r>
          </w:p>
          <w:p w:rsidR="00A45935" w:rsidRPr="00385368" w:rsidRDefault="00A45935" w:rsidP="007E63EF">
            <w:pPr>
              <w:spacing w:after="120" w:line="280" w:lineRule="atLeast"/>
              <w:ind w:left="11" w:right="12"/>
              <w:mirrorIndents/>
              <w:jc w:val="left"/>
              <w:rPr>
                <w:rFonts w:cs="Arial"/>
                <w:sz w:val="18"/>
                <w:szCs w:val="18"/>
              </w:rPr>
            </w:pPr>
            <w:r>
              <w:rPr>
                <w:sz w:val="18"/>
                <w:szCs w:val="18"/>
              </w:rPr>
              <w:t>Dalyvaujančių partnerių rūšys ir skaičius</w:t>
            </w:r>
          </w:p>
        </w:tc>
        <w:tc>
          <w:tcPr>
            <w:tcW w:w="3578" w:type="dxa"/>
            <w:tcBorders>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lastRenderedPageBreak/>
              <w:t xml:space="preserve">KPP stebėsenos sistema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Paramos gavėjų paraiškų formos (projekto pradžia)</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Paramos gavėjų mokėjimo prašymai (projekto pabaiga)</w:t>
            </w:r>
          </w:p>
        </w:tc>
      </w:tr>
      <w:tr w:rsidR="00A45935" w:rsidRPr="00E05D08" w:rsidTr="005520BA">
        <w:tc>
          <w:tcPr>
            <w:tcW w:w="3578" w:type="dxa"/>
            <w:tcBorders>
              <w:top w:val="single" w:sz="4" w:space="0" w:color="808080"/>
            </w:tcBorders>
          </w:tcPr>
          <w:p w:rsidR="00A45935" w:rsidRPr="00A963F4" w:rsidRDefault="00A45935" w:rsidP="00E05D08">
            <w:pPr>
              <w:spacing w:after="120" w:line="280" w:lineRule="atLeast"/>
              <w:ind w:left="29" w:right="110"/>
              <w:mirrorIndents/>
              <w:rPr>
                <w:rFonts w:cs="Arial"/>
                <w:sz w:val="18"/>
                <w:szCs w:val="18"/>
              </w:rPr>
            </w:pPr>
          </w:p>
        </w:tc>
        <w:tc>
          <w:tcPr>
            <w:tcW w:w="3578" w:type="dxa"/>
            <w:tcBorders>
              <w:top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Veiksmų, kuriems skirta parama, skaičius</w:t>
            </w:r>
          </w:p>
        </w:tc>
        <w:tc>
          <w:tcPr>
            <w:tcW w:w="3578" w:type="dxa"/>
            <w:tcBorders>
              <w:top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Visas veiksmų, kuriems skirta parama, skaičius</w:t>
            </w:r>
          </w:p>
          <w:p w:rsidR="00A45935" w:rsidRPr="00385368" w:rsidRDefault="00A45935" w:rsidP="007E63EF">
            <w:pPr>
              <w:spacing w:after="120" w:line="280" w:lineRule="atLeast"/>
              <w:ind w:left="11" w:right="12"/>
              <w:mirrorIndents/>
              <w:jc w:val="left"/>
              <w:rPr>
                <w:rFonts w:cs="Arial"/>
                <w:sz w:val="18"/>
                <w:szCs w:val="18"/>
              </w:rPr>
            </w:pPr>
            <w:r>
              <w:rPr>
                <w:sz w:val="18"/>
                <w:szCs w:val="18"/>
              </w:rPr>
              <w:t>Bendradarbiavimo veiksmų, kuriems skirta parama, skaičius (O.16+O.17)</w:t>
            </w:r>
          </w:p>
        </w:tc>
        <w:tc>
          <w:tcPr>
            <w:tcW w:w="3578" w:type="dxa"/>
            <w:tcBorders>
              <w:top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KPP stebėsenos sistema</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Paramos gavėjų paraiškų formos (projekto pradžia)</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Paramos gavėjų mokėjimo prašymai (projekto pabaiga)</w:t>
            </w:r>
          </w:p>
        </w:tc>
      </w:tr>
      <w:tr w:rsidR="00A45935" w:rsidRPr="00E05D08" w:rsidTr="00E05D08">
        <w:tc>
          <w:tcPr>
            <w:tcW w:w="14312" w:type="dxa"/>
            <w:gridSpan w:val="4"/>
            <w:shd w:val="clear" w:color="auto" w:fill="8BAB80"/>
          </w:tcPr>
          <w:p w:rsidR="00A45935" w:rsidRPr="00E05D08" w:rsidRDefault="00A45935" w:rsidP="00E05D08">
            <w:pPr>
              <w:spacing w:after="120" w:line="280" w:lineRule="atLeast"/>
              <w:ind w:left="355" w:right="31"/>
              <w:mirrorIndents/>
              <w:rPr>
                <w:rFonts w:cs="Arial"/>
                <w:b/>
                <w:color w:val="FFFFFF"/>
                <w:sz w:val="18"/>
                <w:szCs w:val="18"/>
              </w:rPr>
            </w:pPr>
            <w:r>
              <w:rPr>
                <w:b/>
                <w:color w:val="FFFFFF"/>
                <w:sz w:val="18"/>
                <w:szCs w:val="18"/>
              </w:rPr>
              <w:t>Papildomi vertinimo elementai (neprivaloma)</w:t>
            </w:r>
          </w:p>
        </w:tc>
      </w:tr>
      <w:tr w:rsidR="00A45935" w:rsidRPr="00E05D08" w:rsidTr="00E05D08">
        <w:tc>
          <w:tcPr>
            <w:tcW w:w="3578" w:type="dxa"/>
          </w:tcPr>
          <w:p w:rsidR="00A45935" w:rsidRPr="00385368" w:rsidRDefault="00A45935" w:rsidP="007E63EF">
            <w:pPr>
              <w:spacing w:after="120" w:line="280" w:lineRule="atLeast"/>
              <w:ind w:left="29" w:right="110"/>
              <w:mirrorIndents/>
              <w:jc w:val="left"/>
              <w:rPr>
                <w:rFonts w:cs="Arial"/>
                <w:sz w:val="18"/>
                <w:szCs w:val="18"/>
              </w:rPr>
            </w:pPr>
            <w:r>
              <w:rPr>
                <w:sz w:val="18"/>
                <w:szCs w:val="18"/>
              </w:rPr>
              <w:t>Bendradarbiavimo projektais pagerintas gebėjimas diegti inovacijas, įskaitant ir aplinkosaugos valdymo ir aplinkosauginio veiksmingumo srityje</w:t>
            </w:r>
          </w:p>
        </w:tc>
        <w:tc>
          <w:tcPr>
            <w:tcW w:w="3578" w:type="dxa"/>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Bendradarbiavimo projektais sukurtų inovacijų skaičius ir rūšys, įskaitant projektus, skirtus aplinkosaugos valdymui ir aplinkosauginiam veiksmingumui pagerinti </w:t>
            </w:r>
          </w:p>
        </w:tc>
        <w:tc>
          <w:tcPr>
            <w:tcW w:w="3578" w:type="dxa"/>
          </w:tcPr>
          <w:p w:rsidR="00A45935" w:rsidRPr="00385368" w:rsidRDefault="00A45935" w:rsidP="007E63EF">
            <w:pPr>
              <w:spacing w:after="120" w:line="280" w:lineRule="atLeast"/>
              <w:ind w:left="11" w:right="12"/>
              <w:mirrorIndents/>
              <w:jc w:val="left"/>
              <w:rPr>
                <w:rFonts w:cs="Arial"/>
                <w:sz w:val="18"/>
                <w:szCs w:val="18"/>
              </w:rPr>
            </w:pPr>
            <w:r>
              <w:rPr>
                <w:sz w:val="18"/>
                <w:szCs w:val="18"/>
              </w:rPr>
              <w:t>Sukurtų inovacijų skaičius</w:t>
            </w:r>
          </w:p>
          <w:p w:rsidR="00A45935" w:rsidRPr="00385368" w:rsidRDefault="00A45935" w:rsidP="007E63EF">
            <w:pPr>
              <w:spacing w:after="120" w:line="280" w:lineRule="atLeast"/>
              <w:ind w:left="11" w:right="12"/>
              <w:mirrorIndents/>
              <w:jc w:val="left"/>
              <w:rPr>
                <w:rFonts w:cs="Arial"/>
                <w:sz w:val="18"/>
                <w:szCs w:val="18"/>
              </w:rPr>
            </w:pPr>
            <w:r>
              <w:rPr>
                <w:sz w:val="18"/>
                <w:szCs w:val="18"/>
              </w:rPr>
              <w:t>Inovacijų, skirtų aplinkosaugos valdymui ir aplinkosauginiam veiksmingumui pagerinti, skaičius</w:t>
            </w:r>
          </w:p>
        </w:tc>
        <w:tc>
          <w:tcPr>
            <w:tcW w:w="3578" w:type="dxa"/>
          </w:tcPr>
          <w:p w:rsidR="00A45935" w:rsidRPr="00385368" w:rsidRDefault="00A45935" w:rsidP="007E63EF">
            <w:pPr>
              <w:spacing w:after="120" w:line="280" w:lineRule="atLeast"/>
              <w:ind w:right="31"/>
              <w:mirrorIndents/>
              <w:jc w:val="left"/>
              <w:rPr>
                <w:rFonts w:cs="Arial"/>
                <w:sz w:val="18"/>
                <w:szCs w:val="18"/>
              </w:rPr>
            </w:pPr>
            <w:r>
              <w:rPr>
                <w:sz w:val="18"/>
                <w:szCs w:val="18"/>
              </w:rPr>
              <w:t>Apklausos</w:t>
            </w:r>
          </w:p>
          <w:p w:rsidR="00A45935" w:rsidRPr="00385368" w:rsidRDefault="00A45935" w:rsidP="007E63EF">
            <w:pPr>
              <w:spacing w:after="120" w:line="280" w:lineRule="atLeast"/>
              <w:ind w:right="31"/>
              <w:mirrorIndents/>
              <w:jc w:val="left"/>
              <w:rPr>
                <w:rFonts w:cs="Arial"/>
                <w:sz w:val="18"/>
                <w:szCs w:val="18"/>
              </w:rPr>
            </w:pPr>
            <w:r>
              <w:rPr>
                <w:sz w:val="18"/>
                <w:szCs w:val="18"/>
              </w:rPr>
              <w:t>Pokalbiai ir tikslinės grupės su bendradarbiavimo projektuose dalyvaujančiais subjektais</w:t>
            </w:r>
          </w:p>
          <w:p w:rsidR="00A45935" w:rsidRPr="00E05D08" w:rsidRDefault="00A45935" w:rsidP="007E63EF">
            <w:pPr>
              <w:spacing w:after="120" w:line="280" w:lineRule="atLeast"/>
              <w:ind w:right="31"/>
              <w:mirrorIndents/>
              <w:jc w:val="left"/>
              <w:rPr>
                <w:rFonts w:cs="Arial"/>
                <w:sz w:val="18"/>
                <w:szCs w:val="18"/>
              </w:rPr>
            </w:pPr>
            <w:r>
              <w:rPr>
                <w:sz w:val="18"/>
                <w:szCs w:val="18"/>
              </w:rPr>
              <w:t>GIS</w:t>
            </w:r>
          </w:p>
        </w:tc>
      </w:tr>
    </w:tbl>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lastRenderedPageBreak/>
        <w:t xml:space="preserve">Siūloma vertinimo metodika </w:t>
      </w:r>
    </w:p>
    <w:p w:rsidR="00A45935" w:rsidRPr="00E05D08" w:rsidRDefault="00A45935" w:rsidP="00E05D08">
      <w:pPr>
        <w:spacing w:after="120" w:line="280" w:lineRule="atLeast"/>
        <w:mirrorIndents/>
        <w:rPr>
          <w:rFonts w:eastAsia="Times New Roman" w:cs="Times New Roman"/>
          <w:color w:val="F07E31"/>
          <w:szCs w:val="20"/>
          <w:u w:val="single"/>
        </w:rPr>
      </w:pPr>
      <w:r>
        <w:t>Bendrųjų su 2-uoju BVK susijusių rodiklių apskaičiavimo būdas aprašytas gairių „</w:t>
      </w:r>
      <w:hyperlink r:id="rId52" w:history="1">
        <w:r>
          <w:rPr>
            <w:color w:val="F07E31"/>
            <w:szCs w:val="20"/>
            <w:u w:val="single"/>
          </w:rPr>
          <w:t>KPP rezultatų vertinimas:</w:t>
        </w:r>
      </w:hyperlink>
      <w:hyperlink r:id="rId53" w:history="1">
        <w:r>
          <w:rPr>
            <w:color w:val="F07E31"/>
            <w:szCs w:val="20"/>
            <w:u w:val="single"/>
          </w:rPr>
          <w:t xml:space="preserve"> kaip pasirengti teikti vertinimo ataskaitas 2017 m. </w:t>
        </w:r>
      </w:hyperlink>
      <w:r>
        <w:t>“ 11 priede.</w:t>
      </w:r>
    </w:p>
    <w:p w:rsidR="00A45935" w:rsidRPr="00E05D08" w:rsidRDefault="00A45935" w:rsidP="00E05D08">
      <w:pPr>
        <w:spacing w:after="120" w:line="280" w:lineRule="atLeast"/>
        <w:mirrorIndents/>
        <w:rPr>
          <w:rFonts w:eastAsia="Times New Roman" w:cs="Times New Roman"/>
          <w:szCs w:val="20"/>
        </w:rPr>
      </w:pPr>
      <w:r>
        <w:t>Siekiant įvertinti 2-ojo BVK dalį, susijusią su inovacijomis, siūloma:</w:t>
      </w:r>
    </w:p>
    <w:p w:rsidR="00A45935" w:rsidRPr="008F1F04" w:rsidRDefault="00A45935" w:rsidP="00547012">
      <w:pPr>
        <w:pStyle w:val="Hlistbullet"/>
      </w:pPr>
      <w:r>
        <w:rPr>
          <w:b/>
        </w:rPr>
        <w:t>1 ETAPAS. Nustatyti 16-osios priemonės</w:t>
      </w:r>
      <w:r>
        <w:t xml:space="preserve"> ir jos pagalbinių priemonių </w:t>
      </w:r>
      <w:r>
        <w:rPr>
          <w:b/>
        </w:rPr>
        <w:t>paramos gavėjus</w:t>
      </w:r>
      <w:r>
        <w:t xml:space="preserve">, kurių įgyvendinti veiksmai buvo įvertinti, kaip novatoriški), vadovaujantis paramos gavėjų inovacijų skatinimo potencialo nustatymo rezultatais; </w:t>
      </w:r>
    </w:p>
    <w:p w:rsidR="00A45935" w:rsidRPr="008F1F04" w:rsidRDefault="00A45935" w:rsidP="00547012">
      <w:pPr>
        <w:pStyle w:val="Hlistbullet"/>
      </w:pPr>
      <w:r>
        <w:rPr>
          <w:b/>
        </w:rPr>
        <w:t xml:space="preserve">2 ETAPAS. Kiekybiškai įvertinti produkto ir tikslinius rodiklius </w:t>
      </w:r>
      <w:r>
        <w:t xml:space="preserve">remiantis KPP veiksmų duomenų bazėje apie veiklos grupių turimus stebėsenos duomenimis. Vadovaujančiosios institucijos, siekdamos pasinaudoti veiksmų duomenų baze inovacijoms vertinti, gali papildyti ir rinkti su veiklos grupėmis susijusius duomenų elementus; </w:t>
      </w:r>
    </w:p>
    <w:p w:rsidR="00A45935" w:rsidRPr="008F1F04" w:rsidRDefault="00A45935" w:rsidP="00547012">
      <w:pPr>
        <w:pStyle w:val="Hlistbullet"/>
      </w:pPr>
      <w:r>
        <w:rPr>
          <w:b/>
        </w:rPr>
        <w:t>3 ETAPAS. Rinkti duomenis, kurių reikia siekiant atsakyti į BVK</w:t>
      </w:r>
      <w:r>
        <w:t>, taikant nurodytus metodus. Suformuluokite atvirus klausimus, skirtus toliau lentelėje pateiktiems metodams (apklausoms, tikslinėms grupėms ir Delfi metodui) taikyti, vadovaudamiesi siūlomais vertinimo kriterijais ir rodikliais, taip pat inovacijų skatinimo potencialo nustatymo rezultatais;</w:t>
      </w:r>
    </w:p>
    <w:p w:rsidR="00A45935" w:rsidRPr="008F1F04" w:rsidRDefault="00A45935" w:rsidP="00547012">
      <w:pPr>
        <w:pStyle w:val="Hlistbullet"/>
      </w:pPr>
      <w:r>
        <w:rPr>
          <w:b/>
        </w:rPr>
        <w:t>4 ETAPAS. Analizuoti ir aiškinti surinktus duomenis</w:t>
      </w:r>
      <w:r>
        <w:t xml:space="preserve"> ir juos panaudoti atsakant į 2-ąjį BVK, atsižvelgiant į su inovacijomis susijusių ryšių stiprinimo siekį.</w:t>
      </w:r>
    </w:p>
    <w:p w:rsidR="00A45935" w:rsidRPr="00897804" w:rsidRDefault="00A45935" w:rsidP="00897804">
      <w:pPr>
        <w:pStyle w:val="HHeadingtables"/>
        <w:rPr>
          <w:color w:val="6F6F6F"/>
          <w:sz w:val="18"/>
          <w:szCs w:val="18"/>
        </w:rPr>
      </w:pPr>
      <w:bookmarkStart w:id="114" w:name="_Toc508979908"/>
      <w:r>
        <w:rPr>
          <w:color w:val="6F6F6F"/>
          <w:sz w:val="18"/>
          <w:szCs w:val="18"/>
        </w:rPr>
        <w:t>Metodai, kuriuos rekomenduojama taikyti atsakant į 2-ąjį BVK</w:t>
      </w:r>
      <w:bookmarkEnd w:id="114"/>
      <w:r>
        <w:rPr>
          <w:color w:val="6F6F6F"/>
          <w:sz w:val="18"/>
          <w:szCs w:val="18"/>
        </w:rPr>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1"/>
      </w:tblGrid>
      <w:tr w:rsidR="00A45935" w:rsidRPr="00E05D08" w:rsidTr="00E05D08">
        <w:tc>
          <w:tcPr>
            <w:tcW w:w="2405"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Metodai</w:t>
            </w:r>
          </w:p>
        </w:tc>
        <w:tc>
          <w:tcPr>
            <w:tcW w:w="6612"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Patarimai, kaip taikyti šiuos metodus</w:t>
            </w:r>
          </w:p>
        </w:tc>
      </w:tr>
      <w:tr w:rsidR="00A45935" w:rsidRPr="00E05D08" w:rsidTr="00E05D08">
        <w:tc>
          <w:tcPr>
            <w:tcW w:w="2405" w:type="dxa"/>
          </w:tcPr>
          <w:p w:rsidR="00A45935" w:rsidRPr="00385368" w:rsidRDefault="00A45935" w:rsidP="000E0FE4">
            <w:pPr>
              <w:spacing w:after="120" w:line="280" w:lineRule="atLeast"/>
              <w:ind w:left="22" w:right="91"/>
              <w:mirrorIndents/>
              <w:jc w:val="left"/>
              <w:rPr>
                <w:sz w:val="18"/>
                <w:szCs w:val="18"/>
              </w:rPr>
            </w:pPr>
            <w:r>
              <w:rPr>
                <w:sz w:val="18"/>
                <w:szCs w:val="18"/>
              </w:rPr>
              <w:t>Bendradarbiavimo projektuose dalyvaujančių subjektų ir paramos gavėjų apklausos</w:t>
            </w:r>
          </w:p>
        </w:tc>
        <w:tc>
          <w:tcPr>
            <w:tcW w:w="6612" w:type="dxa"/>
          </w:tcPr>
          <w:p w:rsidR="00A45935" w:rsidRPr="00385368" w:rsidRDefault="00A45935" w:rsidP="008C0B17">
            <w:pPr>
              <w:numPr>
                <w:ilvl w:val="0"/>
                <w:numId w:val="21"/>
              </w:numPr>
              <w:spacing w:before="60" w:after="120" w:line="280" w:lineRule="atLeast"/>
              <w:ind w:left="459"/>
              <w:rPr>
                <w:sz w:val="18"/>
                <w:szCs w:val="18"/>
              </w:rPr>
            </w:pPr>
            <w:r>
              <w:rPr>
                <w:sz w:val="18"/>
                <w:szCs w:val="18"/>
              </w:rPr>
              <w:t>Atrinkite bendradarbiavimo projektų imtį (pvz., pagal sektorių, VG dydį, geografinę padėtį ir pan.), kad per apklausą iš paramos gavėjų būtų galima surinkti su rodikliais susijusius duomenis ir informaciją.</w:t>
            </w:r>
          </w:p>
          <w:p w:rsidR="00A45935" w:rsidRPr="00385368" w:rsidRDefault="00A45935" w:rsidP="008C0B17">
            <w:pPr>
              <w:numPr>
                <w:ilvl w:val="0"/>
                <w:numId w:val="21"/>
              </w:numPr>
              <w:spacing w:before="60" w:after="120" w:line="280" w:lineRule="atLeast"/>
              <w:ind w:left="459"/>
              <w:rPr>
                <w:sz w:val="18"/>
                <w:szCs w:val="18"/>
              </w:rPr>
            </w:pPr>
            <w:r>
              <w:rPr>
                <w:sz w:val="18"/>
                <w:szCs w:val="18"/>
              </w:rPr>
              <w:t xml:space="preserve">Pasirinkite, </w:t>
            </w:r>
            <w:r>
              <w:rPr>
                <w:i/>
                <w:sz w:val="18"/>
                <w:szCs w:val="18"/>
              </w:rPr>
              <w:t>inter alia</w:t>
            </w:r>
            <w:r>
              <w:rPr>
                <w:sz w:val="18"/>
                <w:szCs w:val="18"/>
              </w:rPr>
              <w:t>, bendradarbiavimo projektus, kurie gali turėti įtakos aplinkosaugos valdymui ir aplinkosauginiam veiksmingumui (pvz., 5, 6, 8 ir 9-oji pagalbinės priemonės arba šios srities veiksmų grupės – 16.1 priemonė).</w:t>
            </w:r>
          </w:p>
          <w:p w:rsidR="00A45935" w:rsidRPr="00385368" w:rsidRDefault="00A45935" w:rsidP="008C0B17">
            <w:pPr>
              <w:numPr>
                <w:ilvl w:val="0"/>
                <w:numId w:val="21"/>
              </w:numPr>
              <w:spacing w:before="60" w:after="120" w:line="280" w:lineRule="atLeast"/>
              <w:ind w:left="459"/>
              <w:rPr>
                <w:sz w:val="18"/>
                <w:szCs w:val="18"/>
              </w:rPr>
            </w:pPr>
            <w:r>
              <w:rPr>
                <w:sz w:val="18"/>
                <w:szCs w:val="18"/>
              </w:rPr>
              <w:t>Renkite apklausas įtraukdami atvirus klausimus, kaip bendradarbiavimo projektai padeda remti: a) keitimąsi novatoriškomis idėjomis, b) gebėjimo diegti inovacijas stiprinimą, c) palankios inovacijoms aplinkos kūrimą.</w:t>
            </w:r>
          </w:p>
          <w:p w:rsidR="00A45935" w:rsidRPr="00385368" w:rsidRDefault="00A45935" w:rsidP="008C0B17">
            <w:pPr>
              <w:numPr>
                <w:ilvl w:val="0"/>
                <w:numId w:val="21"/>
              </w:numPr>
              <w:spacing w:before="60" w:after="120" w:line="280" w:lineRule="atLeast"/>
              <w:ind w:left="459"/>
            </w:pPr>
            <w:r>
              <w:rPr>
                <w:sz w:val="18"/>
                <w:szCs w:val="18"/>
              </w:rPr>
              <w:t>Pasinaudokite apklausų rezultatais, kad galėtumėte įvertinti, kaip skirtingomis bendradarbiavimo projektų rūšimis (įvairių subjektų, klasterių bei tinklų ir veiklos grupių tarpusavio bendradarbiavimu) prisidedama prie glaudesnių mokslinių tyrimų / inovacijų ir praktikos ryšių.</w:t>
            </w:r>
          </w:p>
        </w:tc>
      </w:tr>
      <w:tr w:rsidR="00A45935" w:rsidRPr="00E05D08" w:rsidTr="00E05D08">
        <w:tc>
          <w:tcPr>
            <w:tcW w:w="2405" w:type="dxa"/>
          </w:tcPr>
          <w:p w:rsidR="00A45935" w:rsidRPr="00E05D08" w:rsidRDefault="00A45935" w:rsidP="000E0FE4">
            <w:pPr>
              <w:spacing w:after="120" w:line="280" w:lineRule="atLeast"/>
              <w:ind w:left="22" w:right="143"/>
              <w:mirrorIndents/>
              <w:jc w:val="left"/>
              <w:rPr>
                <w:sz w:val="18"/>
                <w:szCs w:val="18"/>
              </w:rPr>
            </w:pPr>
            <w:r>
              <w:rPr>
                <w:sz w:val="18"/>
                <w:szCs w:val="18"/>
              </w:rPr>
              <w:t>Struktūrizuotos tikslinės grupės</w:t>
            </w:r>
          </w:p>
        </w:tc>
        <w:tc>
          <w:tcPr>
            <w:tcW w:w="6612" w:type="dxa"/>
          </w:tcPr>
          <w:p w:rsidR="00A45935" w:rsidRPr="00385368" w:rsidRDefault="00A45935" w:rsidP="008C0B17">
            <w:pPr>
              <w:numPr>
                <w:ilvl w:val="0"/>
                <w:numId w:val="22"/>
              </w:numPr>
              <w:spacing w:before="60" w:after="120" w:line="280" w:lineRule="atLeast"/>
              <w:ind w:left="459"/>
              <w:rPr>
                <w:sz w:val="18"/>
                <w:szCs w:val="18"/>
              </w:rPr>
            </w:pPr>
            <w:r>
              <w:rPr>
                <w:sz w:val="18"/>
                <w:szCs w:val="18"/>
              </w:rPr>
              <w:t>Surenkite inovacijų srities subjektų (pvz., paramos inovacijoms paslaugų teikėjų, konsultantų, veikiančių kaip inovacijų tarpininkai, tyrėjų ir inovacijų centrų ir kt.) tikslinių grupių diskusijas.</w:t>
            </w:r>
          </w:p>
          <w:p w:rsidR="00A45935" w:rsidRPr="00385368" w:rsidRDefault="00A45935" w:rsidP="008C0B17">
            <w:pPr>
              <w:numPr>
                <w:ilvl w:val="0"/>
                <w:numId w:val="22"/>
              </w:numPr>
              <w:spacing w:before="60" w:after="120" w:line="280" w:lineRule="atLeast"/>
              <w:ind w:left="459"/>
              <w:rPr>
                <w:sz w:val="18"/>
                <w:szCs w:val="18"/>
              </w:rPr>
            </w:pPr>
            <w:r>
              <w:rPr>
                <w:sz w:val="18"/>
                <w:szCs w:val="18"/>
              </w:rPr>
              <w:t>Išnagrinėkite, kaip suinteresuotųjų subjektų tarpusavio ryšiai daro įtaką gebėjimui diegti inovacijas ir palankios inovacijoms aplinkos kūrimui.</w:t>
            </w:r>
          </w:p>
          <w:p w:rsidR="00A45935" w:rsidRPr="00385368" w:rsidRDefault="00A45935" w:rsidP="008C0B17">
            <w:pPr>
              <w:numPr>
                <w:ilvl w:val="0"/>
                <w:numId w:val="22"/>
              </w:numPr>
              <w:spacing w:before="60" w:after="120" w:line="280" w:lineRule="atLeast"/>
              <w:ind w:left="459"/>
              <w:rPr>
                <w:sz w:val="18"/>
                <w:szCs w:val="18"/>
              </w:rPr>
            </w:pPr>
            <w:r>
              <w:rPr>
                <w:sz w:val="18"/>
                <w:szCs w:val="18"/>
              </w:rPr>
              <w:t>Apsvarstykite galimybę pasirinkti temines tikslines grupes (pvz., tikslinę bendradarbiavimo projektų grupę, kuri sprendžia aplinkosaugos klausimus, kitą tikslinę grupę, skirtą EIP veiklos grupėms ir kt.).</w:t>
            </w:r>
          </w:p>
        </w:tc>
      </w:tr>
      <w:tr w:rsidR="00A45935" w:rsidRPr="00E05D08" w:rsidTr="00E05D08">
        <w:tc>
          <w:tcPr>
            <w:tcW w:w="2405" w:type="dxa"/>
          </w:tcPr>
          <w:p w:rsidR="00A45935" w:rsidRPr="00E05D08" w:rsidRDefault="00A45935" w:rsidP="000E0FE4">
            <w:pPr>
              <w:spacing w:after="120" w:line="280" w:lineRule="atLeast"/>
              <w:ind w:right="143"/>
              <w:mirrorIndents/>
              <w:jc w:val="left"/>
              <w:rPr>
                <w:sz w:val="18"/>
                <w:szCs w:val="18"/>
              </w:rPr>
            </w:pPr>
            <w:r>
              <w:rPr>
                <w:sz w:val="18"/>
                <w:szCs w:val="18"/>
              </w:rPr>
              <w:t>Delfi metodas</w:t>
            </w:r>
          </w:p>
        </w:tc>
        <w:tc>
          <w:tcPr>
            <w:tcW w:w="6612" w:type="dxa"/>
          </w:tcPr>
          <w:p w:rsidR="00A45935" w:rsidRPr="00385368" w:rsidRDefault="0050721E" w:rsidP="008C0B17">
            <w:pPr>
              <w:numPr>
                <w:ilvl w:val="0"/>
                <w:numId w:val="23"/>
              </w:numPr>
              <w:spacing w:before="60" w:after="120" w:line="280" w:lineRule="atLeast"/>
              <w:ind w:left="459"/>
              <w:rPr>
                <w:sz w:val="18"/>
                <w:szCs w:val="18"/>
              </w:rPr>
            </w:pPr>
            <w:r>
              <w:rPr>
                <w:sz w:val="18"/>
                <w:szCs w:val="18"/>
              </w:rPr>
              <w:t xml:space="preserve">Organizuokite Delfi procesą kartu su inovacijų srities ekspertais (pvz., su bendradarbiavimo projektuose dalyvaujančiais ekspertais, taip pat su </w:t>
            </w:r>
            <w:r>
              <w:rPr>
                <w:sz w:val="18"/>
                <w:szCs w:val="18"/>
              </w:rPr>
              <w:lastRenderedPageBreak/>
              <w:t>akademinės bendruomenės atstovais ir kt.), kad galėtumėte įvertinti atitinkamus kriterijus.</w:t>
            </w:r>
          </w:p>
        </w:tc>
      </w:tr>
    </w:tbl>
    <w:p w:rsidR="00A45935" w:rsidRPr="00E05D08" w:rsidRDefault="00A45935" w:rsidP="00E05D08">
      <w:pPr>
        <w:spacing w:after="0" w:line="240" w:lineRule="auto"/>
        <w:rPr>
          <w:rFonts w:eastAsia="Times New Roman" w:cs="Times New Roman"/>
          <w:sz w:val="18"/>
          <w:szCs w:val="24"/>
        </w:rPr>
      </w:pP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inline distT="0" distB="0" distL="0" distR="0" wp14:anchorId="7C36E865" wp14:editId="23284F1A">
                <wp:extent cx="5707380" cy="4015409"/>
                <wp:effectExtent l="0" t="0" r="26670" b="23495"/>
                <wp:docPr id="26" name="Rectangle: Diagonal Corners Rounded 26"/>
                <wp:cNvGraphicFramePr/>
                <a:graphic xmlns:a="http://schemas.openxmlformats.org/drawingml/2006/main">
                  <a:graphicData uri="http://schemas.microsoft.com/office/word/2010/wordprocessingShape">
                    <wps:wsp>
                      <wps:cNvSpPr/>
                      <wps:spPr>
                        <a:xfrm>
                          <a:off x="0" y="0"/>
                          <a:ext cx="5707380" cy="4015409"/>
                        </a:xfrm>
                        <a:prstGeom prst="round2DiagRect">
                          <a:avLst>
                            <a:gd name="adj1" fmla="val 7299"/>
                            <a:gd name="adj2" fmla="val 0"/>
                          </a:avLst>
                        </a:prstGeom>
                        <a:noFill/>
                        <a:ln w="25400" cap="flat" cmpd="sng" algn="ctr">
                          <a:solidFill>
                            <a:srgbClr val="F07E31"/>
                          </a:solidFill>
                          <a:prstDash val="solid"/>
                        </a:ln>
                        <a:effectLst/>
                      </wps:spPr>
                      <wps:txbx>
                        <w:txbxContent>
                          <w:p w:rsidR="001F67E3" w:rsidRPr="001954EB" w:rsidRDefault="001F67E3" w:rsidP="00E05D08">
                            <w:pPr>
                              <w:pStyle w:val="HStandard"/>
                              <w:rPr>
                                <w:b/>
                                <w:color w:val="F07E31"/>
                                <w:sz w:val="18"/>
                                <w:szCs w:val="18"/>
                              </w:rPr>
                            </w:pPr>
                            <w:r>
                              <w:rPr>
                                <w:noProof/>
                                <w:sz w:val="18"/>
                                <w:szCs w:val="18"/>
                                <w:lang w:val="en-GB" w:eastAsia="en-GB"/>
                              </w:rPr>
                              <w:drawing>
                                <wp:inline distT="0" distB="0" distL="0" distR="0" wp14:anchorId="0938A45B" wp14:editId="5D05EAC2">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Pavyzdžiai iš 2017 m. pateiktų MĮA</w:t>
                            </w:r>
                          </w:p>
                          <w:p w:rsidR="001F67E3" w:rsidRPr="00547012" w:rsidRDefault="001F67E3" w:rsidP="00E05D08">
                            <w:pPr>
                              <w:rPr>
                                <w:rFonts w:cs="Arial"/>
                                <w:sz w:val="18"/>
                                <w:szCs w:val="18"/>
                              </w:rPr>
                            </w:pPr>
                            <w:r>
                              <w:rPr>
                                <w:b/>
                                <w:sz w:val="18"/>
                                <w:szCs w:val="18"/>
                              </w:rPr>
                              <w:t>Meklenburgas-Pomeranija (DE) –</w:t>
                            </w:r>
                            <w:r>
                              <w:rPr>
                                <w:sz w:val="18"/>
                                <w:szCs w:val="18"/>
                              </w:rPr>
                              <w:t xml:space="preserve"> naudojami trys su inovacijomis susiję vertinimo kriterijai:</w:t>
                            </w:r>
                          </w:p>
                          <w:p w:rsidR="001F67E3" w:rsidRPr="001954EB" w:rsidRDefault="001F67E3" w:rsidP="008C0B17">
                            <w:pPr>
                              <w:numPr>
                                <w:ilvl w:val="0"/>
                                <w:numId w:val="57"/>
                              </w:numPr>
                              <w:rPr>
                                <w:rFonts w:cs="Arial"/>
                                <w:sz w:val="18"/>
                                <w:szCs w:val="18"/>
                              </w:rPr>
                            </w:pPr>
                            <w:r>
                              <w:rPr>
                                <w:sz w:val="18"/>
                                <w:szCs w:val="18"/>
                              </w:rPr>
                              <w:t xml:space="preserve">KPP remiami procesai yra novatoriški ir pagrįsti gautomis žiniomis, </w:t>
                            </w:r>
                          </w:p>
                          <w:p w:rsidR="001F67E3" w:rsidRPr="001954EB" w:rsidRDefault="001F67E3" w:rsidP="008C0B17">
                            <w:pPr>
                              <w:numPr>
                                <w:ilvl w:val="0"/>
                                <w:numId w:val="57"/>
                              </w:numPr>
                              <w:rPr>
                                <w:rFonts w:cs="Arial"/>
                                <w:sz w:val="18"/>
                                <w:szCs w:val="18"/>
                              </w:rPr>
                            </w:pPr>
                            <w:r>
                              <w:rPr>
                                <w:sz w:val="18"/>
                                <w:szCs w:val="18"/>
                              </w:rPr>
                              <w:t>novatoriški veiksmai įgyvendinami ir informacija apie juos skleidžiama per veiklos grupes,</w:t>
                            </w:r>
                          </w:p>
                          <w:p w:rsidR="001F67E3" w:rsidRPr="001954EB" w:rsidRDefault="001F67E3" w:rsidP="008C0B17">
                            <w:pPr>
                              <w:numPr>
                                <w:ilvl w:val="0"/>
                                <w:numId w:val="57"/>
                              </w:numPr>
                              <w:rPr>
                                <w:rFonts w:cs="Arial"/>
                                <w:sz w:val="18"/>
                                <w:szCs w:val="18"/>
                              </w:rPr>
                            </w:pPr>
                            <w:r>
                              <w:rPr>
                                <w:sz w:val="18"/>
                                <w:szCs w:val="18"/>
                              </w:rPr>
                              <w:t>gauti rezultatai leidžia pagerinti dalyvaujančių partnerių padėtį rinkoje taikant inovacijas.</w:t>
                            </w:r>
                          </w:p>
                          <w:p w:rsidR="001F67E3" w:rsidRPr="00547012" w:rsidRDefault="001F67E3" w:rsidP="00E05D08">
                            <w:pPr>
                              <w:rPr>
                                <w:rFonts w:cs="Arial"/>
                                <w:sz w:val="18"/>
                                <w:szCs w:val="18"/>
                              </w:rPr>
                            </w:pPr>
                            <w:r>
                              <w:rPr>
                                <w:sz w:val="18"/>
                                <w:szCs w:val="18"/>
                              </w:rPr>
                              <w:t>Siekiant surinkti informaciją iš EIP veiklos grupių taikoma keletas metodų. Jie apima skirtingas inovacijų aspektus ir taikomi siekiant įvertinti veiklos grupių kokybę ir poveikį:</w:t>
                            </w:r>
                          </w:p>
                          <w:p w:rsidR="001F67E3" w:rsidRPr="001954EB" w:rsidRDefault="001F67E3" w:rsidP="008C0B17">
                            <w:pPr>
                              <w:numPr>
                                <w:ilvl w:val="0"/>
                                <w:numId w:val="58"/>
                              </w:numPr>
                              <w:rPr>
                                <w:rFonts w:cs="Arial"/>
                                <w:sz w:val="18"/>
                                <w:szCs w:val="18"/>
                              </w:rPr>
                            </w:pPr>
                            <w:r>
                              <w:rPr>
                                <w:sz w:val="18"/>
                                <w:szCs w:val="18"/>
                              </w:rPr>
                              <w:t>pradinė analizė (pagrindinių sąlygų įvertinimas, pokalbiai su subjektais ir kt.);</w:t>
                            </w:r>
                          </w:p>
                          <w:p w:rsidR="001F67E3" w:rsidRPr="001954EB" w:rsidRDefault="001F67E3" w:rsidP="008C0B17">
                            <w:pPr>
                              <w:numPr>
                                <w:ilvl w:val="0"/>
                                <w:numId w:val="58"/>
                              </w:numPr>
                              <w:rPr>
                                <w:rFonts w:cs="Arial"/>
                                <w:sz w:val="18"/>
                                <w:szCs w:val="18"/>
                              </w:rPr>
                            </w:pPr>
                            <w:r>
                              <w:rPr>
                                <w:sz w:val="18"/>
                                <w:szCs w:val="18"/>
                              </w:rPr>
                              <w:t xml:space="preserve">inovacijų ypatybių ir rūšių įvertinimas taikant atrankos kriterijų analizę ir atvejų tyrimus; </w:t>
                            </w:r>
                          </w:p>
                          <w:p w:rsidR="001F67E3" w:rsidRPr="001954EB" w:rsidRDefault="001F67E3" w:rsidP="008C0B17">
                            <w:pPr>
                              <w:numPr>
                                <w:ilvl w:val="0"/>
                                <w:numId w:val="58"/>
                              </w:numPr>
                              <w:rPr>
                                <w:rFonts w:cs="Arial"/>
                                <w:sz w:val="18"/>
                                <w:szCs w:val="18"/>
                              </w:rPr>
                            </w:pPr>
                            <w:r>
                              <w:rPr>
                                <w:sz w:val="18"/>
                                <w:szCs w:val="18"/>
                              </w:rPr>
                              <w:t>gautų rezultatų analizė ir jų sklaida (veiklos grupių apklausos ir  savarankiškas vertinimas).</w:t>
                            </w:r>
                          </w:p>
                          <w:p w:rsidR="001F67E3" w:rsidRPr="00547012" w:rsidRDefault="001F67E3" w:rsidP="00E05D08">
                            <w:pPr>
                              <w:rPr>
                                <w:rFonts w:cs="Arial"/>
                                <w:sz w:val="18"/>
                                <w:szCs w:val="18"/>
                              </w:rPr>
                            </w:pPr>
                            <w:r>
                              <w:rPr>
                                <w:sz w:val="18"/>
                                <w:szCs w:val="18"/>
                              </w:rPr>
                              <w:t xml:space="preserve">Duomenys apie informacijos šaltinius apima stebėsenos duomenis, paraiškų formas, projektų dokumentaciją, per apklausas surinktus pirminius statistinius duomenis, iš įvairių šaltinių gautus antrinius statistinius duomenis. </w:t>
                            </w:r>
                          </w:p>
                          <w:p w:rsidR="001F67E3" w:rsidRPr="00547012" w:rsidRDefault="001F67E3" w:rsidP="00E05D08">
                            <w:pPr>
                              <w:rPr>
                                <w:rFonts w:cs="Arial"/>
                                <w:sz w:val="18"/>
                                <w:szCs w:val="18"/>
                              </w:rPr>
                            </w:pPr>
                            <w:r>
                              <w:rPr>
                                <w:sz w:val="18"/>
                                <w:szCs w:val="18"/>
                              </w:rPr>
                              <w:t xml:space="preserve">Paramos gavėjų (EIP veiklos grupių) apklausa atliekama prieš intervencinį veiksmą ir po jo. </w:t>
                            </w:r>
                          </w:p>
                          <w:p w:rsidR="001F67E3" w:rsidRPr="001954EB" w:rsidRDefault="001F67E3" w:rsidP="00E05D08">
                            <w:pPr>
                              <w:pStyle w:val="HStandard"/>
                              <w:rPr>
                                <w:sz w:val="18"/>
                                <w:szCs w:val="18"/>
                              </w:rPr>
                            </w:pPr>
                            <w:r>
                              <w:rPr>
                                <w:b/>
                                <w:sz w:val="18"/>
                                <w:szCs w:val="18"/>
                              </w:rPr>
                              <w:t xml:space="preserve">Čekijos Respublika – </w:t>
                            </w:r>
                            <w:r>
                              <w:rPr>
                                <w:sz w:val="18"/>
                                <w:szCs w:val="18"/>
                              </w:rPr>
                              <w:t>siūloma taikyti atvejo tyrimu grindžiamą metodą siekiant surinkti informaciją iš veiklos grupių ir su inovacijomis susijusių bendradarbiavimo projektų duomenis.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36E865" id="Rectangle: Diagonal Corners Rounded 26" o:spid="_x0000_s1048" style="width:449.4pt;height:316.15pt;visibility:visible;mso-wrap-style:square;mso-left-percent:-10001;mso-top-percent:-10001;mso-position-horizontal:absolute;mso-position-horizontal-relative:char;mso-position-vertical:absolute;mso-position-vertical-relative:line;mso-left-percent:-10001;mso-top-percent:-10001;v-text-anchor:middle" coordsize="5707380,40154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" adj="-11796480,,5400" path="m293085,l5707380,r,l5707380,3722324v,161866,-131219,293085,-293085,293085l,4015409r,l,293085c,131219,131219,,293085,xe" filled="f" strokecolor="#f07e31" strokeweight="2pt">
                <v:stroke joinstyle="miter"/>
                <v:formulas/>
                <v:path arrowok="t" o:connecttype="custom" o:connectlocs="293085,0;5707380,0;5707380,0;5707380,3722324;5414295,4015409;0,4015409;0,4015409;0,293085;293085,0" o:connectangles="0,0,0,0,0,0,0,0,0" textboxrect="0,0,5707380,4015409"/>
                <v:textbox>
                  <w:txbxContent>
                    <w:p w:rsidR="001F67E3" w:rsidRPr="001954EB" w:rsidRDefault="001F67E3" w:rsidP="00E05D08">
                      <w:pPr>
                        <w:pStyle w:val="HStandard"/>
                        <w:rPr>
                          <w:b/>
                          <w:color w:val="F07E31"/>
                          <w:sz w:val="18"/>
                          <w:szCs w:val="18"/>
                        </w:rPr>
                      </w:pPr>
                      <w:r>
                        <w:rPr>
                          <w:noProof/>
                          <w:sz w:val="18"/>
                          <w:szCs w:val="18"/>
                          <w:lang w:val="en-GB" w:eastAsia="en-GB"/>
                        </w:rPr>
                        <w:drawing>
                          <wp:inline distT="0" distB="0" distL="0" distR="0" wp14:anchorId="0938A45B" wp14:editId="5D05EAC2">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Pavyzdžiai iš 2017 m. pateiktų MĮA</w:t>
                      </w:r>
                    </w:p>
                    <w:p w:rsidR="001F67E3" w:rsidRPr="00547012" w:rsidRDefault="001F67E3" w:rsidP="00E05D08">
                      <w:pPr>
                        <w:rPr>
                          <w:rFonts w:cs="Arial"/>
                          <w:sz w:val="18"/>
                          <w:szCs w:val="18"/>
                        </w:rPr>
                      </w:pPr>
                      <w:r>
                        <w:rPr>
                          <w:b/>
                          <w:sz w:val="18"/>
                          <w:szCs w:val="18"/>
                        </w:rPr>
                        <w:t>Meklenburgas-Pomeranija (DE) –</w:t>
                      </w:r>
                      <w:r>
                        <w:rPr>
                          <w:sz w:val="18"/>
                          <w:szCs w:val="18"/>
                        </w:rPr>
                        <w:t xml:space="preserve"> naudojami trys su inovacijomis susiję vertinimo kriterijai:</w:t>
                      </w:r>
                    </w:p>
                    <w:p w:rsidR="001F67E3" w:rsidRPr="001954EB" w:rsidRDefault="001F67E3" w:rsidP="008C0B17">
                      <w:pPr>
                        <w:numPr>
                          <w:ilvl w:val="0"/>
                          <w:numId w:val="57"/>
                        </w:numPr>
                        <w:rPr>
                          <w:rFonts w:cs="Arial"/>
                          <w:sz w:val="18"/>
                          <w:szCs w:val="18"/>
                        </w:rPr>
                      </w:pPr>
                      <w:r>
                        <w:rPr>
                          <w:sz w:val="18"/>
                          <w:szCs w:val="18"/>
                        </w:rPr>
                        <w:t xml:space="preserve">KPP remiami procesai yra novatoriški ir pagrįsti gautomis žiniomis, </w:t>
                      </w:r>
                    </w:p>
                    <w:p w:rsidR="001F67E3" w:rsidRPr="001954EB" w:rsidRDefault="001F67E3" w:rsidP="008C0B17">
                      <w:pPr>
                        <w:numPr>
                          <w:ilvl w:val="0"/>
                          <w:numId w:val="57"/>
                        </w:numPr>
                        <w:rPr>
                          <w:rFonts w:cs="Arial"/>
                          <w:sz w:val="18"/>
                          <w:szCs w:val="18"/>
                        </w:rPr>
                      </w:pPr>
                      <w:r>
                        <w:rPr>
                          <w:sz w:val="18"/>
                          <w:szCs w:val="18"/>
                        </w:rPr>
                        <w:t>novatoriški veiksmai įgyvendinami ir informacija apie juos skleidžiama per veiklos grupes,</w:t>
                      </w:r>
                    </w:p>
                    <w:p w:rsidR="001F67E3" w:rsidRPr="001954EB" w:rsidRDefault="001F67E3" w:rsidP="008C0B17">
                      <w:pPr>
                        <w:numPr>
                          <w:ilvl w:val="0"/>
                          <w:numId w:val="57"/>
                        </w:numPr>
                        <w:rPr>
                          <w:rFonts w:cs="Arial"/>
                          <w:sz w:val="18"/>
                          <w:szCs w:val="18"/>
                        </w:rPr>
                      </w:pPr>
                      <w:r>
                        <w:rPr>
                          <w:sz w:val="18"/>
                          <w:szCs w:val="18"/>
                        </w:rPr>
                        <w:t>gauti rezultatai leidžia pagerinti dalyvaujančių partnerių padėtį rinkoje taikant inovacijas.</w:t>
                      </w:r>
                    </w:p>
                    <w:p w:rsidR="001F67E3" w:rsidRPr="00547012" w:rsidRDefault="001F67E3" w:rsidP="00E05D08">
                      <w:pPr>
                        <w:rPr>
                          <w:rFonts w:cs="Arial"/>
                          <w:sz w:val="18"/>
                          <w:szCs w:val="18"/>
                        </w:rPr>
                      </w:pPr>
                      <w:r>
                        <w:rPr>
                          <w:sz w:val="18"/>
                          <w:szCs w:val="18"/>
                        </w:rPr>
                        <w:t>Siekiant surinkti informaciją iš EIP veiklos grupių taikoma keletas metodų. Jie apima skirtingas inovacijų aspektus ir taikomi siekiant įvertinti veiklos grupių kokybę ir poveikį:</w:t>
                      </w:r>
                    </w:p>
                    <w:p w:rsidR="001F67E3" w:rsidRPr="001954EB" w:rsidRDefault="001F67E3" w:rsidP="008C0B17">
                      <w:pPr>
                        <w:numPr>
                          <w:ilvl w:val="0"/>
                          <w:numId w:val="58"/>
                        </w:numPr>
                        <w:rPr>
                          <w:rFonts w:cs="Arial"/>
                          <w:sz w:val="18"/>
                          <w:szCs w:val="18"/>
                        </w:rPr>
                      </w:pPr>
                      <w:r>
                        <w:rPr>
                          <w:sz w:val="18"/>
                          <w:szCs w:val="18"/>
                        </w:rPr>
                        <w:t>pradinė analizė (pagrindinių sąlygų įvertinimas, pokalbiai su subjektais ir kt.);</w:t>
                      </w:r>
                    </w:p>
                    <w:p w:rsidR="001F67E3" w:rsidRPr="001954EB" w:rsidRDefault="001F67E3" w:rsidP="008C0B17">
                      <w:pPr>
                        <w:numPr>
                          <w:ilvl w:val="0"/>
                          <w:numId w:val="58"/>
                        </w:numPr>
                        <w:rPr>
                          <w:rFonts w:cs="Arial"/>
                          <w:sz w:val="18"/>
                          <w:szCs w:val="18"/>
                        </w:rPr>
                      </w:pPr>
                      <w:r>
                        <w:rPr>
                          <w:sz w:val="18"/>
                          <w:szCs w:val="18"/>
                        </w:rPr>
                        <w:t xml:space="preserve">inovacijų ypatybių ir rūšių įvertinimas taikant atrankos kriterijų analizę ir atvejų tyrimus; </w:t>
                      </w:r>
                    </w:p>
                    <w:p w:rsidR="001F67E3" w:rsidRPr="001954EB" w:rsidRDefault="001F67E3" w:rsidP="008C0B17">
                      <w:pPr>
                        <w:numPr>
                          <w:ilvl w:val="0"/>
                          <w:numId w:val="58"/>
                        </w:numPr>
                        <w:rPr>
                          <w:rFonts w:cs="Arial"/>
                          <w:sz w:val="18"/>
                          <w:szCs w:val="18"/>
                        </w:rPr>
                      </w:pPr>
                      <w:r>
                        <w:rPr>
                          <w:sz w:val="18"/>
                          <w:szCs w:val="18"/>
                        </w:rPr>
                        <w:t>gautų rezultatų analizė ir jų sklaida (veiklos grupių apklausos ir  savarankiškas vertinimas).</w:t>
                      </w:r>
                    </w:p>
                    <w:p w:rsidR="001F67E3" w:rsidRPr="00547012" w:rsidRDefault="001F67E3" w:rsidP="00E05D08">
                      <w:pPr>
                        <w:rPr>
                          <w:rFonts w:cs="Arial"/>
                          <w:sz w:val="18"/>
                          <w:szCs w:val="18"/>
                        </w:rPr>
                      </w:pPr>
                      <w:r>
                        <w:rPr>
                          <w:sz w:val="18"/>
                          <w:szCs w:val="18"/>
                        </w:rPr>
                        <w:t xml:space="preserve">Duomenys apie informacijos šaltinius apima stebėsenos duomenis, paraiškų formas, projektų dokumentaciją, per apklausas surinktus pirminius statistinius duomenis, iš įvairių šaltinių gautus antrinius statistinius duomenis. </w:t>
                      </w:r>
                    </w:p>
                    <w:p w:rsidR="001F67E3" w:rsidRPr="00547012" w:rsidRDefault="001F67E3" w:rsidP="00E05D08">
                      <w:pPr>
                        <w:rPr>
                          <w:rFonts w:cs="Arial"/>
                          <w:sz w:val="18"/>
                          <w:szCs w:val="18"/>
                        </w:rPr>
                      </w:pPr>
                      <w:r>
                        <w:rPr>
                          <w:sz w:val="18"/>
                          <w:szCs w:val="18"/>
                        </w:rPr>
                        <w:t xml:space="preserve">Paramos gavėjų (EIP veiklos grupių) apklausa atliekama prieš intervencinį veiksmą ir po jo. </w:t>
                      </w:r>
                    </w:p>
                    <w:p w:rsidR="001F67E3" w:rsidRPr="001954EB" w:rsidRDefault="001F67E3" w:rsidP="00E05D08">
                      <w:pPr>
                        <w:pStyle w:val="HStandard"/>
                        <w:rPr>
                          <w:sz w:val="18"/>
                          <w:szCs w:val="18"/>
                        </w:rPr>
                      </w:pPr>
                      <w:r>
                        <w:rPr>
                          <w:b/>
                          <w:sz w:val="18"/>
                          <w:szCs w:val="18"/>
                        </w:rPr>
                        <w:t xml:space="preserve">Čekijos Respublika – </w:t>
                      </w:r>
                      <w:r>
                        <w:rPr>
                          <w:sz w:val="18"/>
                          <w:szCs w:val="18"/>
                        </w:rPr>
                        <w:t>siūloma taikyti atvejo tyrimu grindžiamą metodą siekiant surinkti informaciją iš veiklos grupių ir su inovacijomis susijusių bendradarbiavimo projektų duomenis.</w:t>
                      </w:r>
                    </w:p>
                  </w:txbxContent>
                </v:textbox>
                <w10:anchorlock/>
              </v:shape>
            </w:pict>
          </mc:Fallback>
        </mc:AlternateContent>
      </w:r>
    </w:p>
    <w:p w:rsidR="00A45935" w:rsidRPr="00E05D08" w:rsidRDefault="00A45935" w:rsidP="00647766">
      <w:pPr>
        <w:numPr>
          <w:ilvl w:val="0"/>
          <w:numId w:val="56"/>
        </w:numPr>
        <w:spacing w:before="120" w:after="120" w:line="280" w:lineRule="atLeast"/>
        <w:ind w:left="567" w:hanging="567"/>
        <w:mirrorIndents/>
        <w:rPr>
          <w:rFonts w:eastAsia="Times New Roman" w:cs="Times New Roman"/>
          <w:b/>
          <w:szCs w:val="20"/>
        </w:rPr>
      </w:pPr>
      <w:r>
        <w:rPr>
          <w:b/>
          <w:szCs w:val="20"/>
        </w:rPr>
        <w:t xml:space="preserve">Rizika ir sprendimai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E05D08" w:rsidTr="00E05D08">
        <w:tc>
          <w:tcPr>
            <w:tcW w:w="3544"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Rizikos rūšys</w:t>
            </w:r>
          </w:p>
        </w:tc>
        <w:tc>
          <w:tcPr>
            <w:tcW w:w="5387"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Sprendimai</w:t>
            </w:r>
          </w:p>
        </w:tc>
      </w:tr>
      <w:tr w:rsidR="00A45935" w:rsidRPr="00E05D08" w:rsidTr="00E05D08">
        <w:tc>
          <w:tcPr>
            <w:tcW w:w="3544" w:type="dxa"/>
            <w:hideMark/>
          </w:tcPr>
          <w:p w:rsidR="00A45935" w:rsidRPr="00385368" w:rsidRDefault="00A45935" w:rsidP="00E05D08">
            <w:pPr>
              <w:spacing w:after="120" w:line="280" w:lineRule="atLeast"/>
              <w:ind w:left="22" w:right="33"/>
              <w:mirrorIndents/>
              <w:rPr>
                <w:sz w:val="18"/>
                <w:szCs w:val="18"/>
              </w:rPr>
            </w:pPr>
            <w:r>
              <w:rPr>
                <w:sz w:val="18"/>
                <w:szCs w:val="18"/>
              </w:rPr>
              <w:t>Kai kurių rodiklių duomenų (pvz., bendradarbiavimo veiksmų, kurie vykdomi nutraukus paramą pagal KPP, skaičiaus) gali nebūti tol, kol nesibaigs programavimo laikotarpis.</w:t>
            </w:r>
          </w:p>
        </w:tc>
        <w:tc>
          <w:tcPr>
            <w:tcW w:w="5387" w:type="dxa"/>
            <w:hideMark/>
          </w:tcPr>
          <w:p w:rsidR="00A45935" w:rsidRPr="00385368" w:rsidRDefault="00A45935" w:rsidP="00E05D08">
            <w:pPr>
              <w:spacing w:after="120" w:line="280" w:lineRule="atLeast"/>
              <w:ind w:left="27" w:right="47"/>
              <w:mirrorIndents/>
              <w:rPr>
                <w:sz w:val="18"/>
                <w:szCs w:val="18"/>
              </w:rPr>
            </w:pPr>
            <w:r>
              <w:rPr>
                <w:sz w:val="18"/>
                <w:szCs w:val="18"/>
              </w:rPr>
              <w:t xml:space="preserve">Sukurtų bendradarbiavimo struktūrų rūšys (teisinė struktūra, sudėtis, partnerių įsipareigojimo pareiškimas ir kt.) gali būti analizuojamos taikant kokybinio vertinimo metodą (pvz., panaudojant tikslines grupes arba pokalbius su veiklos grupių partneriais). </w:t>
            </w:r>
          </w:p>
        </w:tc>
      </w:tr>
      <w:tr w:rsidR="00A45935" w:rsidRPr="00E05D08" w:rsidTr="00E05D08">
        <w:tc>
          <w:tcPr>
            <w:tcW w:w="3544" w:type="dxa"/>
          </w:tcPr>
          <w:p w:rsidR="00A45935" w:rsidRPr="00385368" w:rsidRDefault="00A45935" w:rsidP="00E05D08">
            <w:pPr>
              <w:spacing w:after="120" w:line="280" w:lineRule="atLeast"/>
              <w:ind w:left="22" w:right="33"/>
              <w:mirrorIndents/>
              <w:rPr>
                <w:sz w:val="18"/>
                <w:szCs w:val="18"/>
              </w:rPr>
            </w:pPr>
            <w:r>
              <w:rPr>
                <w:sz w:val="18"/>
                <w:szCs w:val="18"/>
              </w:rPr>
              <w:t xml:space="preserve">Surinkti informaciją, reikalingą tam tikriems rodikliams, kurie galėjo būti neįtraukti į KPP stebėsenos sistemą (pvz., papildomi rodikliai). </w:t>
            </w:r>
          </w:p>
        </w:tc>
        <w:tc>
          <w:tcPr>
            <w:tcW w:w="5387" w:type="dxa"/>
          </w:tcPr>
          <w:p w:rsidR="00A45935" w:rsidRPr="00385368" w:rsidRDefault="00A45935" w:rsidP="00E05D08">
            <w:pPr>
              <w:spacing w:after="120" w:line="280" w:lineRule="atLeast"/>
              <w:ind w:left="27" w:right="47"/>
              <w:mirrorIndents/>
              <w:rPr>
                <w:sz w:val="18"/>
                <w:szCs w:val="18"/>
              </w:rPr>
            </w:pPr>
            <w:r>
              <w:rPr>
                <w:sz w:val="18"/>
                <w:szCs w:val="18"/>
              </w:rPr>
              <w:t xml:space="preserve">Informacija gali būti surinkta per apklausas ir pokalbius. </w:t>
            </w:r>
          </w:p>
          <w:p w:rsidR="00A45935" w:rsidRPr="00385368" w:rsidRDefault="00A45935" w:rsidP="00E05D08">
            <w:pPr>
              <w:spacing w:after="120" w:line="280" w:lineRule="atLeast"/>
              <w:ind w:left="27" w:right="47"/>
              <w:mirrorIndents/>
              <w:rPr>
                <w:sz w:val="18"/>
                <w:szCs w:val="18"/>
              </w:rPr>
            </w:pPr>
            <w:r>
              <w:rPr>
                <w:sz w:val="18"/>
                <w:szCs w:val="18"/>
              </w:rPr>
              <w:t xml:space="preserve">Vadovaujančiosios institucijos taip pat gali apsvarstyti galimybę rinkti papildomiems rodikliams reikalingus duomenis naudojantis veiksmų duomenų baze. </w:t>
            </w:r>
          </w:p>
        </w:tc>
      </w:tr>
    </w:tbl>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Išvados ir rekomendacijos</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Pagrindinės išvados ir rekomendacijos turėtų padėti spręsti bent tokius politikos klausimus, kaip:</w:t>
      </w:r>
    </w:p>
    <w:p w:rsidR="00A45935" w:rsidRPr="00E54929" w:rsidRDefault="00A45935" w:rsidP="00547012">
      <w:pPr>
        <w:pStyle w:val="Hlistbullet"/>
        <w:rPr>
          <w:rFonts w:eastAsia="Calibri"/>
          <w:shd w:val="clear" w:color="auto" w:fill="FFFFFF"/>
        </w:rPr>
      </w:pPr>
      <w:r>
        <w:rPr>
          <w:b/>
          <w:shd w:val="clear" w:color="auto" w:fill="FFFFFF"/>
        </w:rPr>
        <w:t>tikimybė, kad įgyvendinant KPP bus panaudota bendradarbiavimo priemonė siekiant nustatyti inovacijas kaimo vietovėse.</w:t>
      </w:r>
      <w:r>
        <w:rPr>
          <w:shd w:val="clear" w:color="auto" w:fill="FFFFFF"/>
        </w:rPr>
        <w:t xml:space="preserve"> Pavyzdžiui, veiklos grupės sudarymas parodo, kad novatoriška idėja buvo nustatyta ir gali būti įgyvendinta susiejant mokslinius tyrimus ir praktiką. Duomenys apie VG parengto ir įgyvendinto projekto taikymo sritį, turinį ir trukmę yra naudinga informacija siekiant padaryti tolesnes su tuo susijusias išvadas;</w:t>
      </w:r>
    </w:p>
    <w:p w:rsidR="00A45935" w:rsidRPr="00E54929" w:rsidRDefault="00A45935" w:rsidP="00547012">
      <w:pPr>
        <w:pStyle w:val="Hlistbullet"/>
        <w:rPr>
          <w:rFonts w:eastAsia="Calibri"/>
          <w:shd w:val="clear" w:color="auto" w:fill="FFFFFF"/>
        </w:rPr>
      </w:pPr>
      <w:r>
        <w:rPr>
          <w:b/>
          <w:shd w:val="clear" w:color="auto" w:fill="FFFFFF"/>
        </w:rPr>
        <w:t>bendradarbiavimo projektų poveikis gebėjimui diegti inovacijas.</w:t>
      </w:r>
      <w:r>
        <w:rPr>
          <w:shd w:val="clear" w:color="auto" w:fill="FFFFFF"/>
        </w:rPr>
        <w:t xml:space="preserve"> Remiantis VG projektų skaičiaus ir rūšių, taip pat inovacijų srities suinteresuotųjų subjektų dalyvavimo analize, galbūt </w:t>
      </w:r>
      <w:r>
        <w:rPr>
          <w:shd w:val="clear" w:color="auto" w:fill="FFFFFF"/>
        </w:rPr>
        <w:lastRenderedPageBreak/>
        <w:t>bus galima padaryti svarbias išvadas dėl pagal bendradarbiavimo priemonę pasiektų rezultatų, susijusių su kaimo vietovių inovacijų pajėgumu;</w:t>
      </w:r>
    </w:p>
    <w:p w:rsidR="00A45935" w:rsidRPr="00E54929" w:rsidRDefault="00A45935" w:rsidP="00547012">
      <w:pPr>
        <w:pStyle w:val="Hlistbullet"/>
        <w:rPr>
          <w:rFonts w:eastAsia="Calibri"/>
          <w:shd w:val="clear" w:color="auto" w:fill="FFFFFF"/>
        </w:rPr>
      </w:pPr>
      <w:r>
        <w:rPr>
          <w:b/>
          <w:shd w:val="clear" w:color="auto" w:fill="FFFFFF"/>
        </w:rPr>
        <w:t>bendradarbiavimo projektų poveikis siekiant sukurti inovacijoms palankią aplinką</w:t>
      </w:r>
      <w:r>
        <w:rPr>
          <w:shd w:val="clear" w:color="auto" w:fill="FFFFFF"/>
        </w:rPr>
        <w:t xml:space="preserve"> (t. y. mastas, kuriuo bendradarbiavimo projektai padėjo sukurti inovacijų kūrimą palengvinančias struktūras ir procedūras). Tai, pavyzdžiui, apima tarpininkavimo inovacijoms struktūras ir metodus, nuolatinių MVĮ tarpusavio ryšių nustatymą, inovacijų paslaugas, finansuojančias įstaigas ir kt.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Daugiau informacijos</w:t>
      </w:r>
    </w:p>
    <w:p w:rsidR="009D0C0A" w:rsidRDefault="00A45935" w:rsidP="00547012">
      <w:pPr>
        <w:spacing w:after="120" w:line="280" w:lineRule="atLeast"/>
        <w:mirrorIndents/>
      </w:pPr>
      <w:r>
        <w:rPr>
          <w:rFonts w:eastAsia="Times New Roman" w:cs="Times New Roman"/>
          <w:noProof/>
          <w:sz w:val="18"/>
          <w:szCs w:val="24"/>
          <w:lang w:val="en-GB" w:eastAsia="en-GB"/>
        </w:rPr>
        <mc:AlternateContent>
          <mc:Choice Requires="wps">
            <w:drawing>
              <wp:inline distT="0" distB="0" distL="0" distR="0" wp14:anchorId="4722E42E" wp14:editId="4AEA29C1">
                <wp:extent cx="5633451" cy="1885950"/>
                <wp:effectExtent l="0" t="0" r="24765" b="19050"/>
                <wp:docPr id="27" name="Rectangle: Diagonal Corners Rounded 27"/>
                <wp:cNvGraphicFramePr/>
                <a:graphic xmlns:a="http://schemas.openxmlformats.org/drawingml/2006/main">
                  <a:graphicData uri="http://schemas.microsoft.com/office/word/2010/wordprocessingShape">
                    <wps:wsp>
                      <wps:cNvSpPr/>
                      <wps:spPr>
                        <a:xfrm>
                          <a:off x="0" y="0"/>
                          <a:ext cx="5633451" cy="1885950"/>
                        </a:xfrm>
                        <a:prstGeom prst="round2DiagRect">
                          <a:avLst>
                            <a:gd name="adj1" fmla="val 11556"/>
                            <a:gd name="adj2" fmla="val 0"/>
                          </a:avLst>
                        </a:prstGeom>
                        <a:noFill/>
                        <a:ln w="25400" cap="flat" cmpd="sng" algn="ctr">
                          <a:solidFill>
                            <a:srgbClr val="59638E"/>
                          </a:solidFill>
                          <a:prstDash val="solid"/>
                        </a:ln>
                        <a:effectLst/>
                      </wps:spPr>
                      <wps:txbx>
                        <w:txbxContent>
                          <w:p w:rsidR="001F67E3" w:rsidRDefault="001F67E3" w:rsidP="00E05D08">
                            <w:pPr>
                              <w:pStyle w:val="HStandard"/>
                              <w:rPr>
                                <w:color w:val="000000"/>
                                <w:sz w:val="18"/>
                              </w:rPr>
                            </w:pPr>
                            <w:r>
                              <w:rPr>
                                <w:noProof/>
                                <w:lang w:val="en-GB" w:eastAsia="en-GB"/>
                              </w:rPr>
                              <w:drawing>
                                <wp:inline distT="0" distB="0" distL="0" distR="0" wp14:anchorId="470BFB0E" wp14:editId="31AB151D">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1F67E3" w:rsidRPr="000041C9" w:rsidRDefault="001F67E3" w:rsidP="00E05D08">
                            <w:pPr>
                              <w:pStyle w:val="HStandard"/>
                              <w:rPr>
                                <w:sz w:val="18"/>
                                <w:szCs w:val="18"/>
                              </w:rPr>
                            </w:pPr>
                            <w:r>
                              <w:t>Gairių</w:t>
                            </w:r>
                            <w:r>
                              <w:rPr>
                                <w:sz w:val="18"/>
                                <w:szCs w:val="18"/>
                              </w:rPr>
                              <w:t xml:space="preserve"> </w:t>
                            </w:r>
                            <w:hyperlink r:id="rId54" w:history="1">
                              <w:r>
                                <w:rPr>
                                  <w:rStyle w:val="Hyperlink"/>
                                  <w:sz w:val="18"/>
                                  <w:szCs w:val="18"/>
                                </w:rPr>
                                <w:t>„KPP rezultatų vertinimas:</w:t>
                              </w:r>
                            </w:hyperlink>
                            <w:hyperlink r:id="rId55" w:history="1">
                              <w:r>
                                <w:rPr>
                                  <w:rStyle w:val="Hyperlink"/>
                                  <w:sz w:val="18"/>
                                  <w:szCs w:val="18"/>
                                </w:rPr>
                                <w:t xml:space="preserve"> kaip pasirengti teikti vertinimo ataskaitas 2017 m. </w:t>
                              </w:r>
                            </w:hyperlink>
                            <w:r>
                              <w:t>“ 11 priedas.</w:t>
                            </w:r>
                            <w:r>
                              <w:rPr>
                                <w:sz w:val="18"/>
                                <w:szCs w:val="18"/>
                              </w:rPr>
                              <w:t xml:space="preserve"> </w:t>
                            </w:r>
                          </w:p>
                          <w:p w:rsidR="001F67E3" w:rsidRDefault="001F67E3" w:rsidP="00E05D08">
                            <w:pPr>
                              <w:pStyle w:val="HStandard"/>
                              <w:rPr>
                                <w:sz w:val="18"/>
                                <w:szCs w:val="18"/>
                              </w:rPr>
                            </w:pPr>
                            <w:r>
                              <w:t xml:space="preserve">2014 m. lapkričio mėn. </w:t>
                            </w:r>
                            <w:r>
                              <w:rPr>
                                <w:sz w:val="18"/>
                                <w:szCs w:val="18"/>
                              </w:rPr>
                              <w:t>rekomendacinis dokumentas „</w:t>
                            </w:r>
                            <w:hyperlink r:id="rId56" w:history="1">
                              <w:r>
                                <w:rPr>
                                  <w:rStyle w:val="Hyperlink"/>
                                  <w:sz w:val="18"/>
                                </w:rPr>
                                <w:t>Bendradarbiavimo priemonė</w:t>
                              </w:r>
                            </w:hyperlink>
                            <w:r>
                              <w:t>“ (</w:t>
                            </w:r>
                            <w:r>
                              <w:rPr>
                                <w:i/>
                              </w:rPr>
                              <w:t>Cooperation measure</w:t>
                            </w:r>
                            <w:r>
                              <w:t xml:space="preserve">), </w:t>
                            </w:r>
                            <w:r>
                              <w:rPr>
                                <w:sz w:val="18"/>
                                <w:szCs w:val="18"/>
                              </w:rPr>
                              <w:t>Reglamento (ES) Nr. 1305/2013 35 straipsnis.</w:t>
                            </w:r>
                          </w:p>
                          <w:p w:rsidR="001F67E3" w:rsidRPr="000041C9" w:rsidRDefault="001F67E3" w:rsidP="00E05D08">
                            <w:pPr>
                              <w:pStyle w:val="HStandard"/>
                              <w:rPr>
                                <w:sz w:val="18"/>
                                <w:szCs w:val="18"/>
                              </w:rPr>
                            </w:pPr>
                            <w:r>
                              <w:rPr>
                                <w:sz w:val="18"/>
                                <w:szCs w:val="18"/>
                              </w:rPr>
                              <w:t xml:space="preserve">Europos kaimo plėtros tinklo praktinio seminaro dokumentai dėl 16-osios priemonės „Bendradarbiavmas“, 2016 m. birželio mėn., Briuselis, </w:t>
                            </w:r>
                            <w:hyperlink r:id="rId57" w:history="1">
                              <w:r>
                                <w:rPr>
                                  <w:rStyle w:val="Hyperlink"/>
                                  <w:sz w:val="18"/>
                                  <w:szCs w:val="18"/>
                                </w:rPr>
                                <w:t>http://enrd.ec.europa.eu/news-events/events/enrd-workshop-measure-16-cooperation_en</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22E42E" id="Rectangle: Diagonal Corners Rounded 27" o:spid="_x0000_s1049" style="width:443.6pt;height:148.5pt;visibility:visible;mso-wrap-style:square;mso-left-percent:-10001;mso-top-percent:-10001;mso-position-horizontal:absolute;mso-position-horizontal-relative:char;mso-position-vertical:absolute;mso-position-vertical-relative:line;mso-left-percent:-10001;mso-top-percent:-10001;v-text-anchor:middle" coordsize="5633451,188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" adj="-11796480,,5400" path="m217940,l5633451,r,l5633451,1668010v,120365,-97575,217940,-217940,217940l,1885950r,l,217940c,97575,97575,,217940,xe" filled="f" strokecolor="#59638e" strokeweight="2pt">
                <v:stroke joinstyle="miter"/>
                <v:formulas/>
                <v:path arrowok="t" o:connecttype="custom" o:connectlocs="217940,0;5633451,0;5633451,0;5633451,1668010;5415511,1885950;0,1885950;0,1885950;0,217940;217940,0" o:connectangles="0,0,0,0,0,0,0,0,0" textboxrect="0,0,5633451,1885950"/>
                <v:textbox>
                  <w:txbxContent>
                    <w:p w:rsidR="001F67E3" w:rsidRDefault="001F67E3" w:rsidP="00E05D08">
                      <w:pPr>
                        <w:pStyle w:val="HStandard"/>
                        <w:rPr>
                          <w:color w:val="000000"/>
                          <w:sz w:val="18"/>
                        </w:rPr>
                      </w:pPr>
                      <w:r>
                        <w:rPr>
                          <w:noProof/>
                          <w:lang w:val="en-GB" w:eastAsia="en-GB"/>
                        </w:rPr>
                        <w:drawing>
                          <wp:inline distT="0" distB="0" distL="0" distR="0" wp14:anchorId="470BFB0E" wp14:editId="31AB151D">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1F67E3" w:rsidRPr="000041C9" w:rsidRDefault="001F67E3" w:rsidP="00E05D08">
                      <w:pPr>
                        <w:pStyle w:val="HStandard"/>
                        <w:rPr>
                          <w:sz w:val="18"/>
                          <w:szCs w:val="18"/>
                        </w:rPr>
                      </w:pPr>
                      <w:r>
                        <w:t>Gairių</w:t>
                      </w:r>
                      <w:r>
                        <w:rPr>
                          <w:sz w:val="18"/>
                          <w:szCs w:val="18"/>
                        </w:rPr>
                        <w:t xml:space="preserve"> </w:t>
                      </w:r>
                      <w:hyperlink r:id="rId58" w:history="1">
                        <w:r>
                          <w:rPr>
                            <w:rStyle w:val="Hyperlink"/>
                            <w:sz w:val="18"/>
                            <w:szCs w:val="18"/>
                          </w:rPr>
                          <w:t>„KPP rezultatų vertinimas:</w:t>
                        </w:r>
                      </w:hyperlink>
                      <w:hyperlink r:id="rId59" w:history="1">
                        <w:r>
                          <w:rPr>
                            <w:rStyle w:val="Hyperlink"/>
                            <w:sz w:val="18"/>
                            <w:szCs w:val="18"/>
                          </w:rPr>
                          <w:t xml:space="preserve"> kaip pasirengti teikti vertinimo ataskaitas 2017 m. </w:t>
                        </w:r>
                      </w:hyperlink>
                      <w:r>
                        <w:t>“ 11 priedas.</w:t>
                      </w:r>
                      <w:r>
                        <w:rPr>
                          <w:sz w:val="18"/>
                          <w:szCs w:val="18"/>
                        </w:rPr>
                        <w:t xml:space="preserve"> </w:t>
                      </w:r>
                    </w:p>
                    <w:p w:rsidR="001F67E3" w:rsidRDefault="001F67E3" w:rsidP="00E05D08">
                      <w:pPr>
                        <w:pStyle w:val="HStandard"/>
                        <w:rPr>
                          <w:sz w:val="18"/>
                          <w:szCs w:val="18"/>
                        </w:rPr>
                      </w:pPr>
                      <w:r>
                        <w:t xml:space="preserve">2014 m. lapkričio mėn. </w:t>
                      </w:r>
                      <w:r>
                        <w:rPr>
                          <w:sz w:val="18"/>
                          <w:szCs w:val="18"/>
                        </w:rPr>
                        <w:t>rekomendacinis dokumentas „</w:t>
                      </w:r>
                      <w:hyperlink r:id="rId60" w:history="1">
                        <w:r>
                          <w:rPr>
                            <w:rStyle w:val="Hyperlink"/>
                            <w:sz w:val="18"/>
                          </w:rPr>
                          <w:t>Bendradarbiavimo priemonė</w:t>
                        </w:r>
                      </w:hyperlink>
                      <w:r>
                        <w:t>“ (</w:t>
                      </w:r>
                      <w:r>
                        <w:rPr>
                          <w:i/>
                        </w:rPr>
                        <w:t>Cooperation measure</w:t>
                      </w:r>
                      <w:r>
                        <w:t xml:space="preserve">), </w:t>
                      </w:r>
                      <w:r>
                        <w:rPr>
                          <w:sz w:val="18"/>
                          <w:szCs w:val="18"/>
                        </w:rPr>
                        <w:t>Reglamento (ES) Nr. 1305/2013 35 straipsnis.</w:t>
                      </w:r>
                    </w:p>
                    <w:p w:rsidR="001F67E3" w:rsidRPr="000041C9" w:rsidRDefault="001F67E3" w:rsidP="00E05D08">
                      <w:pPr>
                        <w:pStyle w:val="HStandard"/>
                        <w:rPr>
                          <w:sz w:val="18"/>
                          <w:szCs w:val="18"/>
                        </w:rPr>
                      </w:pPr>
                      <w:r>
                        <w:rPr>
                          <w:sz w:val="18"/>
                          <w:szCs w:val="18"/>
                        </w:rPr>
                        <w:t xml:space="preserve">Europos kaimo plėtros tinklo praktinio seminaro dokumentai dėl 16-osios priemonės „Bendradarbiavmas“, 2016 m. birželio mėn., Briuselis, </w:t>
                      </w:r>
                      <w:hyperlink r:id="rId61" w:history="1">
                        <w:r>
                          <w:rPr>
                            <w:rStyle w:val="Hyperlink"/>
                            <w:sz w:val="18"/>
                            <w:szCs w:val="18"/>
                          </w:rPr>
                          <w:t>http://enrd.ec.europa.eu/news-events/events/enrd-workshop-measure-16-cooperation_en</w:t>
                        </w:r>
                      </w:hyperlink>
                      <w:r>
                        <w:t>.</w:t>
                      </w:r>
                    </w:p>
                  </w:txbxContent>
                </v:textbox>
                <w10:anchorlock/>
              </v:shape>
            </w:pict>
          </mc:Fallback>
        </mc:AlternateContent>
      </w:r>
      <w:bookmarkStart w:id="115" w:name="_Toc501382133"/>
    </w:p>
    <w:p w:rsidR="00D50380" w:rsidRDefault="00D50380" w:rsidP="0079071D">
      <w:pPr>
        <w:pStyle w:val="HHeading3"/>
        <w:numPr>
          <w:ilvl w:val="2"/>
          <w:numId w:val="119"/>
        </w:numPr>
        <w:tabs>
          <w:tab w:val="clear" w:pos="567"/>
        </w:tabs>
        <w:spacing w:before="480" w:line="280" w:lineRule="exact"/>
        <w:ind w:left="567" w:hanging="567"/>
      </w:pPr>
      <w:bookmarkStart w:id="116" w:name="CEQ_NRN"/>
      <w:bookmarkStart w:id="117" w:name="_Toc508976530"/>
      <w:bookmarkEnd w:id="116"/>
      <w:r>
        <w:t>21-asis BVK. „Kiek nacionalinis kaimo tinklas padėjo įgyvendinti Reglamento (ES) Nr. 1305/2013 54 straipsnio 2 dalyje nustatytus tikslus?“</w:t>
      </w:r>
      <w:bookmarkEnd w:id="117"/>
    </w:p>
    <w:bookmarkEnd w:id="115"/>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Kaip suprasti BVK?</w:t>
      </w:r>
    </w:p>
    <w:p w:rsidR="00A45935" w:rsidRPr="00E05D08" w:rsidRDefault="00A45935" w:rsidP="00E05D08">
      <w:pPr>
        <w:spacing w:after="120" w:line="280" w:lineRule="atLeast"/>
        <w:mirrorIndents/>
        <w:rPr>
          <w:rFonts w:eastAsia="Calibri" w:cs="Times New Roman"/>
          <w:szCs w:val="20"/>
        </w:rPr>
      </w:pPr>
      <w:r>
        <w:t>Šis klausimas susijęs su keturių NKT tikslų siekimu.</w:t>
      </w:r>
      <w:r>
        <w:rPr>
          <w:rFonts w:eastAsia="Times New Roman" w:cs="Times New Roman"/>
          <w:szCs w:val="20"/>
          <w:vertAlign w:val="superscript"/>
          <w:lang w:eastAsia="de-DE"/>
        </w:rPr>
        <w:footnoteReference w:id="57"/>
      </w:r>
      <w:r>
        <w:t>. Šiose gairėse</w:t>
      </w:r>
      <w:r>
        <w:rPr>
          <w:rFonts w:eastAsia="Times New Roman" w:cs="Times New Roman"/>
          <w:szCs w:val="20"/>
          <w:vertAlign w:val="superscript"/>
          <w:lang w:eastAsia="de-DE"/>
        </w:rPr>
        <w:footnoteReference w:id="58"/>
      </w:r>
      <w:r>
        <w:t xml:space="preserve"> aptariamas 21-asis BVK, atsižvelgiant į </w:t>
      </w:r>
      <w:r>
        <w:rPr>
          <w:szCs w:val="18"/>
          <w14:textFill>
            <w14:solidFill>
              <w14:srgbClr w14:val="373737">
                <w14:lumMod w14:val="75000"/>
              </w14:srgbClr>
            </w14:solidFill>
          </w14:textFill>
        </w:rPr>
        <w:t xml:space="preserve">NKT tikslą „skatinti inovacijas žemės ūkyje, maisto gamyboje, miškininkystėje ir kaimo vietovėse“, </w:t>
      </w:r>
      <w:r>
        <w:t xml:space="preserve">siekiant įvertinti inovacijas, kurias NKT skatins nuo 2019 m. </w:t>
      </w:r>
    </w:p>
    <w:p w:rsidR="00A45935" w:rsidRPr="00E05D08" w:rsidRDefault="00A45935" w:rsidP="00E05D08">
      <w:pPr>
        <w:spacing w:after="120" w:line="280" w:lineRule="atLeast"/>
        <w:mirrorIndents/>
        <w:rPr>
          <w:rFonts w:eastAsia="Calibri" w:cs="Times New Roman"/>
          <w:szCs w:val="20"/>
        </w:rPr>
      </w:pPr>
      <w:r>
        <w:t xml:space="preserve">NKT veikla vykdoma per įvairias NKT veiksmų plane nustatytas veiksmų grupes ir apima įvairių rūšių suinteresuotuosius subjektus, įskaitant ir inovacijų srities subjektus. Todėl svarbu pripažinti, kurios veiksmų grupės </w:t>
      </w:r>
      <w:r>
        <w:rPr>
          <w:rFonts w:eastAsia="Calibri" w:cs="Times New Roman"/>
          <w:szCs w:val="20"/>
          <w:vertAlign w:val="superscript"/>
        </w:rPr>
        <w:footnoteReference w:id="59"/>
      </w:r>
      <w:r>
        <w:t xml:space="preserve"> gali paskatinti inovacijas  trimis kryptimis (žr. </w:t>
      </w:r>
      <w:hyperlink w:anchor="Innovation_RD" w:history="1">
        <w:r>
          <w:rPr>
            <w:rStyle w:val="Hyperlink"/>
            <w:sz w:val="20"/>
            <w:szCs w:val="20"/>
          </w:rPr>
          <w:t>1.1 skyrių</w:t>
        </w:r>
      </w:hyperlink>
      <w:r>
        <w:t xml:space="preserve">) ir kokių rūšių inovacijų sistemos suinteresuotieji subjektai dalyvauja vykdant šiuos veiksmus ir gali būti jų paveikti taip, kad būtų skatinamos inovacijos.. </w:t>
      </w:r>
    </w:p>
    <w:p w:rsidR="001327F5" w:rsidRDefault="00A45935" w:rsidP="00E05D08">
      <w:pPr>
        <w:spacing w:after="120" w:line="280" w:lineRule="atLeast"/>
        <w:mirrorIndents/>
        <w:rPr>
          <w:rFonts w:eastAsia="Calibri" w:cs="Times New Roman"/>
          <w:szCs w:val="20"/>
        </w:rPr>
      </w:pPr>
      <w:r>
        <w:t>Į NKT veiksmų planą įtraukti veiksmai apimtų septynias Reglamentu nustatytas veiksmų grupes</w:t>
      </w:r>
      <w:r>
        <w:rPr>
          <w:rFonts w:eastAsia="Calibri" w:cs="Times New Roman"/>
          <w:szCs w:val="20"/>
          <w:vertAlign w:val="superscript"/>
        </w:rPr>
        <w:footnoteReference w:id="60"/>
      </w:r>
      <w:r>
        <w:t>. Pavyzdžiai, parodantys, kaip šie veiksmai gali būti susiję su inovacijų skatinimu, pateikti langelyje toliau.</w:t>
      </w:r>
    </w:p>
    <w:p w:rsidR="001327F5" w:rsidRPr="00E05D08" w:rsidRDefault="001327F5" w:rsidP="001327F5">
      <w:pPr>
        <w:spacing w:after="120" w:line="280" w:lineRule="atLeast"/>
        <w:mirrorIndents/>
        <w:rPr>
          <w:rFonts w:eastAsia="Calibri" w:cs="Times New Roman"/>
          <w:szCs w:val="20"/>
        </w:rPr>
      </w:pPr>
      <w:r>
        <w:t>Nacionalinių kaimo tinklų, kurie teikia ir techninę pagalbą, paskirtis – papildyti ir paremti KPP įgyvendinimą, taigi taip jie tiesiogiai prisideda prie inovacijų, kaip kompleksinio tikslo, skatinimo. Tačiau NKT veikla taip pat gali būti sinergiškai derinama su kitų kaimo plėtros inovacijų srities subjektų veikla, pavyzdžiui, su LEADER VVG arba EIP AGRI (žr. langelyje pateiktą pavyzdį).</w:t>
      </w:r>
    </w:p>
    <w:p w:rsidR="00A45935" w:rsidRPr="00E05D08" w:rsidRDefault="00547012"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anchor distT="0" distB="0" distL="114300" distR="114300" simplePos="0" relativeHeight="251734016" behindDoc="1" locked="0" layoutInCell="1" allowOverlap="1" wp14:anchorId="2A356B5B" wp14:editId="64ABF431">
                <wp:simplePos x="0" y="0"/>
                <wp:positionH relativeFrom="column">
                  <wp:posOffset>0</wp:posOffset>
                </wp:positionH>
                <wp:positionV relativeFrom="paragraph">
                  <wp:posOffset>299085</wp:posOffset>
                </wp:positionV>
                <wp:extent cx="5780405" cy="6553200"/>
                <wp:effectExtent l="0" t="0" r="10795" b="19050"/>
                <wp:wrapTight wrapText="bothSides">
                  <wp:wrapPolygon edited="0">
                    <wp:start x="854" y="0"/>
                    <wp:lineTo x="0" y="377"/>
                    <wp:lineTo x="0" y="21600"/>
                    <wp:lineTo x="20786" y="21600"/>
                    <wp:lineTo x="20857" y="21600"/>
                    <wp:lineTo x="21569" y="21160"/>
                    <wp:lineTo x="21569" y="0"/>
                    <wp:lineTo x="854" y="0"/>
                  </wp:wrapPolygon>
                </wp:wrapTight>
                <wp:docPr id="28" name="Rectangle: Diagonal Corners Rounded 28"/>
                <wp:cNvGraphicFramePr/>
                <a:graphic xmlns:a="http://schemas.openxmlformats.org/drawingml/2006/main">
                  <a:graphicData uri="http://schemas.microsoft.com/office/word/2010/wordprocessingShape">
                    <wps:wsp>
                      <wps:cNvSpPr/>
                      <wps:spPr>
                        <a:xfrm>
                          <a:off x="0" y="0"/>
                          <a:ext cx="5780405" cy="6553200"/>
                        </a:xfrm>
                        <a:prstGeom prst="round2DiagRect">
                          <a:avLst>
                            <a:gd name="adj1" fmla="val 6054"/>
                            <a:gd name="adj2" fmla="val 0"/>
                          </a:avLst>
                        </a:prstGeom>
                        <a:noFill/>
                        <a:ln w="25400" cap="flat" cmpd="sng" algn="ctr">
                          <a:solidFill>
                            <a:srgbClr val="F07E31"/>
                          </a:solidFill>
                          <a:prstDash val="solid"/>
                        </a:ln>
                        <a:effectLst/>
                      </wps:spPr>
                      <wps:txbx>
                        <w:txbxContent>
                          <w:p w:rsidR="001F67E3" w:rsidRPr="0079762F" w:rsidRDefault="001F67E3" w:rsidP="00E05D08">
                            <w:pPr>
                              <w:pStyle w:val="HStandard"/>
                              <w:ind w:left="567" w:hanging="567"/>
                              <w:rPr>
                                <w:i/>
                                <w:sz w:val="18"/>
                                <w:szCs w:val="18"/>
                              </w:rPr>
                            </w:pPr>
                            <w:r>
                              <w:rPr>
                                <w:noProof/>
                                <w:sz w:val="18"/>
                                <w:szCs w:val="18"/>
                                <w:lang w:val="en-GB" w:eastAsia="en-GB"/>
                              </w:rPr>
                              <w:drawing>
                                <wp:inline distT="0" distB="0" distL="0" distR="0" wp14:anchorId="0B55C8E3" wp14:editId="75086DA6">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Naujų idėjų plėtojimas ir inovacijų mainai:</w:t>
                            </w:r>
                          </w:p>
                          <w:p w:rsidR="001F67E3" w:rsidRPr="0079762F" w:rsidRDefault="001F67E3" w:rsidP="008C0B17">
                            <w:pPr>
                              <w:pStyle w:val="HStandard"/>
                              <w:numPr>
                                <w:ilvl w:val="0"/>
                                <w:numId w:val="26"/>
                              </w:numPr>
                              <w:ind w:left="567" w:hanging="567"/>
                              <w:rPr>
                                <w:sz w:val="18"/>
                                <w:szCs w:val="18"/>
                              </w:rPr>
                            </w:pPr>
                            <w:r>
                              <w:rPr>
                                <w:sz w:val="18"/>
                                <w:szCs w:val="18"/>
                              </w:rPr>
                              <w:t>Projektų pavyzdžių, apimančių visus KPP prioritetus, rinkimas: jie, pavyzdžiui, gali būti susiję su novatoriškais projektais arba su novatoriškų projektų duomenų bazių kūrimu ir taip gali padėti nustatyti inovacijas ir jomis dalytis;</w:t>
                            </w:r>
                          </w:p>
                          <w:p w:rsidR="001F67E3" w:rsidRPr="0079762F" w:rsidRDefault="001F67E3" w:rsidP="008C0B17">
                            <w:pPr>
                              <w:pStyle w:val="HStandard"/>
                              <w:numPr>
                                <w:ilvl w:val="0"/>
                                <w:numId w:val="26"/>
                              </w:numPr>
                              <w:ind w:left="567" w:hanging="567"/>
                              <w:rPr>
                                <w:sz w:val="18"/>
                                <w:szCs w:val="18"/>
                              </w:rPr>
                            </w:pPr>
                            <w:r>
                              <w:rPr>
                                <w:sz w:val="18"/>
                                <w:szCs w:val="18"/>
                              </w:rPr>
                              <w:t>kaimo plėtros suinteresuotųjų subjektų teminių ir analizės duomenų tarpusavio mainų palengvinimas, dalijimasis rezultatais ir jų sklaida. Tokiais mainais taip pat gali būti skatinamos inovacijos plėtojant naujas idėjas, jomis dalijantis ir sudarant sąlygas kurti naujas žinias;</w:t>
                            </w:r>
                          </w:p>
                          <w:p w:rsidR="001F67E3" w:rsidRDefault="001F67E3" w:rsidP="008C0B17">
                            <w:pPr>
                              <w:pStyle w:val="HStandard"/>
                              <w:numPr>
                                <w:ilvl w:val="0"/>
                                <w:numId w:val="26"/>
                              </w:numPr>
                              <w:ind w:left="567" w:hanging="567"/>
                              <w:rPr>
                                <w:sz w:val="18"/>
                                <w:szCs w:val="18"/>
                              </w:rPr>
                            </w:pPr>
                            <w:r>
                              <w:rPr>
                                <w:sz w:val="18"/>
                                <w:szCs w:val="18"/>
                              </w:rPr>
                              <w:t xml:space="preserve">su KPP susijusi viešinimo ir informavimo veikla ir informavimo bei komunikacijos veikla siekiant informuoti platesnę visuomenę. Šios priemonės gali apimti, </w:t>
                            </w:r>
                            <w:r>
                              <w:rPr>
                                <w:i/>
                                <w:sz w:val="18"/>
                                <w:szCs w:val="18"/>
                              </w:rPr>
                              <w:t>inter alia,</w:t>
                            </w:r>
                            <w:r>
                              <w:rPr>
                                <w:sz w:val="18"/>
                                <w:szCs w:val="18"/>
                              </w:rPr>
                              <w:t xml:space="preserve"> informavimą apie su inovacijomis susijusius KPP pasiektus rezultatus, EIP veiklos grupių pasiektus rezultatus, taip pat apie tai, kaip BIVP strategijomis ir partnerystėmis skatinamos inovacijos, ir apie tokių partnerysčių ir novatoriškų LEADER / BIVP projektų ir pan. pavyzdžius.</w:t>
                            </w:r>
                          </w:p>
                          <w:p w:rsidR="001F67E3" w:rsidRPr="00E05D08" w:rsidRDefault="001F67E3" w:rsidP="008A0CFF">
                            <w:pPr>
                              <w:pStyle w:val="HStandard"/>
                              <w:rPr>
                                <w:b/>
                                <w:color w:val="F07E31"/>
                                <w:sz w:val="18"/>
                                <w:szCs w:val="18"/>
                              </w:rPr>
                            </w:pPr>
                            <w:r>
                              <w:rPr>
                                <w:b/>
                                <w:color w:val="F07E31"/>
                                <w:sz w:val="18"/>
                                <w:szCs w:val="18"/>
                              </w:rPr>
                              <w:t>Gebėjimo diegti inovacijas stiprinimas:</w:t>
                            </w:r>
                          </w:p>
                          <w:p w:rsidR="001F67E3" w:rsidRPr="0079762F" w:rsidRDefault="001F67E3" w:rsidP="008A0CFF">
                            <w:pPr>
                              <w:pStyle w:val="HStandard"/>
                              <w:numPr>
                                <w:ilvl w:val="0"/>
                                <w:numId w:val="26"/>
                              </w:numPr>
                              <w:rPr>
                                <w:sz w:val="18"/>
                                <w:szCs w:val="18"/>
                              </w:rPr>
                            </w:pPr>
                            <w:r>
                              <w:rPr>
                                <w:sz w:val="18"/>
                                <w:szCs w:val="18"/>
                              </w:rPr>
                              <w:t>mokymo ir tinklaveikos veiklos, skirtos inovacijoms žemės ūkio, miškininkystės ir kituose su KPP susijusiuose sektoriuose skatinti, galimybių užtikrinimas konsultantams ir paramos inovacijoms paslaugų teikėjams. Konsultantų ir paramos inovacijoms paslaugų teikėjų mokymas gali, pavyzdžiui, palengvinti EIP veiklos grupių kūrimą ir taip padėti stiprinti gebėjimą diegti inovacijas kaimo vietovėse, kadangi numatoma, jog veiklos grupės parengs novatoriškus projektus;</w:t>
                            </w:r>
                          </w:p>
                          <w:p w:rsidR="001F67E3" w:rsidRPr="00ED3BAD" w:rsidRDefault="001F67E3" w:rsidP="008A0CFF">
                            <w:pPr>
                              <w:pStyle w:val="HStandard"/>
                              <w:numPr>
                                <w:ilvl w:val="0"/>
                                <w:numId w:val="26"/>
                              </w:numPr>
                              <w:rPr>
                                <w:sz w:val="18"/>
                                <w:szCs w:val="18"/>
                              </w:rPr>
                            </w:pPr>
                            <w:r>
                              <w:rPr>
                                <w:sz w:val="18"/>
                                <w:szCs w:val="18"/>
                              </w:rPr>
                              <w:t>mokymo ir tinklaveikos galimybių užtikrinimas VVG ir visų pirma techninės pagalbos tarpregioniniam ir tarptautiniam bendradarbiavimui teikimas, VVG tarpusavio bendradarbiavimo palengvinimas ir partnerių paieška pagal 16-ąją priemonę (bendradarbiavimas). Pavyzdžiui, NKT gali padėti palengvinti bendradarbiavimo pastangas, kuriomis remiamas eksperimentavimas ir inovacijos.</w:t>
                            </w:r>
                          </w:p>
                          <w:p w:rsidR="001F67E3" w:rsidRPr="0079762F" w:rsidRDefault="001F67E3" w:rsidP="008A0CFF">
                            <w:pPr>
                              <w:pStyle w:val="HStandard"/>
                              <w:ind w:left="567" w:hanging="567"/>
                              <w:rPr>
                                <w:i/>
                                <w:sz w:val="18"/>
                                <w:szCs w:val="18"/>
                              </w:rPr>
                            </w:pPr>
                            <w:r>
                              <w:rPr>
                                <w:b/>
                                <w:color w:val="F07E31"/>
                                <w:sz w:val="18"/>
                                <w:szCs w:val="18"/>
                              </w:rPr>
                              <w:t>Palankios inovacijoms aplinkos kūrimas:</w:t>
                            </w:r>
                          </w:p>
                          <w:p w:rsidR="001F67E3" w:rsidRPr="00ED3BAD" w:rsidRDefault="001F67E3" w:rsidP="008A0CFF">
                            <w:pPr>
                              <w:pStyle w:val="HStandard"/>
                              <w:numPr>
                                <w:ilvl w:val="0"/>
                                <w:numId w:val="29"/>
                              </w:numPr>
                              <w:ind w:left="567" w:hanging="567"/>
                              <w:rPr>
                                <w:sz w:val="18"/>
                                <w:szCs w:val="18"/>
                              </w:rPr>
                            </w:pPr>
                            <w:r>
                              <w:rPr>
                                <w:sz w:val="18"/>
                                <w:szCs w:val="18"/>
                              </w:rPr>
                              <w:t>dalyvavimas Europos tinklų, visų pirma EKPT ir EIP AGRI veikloje ir parama šiai veiklai gali sudaryti galimybę, pasinaudojant šiais tinklais, skatinti inovacijoms palankios aplinkos atsiradimą;</w:t>
                            </w:r>
                          </w:p>
                          <w:p w:rsidR="001F67E3" w:rsidRPr="00547012" w:rsidRDefault="001F67E3" w:rsidP="00547012">
                            <w:pPr>
                              <w:pStyle w:val="HStandard"/>
                              <w:numPr>
                                <w:ilvl w:val="0"/>
                                <w:numId w:val="29"/>
                              </w:numPr>
                              <w:ind w:left="567" w:hanging="567"/>
                              <w:rPr>
                                <w:sz w:val="18"/>
                                <w:szCs w:val="18"/>
                              </w:rPr>
                            </w:pPr>
                            <w:r>
                              <w:rPr>
                                <w:sz w:val="18"/>
                                <w:szCs w:val="18"/>
                              </w:rPr>
                              <w:t>NKT gali skatinti inovacijas susiedami inovacijų srities subjektus (ūkininkus, tyrėjus, NVO, VVG ir kt.), rinkdami informaciją, skatindami iniciatyvas pagal principą „iš apačios į viršų“, padėdami plėtoti novatoriškas idėjas ir teikdami paramą ieškant partnerių ir finansavimo, ir visa tai padeda kurti inovacijoms palankią aplinką.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56B5B" id="Rectangle: Diagonal Corners Rounded 28" o:spid="_x0000_s1050" style="position:absolute;left:0;text-align:left;margin-left:0;margin-top:23.55pt;width:455.15pt;height:51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0405,655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" adj="-11796480,,5400" path="m349946,l5780405,r,l5780405,6203254v,193270,-156676,349946,-349946,349946l,6553200r,l,349946c,156676,156676,,349946,xe" filled="f" strokecolor="#f07e31" strokeweight="2pt">
                <v:stroke joinstyle="miter"/>
                <v:formulas/>
                <v:path arrowok="t" o:connecttype="custom" o:connectlocs="349946,0;5780405,0;5780405,0;5780405,6203254;5430459,6553200;0,6553200;0,6553200;0,349946;349946,0" o:connectangles="0,0,0,0,0,0,0,0,0" textboxrect="0,0,5780405,6553200"/>
                <v:textbox>
                  <w:txbxContent>
                    <w:p w:rsidR="001F67E3" w:rsidRPr="0079762F" w:rsidRDefault="001F67E3" w:rsidP="00E05D08">
                      <w:pPr>
                        <w:pStyle w:val="HStandard"/>
                        <w:ind w:left="567" w:hanging="567"/>
                        <w:rPr>
                          <w:i/>
                          <w:sz w:val="18"/>
                          <w:szCs w:val="18"/>
                        </w:rPr>
                      </w:pPr>
                      <w:r>
                        <w:rPr>
                          <w:noProof/>
                          <w:sz w:val="18"/>
                          <w:szCs w:val="18"/>
                          <w:lang w:val="en-GB" w:eastAsia="en-GB"/>
                        </w:rPr>
                        <w:drawing>
                          <wp:inline distT="0" distB="0" distL="0" distR="0" wp14:anchorId="0B55C8E3" wp14:editId="75086DA6">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Naujų idėjų plėtojimas ir inovacijų mainai:</w:t>
                      </w:r>
                    </w:p>
                    <w:p w:rsidR="001F67E3" w:rsidRPr="0079762F" w:rsidRDefault="001F67E3" w:rsidP="008C0B17">
                      <w:pPr>
                        <w:pStyle w:val="HStandard"/>
                        <w:numPr>
                          <w:ilvl w:val="0"/>
                          <w:numId w:val="26"/>
                        </w:numPr>
                        <w:ind w:left="567" w:hanging="567"/>
                        <w:rPr>
                          <w:sz w:val="18"/>
                          <w:szCs w:val="18"/>
                        </w:rPr>
                      </w:pPr>
                      <w:r>
                        <w:rPr>
                          <w:sz w:val="18"/>
                          <w:szCs w:val="18"/>
                        </w:rPr>
                        <w:t>Projektų pavyzdžių, apimančių visus KPP prioritetus, rinkimas: jie, pavyzdžiui, gali būti susiję su novatoriškais projektais arba su novatoriškų projektų duomenų bazių kūrimu ir taip gali padėti nustatyti inovacijas ir jomis dalytis;</w:t>
                      </w:r>
                    </w:p>
                    <w:p w:rsidR="001F67E3" w:rsidRPr="0079762F" w:rsidRDefault="001F67E3" w:rsidP="008C0B17">
                      <w:pPr>
                        <w:pStyle w:val="HStandard"/>
                        <w:numPr>
                          <w:ilvl w:val="0"/>
                          <w:numId w:val="26"/>
                        </w:numPr>
                        <w:ind w:left="567" w:hanging="567"/>
                        <w:rPr>
                          <w:sz w:val="18"/>
                          <w:szCs w:val="18"/>
                        </w:rPr>
                      </w:pPr>
                      <w:r>
                        <w:rPr>
                          <w:sz w:val="18"/>
                          <w:szCs w:val="18"/>
                        </w:rPr>
                        <w:t>kaimo plėtros suinteresuotųjų subjektų teminių ir analizės duomenų tarpusavio mainų palengvinimas, dalijimasis rezultatais ir jų sklaida. Tokiais mainais taip pat gali būti skatinamos inovacijos plėtojant naujas idėjas, jomis dalijantis ir sudarant sąlygas kurti naujas žinias;</w:t>
                      </w:r>
                    </w:p>
                    <w:p w:rsidR="001F67E3" w:rsidRDefault="001F67E3" w:rsidP="008C0B17">
                      <w:pPr>
                        <w:pStyle w:val="HStandard"/>
                        <w:numPr>
                          <w:ilvl w:val="0"/>
                          <w:numId w:val="26"/>
                        </w:numPr>
                        <w:ind w:left="567" w:hanging="567"/>
                        <w:rPr>
                          <w:sz w:val="18"/>
                          <w:szCs w:val="18"/>
                        </w:rPr>
                      </w:pPr>
                      <w:r>
                        <w:rPr>
                          <w:sz w:val="18"/>
                          <w:szCs w:val="18"/>
                        </w:rPr>
                        <w:t xml:space="preserve">su KPP susijusi viešinimo ir informavimo veikla ir informavimo bei komunikacijos veikla siekiant informuoti platesnę visuomenę. Šios priemonės gali apimti, </w:t>
                      </w:r>
                      <w:r>
                        <w:rPr>
                          <w:i/>
                          <w:sz w:val="18"/>
                          <w:szCs w:val="18"/>
                        </w:rPr>
                        <w:t>inter alia,</w:t>
                      </w:r>
                      <w:r>
                        <w:rPr>
                          <w:sz w:val="18"/>
                          <w:szCs w:val="18"/>
                        </w:rPr>
                        <w:t xml:space="preserve"> informavimą apie su inovacijomis susijusius KPP pasiektus rezultatus, EIP veiklos grupių pasiektus rezultatus, taip pat apie tai, kaip BIVP strategijomis ir partnerystėmis skatinamos inovacijos, ir apie tokių partnerysčių ir novatoriškų LEADER / BIVP projektų ir pan. pavyzdžius.</w:t>
                      </w:r>
                    </w:p>
                    <w:p w:rsidR="001F67E3" w:rsidRPr="00E05D08" w:rsidRDefault="001F67E3" w:rsidP="008A0CFF">
                      <w:pPr>
                        <w:pStyle w:val="HStandard"/>
                        <w:rPr>
                          <w:b/>
                          <w:color w:val="F07E31"/>
                          <w:sz w:val="18"/>
                          <w:szCs w:val="18"/>
                        </w:rPr>
                      </w:pPr>
                      <w:r>
                        <w:rPr>
                          <w:b/>
                          <w:color w:val="F07E31"/>
                          <w:sz w:val="18"/>
                          <w:szCs w:val="18"/>
                        </w:rPr>
                        <w:t>Gebėjimo diegti inovacijas stiprinimas:</w:t>
                      </w:r>
                    </w:p>
                    <w:p w:rsidR="001F67E3" w:rsidRPr="0079762F" w:rsidRDefault="001F67E3" w:rsidP="008A0CFF">
                      <w:pPr>
                        <w:pStyle w:val="HStandard"/>
                        <w:numPr>
                          <w:ilvl w:val="0"/>
                          <w:numId w:val="26"/>
                        </w:numPr>
                        <w:rPr>
                          <w:sz w:val="18"/>
                          <w:szCs w:val="18"/>
                        </w:rPr>
                      </w:pPr>
                      <w:r>
                        <w:rPr>
                          <w:sz w:val="18"/>
                          <w:szCs w:val="18"/>
                        </w:rPr>
                        <w:t>mokymo ir tinklaveikos veiklos, skirtos inovacijoms žemės ūkio, miškininkystės ir kituose su KPP susijusiuose sektoriuose skatinti, galimybių užtikrinimas konsultantams ir paramos inovacijoms paslaugų teikėjams. Konsultantų ir paramos inovacijoms paslaugų teikėjų mokymas gali, pavyzdžiui, palengvinti EIP veiklos grupių kūrimą ir taip padėti stiprinti gebėjimą diegti inovacijas kaimo vietovėse, kadangi numatoma, jog veiklos grupės parengs novatoriškus projektus;</w:t>
                      </w:r>
                    </w:p>
                    <w:p w:rsidR="001F67E3" w:rsidRPr="00ED3BAD" w:rsidRDefault="001F67E3" w:rsidP="008A0CFF">
                      <w:pPr>
                        <w:pStyle w:val="HStandard"/>
                        <w:numPr>
                          <w:ilvl w:val="0"/>
                          <w:numId w:val="26"/>
                        </w:numPr>
                        <w:rPr>
                          <w:sz w:val="18"/>
                          <w:szCs w:val="18"/>
                        </w:rPr>
                      </w:pPr>
                      <w:r>
                        <w:rPr>
                          <w:sz w:val="18"/>
                          <w:szCs w:val="18"/>
                        </w:rPr>
                        <w:t>mokymo ir tinklaveikos galimybių užtikrinimas VVG ir visų pirma techninės pagalbos tarpregioniniam ir tarptautiniam bendradarbiavimui teikimas, VVG tarpusavio bendradarbiavimo palengvinimas ir partnerių paieška pagal 16-ąją priemonę (bendradarbiavimas). Pavyzdžiui, NKT gali padėti palengvinti bendradarbiavimo pastangas, kuriomis remiamas eksperimentavimas ir inovacijos.</w:t>
                      </w:r>
                    </w:p>
                    <w:p w:rsidR="001F67E3" w:rsidRPr="0079762F" w:rsidRDefault="001F67E3" w:rsidP="008A0CFF">
                      <w:pPr>
                        <w:pStyle w:val="HStandard"/>
                        <w:ind w:left="567" w:hanging="567"/>
                        <w:rPr>
                          <w:i/>
                          <w:sz w:val="18"/>
                          <w:szCs w:val="18"/>
                        </w:rPr>
                      </w:pPr>
                      <w:r>
                        <w:rPr>
                          <w:b/>
                          <w:color w:val="F07E31"/>
                          <w:sz w:val="18"/>
                          <w:szCs w:val="18"/>
                        </w:rPr>
                        <w:t>Palankios inovacijoms aplinkos kūrimas:</w:t>
                      </w:r>
                    </w:p>
                    <w:p w:rsidR="001F67E3" w:rsidRPr="00ED3BAD" w:rsidRDefault="001F67E3" w:rsidP="008A0CFF">
                      <w:pPr>
                        <w:pStyle w:val="HStandard"/>
                        <w:numPr>
                          <w:ilvl w:val="0"/>
                          <w:numId w:val="29"/>
                        </w:numPr>
                        <w:ind w:left="567" w:hanging="567"/>
                        <w:rPr>
                          <w:sz w:val="18"/>
                          <w:szCs w:val="18"/>
                        </w:rPr>
                      </w:pPr>
                      <w:r>
                        <w:rPr>
                          <w:sz w:val="18"/>
                          <w:szCs w:val="18"/>
                        </w:rPr>
                        <w:t>dalyvavimas Europos tinklų, visų pirma EKPT ir EIP AGRI veikloje ir parama šiai veiklai gali sudaryti galimybę, pasinaudojant šiais tinklais, skatinti inovacijoms palankios aplinkos atsiradimą;</w:t>
                      </w:r>
                    </w:p>
                    <w:p w:rsidR="001F67E3" w:rsidRPr="00547012" w:rsidRDefault="001F67E3" w:rsidP="00547012">
                      <w:pPr>
                        <w:pStyle w:val="HStandard"/>
                        <w:numPr>
                          <w:ilvl w:val="0"/>
                          <w:numId w:val="29"/>
                        </w:numPr>
                        <w:ind w:left="567" w:hanging="567"/>
                        <w:rPr>
                          <w:sz w:val="18"/>
                          <w:szCs w:val="18"/>
                        </w:rPr>
                      </w:pPr>
                      <w:r>
                        <w:rPr>
                          <w:sz w:val="18"/>
                          <w:szCs w:val="18"/>
                        </w:rPr>
                        <w:t>NKT gali skatinti inovacijas susiedami inovacijų srities subjektus (ūkininkus, tyrėjus, NVO, VVG ir kt.), rinkdami informaciją, skatindami iniciatyvas pagal principą „iš apačios į viršų“, padėdami plėtoti novatoriškas idėjas ir teikdami paramą ieškant partnerių ir finansavimo, ir visa tai padeda kurti inovacijoms palankią aplinką.</w:t>
                      </w:r>
                    </w:p>
                  </w:txbxContent>
                </v:textbox>
                <w10:wrap type="tight"/>
              </v:shape>
            </w:pict>
          </mc:Fallback>
        </mc:AlternateContent>
      </w:r>
    </w:p>
    <w:p w:rsidR="00A45935" w:rsidRPr="00E05D08" w:rsidRDefault="00A45935" w:rsidP="00E05D08">
      <w:pPr>
        <w:spacing w:before="120"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before="120" w:after="120" w:line="280" w:lineRule="atLeast"/>
        <w:mirrorIndents/>
        <w:rPr>
          <w:rFonts w:eastAsia="Times New Roman" w:cs="Times New Roman"/>
          <w:szCs w:val="20"/>
        </w:rPr>
      </w:pPr>
      <w:r>
        <w:t>Pažymėtina, kad šis vertinimo klausimas yra susijęs su inovacijų skatinimu per NKT ne tik žemės ūkio srityje, bet ir visose kaimo vietovėse. NKT gali veikti įvairiais būdais siekdami skatinti inovacijas ir įnešti kažką naujo į kaimo bendruomenių veiklą, pasitelkdami šias priemones:</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darbą su kaimo organizacijomis ir įmonėmis siekiant sukurti naujas idėjas ir požiūrius, kurių reikia bendriems poreikiams tenkinti;</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gerosios patirties panaudojimą susiejant kaimo plėtros specialistus su atitinkamais ekspertais, aukštojo mokslo įstaigomis ir mokslinių tyrimų institutais;</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mokymo konkrečiomis su inovacijomis susijusiomis temomis rengimą;</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lastRenderedPageBreak/>
        <w:t xml:space="preserve">pagalbą VVG ir LEADER suinteresuotiesiems subjektams remiant inovacijas, kaip pagrindinį jų vietos plėtros strategijų principą, ir „inkubuoti“ naujas idėjas bei požiūrius. </w:t>
      </w:r>
    </w:p>
    <w:p w:rsidR="00A45935" w:rsidRPr="00E05D08" w:rsidRDefault="00A45935" w:rsidP="00E05D08">
      <w:pPr>
        <w:spacing w:after="120" w:line="280" w:lineRule="atLeast"/>
        <w:mirrorIndents/>
        <w:rPr>
          <w:rFonts w:eastAsia="Times New Roman" w:cs="Times New Roman"/>
          <w:szCs w:val="20"/>
        </w:rPr>
      </w:pPr>
      <w:r>
        <w:t>Todėl prieš vertinant 21-ąjį BVK, svarbu išsiaiškinti šiuos aspektus ir gerai suprasti, kaip atitinkamas NKT savo veikla gali padėti skatinti inovacijas.</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Konkretūs iššūkiai </w:t>
      </w:r>
    </w:p>
    <w:p w:rsidR="00A45935" w:rsidRPr="00C9522B" w:rsidRDefault="00A45935" w:rsidP="00547012">
      <w:pPr>
        <w:pStyle w:val="Hlistbullet"/>
      </w:pPr>
      <w:r>
        <w:rPr>
          <w:b/>
          <w:shd w:val="clear" w:color="auto" w:fill="FFFFFF"/>
        </w:rPr>
        <w:t>Papildomų ir konkrečios programos vertinimo elementų, naudojamų vertinant su NKT susijusias inovacijas, parengimas</w:t>
      </w:r>
      <w:r>
        <w:rPr>
          <w:shd w:val="clear" w:color="auto" w:fill="FFFFFF"/>
        </w:rPr>
        <w:t>. Kaip</w:t>
      </w:r>
      <w:r>
        <w:t xml:space="preserve">, be BSVS jau nustatytų produkto rodiklių, naudojamų atsakant į 21-ąjį BVK, galima sukurti ir naudoti papildomus (rezultato ir poveikio) </w:t>
      </w:r>
      <w:r>
        <w:rPr>
          <w:shd w:val="clear" w:color="auto" w:fill="FFFFFF"/>
        </w:rPr>
        <w:t xml:space="preserve">rodiklius </w:t>
      </w:r>
      <w:r>
        <w:t xml:space="preserve">, atsižvelgiant į inovacijų skatinimo siekį? </w:t>
      </w:r>
    </w:p>
    <w:p w:rsidR="00A45935" w:rsidRPr="00C9522B" w:rsidRDefault="00A45935" w:rsidP="00547012">
      <w:pPr>
        <w:pStyle w:val="Hlistbullet"/>
      </w:pPr>
      <w:r>
        <w:rPr>
          <w:b/>
          <w:shd w:val="clear" w:color="auto" w:fill="FFFFFF"/>
        </w:rPr>
        <w:t xml:space="preserve">Inovacijų procesų susiejimas su NKT intervenciniais veiksmais. </w:t>
      </w:r>
      <w:r>
        <w:rPr>
          <w:shd w:val="clear" w:color="auto" w:fill="FFFFFF"/>
        </w:rPr>
        <w:t xml:space="preserve">Kaip įvertinti mastą, kuriuo kaimo vietovėse inicijuoti inovacijų procesai gali būti tiesiogiai arba </w:t>
      </w:r>
      <w:r>
        <w:t>netiesiogiai</w:t>
      </w:r>
      <w:r>
        <w:rPr>
          <w:shd w:val="clear" w:color="auto" w:fill="FFFFFF"/>
        </w:rPr>
        <w:t xml:space="preserve"> susieti su NKT intervenciniais veiksmais?</w:t>
      </w:r>
    </w:p>
    <w:p w:rsidR="00A45935" w:rsidRPr="00C9522B" w:rsidRDefault="00A45935" w:rsidP="00547012">
      <w:pPr>
        <w:pStyle w:val="Hlistbullet"/>
      </w:pPr>
      <w:r>
        <w:rPr>
          <w:b/>
        </w:rPr>
        <w:t>KPP skatinamų inovacijų susiejimas su NKT</w:t>
      </w:r>
      <w:r>
        <w:t xml:space="preserve">, visų pirma įvertinant mastą, kuriuo KPP skatinamos inovacijos gali būti susietos su NKT veikla. Tai reiškia, kad NKT veiklos poveikis inovacijų skatinimui turėtų būti vertinamas atskirai nuo kitų KPP intervencinių veiksmų (kitų priemonių ir pan.) poveikio.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Metodas, kurį siūloma taikyti atsakant į 21-ąjį BVK</w:t>
      </w:r>
    </w:p>
    <w:p w:rsidR="00A45935" w:rsidRPr="00A304B0"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Intervencinių veiksmų loginis pagrindas </w:t>
      </w:r>
    </w:p>
    <w:p w:rsidR="00A45935" w:rsidRPr="00E05D08" w:rsidRDefault="00A45935" w:rsidP="00E05D08">
      <w:pPr>
        <w:spacing w:after="120" w:line="280" w:lineRule="atLeast"/>
        <w:mirrorIndents/>
        <w:rPr>
          <w:rFonts w:eastAsia="Times New Roman" w:cs="Times New Roman"/>
          <w:szCs w:val="20"/>
        </w:rPr>
      </w:pPr>
      <w:r>
        <w:t>KPP taikomas požiūris į inovacijas, nustatytas programos rengimo etape,</w:t>
      </w:r>
      <w:r>
        <w:rPr>
          <w:rFonts w:eastAsia="Times New Roman" w:cs="Times New Roman"/>
          <w:szCs w:val="20"/>
          <w:vertAlign w:val="superscript"/>
          <w:lang w:eastAsia="de-DE"/>
        </w:rPr>
        <w:footnoteReference w:id="61"/>
      </w:r>
      <w:r>
        <w:t xml:space="preserve"> taip pat apima NKT veiklą. Rengiant vertinimą, kurio ataskaita bus pateikta 2019 m. MĮA, atliekama į NKT veiksmų planą įtrauktų NKT veiksmų grupės analizė, susijusi su galimybe šiais veiksmais skatinti inovacijas, taip pat, kaip ir atliekant KPP priemonių vertinimą. Tai susiję su tokiu NKT potencialu, kaip: a) naujų idėjų nustatymas ir mainai, b) gebėjimo diegti inovacijas stiprinimas, c) palankios inovacijoms aplinkos kūrimas. Todėl visa pagal NKT veiksmų, kurie, kaip nustatyta, turi inovacijų skatinimo potencialią, grupę įgyvendinta veikla laikoma su inovacijomis susijusių NKT intervencinių veiksmų loginiu pagrindu.</w:t>
      </w:r>
    </w:p>
    <w:p w:rsidR="00A45935" w:rsidRPr="00E05D08" w:rsidRDefault="00A45935" w:rsidP="006E2A31">
      <w:pPr>
        <w:pStyle w:val="HStandard"/>
        <w:rPr>
          <w:b/>
          <w:sz w:val="16"/>
        </w:rPr>
      </w:pPr>
      <w:r>
        <w:t xml:space="preserve">Toliau pateiktoje diagramoje parodyta su inovacijomis susijusių NKT intervencinių veiksmų loginis pagrindas ir kaip jį galima atkurti remiantis esamu NKT intervencinių veiksmų loginiu pagrindu arba NKT veiksmų planu. </w:t>
      </w:r>
      <w:r>
        <w:br w:type="page"/>
      </w:r>
    </w:p>
    <w:p w:rsidR="00A45935" w:rsidRPr="00CB68D9" w:rsidRDefault="00A45935" w:rsidP="00676B41">
      <w:pPr>
        <w:pStyle w:val="HHeadingfigures"/>
      </w:pPr>
      <w:bookmarkStart w:id="118" w:name="_Toc508984041"/>
      <w:r>
        <w:lastRenderedPageBreak/>
        <w:t>Su inovacijomis susijusių NKT intervencinių veiksmų loginis pagrindas</w:t>
      </w:r>
      <w:bookmarkEnd w:id="118"/>
    </w:p>
    <w:p w:rsidR="00A45935" w:rsidRPr="00E05D08" w:rsidRDefault="009A2936" w:rsidP="00E05D08">
      <w:pPr>
        <w:spacing w:before="240" w:after="120" w:line="280" w:lineRule="atLeast"/>
        <w:ind w:left="-142"/>
        <w:mirrorIndents/>
        <w:jc w:val="center"/>
        <w:rPr>
          <w:rFonts w:eastAsia="Times New Roman" w:cs="Times New Roman"/>
          <w:b/>
          <w:szCs w:val="20"/>
        </w:rPr>
      </w:pPr>
      <w:r w:rsidRPr="009A2936">
        <w:rPr>
          <w:noProof/>
          <w:lang w:val="en-GB" w:eastAsia="en-GB"/>
        </w:rPr>
        <w:drawing>
          <wp:inline distT="0" distB="0" distL="0" distR="0" wp14:anchorId="4DCA2A99" wp14:editId="5FD0FEB4">
            <wp:extent cx="5731510" cy="3695684"/>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31510" cy="3695684"/>
                    </a:xfrm>
                    <a:prstGeom prst="rect">
                      <a:avLst/>
                    </a:prstGeom>
                  </pic:spPr>
                </pic:pic>
              </a:graphicData>
            </a:graphic>
          </wp:inline>
        </w:drawing>
      </w:r>
    </w:p>
    <w:p w:rsidR="00A45935" w:rsidRPr="00E05D08" w:rsidRDefault="00A45935" w:rsidP="00177C4F">
      <w:pPr>
        <w:suppressAutoHyphens/>
        <w:spacing w:before="60" w:after="140" w:line="240" w:lineRule="auto"/>
        <w:mirrorIndents/>
        <w:jc w:val="center"/>
        <w:rPr>
          <w:rFonts w:eastAsia="Times New Roman" w:cs="Times New Roman"/>
          <w:i/>
          <w:sz w:val="16"/>
          <w:szCs w:val="20"/>
        </w:rPr>
      </w:pPr>
      <w:r>
        <w:rPr>
          <w:i/>
          <w:sz w:val="16"/>
          <w:szCs w:val="20"/>
        </w:rPr>
        <w:t>Šaltinis: Europos kaimo plėtros vertinimo pagalbos tarnyba, 2017 m.</w:t>
      </w:r>
    </w:p>
    <w:p w:rsidR="00A45935" w:rsidRPr="00E05D08" w:rsidRDefault="00A45935" w:rsidP="00E05D08">
      <w:pPr>
        <w:spacing w:before="120" w:after="120" w:line="280" w:lineRule="atLeast"/>
        <w:mirrorIndents/>
        <w:rPr>
          <w:rFonts w:eastAsia="Times New Roman" w:cs="Times New Roman"/>
          <w:szCs w:val="20"/>
        </w:rPr>
      </w:pPr>
      <w:r>
        <w:t>Remiantis diagrama, su inovacijomis susijusių NKT intervencinių veiksmų loginį pagrindą galima atkurti taip:</w:t>
      </w:r>
    </w:p>
    <w:p w:rsidR="00A45935" w:rsidRPr="00BC2432" w:rsidRDefault="00A45935" w:rsidP="00676B41">
      <w:pPr>
        <w:pStyle w:val="Hlistbullet"/>
      </w:pPr>
      <w:r>
        <w:rPr>
          <w:b/>
        </w:rPr>
        <w:t>1 VEIKSMAS</w:t>
      </w:r>
      <w:r>
        <w:t xml:space="preserve">. Nustatykite KPP teritorijos inovacijų poreikius, kuriuos galima patenkinti panaudojant kaimo tinklus; </w:t>
      </w:r>
    </w:p>
    <w:p w:rsidR="00A45935" w:rsidRPr="00BC2432" w:rsidRDefault="00A45935" w:rsidP="00676B41">
      <w:pPr>
        <w:pStyle w:val="Hlistbullet"/>
      </w:pPr>
      <w:r>
        <w:rPr>
          <w:b/>
        </w:rPr>
        <w:t>2 ETAPAS.</w:t>
      </w:r>
      <w:r>
        <w:t xml:space="preserve"> Susiekite NKT veiksmų plane pateiktus veiksmus (ir iš anksto nustatytus 2014–2020 m. programavimo laikotarpio reglamentavimo sistemoje</w:t>
      </w:r>
      <w:r>
        <w:rPr>
          <w:rFonts w:cs="Arial"/>
          <w:vertAlign w:val="superscript"/>
        </w:rPr>
        <w:footnoteReference w:id="62"/>
      </w:r>
      <w:r>
        <w:t>) su trimis kryptimis ir atitinkamai su bendru inovacijų skatinimo per NKT tikslu (pagrįstu priemonių inovacijų skatinimo potencialo analize – žr. </w:t>
      </w:r>
      <w:hyperlink w:anchor="Screening_Potential" w:history="1">
        <w:r>
          <w:rPr>
            <w:rStyle w:val="Hyperlink"/>
            <w:sz w:val="20"/>
          </w:rPr>
          <w:t>2.2 skyrių</w:t>
        </w:r>
      </w:hyperlink>
      <w:r>
        <w:t>).</w:t>
      </w:r>
    </w:p>
    <w:p w:rsidR="00A45935" w:rsidRPr="00BC2432" w:rsidRDefault="00A45935" w:rsidP="00676B41">
      <w:pPr>
        <w:pStyle w:val="Hlistbullet"/>
      </w:pPr>
      <w:r>
        <w:rPr>
          <w:b/>
        </w:rPr>
        <w:t>3 ETAPAS.</w:t>
      </w:r>
      <w:r>
        <w:t xml:space="preserve"> Taikykite pokyčių teorijos metodą, kad galėtumėte apibrėžti įgyvendinant veiklą pasiektus numatomus rodiklius, kurie leidžia pasiekti su trimis kryptimis susijusių numatomų rezultatų. Su bendraisiais NKT tikslais ir KPP tikslais susijęs poveikis. </w:t>
      </w:r>
    </w:p>
    <w:p w:rsidR="00A45935" w:rsidRPr="00E05D08"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Vertinimo elementai </w:t>
      </w:r>
    </w:p>
    <w:p w:rsidR="00A45935" w:rsidRPr="00E05D08" w:rsidRDefault="00A45935" w:rsidP="00676B41">
      <w:pPr>
        <w:spacing w:after="120" w:line="280" w:lineRule="atLeast"/>
        <w:ind w:left="142"/>
        <w:mirrorIndents/>
        <w:rPr>
          <w:rFonts w:eastAsia="Times New Roman" w:cs="Times New Roman"/>
          <w:szCs w:val="20"/>
        </w:rPr>
      </w:pPr>
      <w:r>
        <w:t>Atsakant į 21-ąjį BVK, taikomas vienas vertinimo kriterijus, būtent „NKT suteikė paskatą inovacijoms kaimo vietovėse, žemės ūkio, maisto gamybos, miškininkystės srityse“</w:t>
      </w:r>
      <w:r>
        <w:rPr>
          <w:rFonts w:eastAsia="Times New Roman" w:cs="Times New Roman"/>
          <w:szCs w:val="20"/>
          <w:vertAlign w:val="superscript"/>
          <w:lang w:eastAsia="de-DE"/>
        </w:rPr>
        <w:footnoteReference w:id="63"/>
      </w:r>
      <w:r>
        <w:t>. Šiam kriterijui paremti naudojami du bendrieji produkto rodikliai</w:t>
      </w:r>
      <w:r>
        <w:rPr>
          <w:rFonts w:eastAsia="Times New Roman" w:cs="Times New Roman"/>
          <w:szCs w:val="20"/>
          <w:vertAlign w:val="superscript"/>
          <w:lang w:eastAsia="de-DE"/>
        </w:rPr>
        <w:footnoteReference w:id="64"/>
      </w:r>
      <w:r>
        <w:t>:</w:t>
      </w:r>
    </w:p>
    <w:p w:rsidR="00A45935" w:rsidRPr="005D0347" w:rsidRDefault="00A45935" w:rsidP="008C0B17">
      <w:pPr>
        <w:numPr>
          <w:ilvl w:val="0"/>
          <w:numId w:val="95"/>
        </w:numPr>
        <w:tabs>
          <w:tab w:val="left" w:pos="426"/>
        </w:tabs>
        <w:ind w:left="426" w:hanging="284"/>
        <w:mirrorIndents/>
        <w:rPr>
          <w:szCs w:val="20"/>
        </w:rPr>
      </w:pPr>
      <w:r>
        <w:t>Teminių ir analizės duomenų mainų, kurie buvo sukurti padedant NKT, skaičius (O.24 rodiklis)</w:t>
      </w:r>
    </w:p>
    <w:p w:rsidR="00A45935" w:rsidRPr="005D0347" w:rsidRDefault="00A45935" w:rsidP="008C0B17">
      <w:pPr>
        <w:numPr>
          <w:ilvl w:val="0"/>
          <w:numId w:val="95"/>
        </w:numPr>
        <w:tabs>
          <w:tab w:val="left" w:pos="426"/>
        </w:tabs>
        <w:ind w:left="426" w:hanging="284"/>
        <w:mirrorIndents/>
        <w:rPr>
          <w:szCs w:val="20"/>
        </w:rPr>
      </w:pPr>
      <w:r>
        <w:t>Europos kaimo plėtros tinklo veiklos sričių, kuriose dalyvavo NKT, skaičius (O.26 rodiklis)</w:t>
      </w:r>
    </w:p>
    <w:p w:rsidR="00A45935" w:rsidRPr="00E05D08" w:rsidRDefault="00A45935" w:rsidP="00E05D08">
      <w:pPr>
        <w:spacing w:after="120" w:line="280" w:lineRule="atLeast"/>
        <w:mirrorIndents/>
        <w:rPr>
          <w:rFonts w:eastAsia="Times New Roman" w:cs="Times New Roman"/>
          <w:szCs w:val="20"/>
        </w:rPr>
      </w:pPr>
      <w:r>
        <w:lastRenderedPageBreak/>
        <w:t>Siūlomi papildomi vertinimo kriterijai ir rodikliai pateikti 5 lentelėje. Šiuo tikslu esamas vertinimo kriterijus buvo išskaidytas į keletą kriterijų pagal tris inovacijų skatinimo kryptis.</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412D26" w:rsidRDefault="00A45935" w:rsidP="00412D26">
      <w:pPr>
        <w:pStyle w:val="HHeadingtables"/>
        <w:rPr>
          <w:color w:val="6F6F6F"/>
          <w:sz w:val="18"/>
          <w:szCs w:val="18"/>
        </w:rPr>
      </w:pPr>
      <w:bookmarkStart w:id="119" w:name="_Toc508979909"/>
      <w:r>
        <w:rPr>
          <w:color w:val="6F6F6F"/>
          <w:sz w:val="18"/>
          <w:szCs w:val="18"/>
        </w:rPr>
        <w:lastRenderedPageBreak/>
        <w:t>Papildomi vertinimo kriterijai, rodikliai ir duomenys, kuriuos siūloma taikyti atsakant į 21-ąjį BVK</w:t>
      </w:r>
      <w:bookmarkEnd w:id="119"/>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E05D08" w:rsidTr="00E05D08">
        <w:trPr>
          <w:tblHeader/>
        </w:trPr>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Vertinimo kriterijai</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Rodikliai</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Reikalingi duomenys</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Duomenų šaltiniai</w:t>
            </w:r>
          </w:p>
        </w:tc>
      </w:tr>
      <w:tr w:rsidR="00A45935" w:rsidRPr="00E05D08" w:rsidTr="00E05D08">
        <w:trPr>
          <w:trHeight w:val="290"/>
        </w:trPr>
        <w:tc>
          <w:tcPr>
            <w:tcW w:w="14032" w:type="dxa"/>
            <w:gridSpan w:val="4"/>
            <w:shd w:val="clear" w:color="auto" w:fill="8BAB80"/>
          </w:tcPr>
          <w:p w:rsidR="00A45935" w:rsidRPr="00E54013" w:rsidRDefault="00A45935" w:rsidP="00E05D08">
            <w:pPr>
              <w:spacing w:after="120" w:line="280" w:lineRule="atLeast"/>
              <w:mirrorIndents/>
              <w:rPr>
                <w:rFonts w:cs="Arial"/>
                <w:b/>
                <w:color w:val="FFFFFF"/>
                <w:sz w:val="18"/>
                <w:szCs w:val="18"/>
              </w:rPr>
            </w:pPr>
            <w:r>
              <w:rPr>
                <w:b/>
                <w:color w:val="FFFFFF"/>
                <w:sz w:val="18"/>
                <w:szCs w:val="18"/>
              </w:rPr>
              <w:t>Bendrieji vertinimo elementai (BSVS ir darbiniame dokumente „2014–2020 m. bendrieji vertinimo klausimai“ pateikti siūlomi elementai)</w:t>
            </w:r>
          </w:p>
        </w:tc>
      </w:tr>
      <w:tr w:rsidR="00A45935" w:rsidRPr="00E05D08" w:rsidTr="00E05D08">
        <w:trPr>
          <w:trHeight w:val="500"/>
        </w:trPr>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NKT suteikė paskatą inovacijoms kaimo vietovėse, žemės ūkio, maisto gamybos, miškininkystės srityse</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O.24. Teminių ir analizės duomenų mainų (susijusių su inovacijomis), kurie buvo įdiegti remiant NKT, skaičius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O.25. NKT ryšių priemonių skaičius (susijusių su inovacijomis)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O.26. Europos kaimo plėtros tinklo veiklos sričių (susijusių su inovacijomis), kuriose dalyvavo NKT, skaičius  </w:t>
            </w:r>
          </w:p>
          <w:p w:rsidR="00A45935" w:rsidRPr="00385368" w:rsidRDefault="00A45935" w:rsidP="007E63EF">
            <w:pPr>
              <w:spacing w:after="120" w:line="280" w:lineRule="atLeast"/>
              <w:jc w:val="left"/>
              <w:rPr>
                <w:rFonts w:eastAsia="Calibri" w:cs="Arial"/>
                <w:color w:val="57825E"/>
                <w:sz w:val="18"/>
                <w:szCs w:val="18"/>
                <w:u w:val="single"/>
                <w14:textFill>
                  <w14:solidFill>
                    <w14:srgbClr w14:val="57825E">
                      <w14:lumMod w14:val="75000"/>
                      <w14:lumMod w14:val="75000"/>
                    </w14:srgbClr>
                  </w14:solidFill>
                </w14:textFill>
              </w:rPr>
            </w:pPr>
            <w:r>
              <w:rPr>
                <w:color w:val="57825E"/>
                <w:sz w:val="18"/>
                <w:szCs w:val="18"/>
                <w:u w:val="single"/>
                <w14:textFill>
                  <w14:solidFill>
                    <w14:srgbClr w14:val="57825E">
                      <w14:lumMod w14:val="75000"/>
                      <w14:lumMod w14:val="75000"/>
                    </w14:srgbClr>
                  </w14:solidFill>
                </w14:textFill>
              </w:rPr>
              <w:t>Papildomas rodiklis: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14:textFill>
                  <w14:solidFill>
                    <w14:srgbClr w14:val="57825E">
                      <w14:lumMod w14:val="75000"/>
                      <w14:lumMod w14:val="75000"/>
                    </w14:srgbClr>
                  </w14:solidFill>
                </w14:textFill>
              </w:rPr>
              <w:t>novatoriškų projektų, kuriuos paskatino NKT, palyginti su visais pagal KPP paremtais projektais, procentinė dalis</w:t>
            </w:r>
            <w:r>
              <w:rPr>
                <w:sz w:val="18"/>
                <w:szCs w:val="18"/>
                <w14:textFill>
                  <w14:solidFill>
                    <w14:srgbClr w14:val="373737">
                      <w14:lumMod w14:val="75000"/>
                    </w14:srgbClr>
                  </w14:solidFill>
                </w14:textFill>
              </w:rPr>
              <w:t xml:space="preserve">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Duomenys apie inovacinius teminių ir analizės duomenų mainus, kurie buvo įdiegti remiant NKT</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Duomenys apie su inovacijomis susijusias ryšių priemones, kurios buvo sukurtos  NKT</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Informacija apie su inovacijomis susijusią EKPT veiklą, kurioje dalyvavo NKT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Duomenys apie KPP inovacijų projektus, kuriuos inicijavo / parėmė NKT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KPP stebėsenos sistema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NKT stebėsena ir savarankiškas vertinimas</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EKPT stebėsena (tinklo statistika)</w:t>
            </w:r>
          </w:p>
        </w:tc>
      </w:tr>
      <w:tr w:rsidR="00A45935" w:rsidRPr="00E05D08" w:rsidTr="00E05D08">
        <w:trPr>
          <w:trHeight w:val="461"/>
        </w:trPr>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Papildomi vertinimo elementai, susiję su NKT indėliu nustatant inovacijas ir jomis keičiantis (neprivaloma)</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NKT vykdoma viešinimo, informavimo ir komunikacijos veikla, susijusi su KPP inovacijomis, suaktyvėjo</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NKT įgyvendintų su inovacijomis susijusių viešinimo, informavimo ir komunikacijos veiksmų skaičius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Viešinimo, informavimo ir komunikacijos veiksmų skaičius pagal temas</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Nacionalinių kaimo tinklų stebėsena ir savarankiškas vertinimas</w:t>
            </w:r>
          </w:p>
          <w:p w:rsidR="00A45935" w:rsidRPr="00E05D08" w:rsidRDefault="00E54013"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Pokalbiai</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NKT leidiniai</w:t>
            </w:r>
          </w:p>
        </w:tc>
      </w:tr>
    </w:tbl>
    <w:p w:rsidR="00E54013" w:rsidRDefault="00E54013">
      <w:r>
        <w:br w:type="page"/>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E54013" w:rsidRPr="00E05D08" w:rsidTr="009F1589">
        <w:trPr>
          <w:tblHeader/>
        </w:trPr>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lastRenderedPageBreak/>
              <w:t>Vertinimo kriterijai</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Rodikliai</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Reikalingi duomenys</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Duomenų šaltiniai</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Papildomi vertinimo elementai, susiję su NKT indėliu stiprinant gebėjimą diegti inovacijas (neprivaloma)</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Suintensyvėjo su mokymo ir tinklaveika susijusi NKT veikla, vykdoma: a) konsultantų ir paramos inovacijoms paslaugų teikėjų ir (arba) b) VVG atžvilgiu</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NKT mokymo ir tinklaveikos veiksmų, vykdomų: a) konsultantų ir paramos inovacijoms paslaugų teikėjų ir (arba) b) VVG atžvilgiu, skaičius</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NKT mokymo ir tinklaveikos veiksmų skaičius pagal tikslines grupes</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Nacionaliniai kaimo tinklai (stebėsena, savarankiškas vertinimas, pokalbiai, leidiniai)</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Vietos veiklos grupės (pokalbiai, apklausos, tikslinės grupės)</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NKT veiksmais pagerintos konsultantų ir paramos inovacijoms paslaugų teikėjų galimybės palengvinti veiklos grupių steigimą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Veiklos grupių, kurios buvo įkurtos padedant konsultantams / paramos inovacijoms paslaugų teikėjams, kuriems NKT surengė mokymo / tinklaveikos priemones, skaičius</w:t>
            </w:r>
          </w:p>
        </w:tc>
        <w:tc>
          <w:tcPr>
            <w:tcW w:w="3508" w:type="dxa"/>
          </w:tcPr>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Veiklos grupių, kurios buvo įkurtos padedant konsultantams / paramos inovacijoms paslaugų teikėjams, skaičius</w:t>
            </w:r>
          </w:p>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Veiklos grupių, kurios buvo įkurtos padedant konsultantams / paramos inovacijoms paslaugų teikėjams, kuriems NKT surengė mokymo / tinklaveikos priemones, skaičius</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Nacionaliniai kaimo tinklai (stebėsena, savarankiškas vertinimas, pokalbiai, leidiniai)</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Veiklos grupių apklausos / tikslinės grupės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Konsultantų (paramos inovacijoms paslaugų teikėjų) apklausos / tikslinės grupės</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 xml:space="preserve">Papildomi vertinimo elementai, susiję su NKT indėliu kuriant inovacijoms palankią aplinką </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Padidėjo NKT dalyvavimas su inovacijomis susijusiose EKPT priemonėse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EKPT priemonių, kuriose dalyvavo NKT, skaičius (O.26 rodiklis), įskaitant priemonių inovacijų temomis skaičių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EKPT priemonių, kuriose dalyvavo NKT, skaičius (O.26 duomenų elementas), skaičius pagal temas</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Stebėsenos lentelės</w:t>
            </w:r>
          </w:p>
          <w:p w:rsidR="00A45935" w:rsidRPr="00385368" w:rsidRDefault="00A45935" w:rsidP="009F1589">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Nacionaliniai kaimo tinklai (</w:t>
            </w:r>
            <w:r w:rsidR="00A963F4">
              <w:rPr>
                <w:sz w:val="18"/>
                <w:szCs w:val="18"/>
                <w14:textFill>
                  <w14:solidFill>
                    <w14:srgbClr w14:val="373737">
                      <w14:lumMod w14:val="75000"/>
                    </w14:srgbClr>
                  </w14:solidFill>
                </w14:textFill>
              </w:rPr>
              <w:t>NKT) (stebėsena</w:t>
            </w:r>
            <w:r>
              <w:rPr>
                <w:sz w:val="18"/>
                <w:szCs w:val="18"/>
                <w14:textFill>
                  <w14:solidFill>
                    <w14:srgbClr w14:val="373737">
                      <w14:lumMod w14:val="75000"/>
                    </w14:srgbClr>
                  </w14:solidFill>
                </w14:textFill>
              </w:rPr>
              <w:t>, savarankiškas vertinimas, pokalbiai, leidiniai)</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Padidėjo NKT dalyvavimas EIP priemonėse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NKT veiksmų, kuriais prisidedama prie EIP AGRI, skaičius ir rūšys, įskaitant:</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pateiktus inovacijoms skirtų projektų / gerosios patirties pavyzdžius;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susitikimų inovacijų klausimais rengimą;</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tinklaveikos renginius tarp suinteresuotųjų subjektų, būtent VVG ir veiklos grupių;</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tarpvalstybinius informacijos apie projektus, mokslinių tyrimų iniciatyvas, teminius tinklus ir finansavimo galimybes mainus pagal programą „Horizontas 2020“;</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veiklą siekiant paremti paramos inovacijoms paslaugas, skirtą skatinti novatoriškus veiksmus ir steigti veiklos grupes;</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paramą ieškant partnerių.</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NKT veiksmų, kuriais prisidedama prie EIP, skaičius pagal rūšis, kaip nustatyta Reglamento (ES) Nr. 1305/2013 35 straipsnio 2 dalies a–f punktuose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Nacionaliniai kaimo tinklai (</w:t>
            </w:r>
            <w:r w:rsidR="00A963F4">
              <w:rPr>
                <w:sz w:val="18"/>
                <w:szCs w:val="18"/>
                <w14:textFill>
                  <w14:solidFill>
                    <w14:srgbClr w14:val="373737">
                      <w14:lumMod w14:val="75000"/>
                    </w14:srgbClr>
                  </w14:solidFill>
                </w14:textFill>
              </w:rPr>
              <w:t>NKT) (stebėsena</w:t>
            </w:r>
            <w:r>
              <w:rPr>
                <w:sz w:val="18"/>
                <w:szCs w:val="18"/>
                <w14:textFill>
                  <w14:solidFill>
                    <w14:srgbClr w14:val="373737">
                      <w14:lumMod w14:val="75000"/>
                    </w14:srgbClr>
                  </w14:solidFill>
                </w14:textFill>
              </w:rPr>
              <w:t>, savarankiškas vertinimas, pokalbiai, leidiniai)</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Valstybės narės lygmens tinklaveikos struktūra, skirta paramos inovacijoms </w:t>
            </w:r>
            <w:r>
              <w:rPr>
                <w:sz w:val="18"/>
                <w:szCs w:val="18"/>
                <w14:textFill>
                  <w14:solidFill>
                    <w14:srgbClr w14:val="373737">
                      <w14:lumMod w14:val="75000"/>
                    </w14:srgbClr>
                  </w14:solidFill>
                </w14:textFill>
              </w:rPr>
              <w:lastRenderedPageBreak/>
              <w:t>paslaugoms remti (jei ji veikia atskirai nuo NKT)</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 paslaugų centras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VG projektų dalyvių apklausos / tikslinės grupės</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Glaudesnis inovacijų projektų partnerių tarpusavio bendradarbiavimas, intensyvesni mainai ir tinklaveika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Papildomų inovacijų projektų partnerių tinklų / partnerysčių / bendradarbiavimo grupių, kurių kūrimą paskatino NKT, skaičius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Inovacijų projektų partnerių tinklų / partnerysčių ir (arba) bendradarbiavimo grupių, kurių kūrimą paskatino NKT, skaičius</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NKT duomenų bazė</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Apklausos / tikslinės grupės</w:t>
            </w:r>
          </w:p>
        </w:tc>
      </w:tr>
    </w:tbl>
    <w:p w:rsidR="00A45935" w:rsidRPr="00E05D08" w:rsidRDefault="00A45935" w:rsidP="00E05D08">
      <w:pPr>
        <w:spacing w:after="120" w:line="280" w:lineRule="atLeast"/>
        <w:mirrorIndents/>
        <w:rPr>
          <w:rFonts w:eastAsia="Times New Roman" w:cs="Times New Roman"/>
          <w:sz w:val="18"/>
          <w:szCs w:val="18"/>
          <w:lang w:eastAsia="de-DE"/>
        </w:rPr>
        <w:sectPr w:rsidR="00A45935" w:rsidRPr="00E05D08" w:rsidSect="001F6F07">
          <w:endnotePr>
            <w:numFmt w:val="decimal"/>
          </w:endnotePr>
          <w:pgSz w:w="16840" w:h="11907" w:orient="landscape" w:code="9"/>
          <w:pgMar w:top="1440" w:right="1440" w:bottom="1440" w:left="1134" w:header="567" w:footer="1020" w:gutter="0"/>
          <w:cols w:space="708"/>
          <w:noEndnote/>
          <w:docGrid w:linePitch="435"/>
        </w:sectPr>
      </w:pPr>
    </w:p>
    <w:p w:rsidR="00A45935" w:rsidRPr="00E05D08" w:rsidRDefault="00A45935" w:rsidP="001120E4">
      <w:pPr>
        <w:numPr>
          <w:ilvl w:val="0"/>
          <w:numId w:val="60"/>
        </w:numPr>
        <w:spacing w:before="120" w:after="120" w:line="280" w:lineRule="atLeast"/>
        <w:ind w:left="567" w:hanging="567"/>
        <w:mirrorIndents/>
        <w:rPr>
          <w:rFonts w:eastAsia="Times New Roman" w:cs="Times New Roman"/>
          <w:b/>
          <w:szCs w:val="20"/>
        </w:rPr>
      </w:pPr>
      <w:r>
        <w:rPr>
          <w:b/>
          <w:szCs w:val="20"/>
        </w:rPr>
        <w:lastRenderedPageBreak/>
        <w:t xml:space="preserve">Siūloma vertinimo metodika </w:t>
      </w:r>
    </w:p>
    <w:p w:rsidR="00A45935" w:rsidRPr="00E05D08" w:rsidRDefault="00A45935" w:rsidP="00E05D08">
      <w:pPr>
        <w:spacing w:after="120" w:line="280" w:lineRule="atLeast"/>
        <w:mirrorIndents/>
        <w:rPr>
          <w:rFonts w:eastAsia="Times New Roman" w:cs="Arial"/>
          <w:szCs w:val="20"/>
        </w:rPr>
      </w:pPr>
      <w:r>
        <w:t>Atsakant į 21-ąjį BVK, rekomenduojame atlikti šiuos veiksmus:</w:t>
      </w:r>
    </w:p>
    <w:p w:rsidR="00A45935" w:rsidRPr="007707EC" w:rsidRDefault="00A45935" w:rsidP="00676B41">
      <w:pPr>
        <w:pStyle w:val="Hlistbullet"/>
      </w:pPr>
      <w:r>
        <w:rPr>
          <w:b/>
        </w:rPr>
        <w:t>1 ETAPAS. Surinkite informaciją, kad galėtumėte nustatyti NKT indėlį skatinant inovacijas,</w:t>
      </w:r>
      <w:r>
        <w:t xml:space="preserve"> susijusį su NKT priemonėse, kurios turi inovacijų skatinimo potencialą, dalyvaujančiais suinteresuotaisiais subjektais; Tai galima atlikti taikant vertinimo kriterijus ir rodiklius ir įgyvendinant toliau 6 lentelėje pateiktus metodus;</w:t>
      </w:r>
    </w:p>
    <w:p w:rsidR="00A45935" w:rsidRPr="007707EC" w:rsidRDefault="00A45935" w:rsidP="00676B41">
      <w:pPr>
        <w:pStyle w:val="Hlistbullet"/>
      </w:pPr>
      <w:r>
        <w:rPr>
          <w:b/>
        </w:rPr>
        <w:t>2 ETAPAS. Kiekybiškai išreikškite produkto rodiklius ir konkretaus NKT su inovacijomis susijusius rodiklius,</w:t>
      </w:r>
      <w:r>
        <w:t xml:space="preserve"> panaudodami KPP veiksmų duomenų bazėje ir NKT stebėsenos sistemoje turimus NKT priemonių stebėsenos duomenis; </w:t>
      </w:r>
    </w:p>
    <w:p w:rsidR="00A45935" w:rsidRPr="007707EC" w:rsidRDefault="00A45935" w:rsidP="00676B41">
      <w:pPr>
        <w:pStyle w:val="Hlistbullet"/>
      </w:pPr>
      <w:r>
        <w:rPr>
          <w:b/>
        </w:rPr>
        <w:t>3 ETAPAS. Pritaikykite pokyčių teoriją, kad galėtumėte palyginti gautus rezultatus su NKT priemonių inovacijų skatinimo potencialu</w:t>
      </w:r>
      <w:r>
        <w:t>, kuris buvo nustatytas vertinimo proceso pradžioje, ir su inovacijų skatinimo potencialu įgyvendinus NKT priemones. Tai apima priežastinių ryšių sekos ir aprašymo, apibūdinančio NKT veiklos rezultatų ryšį su inovacijų skatinimo kryptimis ir tai, kaip jie pasiekti, parengimą (tai pat naudojantis stebėsenos sistemos informaciją).</w:t>
      </w:r>
      <w:r>
        <w:rPr>
          <w:b/>
        </w:rPr>
        <w:t xml:space="preserve"> Patikrinkite</w:t>
      </w:r>
      <w:r>
        <w:t xml:space="preserve"> tai taikydami trianguliacijos metodus;</w:t>
      </w:r>
    </w:p>
    <w:p w:rsidR="00A45935" w:rsidRPr="007707EC" w:rsidRDefault="00A45935" w:rsidP="00676B41">
      <w:pPr>
        <w:pStyle w:val="Hlistbullet"/>
      </w:pPr>
      <w:r>
        <w:rPr>
          <w:b/>
        </w:rPr>
        <w:t>4 ETAPAS. Atsakykite į BVK, įvertindami mastą, kuriuo NKT padėjo skatinti inovacijas</w:t>
      </w:r>
      <w:r>
        <w:t xml:space="preserve"> įvairiomis veiksmų grupėmis ir taikydami Likerto skalę</w:t>
      </w:r>
      <w:r>
        <w:rPr>
          <w:rFonts w:cs="Arial"/>
          <w:vertAlign w:val="superscript"/>
        </w:rPr>
        <w:footnoteReference w:id="65"/>
      </w:r>
      <w:r>
        <w:t>. Vertintojas taip pat turėtų pagal panašaus tipo penkių balų skalę įvertinti apklausiamo / pokalbyje dalyvaujančio suinteresuotojo subjekto pasitikėjimo rezultatais lygį. Nustatyti reitingai turės būti pagrįsti.</w:t>
      </w: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inline distT="0" distB="0" distL="0" distR="0" wp14:anchorId="350ACAF5" wp14:editId="58084B3F">
                <wp:extent cx="5828030" cy="3370521"/>
                <wp:effectExtent l="0" t="0" r="20320" b="20955"/>
                <wp:docPr id="550" name="Rectangle: Diagonal Corners Rounded 550"/>
                <wp:cNvGraphicFramePr/>
                <a:graphic xmlns:a="http://schemas.openxmlformats.org/drawingml/2006/main">
                  <a:graphicData uri="http://schemas.microsoft.com/office/word/2010/wordprocessingShape">
                    <wps:wsp>
                      <wps:cNvSpPr/>
                      <wps:spPr>
                        <a:xfrm>
                          <a:off x="0" y="0"/>
                          <a:ext cx="5828030" cy="3370521"/>
                        </a:xfrm>
                        <a:prstGeom prst="round2DiagRect">
                          <a:avLst>
                            <a:gd name="adj1" fmla="val 6942"/>
                            <a:gd name="adj2" fmla="val 0"/>
                          </a:avLst>
                        </a:prstGeom>
                        <a:noFill/>
                        <a:ln w="25400" cap="flat" cmpd="sng" algn="ctr">
                          <a:solidFill>
                            <a:srgbClr val="F07E31"/>
                          </a:solidFill>
                          <a:prstDash val="solid"/>
                        </a:ln>
                        <a:effectLst/>
                      </wps:spPr>
                      <wps:txbx>
                        <w:txbxContent>
                          <w:p w:rsidR="001F67E3" w:rsidRPr="00E05D08" w:rsidRDefault="001F67E3" w:rsidP="00E05D08">
                            <w:pPr>
                              <w:pStyle w:val="HStandard"/>
                              <w:ind w:left="567" w:hanging="567"/>
                              <w:rPr>
                                <w:b/>
                                <w:color w:val="F07E31"/>
                                <w:sz w:val="18"/>
                                <w:szCs w:val="18"/>
                              </w:rPr>
                            </w:pPr>
                            <w:r>
                              <w:rPr>
                                <w:noProof/>
                                <w:sz w:val="18"/>
                                <w:szCs w:val="18"/>
                                <w:lang w:val="en-GB" w:eastAsia="en-GB"/>
                              </w:rPr>
                              <w:drawing>
                                <wp:inline distT="0" distB="0" distL="0" distR="0" wp14:anchorId="0B564B03" wp14:editId="08887827">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Pavyzdžiai iš 2017 m. pateiktų MĮA</w:t>
                            </w:r>
                          </w:p>
                          <w:p w:rsidR="001F67E3" w:rsidRPr="00EF653F" w:rsidRDefault="001F67E3" w:rsidP="00E05D08">
                            <w:pPr>
                              <w:pStyle w:val="HStandard"/>
                              <w:rPr>
                                <w:sz w:val="18"/>
                                <w:szCs w:val="18"/>
                              </w:rPr>
                            </w:pPr>
                            <w:r>
                              <w:rPr>
                                <w:b/>
                                <w:sz w:val="18"/>
                                <w:szCs w:val="18"/>
                              </w:rPr>
                              <w:t xml:space="preserve">Čekijos Respublika – </w:t>
                            </w:r>
                            <w:r>
                              <w:rPr>
                                <w:sz w:val="18"/>
                                <w:szCs w:val="18"/>
                              </w:rPr>
                              <w:t>minimi atvejų tyrimai atlikti remiantis iš novatoriškų projektų paramos gavėjų surinkta informacija. Siekiant gauti reikiamą O.24 ir O.25 produkto rodiklių informaciją, siūloma peržiūrėti duomenis apie novatoriškus projektus pasinaudojant veiksmų duomenų baze ir panaudoti šiuos duomenis 2019 m. vertinimo ataskaitoje:</w:t>
                            </w:r>
                          </w:p>
                          <w:p w:rsidR="001F67E3" w:rsidRPr="00EF653F" w:rsidRDefault="001F67E3" w:rsidP="008C0B17">
                            <w:pPr>
                              <w:pStyle w:val="HStandard"/>
                              <w:numPr>
                                <w:ilvl w:val="0"/>
                                <w:numId w:val="49"/>
                              </w:numPr>
                              <w:tabs>
                                <w:tab w:val="left" w:pos="5702"/>
                              </w:tabs>
                              <w:ind w:left="567" w:hanging="567"/>
                              <w:rPr>
                                <w:sz w:val="18"/>
                                <w:szCs w:val="18"/>
                              </w:rPr>
                            </w:pPr>
                            <w:r>
                              <w:rPr>
                                <w:sz w:val="18"/>
                                <w:szCs w:val="18"/>
                              </w:rPr>
                              <w:t xml:space="preserve">O.24. Teminių ir analizės duomenų mainų tarp kaimo plėtros suinteresuotųjų subjektų, kurie buvo įdiegti remiant NKT, skaičius – mainai buvo skirti konsultantams ir paramos inovacijoms paslaugų teikėjams; </w:t>
                            </w:r>
                          </w:p>
                          <w:p w:rsidR="001F67E3" w:rsidRPr="00EF653F" w:rsidRDefault="001F67E3" w:rsidP="008C0B17">
                            <w:pPr>
                              <w:pStyle w:val="HStandard"/>
                              <w:numPr>
                                <w:ilvl w:val="0"/>
                                <w:numId w:val="49"/>
                              </w:numPr>
                              <w:tabs>
                                <w:tab w:val="left" w:pos="5702"/>
                              </w:tabs>
                              <w:ind w:left="567" w:hanging="567"/>
                              <w:rPr>
                                <w:sz w:val="18"/>
                                <w:szCs w:val="18"/>
                              </w:rPr>
                            </w:pPr>
                            <w:r>
                              <w:rPr>
                                <w:sz w:val="18"/>
                                <w:szCs w:val="18"/>
                              </w:rPr>
                              <w:t>O.25. NKT ryšių priemonių, skirtų paramos inovacijoms paslaugų teikėjams, skaičius.</w:t>
                            </w:r>
                          </w:p>
                          <w:p w:rsidR="001F67E3" w:rsidRDefault="001F67E3" w:rsidP="00E05D08">
                            <w:pPr>
                              <w:pStyle w:val="HStandard"/>
                              <w:rPr>
                                <w:sz w:val="18"/>
                                <w:szCs w:val="18"/>
                              </w:rPr>
                            </w:pPr>
                            <w:r>
                              <w:rPr>
                                <w:b/>
                                <w:sz w:val="18"/>
                                <w:szCs w:val="18"/>
                              </w:rPr>
                              <w:t>Slovakija –</w:t>
                            </w:r>
                            <w:r>
                              <w:rPr>
                                <w:sz w:val="18"/>
                                <w:szCs w:val="18"/>
                              </w:rPr>
                              <w:t xml:space="preserve"> aprašomi pokalbiai su dalyvaujančiais subjektais (NKT ir NKT veiklos dalyviais) siekiant surinkti duomenis apie papildomus rodiklius: novatoriškų projektų, kuriuos parėmė NKT, palyginti su visais pagal KPP paremtais novatoriškais projektais, procentinė dalis. </w:t>
                            </w:r>
                          </w:p>
                          <w:p w:rsidR="001F67E3" w:rsidRPr="00ED3BAD" w:rsidRDefault="001F67E3" w:rsidP="00E05D08">
                            <w:pPr>
                              <w:pStyle w:val="HStandard"/>
                              <w:rPr>
                                <w:sz w:val="18"/>
                                <w:szCs w:val="18"/>
                              </w:rPr>
                            </w:pPr>
                            <w:r>
                              <w:rPr>
                                <w:b/>
                                <w:sz w:val="18"/>
                                <w:szCs w:val="18"/>
                              </w:rPr>
                              <w:t>Kastilija ir Leonas</w:t>
                            </w:r>
                            <w:r>
                              <w:rPr>
                                <w:sz w:val="18"/>
                                <w:szCs w:val="18"/>
                              </w:rPr>
                              <w:t xml:space="preserve"> </w:t>
                            </w:r>
                            <w:r>
                              <w:rPr>
                                <w:b/>
                                <w:sz w:val="18"/>
                                <w:szCs w:val="18"/>
                              </w:rPr>
                              <w:t>(ES) –</w:t>
                            </w:r>
                            <w:r>
                              <w:rPr>
                                <w:sz w:val="18"/>
                                <w:szCs w:val="18"/>
                              </w:rPr>
                              <w:t xml:space="preserve"> rekomenduojama į stebėsenos sistemą įtraukti rodiklį, kuriuo matuojamas pagal 16-ąją priemonę vykdomų projektų dalyvių skaičius.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0ACAF5" id="Rectangle: Diagonal Corners Rounded 550" o:spid="_x0000_s1051" style="width:458.9pt;height:265.4pt;visibility:visible;mso-wrap-style:square;mso-left-percent:-10001;mso-top-percent:-10001;mso-position-horizontal:absolute;mso-position-horizontal-relative:char;mso-position-vertical:absolute;mso-position-vertical-relative:line;mso-left-percent:-10001;mso-top-percent:-10001;v-text-anchor:middle" coordsize="5828030,33705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" adj="-11796480,,5400" path="m233982,l5828030,r,l5828030,3136539v,129225,-104757,233982,-233982,233982l,3370521r,l,233982c,104757,104757,,233982,xe" filled="f" strokecolor="#f07e31" strokeweight="2pt">
                <v:stroke joinstyle="miter"/>
                <v:formulas/>
                <v:path arrowok="t" o:connecttype="custom" o:connectlocs="233982,0;5828030,0;5828030,0;5828030,3136539;5594048,3370521;0,3370521;0,3370521;0,233982;233982,0" o:connectangles="0,0,0,0,0,0,0,0,0" textboxrect="0,0,5828030,3370521"/>
                <v:textbox>
                  <w:txbxContent>
                    <w:p w:rsidR="001F67E3" w:rsidRPr="00E05D08" w:rsidRDefault="001F67E3" w:rsidP="00E05D08">
                      <w:pPr>
                        <w:pStyle w:val="HStandard"/>
                        <w:ind w:left="567" w:hanging="567"/>
                        <w:rPr>
                          <w:b/>
                          <w:color w:val="F07E31"/>
                          <w:sz w:val="18"/>
                          <w:szCs w:val="18"/>
                        </w:rPr>
                      </w:pPr>
                      <w:r>
                        <w:rPr>
                          <w:noProof/>
                          <w:sz w:val="18"/>
                          <w:szCs w:val="18"/>
                          <w:lang w:val="en-GB" w:eastAsia="en-GB"/>
                        </w:rPr>
                        <w:drawing>
                          <wp:inline distT="0" distB="0" distL="0" distR="0" wp14:anchorId="0B564B03" wp14:editId="08887827">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Pavyzdžiai iš 2017 m. pateiktų MĮA</w:t>
                      </w:r>
                    </w:p>
                    <w:p w:rsidR="001F67E3" w:rsidRPr="00EF653F" w:rsidRDefault="001F67E3" w:rsidP="00E05D08">
                      <w:pPr>
                        <w:pStyle w:val="HStandard"/>
                        <w:rPr>
                          <w:sz w:val="18"/>
                          <w:szCs w:val="18"/>
                        </w:rPr>
                      </w:pPr>
                      <w:r>
                        <w:rPr>
                          <w:b/>
                          <w:sz w:val="18"/>
                          <w:szCs w:val="18"/>
                        </w:rPr>
                        <w:t xml:space="preserve">Čekijos Respublika – </w:t>
                      </w:r>
                      <w:r>
                        <w:rPr>
                          <w:sz w:val="18"/>
                          <w:szCs w:val="18"/>
                        </w:rPr>
                        <w:t>minimi atvejų tyrimai atlikti remiantis iš novatoriškų projektų paramos gavėjų surinkta informacija. Siekiant gauti reikiamą O.24 ir O.25 produkto rodiklių informaciją, siūloma peržiūrėti duomenis apie novatoriškus projektus pasinaudojant veiksmų duomenų baze ir panaudoti šiuos duomenis 2019 m. vertinimo ataskaitoje:</w:t>
                      </w:r>
                    </w:p>
                    <w:p w:rsidR="001F67E3" w:rsidRPr="00EF653F" w:rsidRDefault="001F67E3" w:rsidP="008C0B17">
                      <w:pPr>
                        <w:pStyle w:val="HStandard"/>
                        <w:numPr>
                          <w:ilvl w:val="0"/>
                          <w:numId w:val="49"/>
                        </w:numPr>
                        <w:tabs>
                          <w:tab w:val="left" w:pos="5702"/>
                        </w:tabs>
                        <w:ind w:left="567" w:hanging="567"/>
                        <w:rPr>
                          <w:sz w:val="18"/>
                          <w:szCs w:val="18"/>
                        </w:rPr>
                      </w:pPr>
                      <w:r>
                        <w:rPr>
                          <w:sz w:val="18"/>
                          <w:szCs w:val="18"/>
                        </w:rPr>
                        <w:t xml:space="preserve">O.24. Teminių ir analizės duomenų mainų tarp kaimo plėtros suinteresuotųjų subjektų, kurie buvo įdiegti remiant NKT, skaičius – mainai buvo skirti konsultantams ir paramos inovacijoms paslaugų teikėjams; </w:t>
                      </w:r>
                    </w:p>
                    <w:p w:rsidR="001F67E3" w:rsidRPr="00EF653F" w:rsidRDefault="001F67E3" w:rsidP="008C0B17">
                      <w:pPr>
                        <w:pStyle w:val="HStandard"/>
                        <w:numPr>
                          <w:ilvl w:val="0"/>
                          <w:numId w:val="49"/>
                        </w:numPr>
                        <w:tabs>
                          <w:tab w:val="left" w:pos="5702"/>
                        </w:tabs>
                        <w:ind w:left="567" w:hanging="567"/>
                        <w:rPr>
                          <w:sz w:val="18"/>
                          <w:szCs w:val="18"/>
                        </w:rPr>
                      </w:pPr>
                      <w:r>
                        <w:rPr>
                          <w:sz w:val="18"/>
                          <w:szCs w:val="18"/>
                        </w:rPr>
                        <w:t>O.25. NKT ryšių priemonių, skirtų paramos inovacijoms paslaugų teikėjams, skaičius.</w:t>
                      </w:r>
                    </w:p>
                    <w:p w:rsidR="001F67E3" w:rsidRDefault="001F67E3" w:rsidP="00E05D08">
                      <w:pPr>
                        <w:pStyle w:val="HStandard"/>
                        <w:rPr>
                          <w:sz w:val="18"/>
                          <w:szCs w:val="18"/>
                        </w:rPr>
                      </w:pPr>
                      <w:r>
                        <w:rPr>
                          <w:b/>
                          <w:sz w:val="18"/>
                          <w:szCs w:val="18"/>
                        </w:rPr>
                        <w:t>Slovakija –</w:t>
                      </w:r>
                      <w:r>
                        <w:rPr>
                          <w:sz w:val="18"/>
                          <w:szCs w:val="18"/>
                        </w:rPr>
                        <w:t xml:space="preserve"> aprašomi pokalbiai su dalyvaujančiais subjektais (NKT ir NKT veiklos dalyviais) siekiant surinkti duomenis apie papildomus rodiklius: novatoriškų projektų, kuriuos parėmė NKT, palyginti su visais pagal KPP paremtais novatoriškais projektais, procentinė dalis. </w:t>
                      </w:r>
                    </w:p>
                    <w:p w:rsidR="001F67E3" w:rsidRPr="00ED3BAD" w:rsidRDefault="001F67E3" w:rsidP="00E05D08">
                      <w:pPr>
                        <w:pStyle w:val="HStandard"/>
                        <w:rPr>
                          <w:sz w:val="18"/>
                          <w:szCs w:val="18"/>
                        </w:rPr>
                      </w:pPr>
                      <w:r>
                        <w:rPr>
                          <w:b/>
                          <w:sz w:val="18"/>
                          <w:szCs w:val="18"/>
                        </w:rPr>
                        <w:t>Kastilija ir Leonas</w:t>
                      </w:r>
                      <w:r>
                        <w:rPr>
                          <w:sz w:val="18"/>
                          <w:szCs w:val="18"/>
                        </w:rPr>
                        <w:t xml:space="preserve"> </w:t>
                      </w:r>
                      <w:r>
                        <w:rPr>
                          <w:b/>
                          <w:sz w:val="18"/>
                          <w:szCs w:val="18"/>
                        </w:rPr>
                        <w:t>(ES) –</w:t>
                      </w:r>
                      <w:r>
                        <w:rPr>
                          <w:sz w:val="18"/>
                          <w:szCs w:val="18"/>
                        </w:rPr>
                        <w:t xml:space="preserve"> rekomenduojama į stebėsenos sistemą įtraukti rodiklį, kuriuo matuojamas pagal 16-ąją priemonę vykdomų projektų dalyvių skaičius.</w:t>
                      </w:r>
                    </w:p>
                  </w:txbxContent>
                </v:textbox>
                <w10:anchorlock/>
              </v:shape>
            </w:pict>
          </mc:Fallback>
        </mc:AlternateContent>
      </w:r>
    </w:p>
    <w:p w:rsidR="00A45935" w:rsidRPr="00E05D08" w:rsidRDefault="00A45935" w:rsidP="00E05D08">
      <w:pPr>
        <w:spacing w:after="120" w:line="280" w:lineRule="atLeast"/>
        <w:mirrorIndents/>
        <w:rPr>
          <w:rFonts w:eastAsia="Times New Roman" w:cs="Times New Roman"/>
          <w:szCs w:val="20"/>
        </w:rPr>
      </w:pPr>
      <w:r>
        <w:t>Gairėse</w:t>
      </w:r>
      <w:r>
        <w:rPr>
          <w:i/>
          <w:szCs w:val="20"/>
        </w:rPr>
        <w:t xml:space="preserve"> </w:t>
      </w:r>
      <w:hyperlink r:id="rId63" w:history="1">
        <w:r>
          <w:rPr>
            <w:rStyle w:val="Hyperlink"/>
            <w:sz w:val="20"/>
            <w:szCs w:val="20"/>
          </w:rPr>
          <w:t>„Nacionalinių kaimo tinklų veiklos 2014–2020 m. vertinimas“</w:t>
        </w:r>
      </w:hyperlink>
      <w:r>
        <w:rPr>
          <w:rFonts w:eastAsia="Times New Roman" w:cs="Times New Roman"/>
          <w:szCs w:val="20"/>
          <w:vertAlign w:val="superscript"/>
          <w:lang w:eastAsia="de-DE"/>
        </w:rPr>
        <w:footnoteReference w:id="66"/>
      </w:r>
      <w:r>
        <w:t xml:space="preserve"> pateikiamas išsamus NKT vertinimo metodų ir priemonių aprašymas. Jose siūloma taikyti mišrų kokybinių ir kiekybinių metodų derinimo principą. Šie metodai savo ruožtu apima apklausas, dialogu pagrįstus metodus, analitinius ir diagnostinius metodus. </w:t>
      </w:r>
    </w:p>
    <w:p w:rsidR="00A45935" w:rsidRPr="00E05D08" w:rsidRDefault="00A45935" w:rsidP="00AF420C">
      <w:pPr>
        <w:spacing w:after="120" w:line="280" w:lineRule="atLeast"/>
        <w:mirrorIndents/>
        <w:rPr>
          <w:rFonts w:eastAsia="Times New Roman" w:cs="Times New Roman"/>
          <w:b/>
          <w:sz w:val="16"/>
          <w:szCs w:val="20"/>
        </w:rPr>
      </w:pPr>
      <w:r>
        <w:lastRenderedPageBreak/>
        <w:t>Toliau lentelėje pateikta trumpa metodų, taikomų atsakant į 21-ąjį BVK, atsižvelgiant į NKT inovacijų d tikslą, apžvalga. Visą šių metodų aprašymą galima rasti gairėse</w:t>
      </w:r>
      <w:r>
        <w:rPr>
          <w:i/>
          <w:szCs w:val="20"/>
        </w:rPr>
        <w:t xml:space="preserve"> </w:t>
      </w:r>
      <w:hyperlink r:id="rId64" w:history="1">
        <w:r>
          <w:rPr>
            <w:rStyle w:val="Hyperlink"/>
            <w:sz w:val="20"/>
            <w:szCs w:val="20"/>
          </w:rPr>
          <w:t>„Nacionalinių kaimo tinklų veiklos 2014–2020 m. vertinimas“</w:t>
        </w:r>
      </w:hyperlink>
      <w:r>
        <w:t>,</w:t>
      </w:r>
    </w:p>
    <w:p w:rsidR="00A45935" w:rsidRPr="00D57D0A" w:rsidRDefault="00A45935" w:rsidP="00D57D0A">
      <w:pPr>
        <w:pStyle w:val="HHeadingtables"/>
        <w:rPr>
          <w:color w:val="6F6F6F"/>
          <w:sz w:val="18"/>
          <w:szCs w:val="18"/>
        </w:rPr>
      </w:pPr>
      <w:bookmarkStart w:id="120" w:name="_Toc508979910"/>
      <w:r>
        <w:rPr>
          <w:color w:val="6F6F6F"/>
          <w:sz w:val="18"/>
          <w:szCs w:val="18"/>
        </w:rPr>
        <w:t>Metodai, kuriuos rekomenduojama taikyti atsakant į 21-ąjį BVK</w:t>
      </w:r>
      <w:bookmarkEnd w:id="120"/>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rPr>
          <w:tblHeader/>
        </w:trPr>
        <w:tc>
          <w:tcPr>
            <w:tcW w:w="2405" w:type="dxa"/>
            <w:shd w:val="clear" w:color="auto" w:fill="F07E31"/>
          </w:tcPr>
          <w:p w:rsidR="00A45935" w:rsidRPr="00E05D08" w:rsidRDefault="00A45935" w:rsidP="00E05D08">
            <w:pPr>
              <w:spacing w:after="120" w:line="280" w:lineRule="atLeast"/>
              <w:mirrorIndents/>
              <w:jc w:val="center"/>
              <w:rPr>
                <w:rFonts w:cs="Arial"/>
                <w:b/>
                <w:color w:val="FFFFFF"/>
                <w:sz w:val="18"/>
              </w:rPr>
            </w:pPr>
            <w:r>
              <w:rPr>
                <w:b/>
                <w:color w:val="FFFFFF"/>
                <w:sz w:val="18"/>
              </w:rPr>
              <w:t>Metodas</w:t>
            </w:r>
          </w:p>
        </w:tc>
        <w:tc>
          <w:tcPr>
            <w:tcW w:w="6612" w:type="dxa"/>
            <w:shd w:val="clear" w:color="auto" w:fill="F07E31"/>
          </w:tcPr>
          <w:p w:rsidR="00A45935" w:rsidRPr="00385368" w:rsidRDefault="00A45935" w:rsidP="00E05D08">
            <w:pPr>
              <w:spacing w:after="120" w:line="280" w:lineRule="atLeast"/>
              <w:mirrorIndents/>
              <w:jc w:val="center"/>
              <w:rPr>
                <w:rFonts w:cs="Arial"/>
                <w:b/>
                <w:color w:val="FFFFFF"/>
                <w:sz w:val="18"/>
              </w:rPr>
            </w:pPr>
            <w:r>
              <w:rPr>
                <w:b/>
                <w:color w:val="FFFFFF"/>
                <w:sz w:val="18"/>
              </w:rPr>
              <w:t>Patarimai, kaip taikyti kiekvieną metodą siekiant atsakyti į 21-ąjį BVK</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Apklausos</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Apklausos gali būti taikomos siekiant surinkti duomenis ir informaciją apie inovacijas, kurių nėra stebėsenos duomenų bazėse, visų pirma duomenis, susijusius su papildomais rodikliais.</w:t>
            </w:r>
          </w:p>
          <w:p w:rsidR="00A45935" w:rsidRPr="00385368" w:rsidRDefault="00A45935" w:rsidP="00E05D08">
            <w:pPr>
              <w:spacing w:after="120" w:line="280" w:lineRule="atLeast"/>
              <w:rPr>
                <w:rFonts w:eastAsia="Calibri" w:cs="Arial"/>
                <w:sz w:val="18"/>
                <w:szCs w:val="18"/>
              </w:rPr>
            </w:pPr>
            <w:r>
              <w:rPr>
                <w:sz w:val="18"/>
                <w:szCs w:val="18"/>
              </w:rPr>
              <w:t>Apklausti galima NKT, EIP veiklos grupes, projekto paramos gavėjus ir kitus inovacijų srities suinteresuotuosius subjektus.</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Tikslinės grupės (dialogu pagrįstas metodas)</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Šios grupės, pasitelkiamos kaip dialogu grindžiamų vertinimo metodų priemonė, siekiant atsakyti į 21-ąjį BVK, gali būti organizuojamos taip:</w:t>
            </w:r>
          </w:p>
          <w:p w:rsidR="00A45935" w:rsidRPr="00385368" w:rsidRDefault="00A45935" w:rsidP="008C0B17">
            <w:pPr>
              <w:numPr>
                <w:ilvl w:val="0"/>
                <w:numId w:val="40"/>
              </w:numPr>
              <w:spacing w:before="60" w:after="120" w:line="280" w:lineRule="atLeast"/>
              <w:ind w:left="317"/>
              <w:rPr>
                <w:rFonts w:cs="Arial"/>
                <w:sz w:val="18"/>
              </w:rPr>
            </w:pPr>
            <w:r>
              <w:rPr>
                <w:sz w:val="18"/>
              </w:rPr>
              <w:t xml:space="preserve">kaip dviejų lygių struktūra, sudarant tikslines grupes skirtinguose lygmenyse (t. y. konsultantai / paramos inovacijoms paslaugų teikėjai ir VVG). Abiejų lygmenų grupėms NKT gali rengti mokymo veiklą ir tinklaveiką; </w:t>
            </w:r>
          </w:p>
          <w:p w:rsidR="00A45935" w:rsidRPr="00385368" w:rsidRDefault="00A45935" w:rsidP="008C0B17">
            <w:pPr>
              <w:numPr>
                <w:ilvl w:val="0"/>
                <w:numId w:val="40"/>
              </w:numPr>
              <w:spacing w:before="60" w:after="120" w:line="280" w:lineRule="atLeast"/>
              <w:ind w:left="317"/>
              <w:rPr>
                <w:rFonts w:cs="Arial"/>
                <w:sz w:val="18"/>
              </w:rPr>
            </w:pPr>
            <w:r>
              <w:rPr>
                <w:sz w:val="18"/>
              </w:rPr>
              <w:t>orientuotos į inovacijų teminę sritį (pvz., sudarant įvairius požiūrius turinčių žmonių grupes siekiant patikrinti NKT veiklą, kuria siekiama skatinti inovacijas).</w:t>
            </w:r>
          </w:p>
        </w:tc>
      </w:tr>
      <w:tr w:rsidR="00A45935" w:rsidRPr="00E05D08" w:rsidTr="00E05D08">
        <w:tc>
          <w:tcPr>
            <w:tcW w:w="2405" w:type="dxa"/>
            <w:vAlign w:val="center"/>
          </w:tcPr>
          <w:p w:rsidR="00A45935" w:rsidRPr="00385368" w:rsidRDefault="00A45935" w:rsidP="00BC211C">
            <w:pPr>
              <w:spacing w:after="120" w:line="280" w:lineRule="atLeast"/>
              <w:jc w:val="left"/>
              <w:rPr>
                <w:rFonts w:eastAsia="Calibri" w:cs="Arial"/>
                <w:b/>
                <w:sz w:val="18"/>
                <w:szCs w:val="18"/>
              </w:rPr>
            </w:pPr>
            <w:r>
              <w:rPr>
                <w:b/>
                <w:sz w:val="18"/>
                <w:szCs w:val="18"/>
              </w:rPr>
              <w:t>Funkcinė tinklų analizė (diagnostinis metodas)</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Derinkite internetinę veiklos grupių apklausą (atskirdami tas veiklos grupes, kurios gavo kokios nors rūšies paramą – tarpininkavimo, mokymo ir kt. – nuo NKT ir tų grupių, kurios paramos negavo) su išsamiais pokalbiais su pasirinktomis veiklos grupėmis. Taip pat galima sudaryti tikslinę grupę siekiant apsvarstyti preliminarius internetinės apklausos rezultatus.</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Suinteresuotųjų subjektų analizė (diagnostinis metodas)</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Gali būti atliekama skirtingo lygmens suinteresuotųjų subjektų analizė: valstybės narės lygmens NKT ar tinklo struktūros (jei ji veikia atskirai nuo NKT) analizė siekiant įvertinti paramos inovacijoms paslaugas; teminių tinklų koordinatorių, veiklos grupių koordinatorių ir net EIP paslaugų centro. </w:t>
            </w:r>
          </w:p>
          <w:p w:rsidR="00A45935" w:rsidRPr="00385368" w:rsidRDefault="00A45935" w:rsidP="00E05D08">
            <w:pPr>
              <w:spacing w:after="120" w:line="280" w:lineRule="atLeast"/>
              <w:rPr>
                <w:rFonts w:eastAsia="Calibri" w:cs="Arial"/>
                <w:sz w:val="18"/>
                <w:szCs w:val="18"/>
              </w:rPr>
            </w:pPr>
            <w:r>
              <w:rPr>
                <w:sz w:val="18"/>
                <w:szCs w:val="18"/>
              </w:rPr>
              <w:t>Suinteresuotųjų subjektų analizė padės surinkti informaciją apie tuos rodiklius, kuriems nesurinkta duomenų iš stebėsenos duomenų bazės. Kai tai susiję su 21-uoju BVK, tik trys produkto rodikliai gali būti kiekybiškai išreikšti panaudojant stebėsenos duomenis, tačiau net tokiu atveju duomenys gali būti pernelyg bendro pobūdžio ir nesusiję su inovacijų elementais. Pavyzdžiui, teminių ir analizės duomenų mainų, kurie buvo įdiegti remiant NKT, skaičius (O.24 rodiklis) gali būti įrašytas į stebėsenos duomenų bazę, tačiau nenurodant, kurie iš šių mainų buvo susiję su inovacijų klausimais.</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sz w:val="18"/>
                <w:szCs w:val="18"/>
              </w:rPr>
            </w:pPr>
            <w:r>
              <w:rPr>
                <w:b/>
                <w:sz w:val="18"/>
                <w:szCs w:val="18"/>
              </w:rPr>
              <w:t xml:space="preserve">Socialinių tinklų analizė </w:t>
            </w:r>
            <w:r>
              <w:rPr>
                <w:b/>
                <w:i/>
                <w:sz w:val="18"/>
                <w:szCs w:val="18"/>
              </w:rPr>
              <w:t xml:space="preserve"> </w:t>
            </w:r>
            <w:r>
              <w:rPr>
                <w:sz w:val="18"/>
                <w:szCs w:val="18"/>
              </w:rPr>
              <w:t>(diagnostinis metodas)</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Gali būti atliekama teminio aspekto, būtent NKT inovacijų tikslų skatinimo socialinių tinklų analizė, nagrinėjant inovacijų tinklo dalis (pvz., nustatant pagrindinius tinkle veikiančius inovacijų srities subjektus), įvertinant jų struktūrines ypatybes (pvz., ar suinteresuotieji inovacijų subjektai yra centre ar periferijoje) ir jų tarpusavio sutapimus (pvz., siekiant nustatyti pagrindines sąsajas), taip pat aptariant juos tikslinėje grupėje.</w:t>
            </w:r>
          </w:p>
          <w:p w:rsidR="00A45935" w:rsidRPr="00385368" w:rsidRDefault="00A45935" w:rsidP="00E05D08">
            <w:pPr>
              <w:spacing w:after="120" w:line="280" w:lineRule="atLeast"/>
              <w:rPr>
                <w:rFonts w:eastAsia="Calibri" w:cs="Arial"/>
                <w:sz w:val="18"/>
                <w:szCs w:val="18"/>
              </w:rPr>
            </w:pPr>
            <w:r>
              <w:rPr>
                <w:sz w:val="18"/>
                <w:szCs w:val="18"/>
              </w:rPr>
              <w:t xml:space="preserve">Socialinių tinklų analizė gali padėti nustatyti suinteresuotųjų inovacijų subjektų dalyvavimą NKT ir įvertinti su inovacijomis susijusių rezultatų veiksmingumą </w:t>
            </w:r>
            <w:r>
              <w:rPr>
                <w:sz w:val="18"/>
                <w:szCs w:val="18"/>
              </w:rPr>
              <w:lastRenderedPageBreak/>
              <w:t>(pvz., teminiai ir analizės mainai apie inovacijas, mokymo veikla ir tinklaveika inovacijų klausimais ir su inovacijomis susijusių projektų pavyzdžių rinkimas).</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lastRenderedPageBreak/>
              <w:t>Atvejų tyrimai</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Atvejų tyrimus galima pritaikyti ir naudoti bet kokiam vertinimui atlikti. Jie leidžia taikyti įvairių metodų derinius ir jų  struktūra yra labai lanksti. Kalbant apie 21-ąjį BVK, atvejų tyrimus siūloma konstruoti remiantis tokiais su inovacijomis susijusiais klausimais / kriterijais:</w:t>
            </w:r>
          </w:p>
          <w:p w:rsidR="00A45935" w:rsidRPr="00385368" w:rsidRDefault="00A45935" w:rsidP="008C0B17">
            <w:pPr>
              <w:numPr>
                <w:ilvl w:val="0"/>
                <w:numId w:val="41"/>
              </w:numPr>
              <w:spacing w:before="60" w:after="120" w:line="280" w:lineRule="atLeast"/>
              <w:ind w:left="360"/>
              <w:rPr>
                <w:sz w:val="18"/>
              </w:rPr>
            </w:pPr>
            <w:r>
              <w:rPr>
                <w:sz w:val="18"/>
              </w:rPr>
              <w:t>NKT vaidmens kuriant veiklos grupes ir taip skatinant inovacijas žemės ūkyje, miškininkystėje ir kaimo vietovėse analize;</w:t>
            </w:r>
          </w:p>
          <w:p w:rsidR="00A45935" w:rsidRPr="00385368" w:rsidRDefault="00A45935" w:rsidP="008C0B17">
            <w:pPr>
              <w:numPr>
                <w:ilvl w:val="0"/>
                <w:numId w:val="41"/>
              </w:numPr>
              <w:spacing w:before="60" w:after="120" w:line="280" w:lineRule="atLeast"/>
              <w:ind w:left="360"/>
              <w:rPr>
                <w:sz w:val="18"/>
              </w:rPr>
            </w:pPr>
            <w:r>
              <w:rPr>
                <w:sz w:val="18"/>
              </w:rPr>
              <w:t>NKT indėlio remiant konsultantus ir paramos inovacijoms paslaugų teikėjus, kaip interaktyvaus inovacijų proceso instruktorius (pvz., kaupiančius praktines idėjas, atliekančius tarpininkų, naujų žinių sklaidos tarpininkų ir žinių platintojų vaidmenį), analize;</w:t>
            </w:r>
          </w:p>
          <w:p w:rsidR="00A45935" w:rsidRPr="00385368" w:rsidRDefault="00A45935" w:rsidP="008C0B17">
            <w:pPr>
              <w:numPr>
                <w:ilvl w:val="0"/>
                <w:numId w:val="41"/>
              </w:numPr>
              <w:spacing w:before="60" w:after="120" w:line="280" w:lineRule="atLeast"/>
              <w:ind w:left="360"/>
              <w:rPr>
                <w:sz w:val="18"/>
              </w:rPr>
            </w:pPr>
            <w:r>
              <w:rPr>
                <w:sz w:val="18"/>
              </w:rPr>
              <w:t>NKT vaidmens teminiuose tinkluose, kurie susieja veiklos grupes, analize, taip įvertinant sąsajas su programa „Horizontas 2020“.</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Rizika ir sprendimai</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E05D08" w:rsidTr="00E05D08">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Rizikos rūšys</w:t>
            </w:r>
          </w:p>
        </w:tc>
        <w:tc>
          <w:tcPr>
            <w:tcW w:w="4509"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Sprendimai</w:t>
            </w:r>
          </w:p>
        </w:tc>
      </w:tr>
      <w:tr w:rsidR="00A45935" w:rsidRPr="00E05D08" w:rsidTr="00E05D08">
        <w:trPr>
          <w:trHeight w:val="699"/>
        </w:trPr>
        <w:tc>
          <w:tcPr>
            <w:tcW w:w="4508" w:type="dxa"/>
          </w:tcPr>
          <w:p w:rsidR="00A45935" w:rsidRPr="00385368" w:rsidRDefault="00A45935" w:rsidP="00E05D08">
            <w:pPr>
              <w:spacing w:after="120" w:line="280" w:lineRule="atLeast"/>
              <w:rPr>
                <w:rFonts w:eastAsia="Calibri" w:cs="Arial"/>
                <w:sz w:val="18"/>
                <w:szCs w:val="18"/>
              </w:rPr>
            </w:pPr>
            <w:r>
              <w:rPr>
                <w:sz w:val="18"/>
                <w:szCs w:val="18"/>
              </w:rPr>
              <w:t>Trijų bendrųjų produkto rodiklių duomenys turėtų būti prieinami, tačiau, labai tikėtina, kad jie nebus susiję su inovacijomis. Pavyzdžiui, teminių ir analizės mainų duomenys gali būti surinkti ne pagal temas, tai yra ne pagal inovacijų temą. Taip pat duomenys apie ryšių priemones gali nebūti suskirstyti pagal temas (pvz., inovacijų rezultatų pranešimas).</w:t>
            </w:r>
          </w:p>
        </w:tc>
        <w:tc>
          <w:tcPr>
            <w:tcW w:w="4509" w:type="dxa"/>
          </w:tcPr>
          <w:p w:rsidR="00A45935" w:rsidRPr="00385368" w:rsidRDefault="00A45935" w:rsidP="007E63EF">
            <w:pPr>
              <w:spacing w:after="120" w:line="280" w:lineRule="atLeast"/>
              <w:rPr>
                <w:sz w:val="18"/>
                <w:szCs w:val="18"/>
              </w:rPr>
            </w:pPr>
            <w:r>
              <w:rPr>
                <w:sz w:val="18"/>
                <w:szCs w:val="18"/>
              </w:rPr>
              <w:t>Vadovaujančiosios institucijos galėtų įtraukti inovacijų komponentą į stebėsenos duomenų bazėse kaupiamų trijų bendrųjų produkto rodiklių duomenis</w:t>
            </w:r>
            <w:r>
              <w:rPr>
                <w:rFonts w:eastAsia="Calibri" w:cs="Arial"/>
                <w:sz w:val="18"/>
                <w:szCs w:val="18"/>
                <w:vertAlign w:val="superscript"/>
              </w:rPr>
              <w:footnoteReference w:id="67"/>
            </w:r>
            <w:r>
              <w:rPr>
                <w:sz w:val="18"/>
                <w:szCs w:val="18"/>
              </w:rPr>
              <w:t>.</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Visiems kitiems siūlomiems rodikliams reikalingi duomenys nebūtų renkami stebėsenos tikslais, nebent vadovaujančioji institucija (VĮ) / NKT nuspręstų juos surinkti papildomai prie bendrųjų duomenų elementų.</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Ankstyvajame įgyvendinimo etape NKT turėtų pažymėti savo veiklą, kuria siekiama skatinti inovacijas (pvz., inovacijų srities suinteresuotųjų subjektų mokymas, teminiai mainai inovacijų klausimais, gerosios inovacijų patirties kaupimas, parama kuriant veiklos grupes ir kt.).</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Pasikliovimas tik vienu metodu (kokybiniu arba kiekybiniu) analizuojant duomenis gali neduoti patikimų rezultatų.</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 xml:space="preserve">Taikykite keletą vertinimo metodų, kurie pagrįsti nuolatiniu arba </w:t>
            </w:r>
            <w:r>
              <w:rPr>
                <w:i/>
                <w:sz w:val="18"/>
                <w:szCs w:val="18"/>
              </w:rPr>
              <w:t xml:space="preserve">ex post </w:t>
            </w:r>
            <w:r>
              <w:rPr>
                <w:sz w:val="18"/>
                <w:szCs w:val="18"/>
              </w:rPr>
              <w:t>informacijos rinkimu, pavyzdžiui, tokių, kaip pirmiau pasiūlyti metodai (apklausos, tikslinės grupės, diagnostiniai metodai, atvejų tyrimai), ir kuriais, taikant trianguliacijos metodą, galima gauti patikimesnius rezultatus.</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Išvados ir rekomendacijos</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Išvados ir rekomendacijos turėtų būti susiję su:</w:t>
      </w:r>
    </w:p>
    <w:p w:rsidR="00A45935" w:rsidRPr="00E72529" w:rsidRDefault="00A45935" w:rsidP="00676B41">
      <w:pPr>
        <w:pStyle w:val="Hlistbullet"/>
        <w:rPr>
          <w:rFonts w:eastAsia="Calibri"/>
          <w:shd w:val="clear" w:color="auto" w:fill="FFFFFF"/>
        </w:rPr>
      </w:pPr>
      <w:r>
        <w:rPr>
          <w:b/>
          <w:shd w:val="clear" w:color="auto" w:fill="FFFFFF"/>
        </w:rPr>
        <w:t xml:space="preserve">NKT indėliu skatinant inovacijas </w:t>
      </w:r>
      <w:r>
        <w:rPr>
          <w:shd w:val="clear" w:color="auto" w:fill="FFFFFF"/>
        </w:rPr>
        <w:t>žemės ūkyje, maisto produktų gamyboje, miškininkystėje ir kaimo vietovėse;</w:t>
      </w:r>
    </w:p>
    <w:p w:rsidR="00A45935" w:rsidRPr="00E72529" w:rsidRDefault="00A45935" w:rsidP="00676B41">
      <w:pPr>
        <w:pStyle w:val="Hlistbullet"/>
        <w:rPr>
          <w:rFonts w:eastAsia="Calibri"/>
          <w:shd w:val="clear" w:color="auto" w:fill="FFFFFF"/>
        </w:rPr>
      </w:pPr>
      <w:r>
        <w:rPr>
          <w:b/>
          <w:shd w:val="clear" w:color="auto" w:fill="FFFFFF"/>
        </w:rPr>
        <w:lastRenderedPageBreak/>
        <w:t>pagrindiniais veiksniais ir sąlygomis,</w:t>
      </w:r>
      <w:r>
        <w:rPr>
          <w:shd w:val="clear" w:color="auto" w:fill="FFFFFF"/>
        </w:rPr>
        <w:t xml:space="preserve"> dėl kurių NKT tampa pagrindiniais interaktyvaus inovacijų proceso subjektais;</w:t>
      </w:r>
    </w:p>
    <w:p w:rsidR="00A45935" w:rsidRPr="00E72529" w:rsidRDefault="00A45935" w:rsidP="00676B41">
      <w:pPr>
        <w:pStyle w:val="Hlistbullet"/>
        <w:rPr>
          <w:rFonts w:eastAsia="Calibri"/>
          <w:shd w:val="clear" w:color="auto" w:fill="FFFFFF"/>
        </w:rPr>
      </w:pPr>
      <w:r>
        <w:rPr>
          <w:b/>
          <w:shd w:val="clear" w:color="auto" w:fill="FFFFFF"/>
        </w:rPr>
        <w:t>NKT vaidmeniu inovacijų sistemoje</w:t>
      </w:r>
      <w:r>
        <w:rPr>
          <w:shd w:val="clear" w:color="auto" w:fill="FFFFFF"/>
        </w:rPr>
        <w:t>: 1) inovacijų nustatymu kaupiant ir platinat gerąją patirtį, 2) gebėjimo diegti inovacijas stiprinimu pasitelkiant mokymą, tinklaveiką, teminius ir analizės mainus, 3) palankios aplinkos kūrimu remiant ir skatinant EIP veiklos grupių veiklą.</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Daugiau informacijos</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292C2586" wp14:editId="3491ED4B">
                <wp:extent cx="5625465" cy="3508744"/>
                <wp:effectExtent l="0" t="0" r="13335" b="15875"/>
                <wp:docPr id="552" name="Rectangle: Diagonal Corners Rounded 552"/>
                <wp:cNvGraphicFramePr/>
                <a:graphic xmlns:a="http://schemas.openxmlformats.org/drawingml/2006/main">
                  <a:graphicData uri="http://schemas.microsoft.com/office/word/2010/wordprocessingShape">
                    <wps:wsp>
                      <wps:cNvSpPr/>
                      <wps:spPr>
                        <a:xfrm>
                          <a:off x="0" y="0"/>
                          <a:ext cx="5625465" cy="3508744"/>
                        </a:xfrm>
                        <a:prstGeom prst="round2DiagRect">
                          <a:avLst>
                            <a:gd name="adj1" fmla="val 9900"/>
                            <a:gd name="adj2" fmla="val 0"/>
                          </a:avLst>
                        </a:prstGeom>
                        <a:noFill/>
                        <a:ln w="25400" cap="flat" cmpd="sng" algn="ctr">
                          <a:solidFill>
                            <a:srgbClr val="59638E"/>
                          </a:solidFill>
                          <a:prstDash val="solid"/>
                        </a:ln>
                        <a:effectLst/>
                      </wps:spPr>
                      <wps:txbx>
                        <w:txbxContent>
                          <w:p w:rsidR="001F67E3" w:rsidRDefault="001F67E3" w:rsidP="00E05D08">
                            <w:pPr>
                              <w:pStyle w:val="HStandard"/>
                              <w:rPr>
                                <w:color w:val="000000"/>
                                <w:sz w:val="18"/>
                              </w:rPr>
                            </w:pPr>
                            <w:r>
                              <w:rPr>
                                <w:noProof/>
                                <w:lang w:val="en-GB" w:eastAsia="en-GB"/>
                              </w:rPr>
                              <w:drawing>
                                <wp:inline distT="0" distB="0" distL="0" distR="0" wp14:anchorId="76761D46" wp14:editId="2C4DED9C">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1F67E3" w:rsidRPr="006F1763" w:rsidRDefault="001F67E3" w:rsidP="00E05D08">
                            <w:pPr>
                              <w:pStyle w:val="HStandard"/>
                              <w:rPr>
                                <w:sz w:val="18"/>
                                <w:szCs w:val="18"/>
                              </w:rPr>
                            </w:pPr>
                            <w:r>
                              <w:rPr>
                                <w:sz w:val="18"/>
                                <w:szCs w:val="18"/>
                              </w:rPr>
                              <w:t xml:space="preserve">Europos vertinimo pagalbos tarnyba, 2016 m. </w:t>
                            </w:r>
                            <w:r>
                              <w:t>Gairių</w:t>
                            </w:r>
                            <w:r>
                              <w:rPr>
                                <w:sz w:val="18"/>
                                <w:szCs w:val="18"/>
                              </w:rPr>
                              <w:t xml:space="preserve"> </w:t>
                            </w:r>
                            <w:hyperlink r:id="rId65" w:history="1">
                              <w:r>
                                <w:rPr>
                                  <w:color w:val="F07E31"/>
                                  <w:sz w:val="18"/>
                                  <w:szCs w:val="18"/>
                                  <w:u w:val="single"/>
                                </w:rPr>
                                <w:t>„KPP rezultatų vertinimas:</w:t>
                              </w:r>
                            </w:hyperlink>
                            <w:hyperlink r:id="rId66" w:history="1">
                              <w:r>
                                <w:rPr>
                                  <w:color w:val="F07E31"/>
                                  <w:sz w:val="18"/>
                                  <w:szCs w:val="18"/>
                                  <w:u w:val="single"/>
                                </w:rPr>
                                <w:t xml:space="preserve"> kaip pasirengti teikti vertinimo ataskaitas 2017 m. </w:t>
                              </w:r>
                            </w:hyperlink>
                            <w:r>
                              <w:t>“ 11 priedas.</w:t>
                            </w:r>
                            <w:r>
                              <w:rPr>
                                <w:sz w:val="18"/>
                                <w:szCs w:val="18"/>
                              </w:rPr>
                              <w:t xml:space="preserve"> </w:t>
                            </w:r>
                          </w:p>
                          <w:p w:rsidR="001F67E3" w:rsidRPr="006F1763" w:rsidRDefault="001F67E3" w:rsidP="00E05D08">
                            <w:pPr>
                              <w:pStyle w:val="HStandard"/>
                              <w:rPr>
                                <w:sz w:val="18"/>
                                <w:szCs w:val="18"/>
                              </w:rPr>
                            </w:pPr>
                            <w:r>
                              <w:rPr>
                                <w:sz w:val="18"/>
                                <w:szCs w:val="18"/>
                              </w:rPr>
                              <w:t>ENRD (2014) (EKPT 2013 m. ataskaita)</w:t>
                            </w:r>
                            <w:hyperlink r:id="rId67" w:history="1">
                              <w:r>
                                <w:rPr>
                                  <w:rStyle w:val="Hyperlink"/>
                                  <w:sz w:val="18"/>
                                  <w:szCs w:val="18"/>
                                </w:rPr>
                                <w:t xml:space="preserve"> NKT vadovas (</w:t>
                              </w:r>
                              <w:r w:rsidR="00127F70">
                                <w:rPr>
                                  <w:rStyle w:val="Hyperlink"/>
                                  <w:sz w:val="18"/>
                                  <w:szCs w:val="18"/>
                                </w:rPr>
                                <w:t xml:space="preserve">angl. </w:t>
                              </w:r>
                              <w:r w:rsidRPr="00A963F4">
                                <w:rPr>
                                  <w:rStyle w:val="Hyperlink"/>
                                  <w:i/>
                                  <w:iCs/>
                                  <w:sz w:val="18"/>
                                  <w:szCs w:val="18"/>
                                </w:rPr>
                                <w:t>NRN Guidebook</w:t>
                              </w:r>
                              <w:r>
                                <w:rPr>
                                  <w:rStyle w:val="Hyperlink"/>
                                  <w:sz w:val="18"/>
                                  <w:szCs w:val="18"/>
                                </w:rPr>
                                <w:t>)</w:t>
                              </w:r>
                            </w:hyperlink>
                            <w:r>
                              <w:rPr>
                                <w:sz w:val="18"/>
                                <w:szCs w:val="18"/>
                              </w:rPr>
                              <w:t>. Liuksemburgas, Europos Sąjungos leidinių biuras,</w:t>
                            </w:r>
                          </w:p>
                          <w:p w:rsidR="001F67E3" w:rsidRPr="006F1763" w:rsidRDefault="001F67E3" w:rsidP="00E05D08">
                            <w:pPr>
                              <w:pStyle w:val="HStandard"/>
                              <w:rPr>
                                <w:sz w:val="18"/>
                                <w:szCs w:val="18"/>
                              </w:rPr>
                            </w:pPr>
                            <w:r>
                              <w:t>2016 m. Europos vertinimo pagalbos tarnyb</w:t>
                            </w:r>
                            <w:r>
                              <w:rPr>
                                <w:sz w:val="18"/>
                                <w:szCs w:val="18"/>
                              </w:rPr>
                              <w:t xml:space="preserve">os gairės </w:t>
                            </w:r>
                            <w:hyperlink r:id="rId68" w:history="1">
                              <w:r>
                                <w:rPr>
                                  <w:rStyle w:val="Hyperlink"/>
                                  <w:sz w:val="18"/>
                                  <w:szCs w:val="18"/>
                                </w:rPr>
                                <w:t>„2014–2020 m. nacionalinių kaimo tinklų vertinimas“</w:t>
                              </w:r>
                            </w:hyperlink>
                            <w:r>
                              <w:t>,</w:t>
                            </w:r>
                          </w:p>
                          <w:p w:rsidR="001F67E3" w:rsidRPr="006F1763" w:rsidRDefault="001F67E3" w:rsidP="00E05D08">
                            <w:pPr>
                              <w:pStyle w:val="HStandard"/>
                              <w:rPr>
                                <w:sz w:val="18"/>
                                <w:szCs w:val="18"/>
                              </w:rPr>
                            </w:pPr>
                            <w:r>
                              <w:rPr>
                                <w:sz w:val="18"/>
                                <w:szCs w:val="18"/>
                              </w:rPr>
                              <w:t xml:space="preserve">Europos Komisija, Žemės ūkio ir kaimo plėtros GD, 2014 m. </w:t>
                            </w:r>
                            <w:hyperlink r:id="rId69" w:history="1">
                              <w:r>
                                <w:rPr>
                                  <w:rStyle w:val="Hyperlink"/>
                                  <w:sz w:val="18"/>
                                  <w:szCs w:val="18"/>
                                </w:rPr>
                                <w:t>EIP žemės ūkio našumo ir tvarumo srityje inovacijų programavimo ir įgyvendinimo gairės (</w:t>
                              </w:r>
                              <w:r w:rsidR="00127F70">
                                <w:rPr>
                                  <w:rStyle w:val="Hyperlink"/>
                                  <w:sz w:val="18"/>
                                  <w:szCs w:val="18"/>
                                </w:rPr>
                                <w:t xml:space="preserve">angl. </w:t>
                              </w:r>
                              <w:r>
                                <w:rPr>
                                  <w:rStyle w:val="Hyperlink"/>
                                  <w:i/>
                                  <w:sz w:val="18"/>
                                  <w:szCs w:val="18"/>
                                </w:rPr>
                                <w:t>Guidelines on programming for innovation and the implementation of the EIP for agricultural productivity and sustainability</w:t>
                              </w:r>
                              <w:r>
                                <w:rPr>
                                  <w:rStyle w:val="Hyperlink"/>
                                  <w:sz w:val="18"/>
                                  <w:szCs w:val="18"/>
                                </w:rPr>
                                <w:t>)</w:t>
                              </w:r>
                            </w:hyperlink>
                            <w:r>
                              <w:t>,</w:t>
                            </w:r>
                          </w:p>
                          <w:p w:rsidR="001F67E3" w:rsidRPr="006F1763" w:rsidRDefault="001F67E3" w:rsidP="00E05D08">
                            <w:pPr>
                              <w:pStyle w:val="HStandard"/>
                              <w:rPr>
                                <w:sz w:val="18"/>
                                <w:szCs w:val="18"/>
                              </w:rPr>
                            </w:pPr>
                            <w:r>
                              <w:rPr>
                                <w:sz w:val="18"/>
                                <w:szCs w:val="18"/>
                              </w:rPr>
                              <w:t xml:space="preserve">Europos vertinimo pagalbos tarnyba, 2014 m. „2014–2020 m. nacionalinių kaimo tinklų intervencinės veiklos loginis pagrindas ir vertinimo sistema“. Aiškinamasis dokumentas, pateiktas </w:t>
                            </w:r>
                            <w:hyperlink r:id="rId70" w:history="1">
                              <w:r>
                                <w:rPr>
                                  <w:rStyle w:val="Hyperlink"/>
                                  <w:sz w:val="18"/>
                                  <w:szCs w:val="18"/>
                                </w:rPr>
                                <w:t xml:space="preserve">gerosios patirties praktiniame seminare „National Rural Networks: </w:t>
                              </w:r>
                            </w:hyperlink>
                            <w:hyperlink r:id="rId71" w:history="1">
                              <w:r>
                                <w:rPr>
                                  <w:rStyle w:val="Hyperlink"/>
                                  <w:sz w:val="18"/>
                                  <w:szCs w:val="18"/>
                                </w:rPr>
                                <w:t xml:space="preserve">How to show their benefits </w:t>
                              </w:r>
                            </w:hyperlink>
                            <w:r>
                              <w:rPr>
                                <w:sz w:val="18"/>
                                <w:szCs w:val="18"/>
                              </w:rPr>
                              <w:t>“ („Nacionaliniai kaimo tinklai: kaip parodyti jų naudą“), 2014 m. balandžio 10 ir 11 d., Romoje (Italija),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2C2586" id="Rectangle: Diagonal Corners Rounded 552" o:spid="_x0000_s1052" style="width:442.95pt;height:276.3pt;visibility:visible;mso-wrap-style:square;mso-left-percent:-10001;mso-top-percent:-10001;mso-position-horizontal:absolute;mso-position-horizontal-relative:char;mso-position-vertical:absolute;mso-position-vertical-relative:line;mso-left-percent:-10001;mso-top-percent:-10001;v-text-anchor:middle" coordsize="5625465,35087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" adj="-11796480,,5400" path="m347366,l5625465,r,l5625465,3161378v,191845,-155521,347366,-347366,347366l,3508744r,l,347366c,155521,155521,,347366,xe" filled="f" strokecolor="#59638e" strokeweight="2pt">
                <v:stroke joinstyle="miter"/>
                <v:formulas/>
                <v:path arrowok="t" o:connecttype="custom" o:connectlocs="347366,0;5625465,0;5625465,0;5625465,3161378;5278099,3508744;0,3508744;0,3508744;0,347366;347366,0" o:connectangles="0,0,0,0,0,0,0,0,0" textboxrect="0,0,5625465,3508744"/>
                <v:textbox>
                  <w:txbxContent>
                    <w:p w:rsidR="001F67E3" w:rsidRDefault="001F67E3" w:rsidP="00E05D08">
                      <w:pPr>
                        <w:pStyle w:val="HStandard"/>
                        <w:rPr>
                          <w:color w:val="000000"/>
                          <w:sz w:val="18"/>
                        </w:rPr>
                      </w:pPr>
                      <w:r>
                        <w:rPr>
                          <w:noProof/>
                          <w:lang w:val="en-GB" w:eastAsia="en-GB"/>
                        </w:rPr>
                        <w:drawing>
                          <wp:inline distT="0" distB="0" distL="0" distR="0" wp14:anchorId="76761D46" wp14:editId="2C4DED9C">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1F67E3" w:rsidRPr="006F1763" w:rsidRDefault="001F67E3" w:rsidP="00E05D08">
                      <w:pPr>
                        <w:pStyle w:val="HStandard"/>
                        <w:rPr>
                          <w:sz w:val="18"/>
                          <w:szCs w:val="18"/>
                        </w:rPr>
                      </w:pPr>
                      <w:r>
                        <w:rPr>
                          <w:sz w:val="18"/>
                          <w:szCs w:val="18"/>
                        </w:rPr>
                        <w:t xml:space="preserve">Europos vertinimo pagalbos tarnyba, 2016 m. </w:t>
                      </w:r>
                      <w:r>
                        <w:t>Gairių</w:t>
                      </w:r>
                      <w:r>
                        <w:rPr>
                          <w:sz w:val="18"/>
                          <w:szCs w:val="18"/>
                        </w:rPr>
                        <w:t xml:space="preserve"> </w:t>
                      </w:r>
                      <w:hyperlink r:id="rId72" w:history="1">
                        <w:r>
                          <w:rPr>
                            <w:color w:val="F07E31"/>
                            <w:sz w:val="18"/>
                            <w:szCs w:val="18"/>
                            <w:u w:val="single"/>
                          </w:rPr>
                          <w:t>„KPP rezultatų vertinimas:</w:t>
                        </w:r>
                      </w:hyperlink>
                      <w:hyperlink r:id="rId73" w:history="1">
                        <w:r>
                          <w:rPr>
                            <w:color w:val="F07E31"/>
                            <w:sz w:val="18"/>
                            <w:szCs w:val="18"/>
                            <w:u w:val="single"/>
                          </w:rPr>
                          <w:t xml:space="preserve"> kaip pasirengti teikti vertinimo ataskaitas 2017 m. </w:t>
                        </w:r>
                      </w:hyperlink>
                      <w:r>
                        <w:t>“ 11 priedas.</w:t>
                      </w:r>
                      <w:r>
                        <w:rPr>
                          <w:sz w:val="18"/>
                          <w:szCs w:val="18"/>
                        </w:rPr>
                        <w:t xml:space="preserve"> </w:t>
                      </w:r>
                    </w:p>
                    <w:p w:rsidR="001F67E3" w:rsidRPr="006F1763" w:rsidRDefault="001F67E3" w:rsidP="00E05D08">
                      <w:pPr>
                        <w:pStyle w:val="HStandard"/>
                        <w:rPr>
                          <w:sz w:val="18"/>
                          <w:szCs w:val="18"/>
                        </w:rPr>
                      </w:pPr>
                      <w:r>
                        <w:rPr>
                          <w:sz w:val="18"/>
                          <w:szCs w:val="18"/>
                        </w:rPr>
                        <w:t>ENRD (2014) (EKPT 2013 m. ataskaita)</w:t>
                      </w:r>
                      <w:hyperlink r:id="rId74" w:history="1">
                        <w:r>
                          <w:rPr>
                            <w:rStyle w:val="Hyperlink"/>
                            <w:sz w:val="18"/>
                            <w:szCs w:val="18"/>
                          </w:rPr>
                          <w:t xml:space="preserve"> NKT vadovas (</w:t>
                        </w:r>
                        <w:r w:rsidR="00127F70">
                          <w:rPr>
                            <w:rStyle w:val="Hyperlink"/>
                            <w:sz w:val="18"/>
                            <w:szCs w:val="18"/>
                          </w:rPr>
                          <w:t xml:space="preserve">angl. </w:t>
                        </w:r>
                        <w:r w:rsidRPr="00A963F4">
                          <w:rPr>
                            <w:rStyle w:val="Hyperlink"/>
                            <w:i/>
                            <w:iCs/>
                            <w:sz w:val="18"/>
                            <w:szCs w:val="18"/>
                          </w:rPr>
                          <w:t>NRN Guidebook</w:t>
                        </w:r>
                        <w:r>
                          <w:rPr>
                            <w:rStyle w:val="Hyperlink"/>
                            <w:sz w:val="18"/>
                            <w:szCs w:val="18"/>
                          </w:rPr>
                          <w:t>)</w:t>
                        </w:r>
                      </w:hyperlink>
                      <w:r>
                        <w:rPr>
                          <w:sz w:val="18"/>
                          <w:szCs w:val="18"/>
                        </w:rPr>
                        <w:t>. Liuksemburgas, Europos Sąjungos leidinių biuras,</w:t>
                      </w:r>
                    </w:p>
                    <w:p w:rsidR="001F67E3" w:rsidRPr="006F1763" w:rsidRDefault="001F67E3" w:rsidP="00E05D08">
                      <w:pPr>
                        <w:pStyle w:val="HStandard"/>
                        <w:rPr>
                          <w:sz w:val="18"/>
                          <w:szCs w:val="18"/>
                        </w:rPr>
                      </w:pPr>
                      <w:r>
                        <w:t>2016 m. Europos vertinimo pagalbos tarnyb</w:t>
                      </w:r>
                      <w:r>
                        <w:rPr>
                          <w:sz w:val="18"/>
                          <w:szCs w:val="18"/>
                        </w:rPr>
                        <w:t xml:space="preserve">os gairės </w:t>
                      </w:r>
                      <w:hyperlink r:id="rId75" w:history="1">
                        <w:r>
                          <w:rPr>
                            <w:rStyle w:val="Hyperlink"/>
                            <w:sz w:val="18"/>
                            <w:szCs w:val="18"/>
                          </w:rPr>
                          <w:t>„2014–2020 m. nacionalinių kaimo tinklų vertinimas“</w:t>
                        </w:r>
                      </w:hyperlink>
                      <w:r>
                        <w:t>,</w:t>
                      </w:r>
                    </w:p>
                    <w:p w:rsidR="001F67E3" w:rsidRPr="006F1763" w:rsidRDefault="001F67E3" w:rsidP="00E05D08">
                      <w:pPr>
                        <w:pStyle w:val="HStandard"/>
                        <w:rPr>
                          <w:sz w:val="18"/>
                          <w:szCs w:val="18"/>
                        </w:rPr>
                      </w:pPr>
                      <w:r>
                        <w:rPr>
                          <w:sz w:val="18"/>
                          <w:szCs w:val="18"/>
                        </w:rPr>
                        <w:t xml:space="preserve">Europos Komisija, Žemės ūkio ir kaimo plėtros GD, 2014 m. </w:t>
                      </w:r>
                      <w:hyperlink r:id="rId76" w:history="1">
                        <w:r>
                          <w:rPr>
                            <w:rStyle w:val="Hyperlink"/>
                            <w:sz w:val="18"/>
                            <w:szCs w:val="18"/>
                          </w:rPr>
                          <w:t>EIP žemės ūkio našumo ir tvarumo srityje inovacijų programavimo ir įgyvendinimo gairės (</w:t>
                        </w:r>
                        <w:r w:rsidR="00127F70">
                          <w:rPr>
                            <w:rStyle w:val="Hyperlink"/>
                            <w:sz w:val="18"/>
                            <w:szCs w:val="18"/>
                          </w:rPr>
                          <w:t xml:space="preserve">angl. </w:t>
                        </w:r>
                        <w:r>
                          <w:rPr>
                            <w:rStyle w:val="Hyperlink"/>
                            <w:i/>
                            <w:sz w:val="18"/>
                            <w:szCs w:val="18"/>
                          </w:rPr>
                          <w:t>Guidelines on programming for innovation and the implementation of the EIP for agricultural productivity and sustainability</w:t>
                        </w:r>
                        <w:r>
                          <w:rPr>
                            <w:rStyle w:val="Hyperlink"/>
                            <w:sz w:val="18"/>
                            <w:szCs w:val="18"/>
                          </w:rPr>
                          <w:t>)</w:t>
                        </w:r>
                      </w:hyperlink>
                      <w:r>
                        <w:t>,</w:t>
                      </w:r>
                    </w:p>
                    <w:p w:rsidR="001F67E3" w:rsidRPr="006F1763" w:rsidRDefault="001F67E3" w:rsidP="00E05D08">
                      <w:pPr>
                        <w:pStyle w:val="HStandard"/>
                        <w:rPr>
                          <w:sz w:val="18"/>
                          <w:szCs w:val="18"/>
                        </w:rPr>
                      </w:pPr>
                      <w:r>
                        <w:rPr>
                          <w:sz w:val="18"/>
                          <w:szCs w:val="18"/>
                        </w:rPr>
                        <w:t xml:space="preserve">Europos vertinimo pagalbos tarnyba, 2014 m. „2014–2020 m. nacionalinių kaimo tinklų intervencinės veiklos loginis pagrindas ir vertinimo sistema“. Aiškinamasis dokumentas, pateiktas </w:t>
                      </w:r>
                      <w:hyperlink r:id="rId77" w:history="1">
                        <w:r>
                          <w:rPr>
                            <w:rStyle w:val="Hyperlink"/>
                            <w:sz w:val="18"/>
                            <w:szCs w:val="18"/>
                          </w:rPr>
                          <w:t xml:space="preserve">gerosios patirties praktiniame seminare „National Rural Networks: </w:t>
                        </w:r>
                      </w:hyperlink>
                      <w:hyperlink r:id="rId78" w:history="1">
                        <w:r>
                          <w:rPr>
                            <w:rStyle w:val="Hyperlink"/>
                            <w:sz w:val="18"/>
                            <w:szCs w:val="18"/>
                          </w:rPr>
                          <w:t xml:space="preserve">How to show their benefits </w:t>
                        </w:r>
                      </w:hyperlink>
                      <w:r>
                        <w:rPr>
                          <w:sz w:val="18"/>
                          <w:szCs w:val="18"/>
                        </w:rPr>
                        <w:t>“ („Nacionaliniai kaimo tinklai: kaip parodyti jų naudą“), 2014 m. balandžio 10 ir 11 d., Romoje (Italija),</w:t>
                      </w:r>
                    </w:p>
                  </w:txbxContent>
                </v:textbox>
                <w10:anchorlock/>
              </v:shape>
            </w:pict>
          </mc:Fallback>
        </mc:AlternateContent>
      </w:r>
    </w:p>
    <w:p w:rsidR="00A45935" w:rsidRPr="006871D2" w:rsidRDefault="00A45935" w:rsidP="00F66623">
      <w:pPr>
        <w:pStyle w:val="HHeading3"/>
        <w:numPr>
          <w:ilvl w:val="2"/>
          <w:numId w:val="124"/>
        </w:numPr>
        <w:tabs>
          <w:tab w:val="clear" w:pos="567"/>
        </w:tabs>
        <w:spacing w:before="480" w:line="280" w:lineRule="exact"/>
        <w:ind w:left="567" w:hanging="567"/>
      </w:pPr>
      <w:bookmarkStart w:id="121" w:name="_Toc501382134"/>
      <w:bookmarkStart w:id="122" w:name="_Toc508976531"/>
      <w:r>
        <w:t>23-asis BVK. „Kiek KPP padėjo siekti pagrindinio strategijos „Europa 2020“ tikslo – investuoti 3 proc. bendrojo ES vidaus produkto (BVP) į mokslinius tyrimus ir technologinę plėtrą bei inovacijas?“</w:t>
      </w:r>
      <w:bookmarkEnd w:id="121"/>
      <w:bookmarkEnd w:id="122"/>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Kaip suprasti BVK?</w:t>
      </w:r>
    </w:p>
    <w:p w:rsidR="00A45935" w:rsidRPr="00E05D08" w:rsidRDefault="00A45935" w:rsidP="00E05D08">
      <w:pPr>
        <w:spacing w:after="120" w:line="280" w:lineRule="atLeast"/>
        <w:mirrorIndents/>
        <w:rPr>
          <w:rFonts w:eastAsia="Times New Roman" w:cs="Times New Roman"/>
          <w:szCs w:val="20"/>
        </w:rPr>
      </w:pPr>
      <w:r>
        <w:t xml:space="preserve">Šis BVK susijęs su vienu iš penkių pagrindinių strategijos „Europa 2020“ tikslų –  „investuoti 3 proc. bendrojo ES vidaus produkto (BVP) į MTTP / inovacijas“. Siekdami suprasti šį klausimą, turėtume pripažinti pagrindinio tikslo kontekstą ir jo įvertinimo būdus, o svarbiausia – jo aspektą gerinti sąlygas inovacijoms, moksliniams tyrimams ir technologinei plėtrai derinant finansavimą viešojo ir privačiojo sektorių lėšomis. </w:t>
      </w:r>
    </w:p>
    <w:p w:rsidR="00A45935" w:rsidRPr="00E05D08" w:rsidRDefault="00A45935" w:rsidP="00E05D08">
      <w:pPr>
        <w:spacing w:after="120" w:line="280" w:lineRule="atLeast"/>
        <w:mirrorIndents/>
        <w:rPr>
          <w:rFonts w:eastAsia="Times New Roman" w:cs="Times New Roman"/>
          <w:szCs w:val="20"/>
        </w:rPr>
      </w:pPr>
      <w:r>
        <w:t xml:space="preserve">Pagrindinis tikslas yra susijęs su strategijos „Europa 2020“ prioritetais – žiniomis ir inovacijomis pagrįstu pažangiu, tvariu ir integraciniu augimu. Dėmesys sutelkiamas į viešojo ir privataus sektorių poreikį investuoti į MTTP, tačiau daugiausia dėmesio skiriama </w:t>
      </w:r>
      <w:r>
        <w:rPr>
          <w:b/>
          <w:szCs w:val="20"/>
        </w:rPr>
        <w:t>pradiniam indėliui, o ne poveikiui</w:t>
      </w:r>
      <w:r>
        <w:rPr>
          <w:rFonts w:eastAsia="Times New Roman" w:cs="Times New Roman"/>
          <w:szCs w:val="20"/>
          <w:vertAlign w:val="superscript"/>
          <w:lang w:eastAsia="de-DE"/>
        </w:rPr>
        <w:footnoteReference w:id="68"/>
      </w:r>
      <w:r>
        <w:t xml:space="preserve">. Būtina sudaryti geresnes MTTP sąlygas privačiam sektoriui ES – to bus siekiama įvairiomis šioje strategijoje pasiūlytomis priemonėmis. Taip pat aišku, kad jei sujungtume išlaidas MTTP ir inovacijoms, išplėstume </w:t>
      </w:r>
      <w:r>
        <w:lastRenderedPageBreak/>
        <w:t xml:space="preserve">šių išlaidų aprėptį, o tai o aktualu įmonių veiklai ir darbo našumo skatinimui. Komisija siūlo išlaikyti 3 proc. tikslą ir rengia rodiklį, kuris atspindėtų MTTP ir inovacijų intensyvumą. </w:t>
      </w:r>
    </w:p>
    <w:p w:rsidR="00A45935" w:rsidRPr="00E05D08" w:rsidRDefault="00A45935" w:rsidP="00E05D08">
      <w:pPr>
        <w:spacing w:after="120" w:line="280" w:lineRule="atLeast"/>
        <w:mirrorIndents/>
        <w:rPr>
          <w:rFonts w:eastAsia="Times New Roman" w:cs="Times New Roman"/>
          <w:szCs w:val="20"/>
        </w:rPr>
      </w:pPr>
      <w:r>
        <w:t>Šis pagrindinis tikslas buvo perkeltas į ES valstybių narių nacionalinius tikslus, atspindinčius padėties ir aplinkybių skirtumus, kad kiekviena valstybė narė galėtų įvertinti savo pažangą, padarytą siekiant strategijos „Europa 2020“ tikslų</w:t>
      </w:r>
      <w:r>
        <w:rPr>
          <w:rFonts w:eastAsia="Times New Roman" w:cs="Times New Roman"/>
          <w:szCs w:val="20"/>
          <w:vertAlign w:val="superscript"/>
          <w:lang w:eastAsia="de-DE"/>
        </w:rPr>
        <w:footnoteReference w:id="69"/>
      </w:r>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 xml:space="preserve">Konkretūs iššūkiai </w:t>
      </w:r>
    </w:p>
    <w:p w:rsidR="00A45935" w:rsidRPr="006C63CD" w:rsidRDefault="00A45935" w:rsidP="00676B41">
      <w:pPr>
        <w:pStyle w:val="Hlistbullet"/>
      </w:pPr>
      <w:r>
        <w:rPr>
          <w:b/>
        </w:rPr>
        <w:t xml:space="preserve">Duomenų valdymas siekiant gauti aukštos kokybės su MTTP ir inovacijomis susijusius duomenis. </w:t>
      </w:r>
      <w:r>
        <w:t>Eurostatas reguliariai skelbia išsamią pagrindinio tikslinio rodiklio įgyvendinimo pažangos ataskaitą</w:t>
      </w:r>
      <w:r>
        <w:rPr>
          <w:vertAlign w:val="superscript"/>
        </w:rPr>
        <w:footnoteReference w:id="70"/>
      </w:r>
      <w:r>
        <w:t>. Duomenys renkami vadovaujantis EBPO „Fraskačio vadovu“</w:t>
      </w:r>
      <w:r>
        <w:rPr>
          <w:vertAlign w:val="superscript"/>
        </w:rPr>
        <w:footnoteReference w:id="71"/>
      </w:r>
      <w:r>
        <w:t xml:space="preserve"> ir konkrečiais ES reglamentais</w:t>
      </w:r>
      <w:r>
        <w:rPr>
          <w:vertAlign w:val="superscript"/>
        </w:rPr>
        <w:footnoteReference w:id="72"/>
      </w:r>
      <w:r>
        <w:t xml:space="preserve">. „Fraskačio vadovu“ taip pat remiamasi renkant duomenis, reikalingus pagrindinio tikslinio rodiklio „bendrosios vidaus išlaidos moksliniams tyrimams ir technologinei plėtrai (MTTP) (GERD)“ </w:t>
      </w:r>
      <w:r>
        <w:rPr>
          <w:shd w:val="clear" w:color="auto" w:fill="FFFFFF"/>
        </w:rPr>
        <w:t>pakaitiniam rodikliui</w:t>
      </w:r>
      <w:r>
        <w:t>, kurio duomenis renka Eurostatas</w:t>
      </w:r>
      <w:r>
        <w:rPr>
          <w:vertAlign w:val="superscript"/>
        </w:rPr>
        <w:footnoteReference w:id="73"/>
      </w:r>
      <w:r>
        <w:t xml:space="preserve">. Šis rodiklis apima išlaidas </w:t>
      </w:r>
      <w:r>
        <w:rPr>
          <w:color w:val="333333"/>
          <w:shd w:val="clear" w:color="auto" w:fill="FFFFFF"/>
        </w:rPr>
        <w:t>moksliniams tyrimams ir technologinei plėtrai pagal verslo įmonių, aukštųjų mokyklų, taip pat pagal valdžios ir privačių ne pelno siekiančių organizacijų sektorius.</w:t>
      </w:r>
      <w:r>
        <w:t xml:space="preserve"> Eurostatas teikia bendrųjų vidaus išlaidų MTTP (GERD) duomenis NUTS 1 ir NUTS 2 lygio regionams. Rodikliu „visų bendrųjų vidaus išlaidų MTTP (GERD) procentinė dalis“ parodomos </w:t>
      </w:r>
      <w:r>
        <w:rPr>
          <w:color w:val="333333"/>
          <w:shd w:val="clear" w:color="auto" w:fill="FFFFFF"/>
        </w:rPr>
        <w:t>santykinės įvairių MTTP finansavimo šaltinių dalys: pramonės, valstybinis, aukštojo mokslo ir privatusis ne pelno sektoriai. Penktasis iš pateiktųjų finansavimo šaltinių yra iš užsienio finansuojamos bendrosios vidaus išlaidos MTTP (GERD). Rodiklio „</w:t>
      </w:r>
      <w:r>
        <w:t>visų bendrųjų vidaus išlaidų MTTP (GERD) procentinė dalis“</w:t>
      </w:r>
      <w:r>
        <w:rPr>
          <w:color w:val="333333"/>
          <w:shd w:val="clear" w:color="auto" w:fill="FFFFFF"/>
        </w:rPr>
        <w:t xml:space="preserve"> duomenys teikiami NUTS 1 lygio regionams. Nors Eurostatas skelbia naujausius duomenis, tarp paskelbtų ir faktinių duomenų yra 2–3 metų atotrūkis. </w:t>
      </w:r>
      <w:r>
        <w:t xml:space="preserve">Eurostatas neteikia bendrųjų vidaus išlaidų MTTP (GERD) duomenų ir visų bendrųjų vidaus išlaidų MTTP (GERD) procentinės dalies, tenkančios ekonomikos sektoriui, duomenų (pvz., susijusių su maisto pramone, žemės ūkiu duomenų). Nors statistiniai duomenys yra aiškiai susiję su mokslinių tyrimų ir technologinės plėtros išlaidomis, jie faktiškai taip pat tam tikru mastu apima </w:t>
      </w:r>
      <w:r>
        <w:rPr>
          <w:b/>
        </w:rPr>
        <w:t>išlaidas inovacijoms</w:t>
      </w:r>
      <w:r>
        <w:t xml:space="preserve">, kaip nustatyta strategijoje „Europa 2020“. Įgyvendinant finansavimo programas, </w:t>
      </w:r>
      <w:r>
        <w:rPr>
          <w:color w:val="333333"/>
          <w:shd w:val="clear" w:color="auto" w:fill="FFFFFF"/>
        </w:rPr>
        <w:t>kuriomis</w:t>
      </w:r>
      <w:r>
        <w:t xml:space="preserve"> skatinamos inovacijos, informacijos šaltinis yra „Fraskačio vadovas“. Jis padeda įvertinti mokslinę, technologinę ir inovacijų veiklą, tačiau riba, skirianti MTTP ir inovacijų veiklą, ne visada iki galo aiški. </w:t>
      </w:r>
    </w:p>
    <w:p w:rsidR="00A45935" w:rsidRPr="006C63CD" w:rsidRDefault="00A45935" w:rsidP="00676B41">
      <w:pPr>
        <w:pStyle w:val="Hlistbullet"/>
      </w:pPr>
      <w:r>
        <w:rPr>
          <w:b/>
        </w:rPr>
        <w:t xml:space="preserve">Įvertinti, kaip KPP padėjo siekti pagrindinio tikslo. </w:t>
      </w:r>
      <w:r>
        <w:t>Šis iššūkis susijęs su tuo, kaip tinkamai ir realistiškai įvertinti, kaip KPP padėjo siekti pagrindinio tikslo, turint omenyje, kad programomis siekiama įgyvendinti strategijos „Europa 2020“ tikslus. Sprendžiant šį vertinimo uždavinį, taip pat būtina atsižvelgti į EŽŪFKP intervencinių veiksmų ypatybes ir kaimo vietovių bei sektorių, kuriuose jos vykdomos, ypatumus. Kadangi kaimo vietovės paprastai yra struktūriškai silpnesnės už miesto teritorijas, o ES strategija „Europa 2020“ yra pagrįsta investicijomis į augimą skatinančias sritis ir sektorius, galima tikėtis santykinai mažesnio KPP indėlio, palyginti su kitomis veiklos programomis</w:t>
      </w:r>
      <w:r>
        <w:rPr>
          <w:vertAlign w:val="superscript"/>
        </w:rPr>
        <w:footnoteReference w:id="74"/>
      </w:r>
      <w:r>
        <w:t xml:space="preserve">. Tačiau tai, kas gali atrodyti mažiau svarbu nacionalinės ekonomikos požiūriu, gali būti labai vertinga, atsižvelgiant į kaimo vietovių BVP ir jų būsimą plėtrą. Taigi pagrindinis su KPP indėliu susijęs tikslas turėtų būti apskaičiuotas ir turėtų būti atsakyta į BVK.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Siūlomas atsakymo į 23-ąjį BVK metodas</w:t>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Intervencinių veiksmų loginis pagrindas </w:t>
      </w:r>
    </w:p>
    <w:p w:rsidR="00697455" w:rsidRDefault="00A45935" w:rsidP="00E05D08">
      <w:pPr>
        <w:spacing w:after="120" w:line="280" w:lineRule="atLeast"/>
        <w:mirrorIndents/>
        <w:rPr>
          <w:rFonts w:eastAsia="Times New Roman" w:cs="Times New Roman"/>
          <w:szCs w:val="20"/>
        </w:rPr>
      </w:pPr>
      <w:r>
        <w:t>Į visas KPP priemones / pagalbines priemones, kuriomis prisidedama prie inovacijų skatinimo kaimo vietovėse trimis kryptimis, kaip nustatyta atliekant šių priemonių inovacijų skatinimo potencialo analizę (žr. </w:t>
      </w:r>
      <w:hyperlink w:anchor="Screening_Potential" w:history="1">
        <w:r>
          <w:rPr>
            <w:rStyle w:val="Hyperlink"/>
            <w:sz w:val="20"/>
            <w:szCs w:val="20"/>
          </w:rPr>
          <w:t>2.2 skyrių</w:t>
        </w:r>
      </w:hyperlink>
      <w:r>
        <w:t>), turėtų būti atsižvelgta, kaip į su 23-uoju BVK susijusio intervencinių veiksmų loginio pagrindo dalį. Tai apima ne tik tokias priemones, kurios pirmiausia laikomos inovacijas skatinančiomis priemonėmis, kaip antai 1, 2 ir 16-oji priemonės, bet taip pat gali apimti kitas investicines, teikimo rinkai ir tam tikroms teritorijoms skirtas priemones, kurias įgyvendinant galėtų būti remiamos inovacijos (pvz., panaudojant su inovacijomis susijusių projektų atrankos kriterijus). Į veiksmus, kurie buvo įgyvendinti pagal šias priemones ir pagalbines priemones atsižvelgiama apskaičiuojant MTTP ir inovacijoms skirtas išlaidas, o pagrindinio tikslo ar jo pakaitinio rodiklio (bendrųjų vidaus išlaidų MTTP (GERD) vertinimas atliekamas ir papildomi rodikliai naudojami atsakant į 23-ąjį BVK (kaip nustatyta atliekant šių priemonių inovacijų skatinimo potencialo analizę – žr. </w:t>
      </w:r>
      <w:hyperlink w:anchor="Screening_Potential" w:history="1">
        <w:r>
          <w:rPr>
            <w:rStyle w:val="Hyperlink"/>
            <w:sz w:val="20"/>
            <w:szCs w:val="20"/>
          </w:rPr>
          <w:t>2.2 skyrių</w:t>
        </w:r>
      </w:hyperlink>
      <w:r>
        <w:t xml:space="preserve">). </w:t>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Su 23-uoju BVK susiję vertinimo elementai</w:t>
      </w:r>
    </w:p>
    <w:p w:rsidR="00A45935" w:rsidRPr="00E05D08" w:rsidRDefault="00A45935" w:rsidP="00E05D08">
      <w:pPr>
        <w:spacing w:after="120" w:line="280" w:lineRule="atLeast"/>
        <w:mirrorIndents/>
        <w:rPr>
          <w:rFonts w:eastAsia="Times New Roman" w:cs="Times New Roman"/>
          <w:szCs w:val="20"/>
        </w:rPr>
      </w:pPr>
      <w:r>
        <w:t>Darbiniame dokumente</w:t>
      </w:r>
      <w:hyperlink r:id="rId79" w:history="1">
        <w:r>
          <w:rPr>
            <w:rStyle w:val="Hyperlink"/>
            <w:sz w:val="20"/>
            <w:szCs w:val="20"/>
          </w:rPr>
          <w:t>„2014–2020 m. kaimo plėtros programų bendrieji vertinimo klausimai“</w:t>
        </w:r>
      </w:hyperlink>
      <w:r>
        <w:t xml:space="preserve">, siekiant atsakyti į 23-ąjį BVK, siūloma taikyti du vertinimo kriterijus (investicijos į MTTP išaugo ir inovacijos buvo skatinamos), du bendruosius BSVS rodiklius (T1 – su 14 ir 35 straipsniais susijusios išlaidos ir T2 – bendras bendradarbiavimo veiksmų, remiamų taikant bendradarbiavimo priemonę, skaičius) ir vieną papildomą rodiklį (MTTP tenkanti KPP išlaidų dalis, išreikšta BVP procentine dalimi). Tačiau šiais elementais negalima visapusiškai aprėpti KPP indėlio siekiant pagrindinio tikslo. </w:t>
      </w:r>
    </w:p>
    <w:p w:rsidR="00A45935" w:rsidRPr="00E05D08" w:rsidRDefault="00A45935" w:rsidP="00E05D08">
      <w:pPr>
        <w:spacing w:after="120" w:line="280" w:lineRule="atLeast"/>
        <w:mirrorIndents/>
        <w:rPr>
          <w:rFonts w:eastAsia="Times New Roman" w:cs="Times New Roman"/>
          <w:szCs w:val="20"/>
        </w:rPr>
      </w:pPr>
      <w:r>
        <w:t>Todėl šiose gairėse, atsakant į 23-ąjį BVK, siūloma taikyti papildomus vertinimo elementus (žr. </w:t>
      </w:r>
      <w:hyperlink w:anchor="JC_Indic_data" w:history="1">
        <w:r>
          <w:rPr>
            <w:rStyle w:val="Hyperlink"/>
            <w:sz w:val="20"/>
            <w:szCs w:val="20"/>
          </w:rPr>
          <w:t>7 lentelę</w:t>
        </w:r>
      </w:hyperlink>
      <w:r>
        <w:t>).</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headerReference w:type="first" r:id="rId80"/>
          <w:endnotePr>
            <w:numFmt w:val="decimal"/>
          </w:endnotePr>
          <w:type w:val="continuous"/>
          <w:pgSz w:w="11907" w:h="16840" w:code="9"/>
          <w:pgMar w:top="1440" w:right="1440" w:bottom="1134" w:left="1440" w:header="567" w:footer="1020" w:gutter="0"/>
          <w:cols w:space="708"/>
          <w:noEndnote/>
          <w:titlePg/>
          <w:docGrid w:linePitch="435"/>
        </w:sectPr>
      </w:pPr>
    </w:p>
    <w:p w:rsidR="00A45935" w:rsidRPr="00A90171" w:rsidRDefault="00A45935" w:rsidP="00A90171">
      <w:pPr>
        <w:pStyle w:val="HHeadingtables"/>
        <w:rPr>
          <w:color w:val="6F6F6F"/>
          <w:sz w:val="18"/>
          <w:szCs w:val="18"/>
        </w:rPr>
      </w:pPr>
      <w:bookmarkStart w:id="124" w:name="JC_Indic_data"/>
      <w:bookmarkStart w:id="125" w:name="_Toc508979911"/>
      <w:bookmarkEnd w:id="124"/>
      <w:r>
        <w:rPr>
          <w:color w:val="6F6F6F"/>
          <w:sz w:val="18"/>
          <w:szCs w:val="18"/>
        </w:rPr>
        <w:lastRenderedPageBreak/>
        <w:t>Vertinimo kriterijai, rodikliai ir duomenų reikalavimai, taikomi atsakant į 23-ąjį BVK</w:t>
      </w:r>
      <w:bookmarkEnd w:id="125"/>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E05D08" w:rsidTr="00E05D08">
        <w:trPr>
          <w:trHeight w:val="294"/>
        </w:trPr>
        <w:tc>
          <w:tcPr>
            <w:tcW w:w="3684" w:type="dxa"/>
            <w:shd w:val="clear" w:color="auto" w:fill="F07E31"/>
            <w:vAlign w:val="center"/>
            <w:hideMark/>
          </w:tcPr>
          <w:p w:rsidR="00A45935" w:rsidRPr="00E05D08" w:rsidRDefault="00734B11" w:rsidP="00E05D08">
            <w:pPr>
              <w:spacing w:before="60" w:after="0" w:line="240" w:lineRule="auto"/>
              <w:jc w:val="center"/>
              <w:rPr>
                <w:rFonts w:eastAsia="Times New Roman" w:cs="Arial"/>
                <w:b/>
                <w:bCs/>
                <w:color w:val="FFFFFF"/>
                <w:sz w:val="18"/>
                <w:szCs w:val="18"/>
              </w:rPr>
            </w:pPr>
            <w:r>
              <w:rPr>
                <w:b/>
                <w:bCs/>
                <w:color w:val="FFFFFF"/>
                <w:sz w:val="18"/>
                <w:szCs w:val="18"/>
              </w:rPr>
              <w:t xml:space="preserve">Vertinimo kriterijai </w:t>
            </w:r>
          </w:p>
        </w:tc>
        <w:tc>
          <w:tcPr>
            <w:tcW w:w="3684" w:type="dxa"/>
            <w:shd w:val="clear" w:color="auto" w:fill="F07E31"/>
            <w:vAlign w:val="center"/>
            <w:hideMark/>
          </w:tcPr>
          <w:p w:rsidR="00A45935" w:rsidRPr="00E05D08" w:rsidRDefault="00A45935" w:rsidP="00E05D08">
            <w:pPr>
              <w:spacing w:before="60" w:after="0" w:line="240" w:lineRule="auto"/>
              <w:jc w:val="center"/>
              <w:rPr>
                <w:rFonts w:eastAsia="Times New Roman" w:cs="Arial"/>
                <w:color w:val="FFFFFF"/>
                <w:sz w:val="18"/>
                <w:szCs w:val="18"/>
              </w:rPr>
            </w:pPr>
            <w:r>
              <w:rPr>
                <w:b/>
                <w:bCs/>
                <w:color w:val="FFFFFF"/>
                <w:sz w:val="18"/>
                <w:szCs w:val="18"/>
              </w:rPr>
              <w:t>Rodikliai</w:t>
            </w:r>
          </w:p>
        </w:tc>
        <w:tc>
          <w:tcPr>
            <w:tcW w:w="3684"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Duomenų poreikis</w:t>
            </w:r>
          </w:p>
        </w:tc>
        <w:tc>
          <w:tcPr>
            <w:tcW w:w="3685"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Duomenų šaltiniai</w:t>
            </w:r>
          </w:p>
        </w:tc>
      </w:tr>
      <w:tr w:rsidR="00A45935" w:rsidRPr="00E05D08" w:rsidTr="00E05D08">
        <w:trPr>
          <w:trHeight w:val="418"/>
        </w:trPr>
        <w:tc>
          <w:tcPr>
            <w:tcW w:w="14737" w:type="dxa"/>
            <w:gridSpan w:val="4"/>
            <w:shd w:val="clear" w:color="auto" w:fill="8BAB80"/>
            <w:vAlign w:val="center"/>
          </w:tcPr>
          <w:p w:rsidR="00A45935" w:rsidRPr="00E05D08" w:rsidRDefault="00A45935" w:rsidP="00E05D08">
            <w:pPr>
              <w:spacing w:after="120" w:line="280" w:lineRule="atLeast"/>
              <w:mirrorIndents/>
              <w:rPr>
                <w:rFonts w:eastAsia="Times New Roman" w:cs="Arial"/>
                <w:b/>
                <w:color w:val="FFFFFF"/>
                <w:sz w:val="18"/>
                <w:szCs w:val="18"/>
              </w:rPr>
            </w:pPr>
            <w:r>
              <w:rPr>
                <w:b/>
                <w:color w:val="FFFFFF"/>
                <w:sz w:val="18"/>
                <w:szCs w:val="18"/>
              </w:rPr>
              <w:t>Bendrieji vertinimo elementai (BSVS ir darbiniame dokumente „2014–2020 m. bendrieji vertinimo klausimai“ pateikti siūlomi elementai)</w:t>
            </w:r>
          </w:p>
        </w:tc>
      </w:tr>
      <w:tr w:rsidR="00A45935" w:rsidRPr="00E05D08" w:rsidTr="00E05D08">
        <w:trPr>
          <w:trHeight w:val="1928"/>
        </w:trPr>
        <w:tc>
          <w:tcPr>
            <w:tcW w:w="3684" w:type="dxa"/>
            <w:shd w:val="clear" w:color="auto" w:fill="auto"/>
            <w:vAlign w:val="center"/>
          </w:tcPr>
          <w:p w:rsidR="00A45935" w:rsidRPr="00E05D08" w:rsidRDefault="00A45935" w:rsidP="00BA4FCD">
            <w:pPr>
              <w:spacing w:after="120" w:line="280" w:lineRule="atLeast"/>
              <w:jc w:val="left"/>
              <w:rPr>
                <w:rFonts w:eastAsia="Times New Roman" w:cs="Arial"/>
                <w:sz w:val="18"/>
                <w:szCs w:val="18"/>
              </w:rPr>
            </w:pPr>
            <w:r>
              <w:rPr>
                <w:sz w:val="18"/>
                <w:szCs w:val="18"/>
              </w:rPr>
              <w:t>Investicijos į MTTP ir inovacijas išaugo</w:t>
            </w:r>
            <w:r>
              <w:rPr>
                <w:rFonts w:eastAsia="Times New Roman" w:cs="Arial"/>
                <w:sz w:val="18"/>
                <w:szCs w:val="18"/>
                <w:vertAlign w:val="superscript"/>
                <w:lang w:eastAsia="de-AT"/>
              </w:rPr>
              <w:footnoteReference w:id="75"/>
            </w:r>
            <w:r>
              <w:rPr>
                <w:sz w:val="18"/>
                <w:szCs w:val="18"/>
              </w:rPr>
              <w:t>.</w:t>
            </w:r>
          </w:p>
          <w:p w:rsidR="00A45935" w:rsidRPr="00E05D08" w:rsidRDefault="00A45935" w:rsidP="00697455">
            <w:pPr>
              <w:spacing w:after="120" w:line="280" w:lineRule="atLeast"/>
              <w:jc w:val="left"/>
              <w:rPr>
                <w:rFonts w:eastAsia="Times New Roman" w:cs="Arial"/>
                <w:sz w:val="18"/>
                <w:szCs w:val="18"/>
              </w:rPr>
            </w:pPr>
            <w:r>
              <w:rPr>
                <w:sz w:val="18"/>
                <w:szCs w:val="18"/>
              </w:rPr>
              <w:t xml:space="preserve">Inovacijos buvo skatinamos </w:t>
            </w:r>
          </w:p>
        </w:tc>
        <w:tc>
          <w:tcPr>
            <w:tcW w:w="3684" w:type="dxa"/>
            <w:shd w:val="clear" w:color="auto" w:fill="auto"/>
            <w:vAlign w:val="center"/>
            <w:hideMark/>
          </w:tcPr>
          <w:p w:rsidR="00A45935" w:rsidRPr="00E05D08" w:rsidRDefault="00A45935" w:rsidP="00BA4FCD">
            <w:pPr>
              <w:spacing w:after="120" w:line="280" w:lineRule="atLeast"/>
              <w:jc w:val="left"/>
              <w:rPr>
                <w:rFonts w:eastAsia="Times New Roman" w:cs="Arial"/>
                <w:sz w:val="18"/>
                <w:szCs w:val="18"/>
              </w:rPr>
            </w:pPr>
            <w:r>
              <w:rPr>
                <w:sz w:val="18"/>
                <w:szCs w:val="18"/>
              </w:rPr>
              <w:t xml:space="preserve">T1: išlaidų dalis pagal Reglamento (ES) Nr. 1305/2013 14, 15 ir 35 straipsnius, palyginti su KPP tekusiomis visomis išlaidomis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T2: bendras bendradarbiavimo projektų veiksmų, remiamų taikant bendradarbiavimo priemonę, skaičius (Reglamento (ES) Nr. 1305/2013 35 straipsnis) (grupės, tinklai / klasteriai, bandomieji projektai)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u w:val="single"/>
              </w:rPr>
              <w:t>Papildomas rodiklis:</w:t>
            </w:r>
            <w:r>
              <w:rPr>
                <w:color w:val="57825E"/>
                <w:sz w:val="18"/>
                <w:szCs w:val="18"/>
              </w:rPr>
              <w:t xml:space="preserve"> </w:t>
            </w:r>
          </w:p>
          <w:p w:rsidR="00A45935" w:rsidRPr="00E05D08" w:rsidRDefault="001120E4" w:rsidP="00BA4FCD">
            <w:pPr>
              <w:spacing w:after="120" w:line="280" w:lineRule="atLeast"/>
              <w:jc w:val="left"/>
              <w:rPr>
                <w:rFonts w:eastAsia="Times New Roman" w:cs="Arial"/>
                <w:sz w:val="18"/>
                <w:szCs w:val="18"/>
              </w:rPr>
            </w:pPr>
            <w:r>
              <w:rPr>
                <w:color w:val="57825E"/>
                <w:sz w:val="18"/>
                <w:szCs w:val="18"/>
              </w:rPr>
              <w:t>MTTP tenkanti KPP išlaidų dalis, išreikšta BVP procentine dalimi (bendrosios vidaus išlaidos MTTP (GERD) „kaimo plėtra“)</w:t>
            </w:r>
            <w:r>
              <w:rPr>
                <w:sz w:val="18"/>
                <w:szCs w:val="18"/>
              </w:rPr>
              <w:t xml:space="preserve"> </w:t>
            </w:r>
          </w:p>
        </w:tc>
        <w:tc>
          <w:tcPr>
            <w:tcW w:w="3684" w:type="dxa"/>
          </w:tcPr>
          <w:p w:rsidR="00A45935" w:rsidRPr="00E05D08" w:rsidRDefault="00A45935" w:rsidP="00BA4FCD">
            <w:pPr>
              <w:spacing w:after="120" w:line="280" w:lineRule="atLeast"/>
              <w:jc w:val="left"/>
              <w:rPr>
                <w:rFonts w:eastAsia="Times New Roman" w:cs="Arial"/>
                <w:sz w:val="18"/>
                <w:szCs w:val="18"/>
              </w:rPr>
            </w:pPr>
            <w:r>
              <w:rPr>
                <w:sz w:val="18"/>
                <w:szCs w:val="18"/>
              </w:rPr>
              <w:t>Duomenys apie MTTP ir inovacijoms tenkančias KPP išlaidas</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Duomenys apie visas KPP išlaidas </w:t>
            </w:r>
          </w:p>
          <w:p w:rsidR="00A45935" w:rsidRPr="00E05D08" w:rsidRDefault="00A45935" w:rsidP="00BA4FCD">
            <w:pPr>
              <w:spacing w:after="120" w:line="280" w:lineRule="atLeast"/>
              <w:jc w:val="left"/>
              <w:rPr>
                <w:rFonts w:eastAsia="Times New Roman" w:cs="Arial"/>
                <w:sz w:val="18"/>
                <w:szCs w:val="18"/>
              </w:rPr>
            </w:pPr>
            <w:r>
              <w:rPr>
                <w:sz w:val="18"/>
                <w:szCs w:val="18"/>
              </w:rPr>
              <w:t>Duomenys apie MTTP ir inovacijoms tenkančias valstybės narės / regiono išlaidas</w:t>
            </w:r>
          </w:p>
          <w:p w:rsidR="00A45935" w:rsidRPr="00E05D08" w:rsidRDefault="00A45935" w:rsidP="00BA4FCD">
            <w:pPr>
              <w:spacing w:after="120" w:line="280" w:lineRule="atLeast"/>
              <w:jc w:val="left"/>
              <w:rPr>
                <w:rFonts w:eastAsia="Times New Roman" w:cs="Arial"/>
                <w:sz w:val="18"/>
                <w:szCs w:val="18"/>
              </w:rPr>
            </w:pPr>
            <w:r>
              <w:rPr>
                <w:sz w:val="18"/>
                <w:szCs w:val="18"/>
              </w:rPr>
              <w:t>Duomenys apie valstybės narės / regiono BVP išlaidas</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t>KPP stebėsenos sistema</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Eurostatas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Nacionalinės / regioninės statistikos duomenys </w:t>
            </w:r>
          </w:p>
        </w:tc>
      </w:tr>
      <w:tr w:rsidR="00A45935" w:rsidRPr="00E05D08" w:rsidTr="00E05D08">
        <w:trPr>
          <w:trHeight w:val="404"/>
        </w:trPr>
        <w:tc>
          <w:tcPr>
            <w:tcW w:w="14737" w:type="dxa"/>
            <w:gridSpan w:val="4"/>
            <w:shd w:val="clear" w:color="auto" w:fill="8BAB80"/>
            <w:vAlign w:val="center"/>
          </w:tcPr>
          <w:p w:rsidR="00A45935" w:rsidRPr="00E05D08" w:rsidRDefault="00A45935" w:rsidP="00E05D08">
            <w:pPr>
              <w:spacing w:after="120" w:line="280" w:lineRule="atLeast"/>
              <w:rPr>
                <w:rFonts w:eastAsia="Times New Roman" w:cs="Arial"/>
                <w:b/>
                <w:color w:val="FFFFFF"/>
                <w:sz w:val="18"/>
                <w:szCs w:val="18"/>
              </w:rPr>
            </w:pPr>
            <w:r>
              <w:rPr>
                <w:b/>
                <w:color w:val="FFFFFF"/>
                <w:sz w:val="18"/>
                <w:szCs w:val="18"/>
              </w:rPr>
              <w:t>Papildomi vertinimo elementai (neprivaloma)</w:t>
            </w:r>
          </w:p>
        </w:tc>
      </w:tr>
      <w:tr w:rsidR="00A45935" w:rsidRPr="00E05D08" w:rsidTr="00E05D08">
        <w:trPr>
          <w:trHeight w:val="1928"/>
        </w:trPr>
        <w:tc>
          <w:tcPr>
            <w:tcW w:w="3684" w:type="dxa"/>
            <w:shd w:val="clear" w:color="auto" w:fill="auto"/>
            <w:vAlign w:val="center"/>
          </w:tcPr>
          <w:p w:rsidR="00A45935" w:rsidRPr="00E05D08" w:rsidRDefault="00A45935" w:rsidP="00697455">
            <w:pPr>
              <w:spacing w:after="120" w:line="280" w:lineRule="atLeast"/>
              <w:jc w:val="left"/>
              <w:rPr>
                <w:rFonts w:eastAsia="Times New Roman" w:cs="Arial"/>
                <w:sz w:val="18"/>
                <w:szCs w:val="18"/>
              </w:rPr>
            </w:pPr>
            <w:r>
              <w:rPr>
                <w:sz w:val="18"/>
                <w:szCs w:val="18"/>
              </w:rPr>
              <w:t>Investicijos į MTTP bei inovacijas ir investicijos į inovacijas išaugo</w:t>
            </w:r>
          </w:p>
        </w:tc>
        <w:tc>
          <w:tcPr>
            <w:tcW w:w="3684" w:type="dxa"/>
            <w:shd w:val="clear" w:color="auto" w:fill="auto"/>
            <w:vAlign w:val="center"/>
          </w:tcPr>
          <w:p w:rsidR="001120E4" w:rsidRPr="001120E4" w:rsidRDefault="001120E4" w:rsidP="00BA4FCD">
            <w:pPr>
              <w:spacing w:after="120" w:line="280" w:lineRule="atLeast"/>
              <w:jc w:val="left"/>
              <w:rPr>
                <w:rFonts w:eastAsia="Times New Roman" w:cs="Arial"/>
                <w:color w:val="57825E"/>
                <w:sz w:val="18"/>
                <w:szCs w:val="18"/>
                <w:u w:val="single"/>
              </w:rPr>
            </w:pPr>
            <w:r>
              <w:rPr>
                <w:color w:val="57825E"/>
                <w:sz w:val="18"/>
                <w:szCs w:val="18"/>
                <w:u w:val="single"/>
              </w:rPr>
              <w:t xml:space="preserve">Papildomas rodiklis: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bendrosios vidaus išlaidos MTTP (GERD), palyginti su bendruoju vidaus produktu (BVP),</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 xml:space="preserve">MTTP ir inovacijoms tenkančios KPP </w:t>
            </w:r>
            <w:r w:rsidR="00A963F4">
              <w:rPr>
                <w:color w:val="57825E"/>
                <w:sz w:val="18"/>
                <w:szCs w:val="18"/>
              </w:rPr>
              <w:t>išlaidos kaip</w:t>
            </w:r>
            <w:r>
              <w:rPr>
                <w:color w:val="57825E"/>
                <w:sz w:val="18"/>
                <w:szCs w:val="18"/>
              </w:rPr>
              <w:t xml:space="preserve"> visų KPP išlaidų procentinė dalis, </w:t>
            </w:r>
          </w:p>
          <w:p w:rsidR="00A45935" w:rsidRPr="00E05D08" w:rsidRDefault="00942585" w:rsidP="00BA4FCD">
            <w:pPr>
              <w:spacing w:after="120" w:line="280" w:lineRule="atLeast"/>
              <w:jc w:val="left"/>
              <w:rPr>
                <w:rFonts w:eastAsia="Times New Roman" w:cs="Arial"/>
                <w:sz w:val="18"/>
                <w:szCs w:val="18"/>
              </w:rPr>
            </w:pPr>
            <w:r>
              <w:rPr>
                <w:color w:val="57825E"/>
                <w:sz w:val="18"/>
                <w:szCs w:val="18"/>
              </w:rPr>
              <w:lastRenderedPageBreak/>
              <w:t>MTTP ir inovacijoms tenkančios KPP išlaidos kaip bendrųjų vidaus išlaidų MTTP ir inovacijoms procentinė dalis.</w:t>
            </w:r>
          </w:p>
        </w:tc>
        <w:tc>
          <w:tcPr>
            <w:tcW w:w="3684" w:type="dxa"/>
          </w:tcPr>
          <w:p w:rsidR="001120E4" w:rsidRDefault="001120E4" w:rsidP="00BA4FCD">
            <w:pPr>
              <w:spacing w:after="120" w:line="280" w:lineRule="atLeast"/>
              <w:jc w:val="left"/>
              <w:rPr>
                <w:rFonts w:eastAsia="Times New Roman" w:cs="Arial"/>
                <w:sz w:val="18"/>
                <w:szCs w:val="18"/>
              </w:rPr>
            </w:pPr>
            <w:r>
              <w:rPr>
                <w:sz w:val="18"/>
                <w:szCs w:val="18"/>
              </w:rPr>
              <w:lastRenderedPageBreak/>
              <w:t>Duomenys apie MTTP ir inovacijų išlaidas remiantis „Fraskačio vadovu“</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Duomenys apie MTTP ir inovacijoms tenkančias KPP išlaidas, išskaidyti pagal paramos gavėjų rūšis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Duomenys apie visas KPP išlaidas </w:t>
            </w:r>
          </w:p>
          <w:p w:rsidR="00A45935" w:rsidRPr="00E05D08" w:rsidRDefault="00A45935" w:rsidP="00BA4FCD">
            <w:pPr>
              <w:spacing w:after="120" w:line="280" w:lineRule="atLeast"/>
              <w:jc w:val="left"/>
              <w:rPr>
                <w:rFonts w:eastAsia="Times New Roman" w:cs="Arial"/>
                <w:sz w:val="18"/>
                <w:szCs w:val="18"/>
              </w:rPr>
            </w:pPr>
            <w:r>
              <w:rPr>
                <w:sz w:val="18"/>
                <w:szCs w:val="18"/>
              </w:rPr>
              <w:lastRenderedPageBreak/>
              <w:t>Duomenys apie MTTP ir inovacijoms tenkančias valstybės narės / regiono išlaidas</w:t>
            </w:r>
          </w:p>
          <w:p w:rsidR="00A45935" w:rsidRPr="00E05D08" w:rsidRDefault="00A45935" w:rsidP="00BA4FCD">
            <w:pPr>
              <w:spacing w:after="120" w:line="280" w:lineRule="atLeast"/>
              <w:jc w:val="left"/>
              <w:rPr>
                <w:rFonts w:eastAsia="Times New Roman" w:cs="Arial"/>
                <w:sz w:val="18"/>
                <w:szCs w:val="18"/>
              </w:rPr>
            </w:pPr>
            <w:r>
              <w:rPr>
                <w:sz w:val="18"/>
                <w:szCs w:val="18"/>
              </w:rPr>
              <w:t>Duomenys apie valstybės narės / regiono BVP</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lastRenderedPageBreak/>
              <w:t>KPP stebėsenos sistema</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Eurostatas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Nacionalinės / regioninės statistikos duomenys </w:t>
            </w:r>
          </w:p>
        </w:tc>
      </w:tr>
    </w:tbl>
    <w:p w:rsidR="00A45935" w:rsidRPr="00E05D08" w:rsidRDefault="00A45935" w:rsidP="008C0B17">
      <w:pPr>
        <w:numPr>
          <w:ilvl w:val="0"/>
          <w:numId w:val="45"/>
        </w:numPr>
        <w:spacing w:before="60" w:after="120" w:line="280" w:lineRule="atLeast"/>
        <w:rPr>
          <w:rFonts w:eastAsia="Times New Roman" w:cs="Times New Roman"/>
          <w:b/>
          <w:szCs w:val="20"/>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360"/>
        </w:sectPr>
      </w:pPr>
    </w:p>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Siūloma vertinimo metodika</w:t>
      </w:r>
    </w:p>
    <w:p w:rsidR="00A45935" w:rsidRPr="00E05D08" w:rsidRDefault="00A45935" w:rsidP="00E05D08">
      <w:pPr>
        <w:spacing w:after="120" w:line="280" w:lineRule="atLeast"/>
        <w:mirrorIndents/>
        <w:rPr>
          <w:rFonts w:eastAsia="Times New Roman" w:cs="Times New Roman"/>
          <w:szCs w:val="20"/>
        </w:rPr>
      </w:pPr>
      <w:r>
        <w:t>Pagrindinio tikslo rodiklio duomenys, kuriuos surenka Eurostatas ir nacionalinės statistikos institucijos, yra susiję su bendrosiomis vidaus išlaidomis MTTP (GERD), kaip BVP pakaitiniu rodikliu, kuris žinomas kaip MTTP intensyvumas. Renkami keturių sektorių MTTP išlaidų statistiniai duomenys: 1) verslo įmonių sektoriaus, 2) valdžios sektoriaus, 3) aukštojo mokslo sektoriaus ir 4) privačiojo ne pelno sektoriaus. Išsamesnė informacija, susijusi su pasiūlymais, kaip apskaičiuoti kiekvieną rodiklį, pateikta 8 lentelėje.</w:t>
      </w:r>
    </w:p>
    <w:p w:rsidR="00F73706" w:rsidRPr="0059311F" w:rsidRDefault="00F73706" w:rsidP="00F73706">
      <w:pPr>
        <w:pStyle w:val="Hlistbullet"/>
      </w:pPr>
      <w:r>
        <w:t xml:space="preserve">Bendrųjų rodiklių T1 ir T2 duomenys surenkami tiesiogiai iš KPP stebėsenos sistemos (veiksmų duomenų bazės). </w:t>
      </w:r>
    </w:p>
    <w:p w:rsidR="00F73706" w:rsidRPr="00F73706" w:rsidRDefault="00F73706" w:rsidP="00F73706">
      <w:pPr>
        <w:pStyle w:val="Hlistbullet"/>
      </w:pPr>
      <w:r>
        <w:t xml:space="preserve">Pagrindinio rodiklio </w:t>
      </w:r>
      <w:r>
        <w:rPr>
          <w:i/>
        </w:rPr>
        <w:t>„bendrosios vidaus išlaidos MTTP (GERD), palyginti su bendruoju vidaus produktu (BVP)“</w:t>
      </w:r>
      <w:r>
        <w:t xml:space="preserve"> NUTS 1 ir NUTS 2 lygių regionų duomenis galima gauti iš Eurostato duomenų bazės.</w:t>
      </w:r>
    </w:p>
    <w:p w:rsidR="00F73706" w:rsidRPr="00F73706" w:rsidRDefault="00F73706" w:rsidP="00F73706">
      <w:pPr>
        <w:pStyle w:val="Hlistbullet"/>
      </w:pPr>
      <w:r>
        <w:t xml:space="preserve">Papildomas rodiklis </w:t>
      </w:r>
      <w:r>
        <w:rPr>
          <w:i/>
        </w:rPr>
        <w:t>„MTTP tenkanti KPP išlaidų dalis, išreikšta BVP procentine dalimi“</w:t>
      </w:r>
      <w:r>
        <w:t xml:space="preserve"> (kitose GERD jis vadinamas </w:t>
      </w:r>
      <w:r>
        <w:rPr>
          <w:i/>
        </w:rPr>
        <w:t>„</w:t>
      </w:r>
      <w:r>
        <w:t>kaimo plėtros</w:t>
      </w:r>
      <w:r>
        <w:rPr>
          <w:i/>
        </w:rPr>
        <w:t>“</w:t>
      </w:r>
      <w:r>
        <w:t xml:space="preserve"> GERD</w:t>
      </w:r>
      <w:r>
        <w:rPr>
          <w:sz w:val="24"/>
        </w:rPr>
        <w:t>ᴿᴰ</w:t>
      </w:r>
      <w:r>
        <w:t>)</w:t>
      </w:r>
      <w:r>
        <w:rPr>
          <w:sz w:val="18"/>
          <w:szCs w:val="18"/>
        </w:rPr>
        <w:t xml:space="preserve"> </w:t>
      </w:r>
      <w:r>
        <w:t>parodo MTTP tenkančias KPP išlaidas taikant atitinkamas su BVP susijusias priemones / pagalbines priemones:</w:t>
      </w:r>
    </w:p>
    <w:p w:rsidR="00F73706" w:rsidRPr="00F73706" w:rsidRDefault="00F73706" w:rsidP="00F73706">
      <w:pPr>
        <w:pStyle w:val="Hlistbullet2"/>
      </w:pPr>
      <w:r>
        <w:t xml:space="preserve">su BVP susijusius duomenis renka nacionalinės statistikos institucijos, jie taip pat prieinami ES šaltiniuose (Eurostato duomenų bazėje). </w:t>
      </w:r>
    </w:p>
    <w:p w:rsidR="00F73706" w:rsidRPr="00F73706" w:rsidRDefault="00F73706" w:rsidP="00F73706">
      <w:pPr>
        <w:pStyle w:val="Hlistbullet2"/>
      </w:pPr>
      <w:r>
        <w:t>Duomenis apie moksliniams tyrimams, technologinei plėtrai ir inovacijoms tenkančias KPP išlaidas galima gauti iš KPP stebėsenos sistemos, apskaičiuojant išlaidas, susijusias su veiksmais, kuriais galima skatinti inovacijas (kaip nustatyta atlikus inovacijų skatinimo potencialo analizę – žr. </w:t>
      </w:r>
      <w:hyperlink w:anchor="Screening_Potential" w:history="1">
        <w:r>
          <w:rPr>
            <w:rStyle w:val="Hyperlink"/>
            <w:sz w:val="20"/>
          </w:rPr>
          <w:t>2.2 skyrių</w:t>
        </w:r>
      </w:hyperlink>
      <w:r>
        <w:t xml:space="preserve">), ir išskaidytas pagal atskirų sektorių paramos gavėjus, kaip nurodyta „Fraskačio vadove“. </w:t>
      </w:r>
    </w:p>
    <w:p w:rsidR="00F73706" w:rsidRPr="00F73706" w:rsidRDefault="00F73706" w:rsidP="00F73706">
      <w:pPr>
        <w:pStyle w:val="Hlistbullet"/>
      </w:pPr>
      <w:r>
        <w:t xml:space="preserve">Papildomas rodiklis </w:t>
      </w:r>
      <w:r>
        <w:rPr>
          <w:i/>
        </w:rPr>
        <w:t>„MTTP ir inov</w:t>
      </w:r>
      <w:r w:rsidR="00A963F4">
        <w:rPr>
          <w:i/>
        </w:rPr>
        <w:t>acijoms tenkančios KPP išlaidos</w:t>
      </w:r>
      <w:r>
        <w:rPr>
          <w:i/>
        </w:rPr>
        <w:t xml:space="preserve"> kaip visų KPP </w:t>
      </w:r>
      <w:r w:rsidR="00A963F4">
        <w:rPr>
          <w:i/>
        </w:rPr>
        <w:t xml:space="preserve">išlaidų </w:t>
      </w:r>
      <w:r>
        <w:rPr>
          <w:i/>
        </w:rPr>
        <w:t>procentinė dalis“ parodo</w:t>
      </w:r>
      <w:r>
        <w:t xml:space="preserve"> KPP biudžeto, skirto mokslinių tyrimų, technologinės plėtros ir inovacijų išlaidoms remti, dydį. Šiam rodikliui reikalingus duomenis taip pat galima gauti iš KPP stebėsenos sistemos, jei veiksmų duomenų bazė yra pritaikyta tam, kad joje būtų galima atsekti informaciją apie projektus, kurie, kaip nustatyta atlikus analizę prieš pradedant vertinimą, turi didelį inovacijų skatinimo potencialą.</w:t>
      </w:r>
    </w:p>
    <w:p w:rsidR="00A45935" w:rsidRPr="00E05D08" w:rsidRDefault="00F73706" w:rsidP="00F73706">
      <w:pPr>
        <w:pStyle w:val="Hlistbullet"/>
      </w:pPr>
      <w:r>
        <w:t xml:space="preserve">Papildomas rodiklis </w:t>
      </w:r>
      <w:r>
        <w:rPr>
          <w:i/>
        </w:rPr>
        <w:t xml:space="preserve">„MTTP ir inovacijoms tenkančios KPP išlaidos kaip bendrųjų vidaus išlaidų MTTP ir inovacijoms procentine dalimi“ </w:t>
      </w:r>
      <w:r>
        <w:t>parodo KPP investicijų į mokslinius tyrimus, technologinę plėtrą bei inovacijas ir bendrųjų vidaus išlaidų MTTP santykį. Duomenis galima gauti iš nacionalinių ir regioninių statistikos duomenų bazių, taip pat iš Eurostato duomenų bazės.</w:t>
      </w:r>
    </w:p>
    <w:p w:rsidR="00A45935" w:rsidRPr="00E05D08" w:rsidRDefault="00A45935" w:rsidP="00E05D08">
      <w:pPr>
        <w:spacing w:after="120" w:line="280" w:lineRule="atLeast"/>
        <w:mirrorIndents/>
        <w:rPr>
          <w:rFonts w:eastAsia="Times New Roman" w:cs="Times New Roman"/>
          <w:szCs w:val="20"/>
        </w:rPr>
      </w:pPr>
      <w:r>
        <w:t xml:space="preserve">Rodiklius galima apskaičiuoti </w:t>
      </w:r>
      <w:r>
        <w:rPr>
          <w:i/>
          <w:szCs w:val="20"/>
        </w:rPr>
        <w:t>ex ante</w:t>
      </w:r>
      <w:r>
        <w:t xml:space="preserve"> (planuotas indėlis) ir atliekant vertinimą, kuris bus trauktas į 2019 m. teikiamą MĮA ir </w:t>
      </w:r>
      <w:r>
        <w:rPr>
          <w:i/>
          <w:szCs w:val="20"/>
        </w:rPr>
        <w:t>ex post</w:t>
      </w:r>
      <w:r>
        <w:t xml:space="preserve"> vertinimo ataskaitą (faktinis indėlis vertinimo momentu), ir tai leistų palyginti planuotą ir faktinį indėlį. 8 lentelėje pateiktame pavyzdyje parodytos planuotas ir faktines bendrųjų ir papildomų rodiklių reikšmes:</w:t>
      </w:r>
    </w:p>
    <w:p w:rsidR="00A45935" w:rsidRPr="00E05D08" w:rsidRDefault="00A45935" w:rsidP="00E05D08">
      <w:pPr>
        <w:spacing w:after="0" w:line="240" w:lineRule="auto"/>
        <w:rPr>
          <w:rFonts w:eastAsia="Times New Roman" w:cs="Times New Roman"/>
          <w:b/>
          <w:sz w:val="16"/>
          <w:szCs w:val="20"/>
          <w:highlight w:val="yellow"/>
        </w:rPr>
      </w:pPr>
      <w:bookmarkStart w:id="126" w:name="_Hlk501698024"/>
      <w:r>
        <w:br w:type="page"/>
      </w:r>
    </w:p>
    <w:p w:rsidR="00A45935" w:rsidRPr="00D62992" w:rsidRDefault="00A45935" w:rsidP="00D62992">
      <w:pPr>
        <w:pStyle w:val="HHeadingtables"/>
        <w:rPr>
          <w:color w:val="6F6F6F"/>
          <w:sz w:val="18"/>
          <w:szCs w:val="18"/>
        </w:rPr>
      </w:pPr>
      <w:bookmarkStart w:id="127" w:name="_Toc508979912"/>
      <w:r>
        <w:rPr>
          <w:color w:val="6F6F6F"/>
          <w:sz w:val="18"/>
          <w:szCs w:val="18"/>
        </w:rPr>
        <w:lastRenderedPageBreak/>
        <w:t>Pavyzdys, parodantis planuotas ir faktines bendrųjų ir papildomų rodiklių reikšmes.</w:t>
      </w:r>
      <w:bookmarkEnd w:id="127"/>
      <w:r>
        <w:rPr>
          <w:color w:val="6F6F6F"/>
          <w:sz w:val="18"/>
          <w:szCs w:val="18"/>
        </w:rPr>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148"/>
        <w:gridCol w:w="3502"/>
        <w:gridCol w:w="1494"/>
        <w:gridCol w:w="1493"/>
        <w:gridCol w:w="1491"/>
      </w:tblGrid>
      <w:tr w:rsidR="00F73706" w:rsidRPr="00F73706" w:rsidTr="00BC211C">
        <w:trPr>
          <w:trHeight w:val="192"/>
        </w:trPr>
        <w:tc>
          <w:tcPr>
            <w:tcW w:w="1202" w:type="dxa"/>
            <w:shd w:val="clear" w:color="auto" w:fill="F07E31"/>
            <w:vAlign w:val="center"/>
            <w:hideMark/>
          </w:tcPr>
          <w:p w:rsidR="00F73706" w:rsidRPr="00253803" w:rsidRDefault="00F73706" w:rsidP="00F73706">
            <w:pPr>
              <w:spacing w:before="60" w:after="120" w:line="220" w:lineRule="atLeast"/>
              <w:ind w:right="154"/>
              <w:jc w:val="center"/>
              <w:rPr>
                <w:rFonts w:eastAsia="Times New Roman" w:cs="Arial"/>
                <w:b/>
                <w:bCs/>
                <w:color w:val="FFFFFF"/>
                <w:sz w:val="18"/>
                <w:szCs w:val="20"/>
                <w:lang w:eastAsia="de-DE"/>
              </w:rPr>
            </w:pPr>
          </w:p>
        </w:tc>
        <w:tc>
          <w:tcPr>
            <w:tcW w:w="417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Rodikliai</w:t>
            </w:r>
          </w:p>
        </w:tc>
        <w:tc>
          <w:tcPr>
            <w:tcW w:w="149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Planuota</w:t>
            </w:r>
          </w:p>
        </w:tc>
        <w:tc>
          <w:tcPr>
            <w:tcW w:w="1494"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Faktinė padėtis</w:t>
            </w:r>
          </w:p>
        </w:tc>
        <w:tc>
          <w:tcPr>
            <w:tcW w:w="762" w:type="dxa"/>
            <w:shd w:val="clear" w:color="auto" w:fill="F07E31"/>
            <w:vAlign w:val="center"/>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Apskaičiavimas</w:t>
            </w:r>
          </w:p>
        </w:tc>
      </w:tr>
      <w:tr w:rsidR="00F73706" w:rsidRPr="00F73706" w:rsidTr="00BC211C">
        <w:trPr>
          <w:trHeight w:val="310"/>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KPP duomenų įrašas (veiksmų duomenų bazė)</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Visos KPP išlaidos (bendros)</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800 000 000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790 000 000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a</w:t>
            </w:r>
          </w:p>
        </w:tc>
      </w:tr>
      <w:tr w:rsidR="00F73706" w:rsidRPr="00F73706" w:rsidTr="00BC211C">
        <w:trPr>
          <w:trHeight w:val="363"/>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KPP išlaidos pagal Reglamento (ES) Nr. 1305/2013 14,15 ir 35 straipsnius (bendros)</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b</w:t>
            </w:r>
          </w:p>
        </w:tc>
      </w:tr>
      <w:tr w:rsidR="00F73706" w:rsidRPr="00F73706" w:rsidTr="00BC211C">
        <w:trPr>
          <w:trHeight w:val="631"/>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KPP išlaidos, tenkančios visoms KPP priemonėms / pagalbinėms priemonėms, kuriomis investuojama į MTTP ir kuriomis galima skatinti inovacijas (bendros)</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120 000 000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140 000 000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c</w:t>
            </w:r>
          </w:p>
        </w:tc>
      </w:tr>
      <w:tr w:rsidR="00F73706" w:rsidRPr="00F73706" w:rsidTr="00BC211C">
        <w:trPr>
          <w:trHeight w:val="631"/>
        </w:trPr>
        <w:tc>
          <w:tcPr>
            <w:tcW w:w="1202" w:type="dxa"/>
            <w:vMerge w:val="restart"/>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Susiję duomenys</w:t>
            </w:r>
          </w:p>
        </w:tc>
        <w:tc>
          <w:tcPr>
            <w:tcW w:w="4175" w:type="dxa"/>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Nacionalinių / regioninių BVP duomenys (pagal visus sektorius) (metiniai)</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d</w:t>
            </w:r>
          </w:p>
        </w:tc>
      </w:tr>
      <w:tr w:rsidR="00F73706" w:rsidRPr="00F73706" w:rsidTr="00BC211C">
        <w:trPr>
          <w:trHeight w:val="631"/>
        </w:trPr>
        <w:tc>
          <w:tcPr>
            <w:tcW w:w="1202" w:type="dxa"/>
            <w:vMerge/>
            <w:vAlign w:val="center"/>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tcPr>
          <w:p w:rsidR="00F73706" w:rsidRPr="00F73706" w:rsidRDefault="00F31494" w:rsidP="00F73706">
            <w:pPr>
              <w:spacing w:before="60" w:after="120" w:line="220" w:lineRule="atLeast"/>
              <w:jc w:val="left"/>
              <w:rPr>
                <w:rFonts w:eastAsia="Times New Roman" w:cs="Arial"/>
                <w:sz w:val="18"/>
                <w:szCs w:val="20"/>
              </w:rPr>
            </w:pPr>
            <w:r>
              <w:rPr>
                <w:sz w:val="18"/>
                <w:szCs w:val="20"/>
              </w:rPr>
              <w:t>Bendrosios vidaus išlaidos MTTP (GERD) pagal visus sektorius (metinės)</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e</w:t>
            </w:r>
          </w:p>
        </w:tc>
      </w:tr>
      <w:tr w:rsidR="00F73706" w:rsidRPr="00F73706" w:rsidTr="00BC211C">
        <w:trPr>
          <w:trHeight w:val="542"/>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Bendrųjų tikslinių rodiklių reikšmės </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T1: išlaidų procentinė dalis pagal Reglamento (ES) Nr. 1305/2013 14, 15 ir 35 straipsnius, palyginti su KPP tekusiomis visomis išlaidomis</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 proc.</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 proc.</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f=</w:t>
            </w:r>
            <w:r>
              <w:rPr>
                <w:color w:val="F07E31"/>
                <w:sz w:val="18"/>
                <w:szCs w:val="20"/>
              </w:rPr>
              <w:br/>
              <w:t>b*100/a</w:t>
            </w:r>
          </w:p>
        </w:tc>
      </w:tr>
      <w:tr w:rsidR="00F73706" w:rsidRPr="00F73706" w:rsidTr="00BC211C">
        <w:trPr>
          <w:trHeight w:val="542"/>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T2: bendras bendradarbiavimo projektų veiksmų, paremtų taikant bendradarbiavimo priemonę, skaičius (Reglamento (ES) Nr. 1305/2013 35 straipsnis) (grupės, tinklai ir klasteriai, bandomieji projektai)</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g</w:t>
            </w:r>
          </w:p>
        </w:tc>
      </w:tr>
      <w:tr w:rsidR="00F73706" w:rsidRPr="00F73706" w:rsidTr="00BC211C">
        <w:trPr>
          <w:trHeight w:val="561"/>
        </w:trPr>
        <w:tc>
          <w:tcPr>
            <w:tcW w:w="1202" w:type="dxa"/>
            <w:vMerge w:val="restart"/>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Papildomų rezultatų rodiklių reikšmės </w:t>
            </w: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Bendrosios vidaus išlaidos MTTP (GERD), palyginti su bendruoju vidaus produktu (BVP)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proc.</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proc.</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h= e*100/d</w:t>
            </w:r>
          </w:p>
        </w:tc>
      </w:tr>
      <w:tr w:rsidR="00F73706" w:rsidRPr="00F73706" w:rsidTr="00BC211C">
        <w:trPr>
          <w:trHeight w:val="561"/>
        </w:trPr>
        <w:tc>
          <w:tcPr>
            <w:tcW w:w="1202" w:type="dxa"/>
            <w:vMerge/>
            <w:shd w:val="clear" w:color="auto" w:fill="auto"/>
            <w:vAlign w:val="center"/>
            <w:hideMark/>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after="120" w:line="220" w:lineRule="atLeast"/>
              <w:jc w:val="left"/>
              <w:rPr>
                <w:rFonts w:eastAsia="Times New Roman" w:cs="Arial"/>
                <w:color w:val="57825E"/>
                <w:sz w:val="18"/>
                <w:szCs w:val="20"/>
              </w:rPr>
            </w:pPr>
            <w:r>
              <w:rPr>
                <w:color w:val="57825E"/>
                <w:sz w:val="18"/>
                <w:szCs w:val="18"/>
              </w:rPr>
              <w:t xml:space="preserve">MTTP tenkančios KPP išlaidos kaip  BVP procentinė dalis (bendrosios vidaus išlaidos MTTP (GERD) „kaimo plėtra“)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0,06 proc.</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0,07 proc.</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 xml:space="preserve">i= </w:t>
            </w:r>
            <w:r>
              <w:rPr>
                <w:color w:val="F07E31"/>
                <w:sz w:val="18"/>
                <w:szCs w:val="18"/>
              </w:rPr>
              <w:br/>
              <w:t>c*100/d</w:t>
            </w:r>
          </w:p>
        </w:tc>
      </w:tr>
      <w:tr w:rsidR="00F73706" w:rsidRPr="00F73706" w:rsidTr="00BC211C">
        <w:trPr>
          <w:trHeight w:val="65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MTTP ir inovacijoms tenkančios KPP išlaidos</w:t>
            </w:r>
            <w:r w:rsidR="00A963F4">
              <w:rPr>
                <w:color w:val="57825E"/>
                <w:sz w:val="18"/>
                <w:szCs w:val="18"/>
              </w:rPr>
              <w:t xml:space="preserve"> </w:t>
            </w:r>
            <w:r>
              <w:rPr>
                <w:color w:val="57825E"/>
                <w:sz w:val="18"/>
                <w:szCs w:val="18"/>
              </w:rPr>
              <w:t xml:space="preserve">kaip visų KPP išlaidų procentinė dalis,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proc.</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17,72 proc.</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j=</w:t>
            </w:r>
            <w:r>
              <w:rPr>
                <w:color w:val="F07E31"/>
                <w:sz w:val="18"/>
                <w:szCs w:val="18"/>
              </w:rPr>
              <w:br/>
              <w:t>c*100/a</w:t>
            </w:r>
          </w:p>
        </w:tc>
      </w:tr>
      <w:tr w:rsidR="00F73706" w:rsidRPr="00B1500A" w:rsidTr="00BC211C">
        <w:trPr>
          <w:trHeight w:val="61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MTTP ir inovacijoms tenkančios KPP išlaidos kaip bendrųjų vidaus išlaidų MTTP ir inovacijoms procentinė dalis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4,00 proc.</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4,67 proc.</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k=</w:t>
            </w:r>
            <w:r>
              <w:rPr>
                <w:color w:val="F07E31"/>
                <w:sz w:val="18"/>
                <w:szCs w:val="18"/>
              </w:rPr>
              <w:br/>
              <w:t>c*100/e</w:t>
            </w:r>
          </w:p>
        </w:tc>
      </w:tr>
    </w:tbl>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Rizika ir sprendimai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E05D08" w:rsidTr="00F73706">
        <w:trPr>
          <w:tblHeader/>
        </w:trPr>
        <w:tc>
          <w:tcPr>
            <w:tcW w:w="4508" w:type="dxa"/>
            <w:shd w:val="clear" w:color="auto" w:fill="F07E31"/>
          </w:tcPr>
          <w:bookmarkEnd w:id="126"/>
          <w:p w:rsidR="00A45935" w:rsidRPr="00E05D08" w:rsidRDefault="00A45935" w:rsidP="00E05D08">
            <w:pPr>
              <w:spacing w:after="120" w:line="280" w:lineRule="atLeast"/>
              <w:mirrorIndents/>
              <w:jc w:val="center"/>
              <w:rPr>
                <w:b/>
                <w:color w:val="FFFFFF"/>
                <w:sz w:val="18"/>
                <w:szCs w:val="18"/>
              </w:rPr>
            </w:pPr>
            <w:r>
              <w:rPr>
                <w:b/>
                <w:color w:val="FFFFFF"/>
                <w:sz w:val="18"/>
                <w:szCs w:val="18"/>
              </w:rPr>
              <w:t>Rizika</w:t>
            </w:r>
          </w:p>
        </w:tc>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Sprendimas</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sz w:val="18"/>
                <w:szCs w:val="18"/>
              </w:rPr>
            </w:pPr>
            <w:r>
              <w:rPr>
                <w:sz w:val="18"/>
                <w:szCs w:val="18"/>
              </w:rPr>
              <w:t>Neteisingai įvertintas skirtingų KPP priemonių, ypač nesusijusių su tokiomis tipiškomis inovacijų priemonėmis, kaip 1-oji priemonė, turimas potencialas skatinti inovacijas kaimo vietovėse. 2, 16, 19 ar 20-oji priemonės, dėl kurių gali atsirasti klaidų apskaičiuojant su MTTP ir inovacijomis susijusias KPP išlaidas.</w:t>
            </w:r>
          </w:p>
          <w:p w:rsidR="00A45935" w:rsidRPr="00A963F4" w:rsidRDefault="00A45935" w:rsidP="00BA4FCD">
            <w:pPr>
              <w:spacing w:after="120" w:line="280" w:lineRule="atLeast"/>
              <w:jc w:val="left"/>
              <w:rPr>
                <w:rFonts w:eastAsia="Calibri" w:cs="Arial"/>
                <w:b/>
                <w:sz w:val="18"/>
                <w:szCs w:val="18"/>
              </w:rPr>
            </w:pPr>
          </w:p>
        </w:tc>
        <w:tc>
          <w:tcPr>
            <w:tcW w:w="4508" w:type="dxa"/>
          </w:tcPr>
          <w:p w:rsidR="00A45935" w:rsidRPr="00D13817" w:rsidRDefault="00A45935" w:rsidP="00BA4FCD">
            <w:pPr>
              <w:spacing w:after="120" w:line="280" w:lineRule="atLeast"/>
              <w:jc w:val="left"/>
              <w:rPr>
                <w:rFonts w:eastAsia="Calibri" w:cs="Arial"/>
                <w:sz w:val="18"/>
                <w:szCs w:val="18"/>
              </w:rPr>
            </w:pPr>
            <w:r>
              <w:rPr>
                <w:sz w:val="18"/>
                <w:szCs w:val="18"/>
              </w:rPr>
              <w:t xml:space="preserve">Šią riziką galima iš dalies pašalinti, jeigu prieš pradedant vertinimą buvo atliktas išsamus KPP inovacijų skatinimo potencialo įvertinimas. Pažymint KPP priemones, kurios gali turėti didelį inovacijų skatinimo potencialą, lengviau įvertinti jų tikrąjį pajėgumą tai padaryti. Pavyzdžiui, jeigu vertintojai žino, kurios priemonės gali daryti didelį poveikį naujų idėjų kūrimui, atlikdami vertinimą, jie patikrins šių priemonių inovacinį veiksmingumą ir, apskaičiuodami </w:t>
            </w:r>
            <w:r>
              <w:rPr>
                <w:sz w:val="18"/>
                <w:szCs w:val="18"/>
              </w:rPr>
              <w:lastRenderedPageBreak/>
              <w:t xml:space="preserve">atitinkamus rodiklius, atsižvelgs į su šiomis priemonėmis susijusias išlaidas. </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t>Nepakanka nacionalinių ir regioninių statistikos duomenų apie MTTP ir inovacijas ir šių duomenų kokybė yra nepakankama (nėra reikiamo formato duomenų). Jeigu trūksta aukštos kokybės duomenų, yra rizika, kad vertintojai, apskaičiuodami su MTTP ir inovacijomis susijusias išlaidas, gali netaikyti reikiamų metodų. Dėl to gali nepavykti apskaičiuoti realių siūlomų papildomų rodiklių reikšmių.</w:t>
            </w:r>
          </w:p>
        </w:tc>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t>Siekiant išvengti šios rizikos, svarbu, kad vertintojai, apskaičiuodami statistines reikšmes nacionaliniu / regioninių lygiu, turėtų reikiamus gebėjimus ir priemones (pvz., koeficientus).</w:t>
            </w:r>
          </w:p>
        </w:tc>
      </w:tr>
    </w:tbl>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t xml:space="preserve">Išvados ir rekomendacijos </w:t>
      </w:r>
    </w:p>
    <w:p w:rsidR="00A45935" w:rsidRPr="00E05D08" w:rsidRDefault="00A45935" w:rsidP="00E05D08">
      <w:pPr>
        <w:spacing w:after="120" w:line="280" w:lineRule="atLeast"/>
        <w:mirrorIndents/>
        <w:rPr>
          <w:rFonts w:eastAsia="Times New Roman" w:cs="Times New Roman"/>
          <w:szCs w:val="20"/>
        </w:rPr>
      </w:pPr>
      <w:r>
        <w:t>Su 23-uoju BVK susijusiose išvadose ir rekomendacijose turėtų būti atsižvelgiama į:</w:t>
      </w:r>
    </w:p>
    <w:p w:rsidR="00A45935" w:rsidRPr="00545C6C" w:rsidRDefault="00A45935" w:rsidP="000026C6">
      <w:pPr>
        <w:pStyle w:val="Hlistbullet"/>
      </w:pPr>
      <w:r>
        <w:rPr>
          <w:b/>
        </w:rPr>
        <w:t xml:space="preserve">investicijų į MTTP ir inovacijas lygį, </w:t>
      </w:r>
      <w:r>
        <w:t>pasiektą įgyvendinant KPP, palyginti su bendra padėtimi, susijusia su investavimu į MTTP ir inovacijas valstybėje narėje / regione;</w:t>
      </w:r>
    </w:p>
    <w:p w:rsidR="00A45935" w:rsidRPr="00545C6C" w:rsidRDefault="00A45935" w:rsidP="000026C6">
      <w:pPr>
        <w:pStyle w:val="Hlistbullet"/>
      </w:pPr>
      <w:r>
        <w:rPr>
          <w:b/>
        </w:rPr>
        <w:t xml:space="preserve">atskirų priemonių potencialą siekiant investuoti į MTTP ir inovacijas </w:t>
      </w:r>
      <w:r>
        <w:t xml:space="preserve">žemės ūkyje, maisto perdirbimo, miškininkystės sektoriuose ir kaimo vietovėse. </w:t>
      </w:r>
    </w:p>
    <w:p w:rsidR="00A45935" w:rsidRPr="00E05D08" w:rsidRDefault="00A45935" w:rsidP="00F31494">
      <w:pPr>
        <w:pStyle w:val="HHeading4"/>
        <w:rPr>
          <w:rFonts w:eastAsia="Calibri"/>
        </w:rPr>
      </w:pPr>
      <w:r>
        <w:t>Daugiau informacijos</w:t>
      </w:r>
    </w:p>
    <w:p w:rsidR="00A45935" w:rsidRPr="00E05D08" w:rsidRDefault="00A45935" w:rsidP="00F31494">
      <w:pPr>
        <w:pStyle w:val="HStandard"/>
      </w:pPr>
      <w:r>
        <w:rPr>
          <w:noProof/>
          <w:lang w:val="en-GB" w:eastAsia="en-GB"/>
        </w:rPr>
        <mc:AlternateContent>
          <mc:Choice Requires="wps">
            <w:drawing>
              <wp:inline distT="0" distB="0" distL="0" distR="0" wp14:anchorId="430D079D" wp14:editId="4857FB72">
                <wp:extent cx="5765165" cy="2838450"/>
                <wp:effectExtent l="0" t="0" r="26035" b="19050"/>
                <wp:docPr id="559" name="Rectangle: Diagonal Corners Rounded 559"/>
                <wp:cNvGraphicFramePr/>
                <a:graphic xmlns:a="http://schemas.openxmlformats.org/drawingml/2006/main">
                  <a:graphicData uri="http://schemas.microsoft.com/office/word/2010/wordprocessingShape">
                    <wps:wsp>
                      <wps:cNvSpPr/>
                      <wps:spPr>
                        <a:xfrm>
                          <a:off x="0" y="0"/>
                          <a:ext cx="5765165" cy="2838450"/>
                        </a:xfrm>
                        <a:prstGeom prst="round2DiagRect">
                          <a:avLst>
                            <a:gd name="adj1" fmla="val 9341"/>
                            <a:gd name="adj2" fmla="val 0"/>
                          </a:avLst>
                        </a:prstGeom>
                        <a:noFill/>
                        <a:ln w="25400" cap="flat" cmpd="sng" algn="ctr">
                          <a:solidFill>
                            <a:srgbClr val="59638E"/>
                          </a:solidFill>
                          <a:prstDash val="solid"/>
                        </a:ln>
                        <a:effectLst/>
                      </wps:spPr>
                      <wps:txbx>
                        <w:txbxContent>
                          <w:p w:rsidR="001F67E3" w:rsidRDefault="001F67E3" w:rsidP="00E05D08">
                            <w:pPr>
                              <w:pStyle w:val="HStandard"/>
                              <w:rPr>
                                <w:color w:val="000000"/>
                                <w:sz w:val="18"/>
                              </w:rPr>
                            </w:pPr>
                            <w:r>
                              <w:rPr>
                                <w:noProof/>
                                <w:lang w:val="en-GB" w:eastAsia="en-GB"/>
                              </w:rPr>
                              <w:drawing>
                                <wp:inline distT="0" distB="0" distL="0" distR="0" wp14:anchorId="591DB2EE" wp14:editId="636639FD">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1F67E3" w:rsidRPr="008D17C8" w:rsidRDefault="001F67E3" w:rsidP="00E05D08">
                            <w:pPr>
                              <w:pStyle w:val="HStandard"/>
                              <w:rPr>
                                <w:sz w:val="18"/>
                                <w:szCs w:val="18"/>
                              </w:rPr>
                            </w:pPr>
                            <w:r>
                              <w:t xml:space="preserve">EK (2010), „2020 m. Europa (2010 m.) – </w:t>
                            </w:r>
                            <w:hyperlink r:id="rId81" w:history="1">
                              <w:r>
                                <w:rPr>
                                  <w:rStyle w:val="Hyperlink"/>
                                  <w:rFonts w:cs="Arial"/>
                                  <w:sz w:val="18"/>
                                  <w:szCs w:val="18"/>
                                </w:rPr>
                                <w:t>„</w:t>
                              </w:r>
                              <w:r>
                                <w:rPr>
                                  <w:rStyle w:val="Hyperlink"/>
                                  <w:sz w:val="18"/>
                                  <w:szCs w:val="18"/>
                                </w:rPr>
                                <w:t>Pažangaus, tvaraus ir integracinio augimo strategija“</w:t>
                              </w:r>
                            </w:hyperlink>
                          </w:p>
                          <w:p w:rsidR="001F67E3" w:rsidRPr="008D17C8" w:rsidRDefault="001F67E3" w:rsidP="00E05D08">
                            <w:pPr>
                              <w:pStyle w:val="HStandard"/>
                              <w:rPr>
                                <w:sz w:val="18"/>
                                <w:szCs w:val="18"/>
                              </w:rPr>
                            </w:pPr>
                            <w:r>
                              <w:t xml:space="preserve">Eurostatas (2017), </w:t>
                            </w:r>
                            <w:hyperlink r:id="rId82" w:history="1">
                              <w:r w:rsidRPr="00A963F4">
                                <w:rPr>
                                  <w:rStyle w:val="Hyperlink"/>
                                  <w:i/>
                                  <w:iCs/>
                                  <w:sz w:val="18"/>
                                  <w:szCs w:val="18"/>
                                </w:rPr>
                                <w:t>Smarter, greener, more inclusive?</w:t>
                              </w:r>
                            </w:hyperlink>
                            <w:hyperlink r:id="rId83" w:history="1">
                              <w:r w:rsidRPr="00A963F4">
                                <w:rPr>
                                  <w:rStyle w:val="Hyperlink"/>
                                  <w:i/>
                                  <w:iCs/>
                                  <w:sz w:val="18"/>
                                  <w:szCs w:val="18"/>
                                </w:rPr>
                                <w:t xml:space="preserve">  Indicators to support the Europe 2020 Strategy </w:t>
                              </w:r>
                              <w:r>
                                <w:rPr>
                                  <w:rStyle w:val="Hyperlink"/>
                                  <w:rFonts w:cs="Arial"/>
                                  <w:i/>
                                  <w:iCs/>
                                  <w:sz w:val="18"/>
                                  <w:szCs w:val="18"/>
                                </w:rPr>
                                <w:t>„</w:t>
                              </w:r>
                              <w:r w:rsidRPr="00A963F4">
                                <w:rPr>
                                  <w:rStyle w:val="Hyperlink"/>
                                  <w:i/>
                                  <w:iCs/>
                                  <w:sz w:val="18"/>
                                  <w:szCs w:val="18"/>
                                </w:rPr>
                                <w:t>Rodikliai strategijai „Europa 2020“ paremti“</w:t>
                              </w:r>
                            </w:hyperlink>
                            <w:r>
                              <w:t xml:space="preserve"> („Pažangesnė, ekologiškesnė, labiau integracinė? Strategijos „Europos 2020“ remiamieji rodikliai“)</w:t>
                            </w:r>
                          </w:p>
                          <w:p w:rsidR="001F67E3" w:rsidRPr="008D17C8" w:rsidRDefault="001F67E3" w:rsidP="00E05D08">
                            <w:pPr>
                              <w:pStyle w:val="HStandard"/>
                              <w:rPr>
                                <w:sz w:val="18"/>
                                <w:szCs w:val="18"/>
                              </w:rPr>
                            </w:pPr>
                            <w:r>
                              <w:rPr>
                                <w:sz w:val="18"/>
                                <w:szCs w:val="18"/>
                              </w:rPr>
                              <w:t xml:space="preserve">Dietz S. (2017), </w:t>
                            </w:r>
                            <w:hyperlink r:id="rId84" w:history="1">
                              <w:r w:rsidRPr="00A963F4">
                                <w:rPr>
                                  <w:rStyle w:val="Hyperlink"/>
                                  <w:i/>
                                  <w:iCs/>
                                  <w:sz w:val="18"/>
                                  <w:szCs w:val="18"/>
                                </w:rPr>
                                <w:t>ELER im Kontext der Strategie „Europa 2020</w:t>
                              </w:r>
                            </w:hyperlink>
                            <w:r>
                              <w:rPr>
                                <w:sz w:val="18"/>
                                <w:szCs w:val="18"/>
                              </w:rPr>
                              <w:t>; pristatymas metiniame renginyje MEN-D Annual Event 2017.</w:t>
                            </w:r>
                          </w:p>
                          <w:p w:rsidR="001F67E3" w:rsidRPr="00385368" w:rsidRDefault="001F67E3" w:rsidP="00E05D08">
                            <w:pPr>
                              <w:pStyle w:val="HStandard"/>
                              <w:rPr>
                                <w:sz w:val="18"/>
                                <w:szCs w:val="18"/>
                              </w:rPr>
                            </w:pPr>
                            <w:r>
                              <w:rPr>
                                <w:sz w:val="18"/>
                                <w:szCs w:val="18"/>
                              </w:rPr>
                              <w:t xml:space="preserve">MEN-D (2015), </w:t>
                            </w:r>
                            <w:hyperlink r:id="rId85" w:history="1">
                              <w:r w:rsidRPr="00A963F4">
                                <w:rPr>
                                  <w:rStyle w:val="Hyperlink"/>
                                  <w:i/>
                                  <w:iCs/>
                                  <w:sz w:val="18"/>
                                  <w:szCs w:val="18"/>
                                </w:rPr>
                                <w:t>Monitoring und Evaluierung der ELER-Förderperiode 2014 – 2020: Auswertung der Methoden und Erfahrungen der Ex-Ante Bewertung</w:t>
                              </w:r>
                              <w:r>
                                <w:rPr>
                                  <w:rStyle w:val="Hyperlink"/>
                                  <w:sz w:val="18"/>
                                  <w:szCs w:val="18"/>
                                </w:rPr>
                                <w:t>.</w:t>
                              </w:r>
                            </w:hyperlink>
                          </w:p>
                          <w:p w:rsidR="001F67E3" w:rsidRPr="00A963F4" w:rsidRDefault="001F67E3" w:rsidP="00E05D08">
                            <w:pPr>
                              <w:pStyle w:val="HStandard"/>
                              <w:rPr>
                                <w:i/>
                                <w:iCs/>
                                <w:sz w:val="18"/>
                                <w:szCs w:val="18"/>
                              </w:rPr>
                            </w:pPr>
                            <w:r>
                              <w:rPr>
                                <w:sz w:val="18"/>
                                <w:szCs w:val="18"/>
                              </w:rPr>
                              <w:t>MEN-D (2017),</w:t>
                            </w:r>
                            <w:hyperlink r:id="rId86" w:history="1">
                              <w:r w:rsidRPr="00A963F4">
                                <w:rPr>
                                  <w:rStyle w:val="Hyperlink"/>
                                  <w:i/>
                                  <w:iCs/>
                                  <w:sz w:val="18"/>
                                  <w:szCs w:val="18"/>
                                </w:rPr>
                                <w:t>EAFRD in the context of the Europe 2020 Strategy - evaluation of contributions and future challenges</w:t>
                              </w:r>
                            </w:hyperlink>
                            <w:r w:rsidRPr="00A963F4">
                              <w:rPr>
                                <w:i/>
                                <w:iCs/>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0D079D" id="Rectangle: Diagonal Corners Rounded 559" o:spid="_x0000_s1053" style="width:453.95pt;height:223.5pt;visibility:visible;mso-wrap-style:square;mso-left-percent:-10001;mso-top-percent:-10001;mso-position-horizontal:absolute;mso-position-horizontal-relative:char;mso-position-vertical:absolute;mso-position-vertical-relative:line;mso-left-percent:-10001;mso-top-percent:-10001;v-text-anchor:middle" coordsize="5765165,2838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" adj="-11796480,,5400" path="m265140,l5765165,r,l5765165,2573310v,146433,-118707,265140,-265140,265140l,2838450r,l,265140c,118707,118707,,265140,xe" filled="f" strokecolor="#59638e" strokeweight="2pt">
                <v:stroke joinstyle="miter"/>
                <v:formulas/>
                <v:path arrowok="t" o:connecttype="custom" o:connectlocs="265140,0;5765165,0;5765165,0;5765165,2573310;5500025,2838450;0,2838450;0,2838450;0,265140;265140,0" o:connectangles="0,0,0,0,0,0,0,0,0" textboxrect="0,0,5765165,2838450"/>
                <v:textbox>
                  <w:txbxContent>
                    <w:p w:rsidR="001F67E3" w:rsidRDefault="001F67E3" w:rsidP="00E05D08">
                      <w:pPr>
                        <w:pStyle w:val="HStandard"/>
                        <w:rPr>
                          <w:color w:val="000000"/>
                          <w:sz w:val="18"/>
                        </w:rPr>
                      </w:pPr>
                      <w:r>
                        <w:rPr>
                          <w:noProof/>
                          <w:lang w:val="en-GB" w:eastAsia="en-GB"/>
                        </w:rPr>
                        <w:drawing>
                          <wp:inline distT="0" distB="0" distL="0" distR="0" wp14:anchorId="591DB2EE" wp14:editId="636639FD">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1F67E3" w:rsidRPr="008D17C8" w:rsidRDefault="001F67E3" w:rsidP="00E05D08">
                      <w:pPr>
                        <w:pStyle w:val="HStandard"/>
                        <w:rPr>
                          <w:sz w:val="18"/>
                          <w:szCs w:val="18"/>
                        </w:rPr>
                      </w:pPr>
                      <w:r>
                        <w:t xml:space="preserve">EK (2010), „2020 m. Europa (2010 m.) – </w:t>
                      </w:r>
                      <w:hyperlink r:id="rId87" w:history="1">
                        <w:r>
                          <w:rPr>
                            <w:rStyle w:val="Hyperlink"/>
                            <w:rFonts w:cs="Arial"/>
                            <w:sz w:val="18"/>
                            <w:szCs w:val="18"/>
                          </w:rPr>
                          <w:t>„</w:t>
                        </w:r>
                        <w:r>
                          <w:rPr>
                            <w:rStyle w:val="Hyperlink"/>
                            <w:sz w:val="18"/>
                            <w:szCs w:val="18"/>
                          </w:rPr>
                          <w:t>Pažangaus, tvaraus ir integracinio augimo strategija“</w:t>
                        </w:r>
                      </w:hyperlink>
                    </w:p>
                    <w:p w:rsidR="001F67E3" w:rsidRPr="008D17C8" w:rsidRDefault="001F67E3" w:rsidP="00E05D08">
                      <w:pPr>
                        <w:pStyle w:val="HStandard"/>
                        <w:rPr>
                          <w:sz w:val="18"/>
                          <w:szCs w:val="18"/>
                        </w:rPr>
                      </w:pPr>
                      <w:r>
                        <w:t xml:space="preserve">Eurostatas (2017), </w:t>
                      </w:r>
                      <w:hyperlink r:id="rId88" w:history="1">
                        <w:r w:rsidRPr="00A963F4">
                          <w:rPr>
                            <w:rStyle w:val="Hyperlink"/>
                            <w:i/>
                            <w:iCs/>
                            <w:sz w:val="18"/>
                            <w:szCs w:val="18"/>
                          </w:rPr>
                          <w:t>Smarter, greener, more inclusive?</w:t>
                        </w:r>
                      </w:hyperlink>
                      <w:hyperlink r:id="rId89" w:history="1">
                        <w:r w:rsidRPr="00A963F4">
                          <w:rPr>
                            <w:rStyle w:val="Hyperlink"/>
                            <w:i/>
                            <w:iCs/>
                            <w:sz w:val="18"/>
                            <w:szCs w:val="18"/>
                          </w:rPr>
                          <w:t xml:space="preserve">  Indicators to support the Europe 2020 Strategy </w:t>
                        </w:r>
                        <w:r>
                          <w:rPr>
                            <w:rStyle w:val="Hyperlink"/>
                            <w:rFonts w:cs="Arial"/>
                            <w:i/>
                            <w:iCs/>
                            <w:sz w:val="18"/>
                            <w:szCs w:val="18"/>
                          </w:rPr>
                          <w:t>„</w:t>
                        </w:r>
                        <w:r w:rsidRPr="00A963F4">
                          <w:rPr>
                            <w:rStyle w:val="Hyperlink"/>
                            <w:i/>
                            <w:iCs/>
                            <w:sz w:val="18"/>
                            <w:szCs w:val="18"/>
                          </w:rPr>
                          <w:t>Rodikliai strategijai „Europa 2020“ paremti“</w:t>
                        </w:r>
                      </w:hyperlink>
                      <w:r>
                        <w:t xml:space="preserve"> („Pažangesnė, ekologiškesnė, labiau integracinė? Strategijos „Europos 2020“ remiamieji rodikliai“)</w:t>
                      </w:r>
                    </w:p>
                    <w:p w:rsidR="001F67E3" w:rsidRPr="008D17C8" w:rsidRDefault="001F67E3" w:rsidP="00E05D08">
                      <w:pPr>
                        <w:pStyle w:val="HStandard"/>
                        <w:rPr>
                          <w:sz w:val="18"/>
                          <w:szCs w:val="18"/>
                        </w:rPr>
                      </w:pPr>
                      <w:r>
                        <w:rPr>
                          <w:sz w:val="18"/>
                          <w:szCs w:val="18"/>
                        </w:rPr>
                        <w:t xml:space="preserve">Dietz S. (2017), </w:t>
                      </w:r>
                      <w:hyperlink r:id="rId90" w:history="1">
                        <w:r w:rsidRPr="00A963F4">
                          <w:rPr>
                            <w:rStyle w:val="Hyperlink"/>
                            <w:i/>
                            <w:iCs/>
                            <w:sz w:val="18"/>
                            <w:szCs w:val="18"/>
                          </w:rPr>
                          <w:t>ELER im Kontext der Strategie „Europa 2020</w:t>
                        </w:r>
                      </w:hyperlink>
                      <w:r>
                        <w:rPr>
                          <w:sz w:val="18"/>
                          <w:szCs w:val="18"/>
                        </w:rPr>
                        <w:t>; pristatymas metiniame renginyje MEN-D Annual Event 2017.</w:t>
                      </w:r>
                    </w:p>
                    <w:p w:rsidR="001F67E3" w:rsidRPr="00385368" w:rsidRDefault="001F67E3" w:rsidP="00E05D08">
                      <w:pPr>
                        <w:pStyle w:val="HStandard"/>
                        <w:rPr>
                          <w:sz w:val="18"/>
                          <w:szCs w:val="18"/>
                        </w:rPr>
                      </w:pPr>
                      <w:r>
                        <w:rPr>
                          <w:sz w:val="18"/>
                          <w:szCs w:val="18"/>
                        </w:rPr>
                        <w:t xml:space="preserve">MEN-D (2015), </w:t>
                      </w:r>
                      <w:hyperlink r:id="rId91" w:history="1">
                        <w:r w:rsidRPr="00A963F4">
                          <w:rPr>
                            <w:rStyle w:val="Hyperlink"/>
                            <w:i/>
                            <w:iCs/>
                            <w:sz w:val="18"/>
                            <w:szCs w:val="18"/>
                          </w:rPr>
                          <w:t>Monitoring und Evaluierung der ELER-Förderperiode 2014 – 2020: Auswertung der Methoden und Erfahrungen der Ex-Ante Bewertung</w:t>
                        </w:r>
                        <w:r>
                          <w:rPr>
                            <w:rStyle w:val="Hyperlink"/>
                            <w:sz w:val="18"/>
                            <w:szCs w:val="18"/>
                          </w:rPr>
                          <w:t>.</w:t>
                        </w:r>
                      </w:hyperlink>
                    </w:p>
                    <w:p w:rsidR="001F67E3" w:rsidRPr="00A963F4" w:rsidRDefault="001F67E3" w:rsidP="00E05D08">
                      <w:pPr>
                        <w:pStyle w:val="HStandard"/>
                        <w:rPr>
                          <w:i/>
                          <w:iCs/>
                          <w:sz w:val="18"/>
                          <w:szCs w:val="18"/>
                        </w:rPr>
                      </w:pPr>
                      <w:r>
                        <w:rPr>
                          <w:sz w:val="18"/>
                          <w:szCs w:val="18"/>
                        </w:rPr>
                        <w:t>MEN-D (2017),</w:t>
                      </w:r>
                      <w:hyperlink r:id="rId92" w:history="1">
                        <w:r w:rsidRPr="00A963F4">
                          <w:rPr>
                            <w:rStyle w:val="Hyperlink"/>
                            <w:i/>
                            <w:iCs/>
                            <w:sz w:val="18"/>
                            <w:szCs w:val="18"/>
                          </w:rPr>
                          <w:t>EAFRD in the context of the Europe 2020 Strategy - evaluation of contributions and future challenges</w:t>
                        </w:r>
                      </w:hyperlink>
                      <w:r w:rsidRPr="00A963F4">
                        <w:rPr>
                          <w:i/>
                          <w:iCs/>
                          <w:sz w:val="18"/>
                          <w:szCs w:val="18"/>
                        </w:rPr>
                        <w:t xml:space="preserve">. </w:t>
                      </w:r>
                    </w:p>
                  </w:txbxContent>
                </v:textbox>
                <w10:anchorlock/>
              </v:shape>
            </w:pict>
          </mc:Fallback>
        </mc:AlternateContent>
      </w:r>
    </w:p>
    <w:p w:rsidR="00A45935" w:rsidRPr="00324C42" w:rsidRDefault="00A45935" w:rsidP="00D13817">
      <w:pPr>
        <w:pStyle w:val="HHeading3"/>
        <w:numPr>
          <w:ilvl w:val="2"/>
          <w:numId w:val="125"/>
        </w:numPr>
        <w:tabs>
          <w:tab w:val="clear" w:pos="567"/>
        </w:tabs>
        <w:spacing w:before="480" w:line="280" w:lineRule="exact"/>
        <w:ind w:left="567" w:hanging="567"/>
      </w:pPr>
      <w:bookmarkStart w:id="128" w:name="_Toc501382135"/>
      <w:bookmarkStart w:id="129" w:name="_Toc508976532"/>
      <w:r>
        <w:t>30-asis BVK. „Kiek pagal KPP vykdant intervencijas prisidėta prie inovacijų skatinimo?“</w:t>
      </w:r>
      <w:bookmarkEnd w:id="128"/>
      <w:bookmarkEnd w:id="129"/>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Kaip suprasti BVK?</w:t>
      </w:r>
    </w:p>
    <w:p w:rsidR="00A45935" w:rsidRPr="00E05D08" w:rsidRDefault="00A45935" w:rsidP="00E05D08">
      <w:pPr>
        <w:spacing w:after="120" w:line="280" w:lineRule="atLeast"/>
        <w:mirrorIndents/>
        <w:rPr>
          <w:rFonts w:eastAsia="Times New Roman" w:cs="Arial"/>
          <w:szCs w:val="20"/>
        </w:rPr>
      </w:pPr>
      <w:r>
        <w:t xml:space="preserve">30-asis BVK susijęs su inovacijų skatinimo procesu. Todėl šis klausimas konceptualiai yra labai platus, kadangi </w:t>
      </w:r>
      <w:r>
        <w:rPr>
          <w:b/>
          <w:szCs w:val="20"/>
        </w:rPr>
        <w:t xml:space="preserve">inovacijos atsiranda dėl subjektų tarpusavio sąveikos inovacijų sistemoje. </w:t>
      </w:r>
      <w:r>
        <w:t>Šiems procesams įvertinti reikia laiko ir todėl į šį klausimą galima atsakyti tik tada, kai KPP intervencinė veikla yra toli pažengusi (2019 m. teikiamoje MĮA ), arba jau yra baigta (</w:t>
      </w:r>
      <w:r>
        <w:rPr>
          <w:i/>
          <w:szCs w:val="20"/>
        </w:rPr>
        <w:t>ex post</w:t>
      </w:r>
      <w:r>
        <w:t xml:space="preserve"> vertinimo ataskaitoje). </w:t>
      </w:r>
    </w:p>
    <w:p w:rsidR="00A45935" w:rsidRPr="00E05D08" w:rsidRDefault="00A45935" w:rsidP="00E05D08">
      <w:pPr>
        <w:spacing w:after="120" w:line="280" w:lineRule="atLeast"/>
        <w:mirrorIndents/>
        <w:rPr>
          <w:rFonts w:eastAsia="Times New Roman" w:cs="Arial"/>
          <w:szCs w:val="20"/>
        </w:rPr>
      </w:pPr>
      <w:r>
        <w:t xml:space="preserve">ES yra suinteresuota, kad KPP būtų prisidedama prie inovacijų tinkamu mastu, t. y. kad sėkmingai vykstantys inovacijų procesai paskatintų palyginti didelius pokyčius (pvz., palyginti didelis naują </w:t>
      </w:r>
      <w:r>
        <w:lastRenderedPageBreak/>
        <w:t>technologiją taikančių ūkininkų skaičius). Todėl, atsakant į 30-ąjį BVK, atspirties taškas yra nustatyti didelius pokyčius, prie kurių, kaip teigiama, KPP prisidėjo, ir kuriuose bent dalis to indėlio buvo padaryta skatinant inovacijas. Šiuos didelius pokyčius galima nustatyti atlikus poveikio rodiklių vertinimą ir surinkus daugiau informacijos (pvz., per dokumentų peržiūras ir pokalbius su suinteresuotaisiais subjektais, surengtais gavus inovacijų skatinimo potencialo nustatymo rezultatus, žr. </w:t>
      </w:r>
      <w:r>
        <w:rPr>
          <w:color w:val="F07E31"/>
          <w:szCs w:val="20"/>
        </w:rPr>
        <w:t>2.2 skyrių</w:t>
      </w:r>
      <w:r>
        <w:t xml:space="preserve">). Gauti rezultatai taip pat bus panaudojami atsakant į kitus nei 30-asis BVK bendrojo vertinimo klausimus (BVK Nr. 24–29). </w:t>
      </w:r>
    </w:p>
    <w:p w:rsidR="00A45935" w:rsidRPr="00E05D08" w:rsidRDefault="00A45935" w:rsidP="00E05D08">
      <w:pPr>
        <w:spacing w:after="120" w:line="280" w:lineRule="atLeast"/>
        <w:mirrorIndents/>
        <w:rPr>
          <w:rFonts w:eastAsia="Times New Roman" w:cs="Arial"/>
          <w:szCs w:val="20"/>
        </w:rPr>
      </w:pPr>
      <w:r>
        <w:t xml:space="preserve">1.1 skyriuje pateikta </w:t>
      </w:r>
      <w:r>
        <w:rPr>
          <w:i/>
          <w:szCs w:val="20"/>
        </w:rPr>
        <w:t>a priori</w:t>
      </w:r>
      <w:r>
        <w:t xml:space="preserve"> prielaida, kad KPP priemonės / pagalbinės priemonės padeda </w:t>
      </w:r>
      <w:r>
        <w:rPr>
          <w:b/>
          <w:szCs w:val="20"/>
        </w:rPr>
        <w:t xml:space="preserve">skatinti </w:t>
      </w:r>
      <w:r w:rsidR="00A963F4">
        <w:rPr>
          <w:b/>
          <w:szCs w:val="20"/>
        </w:rPr>
        <w:t xml:space="preserve">inovacijas </w:t>
      </w:r>
      <w:r w:rsidR="00A963F4">
        <w:t>trimis</w:t>
      </w:r>
      <w:r>
        <w:t xml:space="preserve"> tarpusavyje susijusiomis kryptimis (žr. </w:t>
      </w:r>
      <w:hyperlink w:anchor="Pathways" w:history="1">
        <w:r>
          <w:rPr>
            <w:rStyle w:val="Hyperlink"/>
            <w:sz w:val="20"/>
            <w:szCs w:val="20"/>
          </w:rPr>
          <w:t>1 diagramą</w:t>
        </w:r>
      </w:hyperlink>
      <w:r>
        <w:t xml:space="preserve">). Šios trys kryptys naudingos tuo, kad padeda vertintojui išsiaiškinti ir geriau suprasti inovacijų procesą. Todėl šiose gairėse siūloma taikyti tris pagalbinius 30-ojo BVK klausimus, kurie atitinka inovacijų skatinimo kryptis: </w:t>
      </w:r>
    </w:p>
    <w:p w:rsidR="00A45935" w:rsidRPr="00BE70EE" w:rsidRDefault="00A45935" w:rsidP="000026C6">
      <w:pPr>
        <w:pStyle w:val="Hlistbullet"/>
      </w:pPr>
      <w:r>
        <w:t>Kiek KPP prisidėta prie inovacijų skatinimo plėtojant inovacijų skatinimo potencialą? (1 kryptis)</w:t>
      </w:r>
    </w:p>
    <w:p w:rsidR="00A45935" w:rsidRPr="00BE70EE" w:rsidRDefault="00A45935" w:rsidP="000026C6">
      <w:pPr>
        <w:pStyle w:val="Hlistbullet"/>
      </w:pPr>
      <w:r>
        <w:t>Kiek KPP prisidėta prie inovacijų skatinimo stiprinant gebėjimą diegti inovacijas? (2 kryptis)</w:t>
      </w:r>
    </w:p>
    <w:p w:rsidR="00A45935" w:rsidRPr="00BE70EE" w:rsidRDefault="00A45935" w:rsidP="000026C6">
      <w:pPr>
        <w:pStyle w:val="Hlistbullet"/>
      </w:pPr>
      <w:r>
        <w:t>Kiek KPP prisidėta prie inovacijų skatinimo kuriant palankią inovacijoms aplinką? (3 kryptis)</w:t>
      </w:r>
    </w:p>
    <w:p w:rsidR="00A45935" w:rsidRPr="00E05D08" w:rsidRDefault="00A45935" w:rsidP="00690E70">
      <w:pPr>
        <w:spacing w:after="120" w:line="280" w:lineRule="atLeast"/>
        <w:mirrorIndents/>
        <w:rPr>
          <w:rFonts w:eastAsia="Times New Roman" w:cs="Arial"/>
          <w:szCs w:val="20"/>
        </w:rPr>
      </w:pPr>
      <w:r>
        <w:t xml:space="preserve">Šių krypčių tarpusavio sąveika taip pat yra svarbi. Inovacinio potencialo plėtojimo per bendradarbiavimą procesas (pvz., kuriant ir diegiant naują technologiją) padeda stiprinti suinteresuotų asmenų ir organizacijų, taip pat pačios inovacijų sistemos gebėjimą diegti inovacijas. Į inovacijų proceso krypčių tarpusavio sąveiką reikėtų atkreipti dėmesį atsakant į tris pagalbinius klausimus ir į 30-ąjį BVK.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Konkretūs iššūkiai </w:t>
      </w:r>
    </w:p>
    <w:p w:rsidR="00A45935" w:rsidRPr="00241663" w:rsidRDefault="00A45935" w:rsidP="000026C6">
      <w:pPr>
        <w:pStyle w:val="Hlistbullet"/>
      </w:pPr>
      <w:r>
        <w:rPr>
          <w:b/>
        </w:rPr>
        <w:t xml:space="preserve">Papildomų vertinimo elementų </w:t>
      </w:r>
      <w:r>
        <w:t>(kokybinių ir kiekybinių vertinimo kriterijų ir rodiklių)</w:t>
      </w:r>
      <w:r>
        <w:rPr>
          <w:b/>
        </w:rPr>
        <w:t xml:space="preserve"> </w:t>
      </w:r>
      <w:r>
        <w:t xml:space="preserve">parengimas atsakant į 30-ąjį BVK. </w:t>
      </w:r>
    </w:p>
    <w:p w:rsidR="00A45935" w:rsidRPr="00241663" w:rsidRDefault="00A45935" w:rsidP="000026C6">
      <w:pPr>
        <w:pStyle w:val="Hlistbullet"/>
      </w:pPr>
      <w:r>
        <w:rPr>
          <w:b/>
        </w:rPr>
        <w:t>Vertinimo metodų,</w:t>
      </w:r>
      <w:r>
        <w:t xml:space="preserve"> kurie leistų priskirti pastebėtus, su </w:t>
      </w:r>
      <w:r>
        <w:rPr>
          <w:u w:val="single"/>
        </w:rPr>
        <w:t>visomis trimis</w:t>
      </w:r>
      <w:r>
        <w:t xml:space="preserve"> kaimo vietovių inovacijų sistemos kryptimis susijusius pokyčius, KPP intervenciniams veiksmams, </w:t>
      </w:r>
      <w:r>
        <w:rPr>
          <w:b/>
        </w:rPr>
        <w:t>taikymas</w:t>
      </w:r>
      <w:r>
        <w:t xml:space="preserve">. </w:t>
      </w:r>
    </w:p>
    <w:p w:rsidR="00A45935" w:rsidRPr="00241663" w:rsidRDefault="00A45935" w:rsidP="000026C6">
      <w:pPr>
        <w:pStyle w:val="Hlistbullet"/>
      </w:pPr>
      <w:r>
        <w:rPr>
          <w:b/>
        </w:rPr>
        <w:t>Pokyčių</w:t>
      </w:r>
      <w:r>
        <w:t xml:space="preserve">, kurie įvyko dėl KPP remiamų inovacijų, </w:t>
      </w:r>
      <w:r>
        <w:rPr>
          <w:b/>
        </w:rPr>
        <w:t>įvertinimas</w:t>
      </w:r>
      <w: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Siūlomas atsakymo į 30-ąjį BVK metodas</w:t>
      </w:r>
    </w:p>
    <w:p w:rsidR="00A45935" w:rsidRPr="00237EDF" w:rsidRDefault="00A45935" w:rsidP="00647766">
      <w:pPr>
        <w:numPr>
          <w:ilvl w:val="0"/>
          <w:numId w:val="62"/>
        </w:numPr>
        <w:spacing w:before="120" w:after="120" w:line="280" w:lineRule="atLeast"/>
        <w:ind w:left="567" w:hanging="567"/>
        <w:mirrorIndents/>
        <w:rPr>
          <w:rFonts w:eastAsia="Calibri" w:cs="Times New Roman"/>
          <w:b/>
          <w:szCs w:val="20"/>
        </w:rPr>
      </w:pPr>
      <w:r>
        <w:rPr>
          <w:b/>
          <w:szCs w:val="20"/>
        </w:rPr>
        <w:t xml:space="preserve">Intervencinių veiksmų loginis pagrindas </w:t>
      </w:r>
    </w:p>
    <w:p w:rsidR="00A45935" w:rsidRDefault="00A45935" w:rsidP="00E05D08">
      <w:pPr>
        <w:spacing w:after="120" w:line="280" w:lineRule="atLeast"/>
        <w:mirrorIndents/>
        <w:rPr>
          <w:rFonts w:eastAsia="Times New Roman" w:cs="Arial"/>
          <w:szCs w:val="20"/>
        </w:rPr>
      </w:pPr>
      <w:r>
        <w:t>KPP taikomas požiūris į inovacijas nustatomas programos rengimo etape</w:t>
      </w:r>
      <w:r>
        <w:rPr>
          <w:rFonts w:eastAsia="Times New Roman" w:cs="Times New Roman"/>
          <w:szCs w:val="20"/>
          <w:vertAlign w:val="superscript"/>
          <w:lang w:eastAsia="de-DE"/>
        </w:rPr>
        <w:footnoteReference w:id="76"/>
      </w:r>
      <w:r>
        <w:t xml:space="preserve">. Vertinimo rengimo etape, atliekant KPP priemonių / pagalbinių priemonių inovacijų skatinimo potencialo analizę, taip pat atliekama visų priemonių / pagalbinių priemonių (ne tik 1, 2, 16, 19-osios priemonių ir techninės paramos) analizė ir ištiriamos galimybės jomis plėtoti idėjas, stiprinti gebėjimus ir kurti palankią aplinką. Todėl tikimasi, kad </w:t>
      </w:r>
      <w:r>
        <w:rPr>
          <w:b/>
          <w:szCs w:val="20"/>
        </w:rPr>
        <w:t>visos KPP priemonės ir pagalbinės priemonės, kurios, kaip nustatyta, turi didelį inovacijų skatinimo potencialą,</w:t>
      </w:r>
      <w:r>
        <w:t xml:space="preserve"> taps su inovacijomis susijusių KPP intervencinių veiksmų loginio pagrindo, padedančio nukreipti KPP įgyvendinimą inovacijų linkme, dalimi. Vertintojas panaudoja šią logiką, kaip įvesties duomenis, siekdamas pagrįsti, kaip kaimo plėtros programomis buvo prisidėta prie inovacijų (žr. </w:t>
      </w:r>
      <w:hyperlink w:anchor="Example_IL" w:history="1">
        <w:r>
          <w:rPr>
            <w:rStyle w:val="Hyperlink"/>
            <w:sz w:val="20"/>
            <w:szCs w:val="20"/>
          </w:rPr>
          <w:t>11 diagramą</w:t>
        </w:r>
      </w:hyperlink>
      <w:r>
        <w:t>).</w:t>
      </w:r>
    </w:p>
    <w:p w:rsidR="00A45935" w:rsidRPr="00916AB5" w:rsidRDefault="00BE1F31" w:rsidP="00356CC8">
      <w:pPr>
        <w:pStyle w:val="HHeadingfigures"/>
        <w:keepNext/>
      </w:pPr>
      <w:bookmarkStart w:id="130" w:name="Example_IL"/>
      <w:bookmarkStart w:id="131" w:name="_Toc508984042"/>
      <w:bookmarkEnd w:id="130"/>
      <w:r>
        <w:lastRenderedPageBreak/>
        <w:t>Su 30-uoju BVK susijusio intervencinių veiksmų loginio pagrindo pavyzdys</w:t>
      </w:r>
      <w:bookmarkEnd w:id="131"/>
    </w:p>
    <w:p w:rsidR="00A45935" w:rsidRPr="00E05D08" w:rsidRDefault="009A2936" w:rsidP="002C2C15">
      <w:pPr>
        <w:suppressAutoHyphens/>
        <w:spacing w:before="60" w:after="140" w:line="240" w:lineRule="auto"/>
        <w:mirrorIndents/>
        <w:jc w:val="center"/>
        <w:rPr>
          <w:rFonts w:eastAsia="Times New Roman" w:cs="Times New Roman"/>
          <w:i/>
          <w:noProof/>
          <w:sz w:val="16"/>
          <w:szCs w:val="20"/>
          <w:lang w:eastAsia="en-GB"/>
        </w:rPr>
      </w:pPr>
      <w:r w:rsidRPr="009A2936">
        <w:rPr>
          <w:noProof/>
          <w:lang w:val="en-GB" w:eastAsia="en-GB"/>
        </w:rPr>
        <w:drawing>
          <wp:inline distT="0" distB="0" distL="0" distR="0" wp14:anchorId="0890302F" wp14:editId="1E953C7D">
            <wp:extent cx="5732145" cy="3047678"/>
            <wp:effectExtent l="0" t="0" r="190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32145" cy="3047678"/>
                    </a:xfrm>
                    <a:prstGeom prst="rect">
                      <a:avLst/>
                    </a:prstGeom>
                  </pic:spPr>
                </pic:pic>
              </a:graphicData>
            </a:graphic>
          </wp:inline>
        </w:drawing>
      </w:r>
    </w:p>
    <w:p w:rsidR="00A45935" w:rsidRPr="00E05D08" w:rsidRDefault="00A45935" w:rsidP="00916AB5">
      <w:pPr>
        <w:suppressAutoHyphens/>
        <w:spacing w:before="60" w:after="140" w:line="240" w:lineRule="auto"/>
        <w:mirrorIndents/>
        <w:jc w:val="center"/>
        <w:rPr>
          <w:rFonts w:eastAsia="Times New Roman" w:cs="Times New Roman"/>
          <w:i/>
          <w:sz w:val="16"/>
          <w:szCs w:val="20"/>
        </w:rPr>
      </w:pPr>
      <w:r>
        <w:rPr>
          <w:i/>
          <w:sz w:val="16"/>
          <w:szCs w:val="20"/>
        </w:rPr>
        <w:t>Šaltinis: Europos kaimo plėtros vertinimo pagalbos tarnyba, 2017 m.</w:t>
      </w:r>
    </w:p>
    <w:p w:rsidR="00A45935" w:rsidRPr="00E05D08" w:rsidRDefault="00A45935" w:rsidP="00E05D08">
      <w:pPr>
        <w:spacing w:after="120" w:line="280" w:lineRule="atLeast"/>
        <w:mirrorIndents/>
        <w:rPr>
          <w:rFonts w:eastAsia="Times New Roman" w:cs="Arial"/>
          <w:szCs w:val="20"/>
        </w:rPr>
      </w:pPr>
      <w:r>
        <w:rPr>
          <w:rFonts w:eastAsia="Times New Roman" w:cs="Times New Roman"/>
          <w:noProof/>
          <w:sz w:val="18"/>
          <w:szCs w:val="24"/>
          <w:lang w:val="en-GB" w:eastAsia="en-GB"/>
        </w:rPr>
        <mc:AlternateContent>
          <mc:Choice Requires="wps">
            <w:drawing>
              <wp:inline distT="0" distB="0" distL="0" distR="0" wp14:anchorId="08563829" wp14:editId="6EB5207C">
                <wp:extent cx="5732145" cy="2400300"/>
                <wp:effectExtent l="0" t="0" r="20955" b="19050"/>
                <wp:docPr id="560" name="Rectangle: Diagonal Corners Rounded 560"/>
                <wp:cNvGraphicFramePr/>
                <a:graphic xmlns:a="http://schemas.openxmlformats.org/drawingml/2006/main">
                  <a:graphicData uri="http://schemas.microsoft.com/office/word/2010/wordprocessingShape">
                    <wps:wsp>
                      <wps:cNvSpPr/>
                      <wps:spPr>
                        <a:xfrm>
                          <a:off x="0" y="0"/>
                          <a:ext cx="5732145" cy="2400300"/>
                        </a:xfrm>
                        <a:prstGeom prst="round2DiagRect">
                          <a:avLst>
                            <a:gd name="adj1" fmla="val 11556"/>
                            <a:gd name="adj2" fmla="val 0"/>
                          </a:avLst>
                        </a:prstGeom>
                        <a:noFill/>
                        <a:ln w="25400" cap="flat" cmpd="sng" algn="ctr">
                          <a:solidFill>
                            <a:srgbClr val="F07E31"/>
                          </a:solidFill>
                          <a:prstDash val="solid"/>
                        </a:ln>
                        <a:effectLst/>
                      </wps:spPr>
                      <wps:txbx>
                        <w:txbxContent>
                          <w:p w:rsidR="001F67E3" w:rsidRPr="0079762F" w:rsidRDefault="001F67E3" w:rsidP="00E05D08">
                            <w:pPr>
                              <w:pStyle w:val="HStandard"/>
                              <w:rPr>
                                <w:rFonts w:cs="Arial"/>
                                <w:sz w:val="18"/>
                              </w:rPr>
                            </w:pPr>
                            <w:r>
                              <w:rPr>
                                <w:noProof/>
                                <w:sz w:val="18"/>
                                <w:szCs w:val="18"/>
                                <w:lang w:val="en-GB" w:eastAsia="en-GB"/>
                              </w:rPr>
                              <w:drawing>
                                <wp:inline distT="0" distB="0" distL="0" distR="0" wp14:anchorId="63CB7D78" wp14:editId="10994747">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w:t>
                            </w:r>
                            <w:r>
                              <w:rPr>
                                <w:sz w:val="18"/>
                              </w:rPr>
                              <w:t xml:space="preserve">Šiame pavyzdyje pateiktos tikslinių sričių (stačiakampiai) priemonės (apskritimai) kurios, kaip tikimasi, padės skatinti inovacijas taikant jas vienas arba įvairiais būdais derinant su kitomis priemonėmis (trys kryptys pavaizduotos kaip piktogramos). Pavyzdžiui, tikimasi, kad pagal 3A TS programuojamos 16 ir 2-oji priemonės – pirminės produkcijos gamintojų integravimas į maisto grandinę – ir priemonės pagal 5A TS – vandens naudojimo efektyvumas, – kartu padės skatinti inovacijas visomis trimis kryptimis. O kalbant apie 5B TS, tikimasi, kad abi priemonės derinant jas su 4-ąja priemone padės skatinti inovacijas stiprinant gebėjimus per bendradarbiavimą.  </w:t>
                            </w:r>
                          </w:p>
                          <w:p w:rsidR="001F67E3" w:rsidRPr="00ED3BAD" w:rsidRDefault="001F67E3" w:rsidP="00E05D08">
                            <w:pPr>
                              <w:pStyle w:val="HStandard"/>
                              <w:rPr>
                                <w:sz w:val="18"/>
                                <w:szCs w:val="18"/>
                              </w:rPr>
                            </w:pPr>
                            <w:r>
                              <w:rPr>
                                <w:sz w:val="18"/>
                              </w:rPr>
                              <w:t>Tikimasi, kad inovacijų skatinimo potencialą turinčiomis priemonėmis bus pasiekta rezultatų, kurie savo ruožtu padės pasiekti rezultatų skatinant inovacijas minėtomis trimis kryptimis ir galiausiai tai turės poveikio politikos tikslų įgyvendinimui.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563829" id="Rectangle: Diagonal Corners Rounded 560" o:spid="_x0000_s1054" style="width:451.35pt;height:189pt;visibility:visible;mso-wrap-style:square;mso-left-percent:-10001;mso-top-percent:-10001;mso-position-horizontal:absolute;mso-position-horizontal-relative:char;mso-position-vertical:absolute;mso-position-vertical-relative:line;mso-left-percent:-10001;mso-top-percent:-10001;v-text-anchor:middle" coordsize="5732145,2400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" adj="-11796480,,5400" path="m277379,l5732145,r,l5732145,2122921v,153192,-124187,277379,-277379,277379l,2400300r,l,277379c,124187,124187,,277379,xe" filled="f" strokecolor="#f07e31" strokeweight="2pt">
                <v:stroke joinstyle="miter"/>
                <v:formulas/>
                <v:path arrowok="t" o:connecttype="custom" o:connectlocs="277379,0;5732145,0;5732145,0;5732145,2122921;5454766,2400300;0,2400300;0,2400300;0,277379;277379,0" o:connectangles="0,0,0,0,0,0,0,0,0" textboxrect="0,0,5732145,2400300"/>
                <v:textbox>
                  <w:txbxContent>
                    <w:p w:rsidR="001F67E3" w:rsidRPr="0079762F" w:rsidRDefault="001F67E3" w:rsidP="00E05D08">
                      <w:pPr>
                        <w:pStyle w:val="HStandard"/>
                        <w:rPr>
                          <w:rFonts w:cs="Arial"/>
                          <w:sz w:val="18"/>
                        </w:rPr>
                      </w:pPr>
                      <w:r>
                        <w:rPr>
                          <w:noProof/>
                          <w:sz w:val="18"/>
                          <w:szCs w:val="18"/>
                          <w:lang w:val="en-GB" w:eastAsia="en-GB"/>
                        </w:rPr>
                        <w:drawing>
                          <wp:inline distT="0" distB="0" distL="0" distR="0" wp14:anchorId="63CB7D78" wp14:editId="10994747">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w:t>
                      </w:r>
                      <w:r>
                        <w:rPr>
                          <w:sz w:val="18"/>
                        </w:rPr>
                        <w:t xml:space="preserve">Šiame pavyzdyje pateiktos tikslinių sričių (stačiakampiai) priemonės (apskritimai) kurios, kaip tikimasi, padės skatinti inovacijas taikant jas vienas arba įvairiais būdais derinant su kitomis priemonėmis (trys kryptys pavaizduotos kaip piktogramos). Pavyzdžiui, tikimasi, kad pagal 3A TS programuojamos 16 ir 2-oji priemonės – pirminės produkcijos gamintojų integravimas į maisto grandinę – ir priemonės pagal 5A TS – vandens naudojimo efektyvumas, – kartu padės skatinti inovacijas visomis trimis kryptimis. O kalbant apie 5B TS, tikimasi, kad abi priemonės derinant jas su 4-ąja priemone padės skatinti inovacijas stiprinant gebėjimus per bendradarbiavimą.  </w:t>
                      </w:r>
                    </w:p>
                    <w:p w:rsidR="001F67E3" w:rsidRPr="00ED3BAD" w:rsidRDefault="001F67E3" w:rsidP="00E05D08">
                      <w:pPr>
                        <w:pStyle w:val="HStandard"/>
                        <w:rPr>
                          <w:sz w:val="18"/>
                          <w:szCs w:val="18"/>
                        </w:rPr>
                      </w:pPr>
                      <w:r>
                        <w:rPr>
                          <w:sz w:val="18"/>
                        </w:rPr>
                        <w:t>Tikimasi, kad inovacijų skatinimo potencialą turinčiomis priemonėmis bus pasiekta rezultatų, kurie savo ruožtu padės pasiekti rezultatų skatinant inovacijas minėtomis trimis kryptimis ir galiausiai tai turės poveikio politikos tikslų įgyvendinimui.</w:t>
                      </w:r>
                    </w:p>
                  </w:txbxContent>
                </v:textbox>
                <w10:anchorlock/>
              </v:shape>
            </w:pict>
          </mc:Fallback>
        </mc:AlternateContent>
      </w:r>
    </w:p>
    <w:p w:rsidR="00A45935" w:rsidRPr="00E05D08" w:rsidRDefault="00A45935" w:rsidP="00E05D08">
      <w:pPr>
        <w:spacing w:after="120" w:line="280" w:lineRule="atLeast"/>
        <w:mirrorIndents/>
        <w:rPr>
          <w:rFonts w:eastAsia="Times New Roman" w:cs="Arial"/>
          <w:szCs w:val="20"/>
          <w:lang w:eastAsia="de-DE"/>
        </w:rPr>
        <w:sectPr w:rsidR="00A45935" w:rsidRPr="00E05D08" w:rsidSect="001F6F07">
          <w:headerReference w:type="even" r:id="rId94"/>
          <w:headerReference w:type="first" r:id="rId95"/>
          <w:endnotePr>
            <w:numFmt w:val="decimal"/>
          </w:endnotePr>
          <w:pgSz w:w="11907" w:h="16840" w:code="9"/>
          <w:pgMar w:top="1134" w:right="1440" w:bottom="1440" w:left="1440" w:header="567" w:footer="1020" w:gutter="0"/>
          <w:cols w:space="708"/>
          <w:noEndnote/>
          <w:titlePg/>
          <w:docGrid w:linePitch="435"/>
        </w:sectPr>
      </w:pPr>
    </w:p>
    <w:p w:rsidR="00A45935" w:rsidRPr="00E05D08" w:rsidRDefault="00A45935" w:rsidP="00E05D08">
      <w:pPr>
        <w:spacing w:after="120" w:line="280" w:lineRule="atLeast"/>
        <w:mirrorIndents/>
        <w:rPr>
          <w:rFonts w:eastAsia="Times New Roman" w:cs="Arial"/>
          <w:szCs w:val="20"/>
        </w:rPr>
      </w:pPr>
      <w:r>
        <w:t>Atsižvelgiant į sudėtingą inovacijų pobūdį, taip pat į tai, kad inovacijos yra naujai besiformuojanti sritis, daroma prielaida, kad tarp numatomo inovacijų skatinimo potencialo ir KPP intervencinių veiksmų, kuriais buvo sukurti pokyčiai, nebus visiškos atitikties. Todėl atliekant vertinimą vertintojo užduotis yra palyginti numatomą KPP inovacijų skatinimo potencialą su faktiniu indėliu į pokyčius.</w:t>
      </w:r>
    </w:p>
    <w:p w:rsidR="00A45935" w:rsidRPr="00E05D08" w:rsidRDefault="00A45935" w:rsidP="008C0B17">
      <w:pPr>
        <w:numPr>
          <w:ilvl w:val="0"/>
          <w:numId w:val="62"/>
        </w:numPr>
        <w:spacing w:before="120" w:after="120" w:line="280" w:lineRule="atLeast"/>
        <w:ind w:left="567" w:hanging="567"/>
        <w:mirrorIndents/>
        <w:rPr>
          <w:rFonts w:eastAsia="Times New Roman" w:cs="Times New Roman"/>
          <w:b/>
          <w:szCs w:val="20"/>
        </w:rPr>
      </w:pPr>
      <w:r>
        <w:rPr>
          <w:b/>
          <w:szCs w:val="20"/>
        </w:rPr>
        <w:t xml:space="preserve">Vertinimo elementai </w:t>
      </w:r>
    </w:p>
    <w:p w:rsidR="00A45935" w:rsidRPr="00E05D08" w:rsidRDefault="00A45935" w:rsidP="00E05D08">
      <w:pPr>
        <w:spacing w:after="120" w:line="280" w:lineRule="atLeast"/>
        <w:mirrorIndents/>
        <w:rPr>
          <w:rFonts w:eastAsia="Times New Roman" w:cs="Times New Roman"/>
          <w:szCs w:val="20"/>
        </w:rPr>
      </w:pPr>
      <w:r>
        <w:t xml:space="preserve">Darbiniame dokumente </w:t>
      </w:r>
      <w:hyperlink r:id="rId96" w:history="1">
        <w:r>
          <w:rPr>
            <w:rStyle w:val="Hyperlink"/>
            <w:sz w:val="20"/>
            <w:szCs w:val="20"/>
          </w:rPr>
          <w:t>„2014–2020 m. kaimo plėtros programų bendrieji vertinimo klausimai“</w:t>
        </w:r>
      </w:hyperlink>
      <w:r>
        <w:t xml:space="preserve"> siūloma taikyti vieną vertinimo kriterijų (inovacijoms kaimo vietovėse ir sektoriuose buvo suteikta paskata) ir vieną bendrąjį rodiklį (T1 – su 14, 15 ir 35 straipsniais susijusios išlaidos). Jame taip pat rekomenduojama surinkti papildomos kiekybinės ir kokybinės informacijos apie inovacijas, kad būtų galima atsakyti į 30-ąjį BVK. Tačiau šiais elementais negalima visapusiškai aprėpti KPP indėlio  į inovacijų skatinimą. </w:t>
      </w:r>
    </w:p>
    <w:p w:rsidR="00A45935" w:rsidRPr="00E05D08" w:rsidRDefault="00A45935" w:rsidP="00E05D08">
      <w:pPr>
        <w:spacing w:after="120" w:line="280" w:lineRule="atLeast"/>
        <w:mirrorIndents/>
        <w:rPr>
          <w:rFonts w:eastAsia="Times New Roman" w:cs="Times New Roman"/>
          <w:szCs w:val="20"/>
        </w:rPr>
      </w:pPr>
      <w:r>
        <w:t>Todėl šiose gairėse, atsakant į 30-ąjį BVK, siūloma apsvarstyti galimybę taikyti papildomus vertinimo elementus (žr. </w:t>
      </w:r>
      <w:hyperlink w:anchor="CEQ_fostering" w:history="1">
        <w:r>
          <w:rPr>
            <w:rStyle w:val="Hyperlink"/>
            <w:sz w:val="20"/>
            <w:szCs w:val="20"/>
          </w:rPr>
          <w:t>9 lentelę</w:t>
        </w:r>
      </w:hyperlink>
      <w:r>
        <w:t xml:space="preserve">). Kalbant apie 30-ąjį BVK, vertinimo elementai yra susiję su trimis pagalbiniais klausimais, kurie atitinka tris inovacijų proceso kryptis. Siūlomi vertinimo kriterijai yra susiję su </w:t>
      </w:r>
      <w:r>
        <w:lastRenderedPageBreak/>
        <w:t xml:space="preserve">kiekvienos krypties ypatybėmis. Tai leidžia įvertinti, ar krypties buvo laikytasi įgyvendinant KPP priemones, nustatytas atliekant inovacijų skatinimo potencialo analizę. </w:t>
      </w:r>
    </w:p>
    <w:p w:rsidR="00A45935" w:rsidRPr="00E05D08" w:rsidRDefault="00A45935" w:rsidP="00E05D08">
      <w:pPr>
        <w:spacing w:after="120" w:line="280" w:lineRule="atLeast"/>
        <w:mirrorIndents/>
        <w:rPr>
          <w:rFonts w:eastAsia="Times New Roman" w:cs="Times New Roman"/>
          <w:szCs w:val="20"/>
        </w:rPr>
      </w:pPr>
      <w:r>
        <w:t xml:space="preserve">Be bendrųjų rodiklių, siūlomi duomenų elementai nėra privalomi ir valstybių narių suinteresuotieji subjektai gali parengti savo pačių vertinimo kriterijus ir papildomus rodiklius. </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134" w:right="1440" w:bottom="1440" w:left="1440" w:header="567" w:footer="1020" w:gutter="0"/>
          <w:cols w:space="708"/>
          <w:noEndnote/>
          <w:titlePg/>
          <w:docGrid w:linePitch="435"/>
        </w:sectPr>
      </w:pPr>
    </w:p>
    <w:p w:rsidR="00A45935" w:rsidRPr="009C734C" w:rsidRDefault="00A45935" w:rsidP="009C734C">
      <w:pPr>
        <w:pStyle w:val="HHeadingtables"/>
        <w:rPr>
          <w:color w:val="6F6F6F"/>
          <w:sz w:val="18"/>
          <w:szCs w:val="18"/>
        </w:rPr>
      </w:pPr>
      <w:bookmarkStart w:id="132" w:name="CEQ_fostering"/>
      <w:bookmarkStart w:id="133" w:name="_Toc508979913"/>
      <w:bookmarkEnd w:id="132"/>
      <w:r>
        <w:rPr>
          <w:color w:val="6F6F6F"/>
          <w:sz w:val="18"/>
          <w:szCs w:val="18"/>
        </w:rPr>
        <w:lastRenderedPageBreak/>
        <w:t>Su 30-uoju BVK susiję vertinimo elementai</w:t>
      </w:r>
      <w:bookmarkEnd w:id="133"/>
      <w:r>
        <w:rPr>
          <w:color w:val="6F6F6F"/>
          <w:sz w:val="18"/>
          <w:szCs w:val="18"/>
        </w:rPr>
        <w:t xml:space="preserve"> </w:t>
      </w:r>
    </w:p>
    <w:p w:rsidR="00A45935" w:rsidRPr="00E05D08" w:rsidRDefault="00A45935" w:rsidP="00E05D08">
      <w:pPr>
        <w:spacing w:after="120" w:line="280" w:lineRule="atLeast"/>
        <w:mirrorIndents/>
        <w:rPr>
          <w:rFonts w:eastAsia="Times New Roman" w:cs="Arial"/>
          <w:i/>
          <w:szCs w:val="20"/>
        </w:rPr>
      </w:pPr>
      <w:r>
        <w:rPr>
          <w:i/>
          <w:szCs w:val="20"/>
        </w:rPr>
        <w:t xml:space="preserve">Vertinimo elementai (pagalbiniai klausimai, vertinimo kriterijai ir rodikliai), pateikti papildomai prie rodiklių, paimtų iš darbinio dokumento </w:t>
      </w:r>
      <w:hyperlink r:id="rId97" w:history="1">
        <w:r>
          <w:rPr>
            <w:rStyle w:val="Hyperlink"/>
            <w:sz w:val="20"/>
            <w:szCs w:val="20"/>
          </w:rPr>
          <w:t>„2014–2020 m. kaimo plėtros programų bendrieji vertinimo klausimai“</w:t>
        </w:r>
      </w:hyperlink>
      <w:r>
        <w:t>,</w:t>
      </w:r>
      <w:r>
        <w:rPr>
          <w:i/>
          <w:szCs w:val="20"/>
        </w:rPr>
        <w:t xml:space="preserve"> parašyti kursyvu.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88"/>
        <w:gridCol w:w="2127"/>
        <w:gridCol w:w="3302"/>
        <w:gridCol w:w="2715"/>
        <w:gridCol w:w="2715"/>
      </w:tblGrid>
      <w:tr w:rsidR="00A45935" w:rsidRPr="00E05D08" w:rsidTr="00F73706">
        <w:trPr>
          <w:tblHeader/>
        </w:trPr>
        <w:tc>
          <w:tcPr>
            <w:tcW w:w="2988"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Pagalbiniai klausimai</w:t>
            </w:r>
          </w:p>
        </w:tc>
        <w:tc>
          <w:tcPr>
            <w:tcW w:w="2127"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Vertinimo kriterijai</w:t>
            </w:r>
          </w:p>
        </w:tc>
        <w:tc>
          <w:tcPr>
            <w:tcW w:w="3302"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Rezultato rodikliai</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Duomenų ir informacijos poreikis</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Duomenų šaltiniai</w:t>
            </w:r>
          </w:p>
        </w:tc>
      </w:tr>
      <w:tr w:rsidR="00A45935" w:rsidRPr="00E05D08" w:rsidTr="00F73706">
        <w:trPr>
          <w:trHeight w:val="1408"/>
        </w:trPr>
        <w:tc>
          <w:tcPr>
            <w:tcW w:w="2988" w:type="dxa"/>
          </w:tcPr>
          <w:p w:rsidR="00A45935" w:rsidRPr="00385368" w:rsidRDefault="00A45935" w:rsidP="00F73706">
            <w:pPr>
              <w:spacing w:line="220" w:lineRule="atLeast"/>
              <w:jc w:val="left"/>
              <w:rPr>
                <w:rFonts w:cs="Arial"/>
                <w:i/>
                <w:sz w:val="18"/>
                <w:szCs w:val="16"/>
              </w:rPr>
            </w:pPr>
            <w:r>
              <w:rPr>
                <w:i/>
                <w:sz w:val="18"/>
                <w:szCs w:val="16"/>
              </w:rPr>
              <w:t>Kiek KPP prisidėta prie inovacijų skatinimo plėtojant inovacinį potencialą (1 kryptis)?</w:t>
            </w:r>
          </w:p>
        </w:tc>
        <w:tc>
          <w:tcPr>
            <w:tcW w:w="2127" w:type="dxa"/>
          </w:tcPr>
          <w:p w:rsidR="00A45935" w:rsidRPr="00385368" w:rsidRDefault="00A45935" w:rsidP="008A260B">
            <w:pPr>
              <w:spacing w:line="220" w:lineRule="atLeast"/>
              <w:jc w:val="left"/>
              <w:rPr>
                <w:rFonts w:ascii="Helvetica" w:hAnsi="Helvetica"/>
                <w:sz w:val="18"/>
              </w:rPr>
            </w:pPr>
            <w:r>
              <w:rPr>
                <w:i/>
                <w:sz w:val="18"/>
                <w:szCs w:val="16"/>
              </w:rPr>
              <w:t>Papildomi vertinimo kriterijai: novatoriškų idėjų, procesų, modelių ir (arba) technologijų, kurie atsirado įgyvendinant KPP, taikymas;</w:t>
            </w:r>
          </w:p>
        </w:tc>
        <w:tc>
          <w:tcPr>
            <w:tcW w:w="3302" w:type="dxa"/>
          </w:tcPr>
          <w:p w:rsidR="00A45935" w:rsidRPr="00385368" w:rsidRDefault="00A45935" w:rsidP="00F73706">
            <w:pPr>
              <w:spacing w:line="220" w:lineRule="atLeast"/>
              <w:jc w:val="left"/>
              <w:rPr>
                <w:rFonts w:cs="Arial"/>
                <w:sz w:val="18"/>
                <w:szCs w:val="16"/>
              </w:rPr>
            </w:pPr>
            <w:r>
              <w:rPr>
                <w:sz w:val="18"/>
                <w:szCs w:val="16"/>
              </w:rPr>
              <w:t xml:space="preserve">T1: išlaidų procentinė dalis pagal Reglamento (ES) Nr. 1305/2013 14, 15 ir 35 straipsnius, palyginti su KPP tekusiomis visomis išlaidomis </w:t>
            </w:r>
          </w:p>
          <w:p w:rsidR="001275FF" w:rsidRPr="00A963F4" w:rsidRDefault="001275FF" w:rsidP="00F73706">
            <w:pPr>
              <w:spacing w:line="220" w:lineRule="atLeast"/>
              <w:jc w:val="left"/>
              <w:rPr>
                <w:rFonts w:cs="Arial"/>
                <w:sz w:val="18"/>
                <w:szCs w:val="16"/>
              </w:rPr>
            </w:pPr>
          </w:p>
          <w:p w:rsidR="00A45935" w:rsidRPr="00A963F4"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paremtų novatoriškų veiksmų, kuriuos įgyvendino ir apie kuriuos informaciją paskleidė EIP veiklos grupės, skaičius.</w:t>
            </w:r>
          </w:p>
          <w:p w:rsidR="001275FF" w:rsidRPr="00A963F4" w:rsidRDefault="001275FF" w:rsidP="00F73706">
            <w:pPr>
              <w:spacing w:line="220" w:lineRule="atLeast"/>
              <w:jc w:val="left"/>
              <w:rPr>
                <w:rFonts w:cs="Arial"/>
                <w:sz w:val="18"/>
                <w:szCs w:val="16"/>
              </w:rPr>
            </w:pPr>
          </w:p>
          <w:p w:rsidR="00A45935" w:rsidRPr="00A963F4"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i/>
                <w:sz w:val="18"/>
                <w:szCs w:val="16"/>
              </w:rPr>
            </w:pPr>
            <w:r>
              <w:rPr>
                <w:i/>
                <w:color w:val="57825E"/>
                <w:sz w:val="18"/>
                <w:szCs w:val="16"/>
                <w:u w:val="single"/>
              </w:rPr>
              <w:t>Papildomas rezultato rodiklis</w:t>
            </w:r>
            <w:r>
              <w:rPr>
                <w:i/>
                <w:color w:val="57825E"/>
                <w:sz w:val="18"/>
                <w:szCs w:val="16"/>
              </w:rPr>
              <w:t xml:space="preserve">: novatoriškų idėjų, procesų, modelių ir (arba) technologijų, kuriuos pateikė suinteresuotieji subjektai, taikymo mastas </w:t>
            </w:r>
          </w:p>
        </w:tc>
        <w:tc>
          <w:tcPr>
            <w:tcW w:w="2715" w:type="dxa"/>
          </w:tcPr>
          <w:p w:rsidR="00A45935" w:rsidRPr="00385368" w:rsidRDefault="00A45935" w:rsidP="00F73706">
            <w:pPr>
              <w:spacing w:line="220" w:lineRule="atLeast"/>
              <w:jc w:val="left"/>
              <w:rPr>
                <w:rFonts w:cs="Arial"/>
                <w:sz w:val="18"/>
                <w:szCs w:val="16"/>
              </w:rPr>
            </w:pPr>
            <w:r>
              <w:rPr>
                <w:sz w:val="18"/>
                <w:szCs w:val="16"/>
              </w:rPr>
              <w:t>Duomenys apie pagal 1-ąją, 2-ąją ir 16-ąją priemones įgyvendintiems veiksmams tekusias išlaidas</w:t>
            </w:r>
          </w:p>
          <w:p w:rsidR="00A45935" w:rsidRPr="00A963F4" w:rsidRDefault="00A45935" w:rsidP="00F73706">
            <w:pPr>
              <w:spacing w:line="220" w:lineRule="atLeast"/>
              <w:jc w:val="left"/>
              <w:rPr>
                <w:rFonts w:cs="Arial"/>
                <w:sz w:val="18"/>
                <w:szCs w:val="16"/>
              </w:rPr>
            </w:pPr>
          </w:p>
          <w:p w:rsidR="00A45935" w:rsidRPr="00A963F4" w:rsidRDefault="00A45935" w:rsidP="00F73706">
            <w:pPr>
              <w:spacing w:line="220" w:lineRule="atLeast"/>
              <w:jc w:val="left"/>
              <w:rPr>
                <w:rFonts w:cs="Arial"/>
                <w:sz w:val="18"/>
                <w:szCs w:val="16"/>
              </w:rPr>
            </w:pPr>
          </w:p>
          <w:p w:rsidR="00A45935" w:rsidRPr="00A963F4"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 xml:space="preserve">Duomenys apie EIP veiklos grupės įgyvendintus novatoriškus veiksmus </w:t>
            </w:r>
          </w:p>
          <w:p w:rsidR="00A45935" w:rsidRPr="00A963F4" w:rsidRDefault="00A45935" w:rsidP="00F73706">
            <w:pPr>
              <w:spacing w:line="220" w:lineRule="atLeast"/>
              <w:jc w:val="left"/>
              <w:rPr>
                <w:rFonts w:cs="Arial"/>
                <w:sz w:val="18"/>
                <w:szCs w:val="16"/>
              </w:rPr>
            </w:pPr>
          </w:p>
          <w:p w:rsidR="00A45935" w:rsidRPr="00A963F4" w:rsidRDefault="00A45935" w:rsidP="00F73706">
            <w:pPr>
              <w:spacing w:line="220" w:lineRule="atLeast"/>
              <w:jc w:val="left"/>
              <w:rPr>
                <w:rFonts w:cs="Arial"/>
                <w:sz w:val="18"/>
                <w:szCs w:val="16"/>
              </w:rPr>
            </w:pPr>
          </w:p>
          <w:p w:rsidR="00A45935" w:rsidRPr="00A963F4"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 xml:space="preserve">Duomenys ir informacija apie sukurtas novatoriškas idėjas, modelius, technologijas </w:t>
            </w:r>
          </w:p>
          <w:p w:rsidR="00A45935" w:rsidRPr="00EC17B2" w:rsidRDefault="00A45935" w:rsidP="00F73706">
            <w:pPr>
              <w:spacing w:line="220" w:lineRule="atLeast"/>
              <w:jc w:val="left"/>
              <w:rPr>
                <w:rFonts w:cs="Arial"/>
                <w:sz w:val="18"/>
                <w:szCs w:val="16"/>
                <w:lang w:val="fr-BE"/>
              </w:rPr>
            </w:pPr>
          </w:p>
          <w:p w:rsidR="00A45935" w:rsidRPr="00EC17B2" w:rsidRDefault="00A45935" w:rsidP="00F73706">
            <w:pPr>
              <w:spacing w:line="220" w:lineRule="atLeast"/>
              <w:jc w:val="left"/>
              <w:rPr>
                <w:rFonts w:cs="Arial"/>
                <w:sz w:val="18"/>
                <w:szCs w:val="16"/>
                <w:lang w:val="fr-BE"/>
              </w:rPr>
            </w:pPr>
          </w:p>
        </w:tc>
        <w:tc>
          <w:tcPr>
            <w:tcW w:w="2715" w:type="dxa"/>
          </w:tcPr>
          <w:p w:rsidR="00A45935" w:rsidRPr="00385368" w:rsidRDefault="00A45935" w:rsidP="00F73706">
            <w:pPr>
              <w:spacing w:line="220" w:lineRule="atLeast"/>
              <w:jc w:val="left"/>
              <w:rPr>
                <w:rFonts w:cs="Arial"/>
                <w:sz w:val="18"/>
                <w:szCs w:val="16"/>
              </w:rPr>
            </w:pPr>
            <w:r>
              <w:rPr>
                <w:sz w:val="18"/>
                <w:szCs w:val="16"/>
              </w:rPr>
              <w:t xml:space="preserve">KPP stebėsenos sistema </w:t>
            </w:r>
          </w:p>
          <w:p w:rsidR="00A45935" w:rsidRPr="00385368" w:rsidRDefault="00A45935" w:rsidP="00F73706">
            <w:pPr>
              <w:spacing w:line="220" w:lineRule="atLeast"/>
              <w:jc w:val="left"/>
              <w:rPr>
                <w:rFonts w:cs="Arial"/>
                <w:sz w:val="18"/>
                <w:szCs w:val="16"/>
                <w:lang w:val="en-GB"/>
              </w:rPr>
            </w:pPr>
          </w:p>
          <w:p w:rsidR="00A45935" w:rsidRPr="00385368" w:rsidRDefault="00A45935" w:rsidP="00F73706">
            <w:pPr>
              <w:spacing w:line="220" w:lineRule="atLeast"/>
              <w:jc w:val="left"/>
              <w:rPr>
                <w:rFonts w:cs="Arial"/>
                <w:sz w:val="18"/>
                <w:szCs w:val="16"/>
                <w:lang w:val="en-GB"/>
              </w:rPr>
            </w:pPr>
          </w:p>
          <w:p w:rsidR="00A45935" w:rsidRPr="00385368" w:rsidRDefault="00A45935" w:rsidP="00F73706">
            <w:pPr>
              <w:spacing w:line="220" w:lineRule="atLeast"/>
              <w:jc w:val="left"/>
              <w:rPr>
                <w:rFonts w:cs="Arial"/>
                <w:sz w:val="18"/>
                <w:szCs w:val="16"/>
                <w:lang w:val="en-GB"/>
              </w:rPr>
            </w:pPr>
          </w:p>
          <w:p w:rsidR="00A45935" w:rsidRPr="00385368" w:rsidRDefault="00A45935" w:rsidP="00F73706">
            <w:pPr>
              <w:spacing w:line="220" w:lineRule="atLeast"/>
              <w:jc w:val="left"/>
              <w:rPr>
                <w:rFonts w:cs="Arial"/>
                <w:sz w:val="18"/>
                <w:szCs w:val="16"/>
                <w:lang w:val="en-GB"/>
              </w:rPr>
            </w:pPr>
          </w:p>
          <w:p w:rsidR="00A45935" w:rsidRPr="00385368" w:rsidRDefault="00A45935" w:rsidP="00F73706">
            <w:pPr>
              <w:spacing w:line="220" w:lineRule="atLeast"/>
              <w:jc w:val="left"/>
              <w:rPr>
                <w:rFonts w:cs="Arial"/>
                <w:sz w:val="18"/>
                <w:szCs w:val="16"/>
                <w:lang w:val="en-GB"/>
              </w:rPr>
            </w:pPr>
          </w:p>
          <w:p w:rsidR="00A45935" w:rsidRPr="00385368" w:rsidRDefault="00A45935" w:rsidP="00F73706">
            <w:pPr>
              <w:spacing w:line="220" w:lineRule="atLeast"/>
              <w:jc w:val="left"/>
              <w:rPr>
                <w:rFonts w:cs="Arial"/>
                <w:sz w:val="18"/>
                <w:szCs w:val="16"/>
              </w:rPr>
            </w:pPr>
            <w:r>
              <w:rPr>
                <w:sz w:val="18"/>
                <w:szCs w:val="16"/>
              </w:rPr>
              <w:t>KPP stebėsenos sistema ir pokalbiai</w:t>
            </w:r>
          </w:p>
          <w:p w:rsidR="00A45935" w:rsidRPr="00385368" w:rsidRDefault="00A45935" w:rsidP="00F73706">
            <w:pPr>
              <w:spacing w:line="220" w:lineRule="atLeast"/>
              <w:jc w:val="left"/>
              <w:rPr>
                <w:rFonts w:cs="Arial"/>
                <w:sz w:val="18"/>
                <w:szCs w:val="16"/>
                <w:lang w:val="en-GB"/>
              </w:rPr>
            </w:pPr>
          </w:p>
          <w:p w:rsidR="00A45935" w:rsidRPr="00385368" w:rsidRDefault="00A45935" w:rsidP="00F73706">
            <w:pPr>
              <w:spacing w:line="220" w:lineRule="atLeast"/>
              <w:jc w:val="left"/>
              <w:rPr>
                <w:rFonts w:cs="Arial"/>
                <w:sz w:val="18"/>
                <w:szCs w:val="16"/>
                <w:lang w:val="en-GB"/>
              </w:rPr>
            </w:pPr>
          </w:p>
          <w:p w:rsidR="00A45935" w:rsidRPr="00385368" w:rsidRDefault="00A45935" w:rsidP="00F73706">
            <w:pPr>
              <w:spacing w:line="220" w:lineRule="atLeast"/>
              <w:jc w:val="left"/>
              <w:rPr>
                <w:rFonts w:cs="Arial"/>
                <w:sz w:val="18"/>
                <w:szCs w:val="16"/>
                <w:lang w:val="en-GB"/>
              </w:rPr>
            </w:pPr>
          </w:p>
          <w:p w:rsidR="00A45935" w:rsidRPr="00385368" w:rsidRDefault="00A45935" w:rsidP="00F73706">
            <w:pPr>
              <w:spacing w:line="220" w:lineRule="atLeast"/>
              <w:jc w:val="left"/>
              <w:rPr>
                <w:rFonts w:cs="Arial"/>
                <w:sz w:val="18"/>
                <w:szCs w:val="16"/>
              </w:rPr>
            </w:pPr>
            <w:r>
              <w:rPr>
                <w:sz w:val="18"/>
                <w:szCs w:val="16"/>
              </w:rPr>
              <w:t>KPP stebėsenos sistema ir apklausa, pokalbiai</w:t>
            </w:r>
          </w:p>
        </w:tc>
      </w:tr>
      <w:tr w:rsidR="00A45935" w:rsidRPr="00E05D08" w:rsidTr="00F73706">
        <w:tc>
          <w:tcPr>
            <w:tcW w:w="2988" w:type="dxa"/>
          </w:tcPr>
          <w:p w:rsidR="00A45935" w:rsidRPr="00385368" w:rsidRDefault="00A45935" w:rsidP="00F73706">
            <w:pPr>
              <w:spacing w:line="220" w:lineRule="atLeast"/>
              <w:jc w:val="left"/>
              <w:rPr>
                <w:rFonts w:cs="Arial"/>
                <w:i/>
                <w:sz w:val="18"/>
                <w:szCs w:val="16"/>
              </w:rPr>
            </w:pPr>
            <w:r>
              <w:rPr>
                <w:i/>
                <w:sz w:val="18"/>
                <w:szCs w:val="16"/>
              </w:rPr>
              <w:t>Kiek KPP prisidėta prie inovacijų skatinimo stiprinant gebėjimą diegti inovacijas (2 kryptis)?</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 xml:space="preserve">Papildomi vertinimo kriterijai: KPP sustiprino skirtingų subjektų tarpusavio funkcinius ryšius </w:t>
            </w:r>
          </w:p>
          <w:p w:rsidR="00A45935" w:rsidRPr="00A963F4" w:rsidRDefault="00A45935" w:rsidP="00F73706">
            <w:pPr>
              <w:spacing w:line="220" w:lineRule="atLeast"/>
              <w:jc w:val="left"/>
              <w:rPr>
                <w:rFonts w:eastAsia="Calibri" w:cs="Arial"/>
                <w:i/>
                <w:sz w:val="18"/>
                <w:szCs w:val="16"/>
              </w:rPr>
            </w:pPr>
          </w:p>
          <w:p w:rsidR="00A45935" w:rsidRPr="00A963F4" w:rsidRDefault="00A45935" w:rsidP="00F73706">
            <w:pPr>
              <w:spacing w:line="220" w:lineRule="atLeast"/>
              <w:jc w:val="left"/>
              <w:rPr>
                <w:rFonts w:eastAsia="Calibri" w:cs="Arial"/>
                <w:i/>
                <w:sz w:val="18"/>
                <w:szCs w:val="16"/>
              </w:rPr>
            </w:pPr>
          </w:p>
          <w:p w:rsidR="00A45935" w:rsidRPr="00A963F4" w:rsidRDefault="00A45935" w:rsidP="00F73706">
            <w:pPr>
              <w:spacing w:line="220" w:lineRule="atLeast"/>
              <w:jc w:val="left"/>
              <w:rPr>
                <w:rFonts w:eastAsia="Calibri" w:cs="Arial"/>
                <w:i/>
                <w:sz w:val="18"/>
                <w:szCs w:val="16"/>
              </w:rPr>
            </w:pPr>
          </w:p>
          <w:p w:rsidR="00A45935" w:rsidRPr="00A963F4" w:rsidRDefault="00A45935" w:rsidP="00F73706">
            <w:pPr>
              <w:spacing w:line="220" w:lineRule="atLeast"/>
              <w:jc w:val="left"/>
              <w:rPr>
                <w:rFonts w:eastAsia="Calibri" w:cs="Arial"/>
                <w:i/>
                <w:sz w:val="18"/>
                <w:szCs w:val="16"/>
              </w:rPr>
            </w:pPr>
          </w:p>
          <w:p w:rsidR="00A45935" w:rsidRPr="00A963F4" w:rsidRDefault="00A45935" w:rsidP="00F73706">
            <w:pPr>
              <w:spacing w:line="220" w:lineRule="atLeast"/>
              <w:jc w:val="left"/>
              <w:rPr>
                <w:rFonts w:eastAsia="Calibri" w:cs="Arial"/>
                <w:i/>
                <w:sz w:val="18"/>
                <w:szCs w:val="16"/>
              </w:rPr>
            </w:pPr>
          </w:p>
          <w:p w:rsidR="00A45935" w:rsidRPr="00A963F4"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Papildomi vertinimo kriterijai: sukurtos ir sustiprintos mokymosi platformos ir kitos </w:t>
            </w:r>
            <w:r>
              <w:rPr>
                <w:i/>
                <w:sz w:val="18"/>
                <w:szCs w:val="16"/>
              </w:rPr>
              <w:lastRenderedPageBreak/>
              <w:t>institucinės aplinkos, kurioje yra galimybė dalytis informacija, ją apsvarstyti ir mokytis, rūšys</w:t>
            </w:r>
          </w:p>
          <w:p w:rsidR="00A45935" w:rsidRPr="00A963F4"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sz w:val="18"/>
                <w:szCs w:val="16"/>
              </w:rPr>
            </w:pPr>
            <w:r>
              <w:rPr>
                <w:i/>
                <w:sz w:val="18"/>
                <w:szCs w:val="16"/>
              </w:rPr>
              <w:t xml:space="preserve">Papildomi vertinimo kriterijai: pagerėjo informacijos srautas tarp skirtingų inovacijų sistemos, kurioje įvyko pokyčiai, subjektų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lastRenderedPageBreak/>
              <w:t>Papildomas rezultato rodiklis:</w:t>
            </w:r>
            <w:r>
              <w:rPr>
                <w:i/>
                <w:color w:val="57825E"/>
                <w:sz w:val="18"/>
                <w:szCs w:val="16"/>
              </w:rPr>
              <w:t xml:space="preserve"> oficialių partnerysčių, sudarytų tarpininkaujant pagal KPP, skaičius, susijęs su kaimo plėtros prioritetų sistemos pokyčiais, prie kurių prisidėta kaimo plėtros programomis </w:t>
            </w:r>
          </w:p>
          <w:p w:rsidR="00A45935" w:rsidRPr="00A963F4"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cs="Arial"/>
                <w:sz w:val="18"/>
                <w:szCs w:val="16"/>
              </w:rPr>
            </w:pPr>
            <w:r>
              <w:rPr>
                <w:sz w:val="18"/>
                <w:szCs w:val="16"/>
              </w:rPr>
              <w:t xml:space="preserve">Bendradarbiavimo projektuose dalyvaujančių partnerių skaičiaus ir rūšių padidėjimas procentais (darbinis dokumentas „2014–2020 m. KPP bendrieji vertinimo klausimai“) </w:t>
            </w:r>
          </w:p>
          <w:p w:rsidR="00A45935" w:rsidRPr="00A963F4" w:rsidRDefault="00A45935" w:rsidP="00F73706">
            <w:pPr>
              <w:spacing w:line="220" w:lineRule="atLeast"/>
              <w:jc w:val="left"/>
              <w:rPr>
                <w:rFonts w:cs="Arial"/>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Papildomas rezultato rodiklis:</w:t>
            </w:r>
            <w:r>
              <w:rPr>
                <w:i/>
                <w:color w:val="57825E"/>
                <w:sz w:val="18"/>
                <w:szCs w:val="16"/>
              </w:rPr>
              <w:t xml:space="preserve"> KPP sukurtų ar sustiprintų platformų ir </w:t>
            </w:r>
            <w:r>
              <w:rPr>
                <w:i/>
                <w:color w:val="57825E"/>
                <w:sz w:val="18"/>
                <w:szCs w:val="16"/>
              </w:rPr>
              <w:lastRenderedPageBreak/>
              <w:t xml:space="preserve">erdvių, skirtų inovacijoms remti, pvz., praktikos bendruomenių, inovacijų platformų, diskusijoms ir mokymuisi skirtų renginių, skaičius ir kokybė </w:t>
            </w:r>
          </w:p>
          <w:p w:rsidR="00A45935" w:rsidRPr="00A963F4" w:rsidRDefault="00A45935" w:rsidP="00F73706">
            <w:pPr>
              <w:spacing w:line="220" w:lineRule="atLeast"/>
              <w:jc w:val="left"/>
              <w:rPr>
                <w:rFonts w:eastAsia="Calibri" w:cs="Arial"/>
                <w:color w:val="57825E"/>
                <w:sz w:val="18"/>
                <w:szCs w:val="16"/>
              </w:rPr>
            </w:pPr>
          </w:p>
          <w:p w:rsidR="00560E46" w:rsidRPr="00A963F4" w:rsidRDefault="00560E46" w:rsidP="00F73706">
            <w:pPr>
              <w:spacing w:line="220" w:lineRule="atLeast"/>
              <w:jc w:val="left"/>
              <w:rPr>
                <w:rFonts w:eastAsia="Calibri" w:cs="Arial"/>
                <w:color w:val="57825E"/>
                <w:sz w:val="18"/>
                <w:szCs w:val="16"/>
              </w:rPr>
            </w:pPr>
          </w:p>
          <w:p w:rsidR="00560E46" w:rsidRPr="00A963F4" w:rsidRDefault="00560E46" w:rsidP="00F73706">
            <w:pPr>
              <w:spacing w:line="220" w:lineRule="atLeast"/>
              <w:jc w:val="left"/>
              <w:rPr>
                <w:rFonts w:eastAsia="Calibri" w:cs="Arial"/>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 xml:space="preserve">Papildomas rezultato rodiklis: </w:t>
            </w:r>
            <w:r>
              <w:rPr>
                <w:i/>
                <w:color w:val="57825E"/>
                <w:sz w:val="18"/>
                <w:szCs w:val="16"/>
              </w:rPr>
              <w:t xml:space="preserve">tinklinio grafiko kelio vidutinės trukmės ir tinklų įvairovės sumažėjimas (socialinių tinklų analizės priemonės)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Informacija apie oficialius ryšius</w:t>
            </w:r>
          </w:p>
          <w:p w:rsidR="00A45935" w:rsidRPr="00A963F4" w:rsidRDefault="00A45935" w:rsidP="00F73706">
            <w:pPr>
              <w:spacing w:line="220" w:lineRule="atLeast"/>
              <w:jc w:val="left"/>
              <w:rPr>
                <w:rFonts w:eastAsia="Calibri" w:cs="Arial"/>
                <w:sz w:val="18"/>
                <w:szCs w:val="16"/>
              </w:rPr>
            </w:pPr>
          </w:p>
          <w:p w:rsidR="00A45935" w:rsidRPr="00A963F4" w:rsidRDefault="00A45935" w:rsidP="00F73706">
            <w:pPr>
              <w:spacing w:line="220" w:lineRule="atLeast"/>
              <w:jc w:val="left"/>
              <w:rPr>
                <w:rFonts w:eastAsia="Calibri" w:cs="Arial"/>
                <w:sz w:val="18"/>
                <w:szCs w:val="16"/>
              </w:rPr>
            </w:pPr>
          </w:p>
          <w:p w:rsidR="00A45935" w:rsidRPr="00A963F4" w:rsidRDefault="00A45935" w:rsidP="00F73706">
            <w:pPr>
              <w:spacing w:line="220" w:lineRule="atLeast"/>
              <w:jc w:val="left"/>
              <w:rPr>
                <w:rFonts w:eastAsia="Calibri" w:cs="Arial"/>
                <w:sz w:val="18"/>
                <w:szCs w:val="16"/>
              </w:rPr>
            </w:pPr>
          </w:p>
          <w:p w:rsidR="00A45935" w:rsidRPr="00A963F4"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Duomenys apie į bendradarbiavimo projektus įtrauktų partnerių skaičių ir jų rūšis </w:t>
            </w:r>
          </w:p>
          <w:p w:rsidR="00A45935" w:rsidRPr="00A963F4" w:rsidRDefault="00A45935" w:rsidP="00F73706">
            <w:pPr>
              <w:spacing w:line="220" w:lineRule="atLeast"/>
              <w:jc w:val="left"/>
              <w:rPr>
                <w:rFonts w:eastAsia="Calibri" w:cs="Arial"/>
                <w:sz w:val="18"/>
                <w:szCs w:val="16"/>
              </w:rPr>
            </w:pPr>
          </w:p>
          <w:p w:rsidR="00A45935" w:rsidRPr="00A963F4"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Informacija apie KPP sukurtas platformas</w:t>
            </w:r>
          </w:p>
          <w:p w:rsidR="00A45935" w:rsidRPr="00A963F4" w:rsidRDefault="00A45935" w:rsidP="00F73706">
            <w:pPr>
              <w:spacing w:line="220" w:lineRule="atLeast"/>
              <w:jc w:val="left"/>
              <w:rPr>
                <w:rFonts w:eastAsia="Calibri" w:cs="Arial"/>
                <w:sz w:val="18"/>
                <w:szCs w:val="16"/>
              </w:rPr>
            </w:pPr>
          </w:p>
          <w:p w:rsidR="00A45935" w:rsidRPr="00A963F4" w:rsidRDefault="00A45935" w:rsidP="00F73706">
            <w:pPr>
              <w:spacing w:line="220" w:lineRule="atLeast"/>
              <w:jc w:val="left"/>
              <w:rPr>
                <w:rFonts w:eastAsia="Calibri" w:cs="Arial"/>
                <w:sz w:val="18"/>
                <w:szCs w:val="16"/>
              </w:rPr>
            </w:pPr>
          </w:p>
          <w:p w:rsidR="00A45935" w:rsidRPr="00A963F4" w:rsidRDefault="00A45935" w:rsidP="00F73706">
            <w:pPr>
              <w:spacing w:line="220" w:lineRule="atLeast"/>
              <w:jc w:val="left"/>
              <w:rPr>
                <w:rFonts w:eastAsia="Calibri" w:cs="Arial"/>
                <w:sz w:val="18"/>
                <w:szCs w:val="16"/>
              </w:rPr>
            </w:pPr>
          </w:p>
          <w:p w:rsidR="00A45935" w:rsidRPr="00A963F4" w:rsidRDefault="00A45935" w:rsidP="00F73706">
            <w:pPr>
              <w:spacing w:line="220" w:lineRule="atLeast"/>
              <w:jc w:val="left"/>
              <w:rPr>
                <w:rFonts w:eastAsia="Calibri" w:cs="Arial"/>
                <w:sz w:val="18"/>
                <w:szCs w:val="16"/>
              </w:rPr>
            </w:pPr>
          </w:p>
          <w:p w:rsidR="00A45935" w:rsidRPr="00A963F4" w:rsidRDefault="00A45935" w:rsidP="00F73706">
            <w:pPr>
              <w:spacing w:line="220" w:lineRule="atLeast"/>
              <w:jc w:val="left"/>
              <w:rPr>
                <w:rFonts w:eastAsia="Calibri" w:cs="Arial"/>
                <w:sz w:val="18"/>
                <w:szCs w:val="16"/>
              </w:rPr>
            </w:pPr>
          </w:p>
          <w:p w:rsidR="00A45935" w:rsidRPr="00A963F4" w:rsidRDefault="00A45935" w:rsidP="00F73706">
            <w:pPr>
              <w:spacing w:line="220" w:lineRule="atLeast"/>
              <w:jc w:val="left"/>
              <w:rPr>
                <w:rFonts w:eastAsia="Calibri" w:cs="Arial"/>
                <w:sz w:val="18"/>
                <w:szCs w:val="16"/>
              </w:rPr>
            </w:pPr>
          </w:p>
          <w:p w:rsidR="00560E46" w:rsidRPr="00A963F4" w:rsidRDefault="00560E46" w:rsidP="00F73706">
            <w:pPr>
              <w:spacing w:line="220" w:lineRule="atLeast"/>
              <w:jc w:val="left"/>
              <w:rPr>
                <w:rFonts w:eastAsia="Calibri" w:cs="Arial"/>
                <w:sz w:val="18"/>
                <w:szCs w:val="16"/>
              </w:rPr>
            </w:pPr>
          </w:p>
          <w:p w:rsidR="00560E46" w:rsidRPr="00A963F4" w:rsidRDefault="00560E46" w:rsidP="00F73706">
            <w:pPr>
              <w:spacing w:line="220" w:lineRule="atLeast"/>
              <w:jc w:val="left"/>
              <w:rPr>
                <w:rFonts w:eastAsia="Calibri" w:cs="Arial"/>
                <w:sz w:val="18"/>
                <w:szCs w:val="16"/>
              </w:rPr>
            </w:pPr>
          </w:p>
          <w:p w:rsidR="00A45935" w:rsidRPr="00E05D08" w:rsidRDefault="00A45935" w:rsidP="00560E46">
            <w:pPr>
              <w:spacing w:line="220" w:lineRule="atLeast"/>
              <w:jc w:val="left"/>
              <w:rPr>
                <w:rFonts w:eastAsia="Calibri" w:cs="Arial"/>
                <w:sz w:val="18"/>
                <w:szCs w:val="16"/>
              </w:rPr>
            </w:pPr>
            <w:r>
              <w:rPr>
                <w:sz w:val="18"/>
                <w:szCs w:val="16"/>
              </w:rPr>
              <w:t xml:space="preserve">Informacija apie tinklus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 xml:space="preserve">Pokalbiai ir tikslinės grupės </w:t>
            </w:r>
          </w:p>
          <w:p w:rsidR="00A45935" w:rsidRPr="00A963F4" w:rsidRDefault="00A45935" w:rsidP="00F73706">
            <w:pPr>
              <w:spacing w:line="220" w:lineRule="atLeast"/>
              <w:jc w:val="left"/>
              <w:rPr>
                <w:rFonts w:eastAsia="Calibri" w:cs="Arial"/>
                <w:sz w:val="18"/>
                <w:szCs w:val="16"/>
              </w:rPr>
            </w:pPr>
          </w:p>
          <w:p w:rsidR="00A45935" w:rsidRPr="00A963F4" w:rsidRDefault="00A45935" w:rsidP="00F73706">
            <w:pPr>
              <w:spacing w:line="220" w:lineRule="atLeast"/>
              <w:jc w:val="left"/>
              <w:rPr>
                <w:rFonts w:eastAsia="Calibri" w:cs="Arial"/>
                <w:sz w:val="18"/>
                <w:szCs w:val="16"/>
              </w:rPr>
            </w:pPr>
          </w:p>
          <w:p w:rsidR="00A45935" w:rsidRPr="00A963F4" w:rsidRDefault="00A45935" w:rsidP="00F73706">
            <w:pPr>
              <w:spacing w:line="220" w:lineRule="atLeast"/>
              <w:jc w:val="left"/>
              <w:rPr>
                <w:rFonts w:eastAsia="Calibri" w:cs="Arial"/>
                <w:sz w:val="18"/>
                <w:szCs w:val="16"/>
              </w:rPr>
            </w:pPr>
          </w:p>
          <w:p w:rsidR="00A45935" w:rsidRPr="00A963F4" w:rsidRDefault="00A45935" w:rsidP="00F73706">
            <w:pPr>
              <w:spacing w:line="220" w:lineRule="atLeast"/>
              <w:jc w:val="left"/>
              <w:rPr>
                <w:rFonts w:eastAsia="Calibri" w:cs="Arial"/>
                <w:sz w:val="18"/>
                <w:szCs w:val="16"/>
              </w:rPr>
            </w:pPr>
          </w:p>
          <w:p w:rsidR="00A45935" w:rsidRPr="00A963F4" w:rsidRDefault="00A45935" w:rsidP="00F73706">
            <w:pPr>
              <w:spacing w:line="220" w:lineRule="atLeast"/>
              <w:jc w:val="left"/>
              <w:rPr>
                <w:rFonts w:eastAsia="Calibri" w:cs="Arial"/>
                <w:sz w:val="18"/>
                <w:szCs w:val="16"/>
              </w:rPr>
            </w:pPr>
          </w:p>
          <w:p w:rsidR="00A45935" w:rsidRPr="00A963F4"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KPP stebėsenos sistema</w:t>
            </w:r>
          </w:p>
          <w:p w:rsidR="00A45935" w:rsidRPr="00A963F4" w:rsidRDefault="00A45935" w:rsidP="00F73706">
            <w:pPr>
              <w:spacing w:line="220" w:lineRule="atLeast"/>
              <w:jc w:val="left"/>
              <w:rPr>
                <w:rFonts w:eastAsia="Calibri" w:cs="Arial"/>
                <w:sz w:val="18"/>
                <w:szCs w:val="16"/>
              </w:rPr>
            </w:pPr>
          </w:p>
          <w:p w:rsidR="00A45935" w:rsidRPr="00A963F4" w:rsidRDefault="00A45935" w:rsidP="00F73706">
            <w:pPr>
              <w:spacing w:line="220" w:lineRule="atLeast"/>
              <w:jc w:val="left"/>
              <w:rPr>
                <w:rFonts w:eastAsia="Calibri" w:cs="Arial"/>
                <w:sz w:val="18"/>
                <w:szCs w:val="16"/>
              </w:rPr>
            </w:pPr>
          </w:p>
          <w:p w:rsidR="00A45935" w:rsidRPr="00A963F4"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Pokalbiai ir tikslinės grupės </w:t>
            </w:r>
          </w:p>
          <w:p w:rsidR="00A45935" w:rsidRPr="00EC17B2" w:rsidRDefault="00A45935" w:rsidP="00F73706">
            <w:pPr>
              <w:spacing w:line="220" w:lineRule="atLeast"/>
              <w:jc w:val="left"/>
              <w:rPr>
                <w:rFonts w:eastAsia="Calibri" w:cs="Arial"/>
                <w:sz w:val="18"/>
                <w:szCs w:val="16"/>
              </w:rPr>
            </w:pPr>
          </w:p>
          <w:p w:rsidR="00A45935" w:rsidRPr="00EC17B2" w:rsidRDefault="00A45935" w:rsidP="00F73706">
            <w:pPr>
              <w:spacing w:line="220" w:lineRule="atLeast"/>
              <w:jc w:val="left"/>
              <w:rPr>
                <w:rFonts w:eastAsia="Calibri" w:cs="Arial"/>
                <w:sz w:val="18"/>
                <w:szCs w:val="16"/>
              </w:rPr>
            </w:pPr>
          </w:p>
          <w:p w:rsidR="00A45935" w:rsidRPr="00EC17B2" w:rsidRDefault="00A45935" w:rsidP="00F73706">
            <w:pPr>
              <w:spacing w:line="220" w:lineRule="atLeast"/>
              <w:jc w:val="left"/>
              <w:rPr>
                <w:rFonts w:eastAsia="Calibri" w:cs="Arial"/>
                <w:sz w:val="18"/>
                <w:szCs w:val="16"/>
              </w:rPr>
            </w:pPr>
          </w:p>
          <w:p w:rsidR="00A45935" w:rsidRPr="00EC17B2" w:rsidRDefault="00A45935" w:rsidP="00F73706">
            <w:pPr>
              <w:spacing w:line="220" w:lineRule="atLeast"/>
              <w:jc w:val="left"/>
              <w:rPr>
                <w:rFonts w:eastAsia="Calibri" w:cs="Arial"/>
                <w:sz w:val="18"/>
                <w:szCs w:val="16"/>
              </w:rPr>
            </w:pPr>
          </w:p>
          <w:p w:rsidR="00A45935" w:rsidRPr="00EC17B2" w:rsidRDefault="00A45935" w:rsidP="00F73706">
            <w:pPr>
              <w:spacing w:line="220" w:lineRule="atLeast"/>
              <w:jc w:val="left"/>
              <w:rPr>
                <w:rFonts w:eastAsia="Calibri" w:cs="Arial"/>
                <w:sz w:val="18"/>
                <w:szCs w:val="16"/>
              </w:rPr>
            </w:pPr>
          </w:p>
          <w:p w:rsidR="00A45935" w:rsidRPr="00EC17B2" w:rsidRDefault="00A45935" w:rsidP="00F73706">
            <w:pPr>
              <w:spacing w:line="220" w:lineRule="atLeast"/>
              <w:jc w:val="left"/>
              <w:rPr>
                <w:rFonts w:eastAsia="Calibri" w:cs="Arial"/>
                <w:sz w:val="18"/>
                <w:szCs w:val="16"/>
              </w:rPr>
            </w:pPr>
          </w:p>
          <w:p w:rsidR="00A45935" w:rsidRPr="00EC17B2" w:rsidRDefault="00A45935" w:rsidP="00F73706">
            <w:pPr>
              <w:spacing w:line="220" w:lineRule="atLeast"/>
              <w:jc w:val="left"/>
              <w:rPr>
                <w:rFonts w:eastAsia="Calibri" w:cs="Arial"/>
                <w:sz w:val="18"/>
                <w:szCs w:val="16"/>
              </w:rPr>
            </w:pPr>
          </w:p>
          <w:p w:rsidR="00560E46" w:rsidRPr="00EC17B2" w:rsidRDefault="00560E46" w:rsidP="00F73706">
            <w:pPr>
              <w:spacing w:line="220" w:lineRule="atLeast"/>
              <w:jc w:val="left"/>
              <w:rPr>
                <w:rFonts w:eastAsia="Calibri" w:cs="Arial"/>
                <w:sz w:val="18"/>
                <w:szCs w:val="16"/>
              </w:rPr>
            </w:pPr>
          </w:p>
          <w:p w:rsidR="00560E46" w:rsidRPr="00EC17B2" w:rsidRDefault="00560E46" w:rsidP="00F73706">
            <w:pPr>
              <w:spacing w:line="220" w:lineRule="atLeast"/>
              <w:jc w:val="left"/>
              <w:rPr>
                <w:rFonts w:eastAsia="Calibri" w:cs="Arial"/>
                <w:sz w:val="18"/>
                <w:szCs w:val="16"/>
              </w:rPr>
            </w:pPr>
          </w:p>
          <w:p w:rsidR="00A45935" w:rsidRPr="00385368" w:rsidRDefault="00A45935" w:rsidP="00560E46">
            <w:pPr>
              <w:spacing w:line="220" w:lineRule="atLeast"/>
              <w:jc w:val="left"/>
              <w:rPr>
                <w:rFonts w:eastAsia="Calibri" w:cs="Arial"/>
                <w:sz w:val="18"/>
                <w:szCs w:val="16"/>
              </w:rPr>
            </w:pPr>
            <w:r>
              <w:rPr>
                <w:sz w:val="18"/>
                <w:szCs w:val="16"/>
              </w:rPr>
              <w:t>Socialinių tinklų analizės informacija</w:t>
            </w:r>
          </w:p>
        </w:tc>
      </w:tr>
      <w:tr w:rsidR="00A45935" w:rsidRPr="00E05D08" w:rsidTr="00B80FAE">
        <w:trPr>
          <w:trHeight w:val="746"/>
        </w:trPr>
        <w:tc>
          <w:tcPr>
            <w:tcW w:w="2988" w:type="dxa"/>
          </w:tcPr>
          <w:p w:rsidR="00A45935" w:rsidRPr="00385368" w:rsidRDefault="00A45935" w:rsidP="00F73706">
            <w:pPr>
              <w:spacing w:line="220" w:lineRule="atLeast"/>
              <w:jc w:val="left"/>
              <w:rPr>
                <w:rFonts w:cs="Arial"/>
                <w:i/>
                <w:sz w:val="18"/>
                <w:szCs w:val="16"/>
              </w:rPr>
            </w:pPr>
            <w:r>
              <w:rPr>
                <w:i/>
                <w:sz w:val="18"/>
                <w:szCs w:val="16"/>
              </w:rPr>
              <w:t>Kiek KPP prisidėta prie inovacijų skatinimo kuriant palankią inovacijoms aplinką (3 kryptis)?</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Papildomi vertinimo kriterijai: KPP padarė poveikį politikos sritims, kuriomis siekiama remti pokyčius, prie kurių buvo prisidėta pagal KPP</w:t>
            </w:r>
          </w:p>
          <w:p w:rsidR="00A45935" w:rsidRPr="00A963F4"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Papildomi vertinimo kriterijai: KPP suteikė mokymo ir novatoriškos patirties mainų galimybių </w:t>
            </w:r>
          </w:p>
          <w:p w:rsidR="00A45935" w:rsidRPr="00A963F4"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Papildomi vertinimo kriterijai: KPP suteikė galimybę sąveikauti subjektams (nacionaliniams / tarpvalstybiniams) siekiant skatinti inovacijas </w:t>
            </w:r>
          </w:p>
          <w:p w:rsidR="00A45935" w:rsidRPr="00A963F4"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i/>
                <w:sz w:val="18"/>
                <w:szCs w:val="16"/>
              </w:rPr>
            </w:pPr>
            <w:r>
              <w:rPr>
                <w:i/>
                <w:sz w:val="18"/>
                <w:szCs w:val="16"/>
              </w:rPr>
              <w:t xml:space="preserve">Papildomi vertinimo kriterijai: Pagal KPP buvo paremtos naujos </w:t>
            </w:r>
            <w:r>
              <w:rPr>
                <w:i/>
                <w:sz w:val="18"/>
                <w:szCs w:val="16"/>
              </w:rPr>
              <w:lastRenderedPageBreak/>
              <w:t xml:space="preserve">technologijas kaimo vietovėse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lastRenderedPageBreak/>
              <w:t>Papildomas rezultato rodiklis:</w:t>
            </w:r>
            <w:r>
              <w:rPr>
                <w:i/>
                <w:color w:val="57825E"/>
                <w:sz w:val="18"/>
                <w:szCs w:val="16"/>
              </w:rPr>
              <w:t xml:space="preserve"> politikos sričių, kurioms KPP turėjo įtakos dalyvaujančiųjų organizacijų lygmeniu, skaičius ir rūšys ir platesnė inovacijoms palanki aplinka </w:t>
            </w:r>
          </w:p>
          <w:p w:rsidR="00A45935" w:rsidRPr="00A963F4"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Papildomas rezultato rodiklis:</w:t>
            </w:r>
            <w:r>
              <w:rPr>
                <w:i/>
                <w:color w:val="57825E"/>
                <w:sz w:val="18"/>
                <w:szCs w:val="16"/>
              </w:rPr>
              <w:t xml:space="preserve"> mokymo seminarų ir novatoriškos patirties mainų renginių skaičius ir jų dalis, atsižvelgiant į visą pagal KPP paremtų mokymo seminarų / renginių skaičių </w:t>
            </w:r>
          </w:p>
          <w:p w:rsidR="00A45935" w:rsidRPr="00A963F4"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Papildomas rezultato rodiklis:</w:t>
            </w:r>
            <w:r>
              <w:rPr>
                <w:i/>
                <w:color w:val="57825E"/>
                <w:sz w:val="18"/>
                <w:szCs w:val="16"/>
              </w:rPr>
              <w:t xml:space="preserve"> pagal KPP paremtų renginių, skirtų inovacijų srities subjektų tarpusavio ryšiams užmegzti, skaičius </w:t>
            </w:r>
          </w:p>
          <w:p w:rsidR="00A45935" w:rsidRPr="00A963F4" w:rsidRDefault="00A45935" w:rsidP="00F73706">
            <w:pPr>
              <w:spacing w:line="220" w:lineRule="atLeast"/>
              <w:jc w:val="left"/>
              <w:rPr>
                <w:rFonts w:eastAsia="Calibri" w:cs="Arial"/>
                <w:i/>
                <w:color w:val="57825E"/>
                <w:sz w:val="18"/>
                <w:szCs w:val="16"/>
              </w:rPr>
            </w:pPr>
          </w:p>
          <w:p w:rsidR="00A45935" w:rsidRPr="00A963F4" w:rsidRDefault="00A45935" w:rsidP="00F73706">
            <w:pPr>
              <w:spacing w:line="220" w:lineRule="atLeast"/>
              <w:jc w:val="left"/>
              <w:rPr>
                <w:rFonts w:eastAsia="Calibri" w:cs="Arial"/>
                <w:i/>
                <w:color w:val="57825E"/>
                <w:sz w:val="18"/>
                <w:szCs w:val="16"/>
              </w:rPr>
            </w:pPr>
          </w:p>
          <w:p w:rsidR="00560E46" w:rsidRPr="00A963F4" w:rsidRDefault="00560E46"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Papildomas rezultato rodiklis:</w:t>
            </w:r>
            <w:r>
              <w:rPr>
                <w:i/>
                <w:color w:val="57825E"/>
                <w:sz w:val="18"/>
                <w:szCs w:val="16"/>
              </w:rPr>
              <w:t xml:space="preserve"> pagal KPP paremtų naujų technologijų kaimo vietovėse skaičius pagal rūšis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Informacija apie politikos sritis </w:t>
            </w:r>
          </w:p>
          <w:p w:rsidR="00A45935" w:rsidRPr="00A963F4" w:rsidRDefault="00A45935" w:rsidP="00560E46">
            <w:pPr>
              <w:spacing w:line="220" w:lineRule="atLeast"/>
              <w:jc w:val="left"/>
              <w:rPr>
                <w:rFonts w:eastAsia="Calibri" w:cs="Arial"/>
                <w:sz w:val="18"/>
                <w:szCs w:val="16"/>
                <w:lang w:val="es-ES"/>
              </w:rPr>
            </w:pPr>
          </w:p>
          <w:p w:rsidR="00A45935" w:rsidRPr="00A963F4" w:rsidRDefault="00A45935" w:rsidP="00560E46">
            <w:pPr>
              <w:spacing w:line="220" w:lineRule="atLeast"/>
              <w:jc w:val="left"/>
              <w:rPr>
                <w:rFonts w:eastAsia="Calibri" w:cs="Arial"/>
                <w:sz w:val="18"/>
                <w:szCs w:val="16"/>
                <w:lang w:val="es-ES"/>
              </w:rPr>
            </w:pPr>
          </w:p>
          <w:p w:rsidR="00560E46" w:rsidRPr="00A963F4" w:rsidRDefault="00560E46" w:rsidP="00560E46">
            <w:pPr>
              <w:spacing w:line="220" w:lineRule="atLeast"/>
              <w:jc w:val="left"/>
              <w:rPr>
                <w:rFonts w:eastAsia="Calibri" w:cs="Arial"/>
                <w:sz w:val="18"/>
                <w:szCs w:val="16"/>
                <w:lang w:val="es-ES"/>
              </w:rPr>
            </w:pPr>
          </w:p>
          <w:p w:rsidR="00560E46" w:rsidRPr="00A963F4" w:rsidRDefault="00560E46" w:rsidP="00560E46">
            <w:pPr>
              <w:spacing w:line="220" w:lineRule="atLeast"/>
              <w:jc w:val="left"/>
              <w:rPr>
                <w:rFonts w:eastAsia="Calibri" w:cs="Arial"/>
                <w:sz w:val="18"/>
                <w:szCs w:val="16"/>
                <w:lang w:val="es-ES"/>
              </w:rPr>
            </w:pPr>
          </w:p>
          <w:p w:rsidR="00560E46" w:rsidRPr="00A963F4" w:rsidRDefault="00560E46" w:rsidP="00560E46">
            <w:pPr>
              <w:spacing w:line="220" w:lineRule="atLeast"/>
              <w:jc w:val="left"/>
              <w:rPr>
                <w:rFonts w:eastAsia="Calibri" w:cs="Arial"/>
                <w:sz w:val="18"/>
                <w:szCs w:val="16"/>
                <w:lang w:val="es-ES"/>
              </w:rPr>
            </w:pPr>
          </w:p>
          <w:p w:rsidR="00A45935" w:rsidRPr="00385368" w:rsidRDefault="00A45935" w:rsidP="00560E46">
            <w:pPr>
              <w:spacing w:line="220" w:lineRule="atLeast"/>
              <w:jc w:val="left"/>
              <w:rPr>
                <w:rFonts w:eastAsia="Calibri" w:cs="Arial"/>
                <w:sz w:val="18"/>
                <w:szCs w:val="16"/>
              </w:rPr>
            </w:pPr>
            <w:r>
              <w:rPr>
                <w:sz w:val="18"/>
                <w:szCs w:val="16"/>
              </w:rPr>
              <w:t>Informacija apie mokymo seminarus ir renginius</w:t>
            </w:r>
          </w:p>
          <w:p w:rsidR="00A45935" w:rsidRPr="00A963F4" w:rsidRDefault="00A45935" w:rsidP="00560E46">
            <w:pPr>
              <w:spacing w:line="220" w:lineRule="atLeast"/>
              <w:jc w:val="left"/>
              <w:rPr>
                <w:rFonts w:eastAsia="Calibri" w:cs="Arial"/>
                <w:sz w:val="18"/>
                <w:szCs w:val="16"/>
                <w:lang w:val="es-ES"/>
              </w:rPr>
            </w:pPr>
          </w:p>
          <w:p w:rsidR="00A45935" w:rsidRPr="00A963F4" w:rsidRDefault="00A45935" w:rsidP="00560E46">
            <w:pPr>
              <w:spacing w:line="220" w:lineRule="atLeast"/>
              <w:jc w:val="left"/>
              <w:rPr>
                <w:rFonts w:eastAsia="Calibri" w:cs="Arial"/>
                <w:sz w:val="18"/>
                <w:szCs w:val="16"/>
                <w:lang w:val="es-ES"/>
              </w:rPr>
            </w:pPr>
          </w:p>
          <w:p w:rsidR="00A45935" w:rsidRPr="00A963F4" w:rsidRDefault="00A45935" w:rsidP="00560E46">
            <w:pPr>
              <w:spacing w:line="220" w:lineRule="atLeast"/>
              <w:jc w:val="left"/>
              <w:rPr>
                <w:rFonts w:eastAsia="Calibri" w:cs="Arial"/>
                <w:sz w:val="18"/>
                <w:szCs w:val="16"/>
                <w:lang w:val="es-ES"/>
              </w:rPr>
            </w:pPr>
          </w:p>
          <w:p w:rsidR="00A45935" w:rsidRPr="00A963F4" w:rsidRDefault="00A45935" w:rsidP="00560E46">
            <w:pPr>
              <w:spacing w:line="220" w:lineRule="atLeast"/>
              <w:jc w:val="left"/>
              <w:rPr>
                <w:rFonts w:eastAsia="Calibri" w:cs="Arial"/>
                <w:sz w:val="18"/>
                <w:szCs w:val="16"/>
                <w:lang w:val="es-ES"/>
              </w:rPr>
            </w:pPr>
          </w:p>
          <w:p w:rsidR="00A45935" w:rsidRPr="00E05D08" w:rsidRDefault="00A45935" w:rsidP="00560E46">
            <w:pPr>
              <w:spacing w:line="220" w:lineRule="atLeast"/>
              <w:jc w:val="left"/>
              <w:rPr>
                <w:rFonts w:eastAsia="Calibri" w:cs="Arial"/>
                <w:sz w:val="18"/>
                <w:szCs w:val="16"/>
              </w:rPr>
            </w:pPr>
            <w:r>
              <w:rPr>
                <w:sz w:val="18"/>
                <w:szCs w:val="16"/>
              </w:rPr>
              <w:t xml:space="preserve">Informacija apie naujas technologijas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Pokalbiai ir tikslinės grupės (pvz., rezultatų rinkimas) </w:t>
            </w:r>
          </w:p>
          <w:p w:rsidR="00A45935" w:rsidRPr="00A963F4" w:rsidRDefault="00A45935" w:rsidP="00560E46">
            <w:pPr>
              <w:spacing w:line="220" w:lineRule="atLeast"/>
              <w:jc w:val="left"/>
              <w:rPr>
                <w:rFonts w:eastAsia="Calibri" w:cs="Arial"/>
                <w:sz w:val="18"/>
                <w:szCs w:val="18"/>
              </w:rPr>
            </w:pPr>
          </w:p>
          <w:p w:rsidR="00A45935" w:rsidRPr="00A963F4" w:rsidRDefault="00A45935" w:rsidP="00560E46">
            <w:pPr>
              <w:spacing w:line="220" w:lineRule="atLeast"/>
              <w:jc w:val="left"/>
              <w:rPr>
                <w:rFonts w:eastAsia="Calibri" w:cs="Arial"/>
                <w:sz w:val="18"/>
                <w:szCs w:val="18"/>
              </w:rPr>
            </w:pPr>
          </w:p>
          <w:p w:rsidR="00560E46" w:rsidRPr="00A963F4" w:rsidRDefault="00560E46" w:rsidP="00560E46">
            <w:pPr>
              <w:spacing w:line="220" w:lineRule="atLeast"/>
              <w:jc w:val="left"/>
              <w:rPr>
                <w:rFonts w:eastAsia="Calibri" w:cs="Arial"/>
                <w:sz w:val="18"/>
                <w:szCs w:val="18"/>
              </w:rPr>
            </w:pPr>
          </w:p>
          <w:p w:rsidR="00560E46" w:rsidRPr="00A963F4" w:rsidRDefault="00560E46" w:rsidP="00560E46">
            <w:pPr>
              <w:spacing w:line="220" w:lineRule="atLeast"/>
              <w:jc w:val="left"/>
              <w:rPr>
                <w:rFonts w:eastAsia="Calibri" w:cs="Arial"/>
                <w:sz w:val="18"/>
                <w:szCs w:val="18"/>
              </w:rPr>
            </w:pPr>
          </w:p>
          <w:p w:rsidR="00A45935" w:rsidRPr="00E05D08" w:rsidRDefault="00A45935" w:rsidP="00560E46">
            <w:pPr>
              <w:spacing w:line="220" w:lineRule="atLeast"/>
              <w:jc w:val="left"/>
              <w:rPr>
                <w:rFonts w:eastAsia="Calibri" w:cs="Arial"/>
                <w:sz w:val="18"/>
                <w:szCs w:val="18"/>
              </w:rPr>
            </w:pPr>
            <w:r>
              <w:rPr>
                <w:sz w:val="18"/>
                <w:szCs w:val="18"/>
              </w:rPr>
              <w:t>KPP stebėsenos sistema</w:t>
            </w:r>
          </w:p>
        </w:tc>
      </w:tr>
    </w:tbl>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8C0B17">
      <w:pPr>
        <w:numPr>
          <w:ilvl w:val="0"/>
          <w:numId w:val="46"/>
        </w:numPr>
        <w:spacing w:before="240" w:after="120" w:line="280" w:lineRule="atLeast"/>
        <w:rPr>
          <w:rFonts w:eastAsia="Times New Roman" w:cs="Arial"/>
          <w:b/>
          <w:szCs w:val="18"/>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435"/>
        </w:sectPr>
      </w:pPr>
    </w:p>
    <w:p w:rsidR="00A45935" w:rsidRPr="00E05D08" w:rsidRDefault="00A45935" w:rsidP="008C0B17">
      <w:pPr>
        <w:numPr>
          <w:ilvl w:val="0"/>
          <w:numId w:val="62"/>
        </w:numPr>
        <w:spacing w:before="120" w:after="120" w:line="280" w:lineRule="atLeast"/>
        <w:ind w:left="709" w:hanging="709"/>
        <w:mirrorIndents/>
        <w:rPr>
          <w:rFonts w:eastAsia="Times New Roman" w:cs="Times New Roman"/>
          <w:b/>
          <w:szCs w:val="20"/>
        </w:rPr>
      </w:pPr>
      <w:r>
        <w:rPr>
          <w:b/>
          <w:szCs w:val="20"/>
        </w:rPr>
        <w:lastRenderedPageBreak/>
        <w:t>Siūloma vertinimo metodika</w:t>
      </w:r>
    </w:p>
    <w:p w:rsidR="00A45935" w:rsidRPr="00E05D08" w:rsidRDefault="00A45935" w:rsidP="00E05D08">
      <w:pPr>
        <w:spacing w:after="120" w:line="280" w:lineRule="atLeast"/>
        <w:mirrorIndents/>
        <w:rPr>
          <w:rFonts w:eastAsia="Times New Roman" w:cs="Arial"/>
          <w:szCs w:val="20"/>
        </w:rPr>
      </w:pPr>
      <w:r>
        <w:t xml:space="preserve">Metodas, kurį siūloma taikyti siekiant atsakyti į 30-ąjį BVK, yra </w:t>
      </w:r>
      <w:r>
        <w:rPr>
          <w:b/>
          <w:szCs w:val="20"/>
        </w:rPr>
        <w:t>atvejo tyrimas.</w:t>
      </w:r>
      <w:r>
        <w:t xml:space="preserve"> Rekomenduojama, kad vertinimo metu vertintojai atliktų tokius veiksmus:</w:t>
      </w:r>
    </w:p>
    <w:p w:rsidR="00A45935" w:rsidRDefault="00A45935" w:rsidP="000026C6">
      <w:pPr>
        <w:pStyle w:val="Hlistbullet"/>
      </w:pPr>
      <w:r>
        <w:rPr>
          <w:b/>
        </w:rPr>
        <w:t>1 ETAPAS. Nustatykite esminį pokytį ar pokyčius, prie kurių, kaip galima teigti,  prisidėta KPP priemonėmis skatinant inovacijas viena ar daugiau iš trijų krypčių.</w:t>
      </w:r>
      <w:r>
        <w:t xml:space="preserve"> Tai galima padaryti atsižvelgiant į atsakymus į BVK Nr. 22–29 (su strategijos „Europa 2020“ir BŽŪP bendraisiais tikslais susiję BVK), rengiant pokalbius su darbuotojais ir (arba) atliekant projekto dokumentų peržiūrą. Pavyzdžiui, KPP gali būti teigiama, kad KPP priemonėmis buvo prisidėta prie esminio ūkio pelningumo pokyčio, sukuriant naują ūkio technikos gaminį, kurį vėliau ūkininkai ėmė plačiai diegti ir naudoti. Ieškant esminių pokyčių turėtų būti atsižvelgiama į programos pradžioje, nustačius inovacijų skatinimo potencialą, padarytas prognozes dėl įdiegimo tikimybės.</w:t>
      </w:r>
    </w:p>
    <w:p w:rsidR="00320AA0" w:rsidRPr="00F74623" w:rsidRDefault="00320AA0" w:rsidP="00320AA0">
      <w:pPr>
        <w:pStyle w:val="Hlistbullet"/>
        <w:numPr>
          <w:ilvl w:val="0"/>
          <w:numId w:val="0"/>
        </w:numPr>
        <w:ind w:left="567"/>
      </w:pPr>
      <w:r>
        <w:rPr>
          <w:noProof/>
          <w:sz w:val="18"/>
          <w:lang w:val="en-GB" w:eastAsia="en-GB"/>
        </w:rPr>
        <mc:AlternateContent>
          <mc:Choice Requires="wps">
            <w:drawing>
              <wp:inline distT="0" distB="0" distL="0" distR="0" wp14:anchorId="79AB952F" wp14:editId="6467B5CE">
                <wp:extent cx="5374005" cy="3216442"/>
                <wp:effectExtent l="0" t="0" r="17145" b="22225"/>
                <wp:docPr id="719" name="Rectangle: Diagonal Corners Rounded 719"/>
                <wp:cNvGraphicFramePr/>
                <a:graphic xmlns:a="http://schemas.openxmlformats.org/drawingml/2006/main">
                  <a:graphicData uri="http://schemas.microsoft.com/office/word/2010/wordprocessingShape">
                    <wps:wsp>
                      <wps:cNvSpPr/>
                      <wps:spPr>
                        <a:xfrm>
                          <a:off x="0" y="0"/>
                          <a:ext cx="5374005" cy="3216442"/>
                        </a:xfrm>
                        <a:prstGeom prst="round2DiagRect">
                          <a:avLst>
                            <a:gd name="adj1" fmla="val 3961"/>
                            <a:gd name="adj2" fmla="val 0"/>
                          </a:avLst>
                        </a:prstGeom>
                        <a:noFill/>
                        <a:ln w="25400" cap="flat" cmpd="sng" algn="ctr">
                          <a:solidFill>
                            <a:srgbClr val="F07E31"/>
                          </a:solidFill>
                          <a:prstDash val="solid"/>
                        </a:ln>
                        <a:effectLst/>
                      </wps:spPr>
                      <wps:txbx>
                        <w:txbxContent>
                          <w:p w:rsidR="001F67E3" w:rsidRPr="00253803" w:rsidRDefault="001F67E3" w:rsidP="00320AA0">
                            <w:pPr>
                              <w:ind w:left="567" w:hanging="567"/>
                              <w:rPr>
                                <w:rFonts w:cs="Arial"/>
                                <w:color w:val="F07E31"/>
                                <w:sz w:val="18"/>
                                <w:szCs w:val="18"/>
                              </w:rPr>
                            </w:pPr>
                            <w:r>
                              <w:rPr>
                                <w:noProof/>
                                <w:szCs w:val="18"/>
                                <w:lang w:val="en-GB" w:eastAsia="en-GB"/>
                              </w:rPr>
                              <w:drawing>
                                <wp:inline distT="0" distB="0" distL="0" distR="0" wp14:anchorId="35FA43F7" wp14:editId="5D0E35D8">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Teminis tinklas „Didelės gamtinės vertės ūkininkavimas“</w:t>
                            </w:r>
                          </w:p>
                          <w:p w:rsidR="001F67E3" w:rsidRPr="00253803" w:rsidRDefault="001F67E3" w:rsidP="00320AA0">
                            <w:pPr>
                              <w:spacing w:line="280" w:lineRule="atLeast"/>
                              <w:rPr>
                                <w:rFonts w:cs="Arial"/>
                                <w:sz w:val="18"/>
                                <w:szCs w:val="18"/>
                              </w:rPr>
                            </w:pPr>
                            <w:r>
                              <w:rPr>
                                <w:sz w:val="18"/>
                                <w:szCs w:val="18"/>
                              </w:rPr>
                              <w:t xml:space="preserve">Įgyvendindami programos „Horizontas 2020“ mokslinių tyrimų projektą: </w:t>
                            </w:r>
                            <w:hyperlink r:id="rId98" w:history="1">
                              <w:r w:rsidRPr="00127F70">
                                <w:rPr>
                                  <w:rStyle w:val="Hyperlink"/>
                                  <w:i/>
                                  <w:iCs/>
                                  <w:sz w:val="18"/>
                                  <w:szCs w:val="18"/>
                                </w:rPr>
                                <w:t xml:space="preserve">HNV </w:t>
                              </w:r>
                              <w:r w:rsidR="00127F70" w:rsidRPr="00127F70">
                                <w:rPr>
                                  <w:rStyle w:val="Hyperlink"/>
                                  <w:i/>
                                  <w:iCs/>
                                  <w:sz w:val="18"/>
                                  <w:szCs w:val="18"/>
                                </w:rPr>
                                <w:t>link</w:t>
                              </w:r>
                            </w:hyperlink>
                            <w:r>
                              <w:rPr>
                                <w:rStyle w:val="Hyperlink"/>
                                <w:sz w:val="18"/>
                                <w:szCs w:val="18"/>
                              </w:rPr>
                              <w:t xml:space="preserve"> </w:t>
                            </w:r>
                            <w:r>
                              <w:rPr>
                                <w:sz w:val="18"/>
                                <w:szCs w:val="18"/>
                              </w:rPr>
                              <w:t xml:space="preserve">(„Didelės gamtinės vertės (angl. </w:t>
                            </w:r>
                            <w:r>
                              <w:rPr>
                                <w:i/>
                                <w:sz w:val="18"/>
                                <w:szCs w:val="18"/>
                              </w:rPr>
                              <w:t>HNV – High Nature Value</w:t>
                            </w:r>
                            <w:r w:rsidR="00127F70">
                              <w:rPr>
                                <w:i/>
                                <w:sz w:val="18"/>
                                <w:szCs w:val="18"/>
                              </w:rPr>
                              <w:t>)</w:t>
                            </w:r>
                            <w:r>
                              <w:rPr>
                                <w:sz w:val="18"/>
                                <w:szCs w:val="18"/>
                              </w:rPr>
                              <w:t xml:space="preserve"> sąsaja“), tyrėjų grupė parengė vertinimo pagrindą, skirtą išanalizuoti pradinę didelės gamtinės vertės teritorijų, kurias būtų galima pagerinti inovacijomis, būklę. Atliekant šį pirminį vertinimą, analizuojami keli požymiai, susiję su: </w:t>
                            </w:r>
                          </w:p>
                          <w:p w:rsidR="001F67E3" w:rsidRPr="00253803" w:rsidRDefault="001F67E3" w:rsidP="00320AA0">
                            <w:pPr>
                              <w:numPr>
                                <w:ilvl w:val="0"/>
                                <w:numId w:val="63"/>
                              </w:numPr>
                              <w:ind w:left="567" w:hanging="567"/>
                              <w:contextualSpacing/>
                              <w:rPr>
                                <w:rFonts w:cs="Arial"/>
                                <w:sz w:val="18"/>
                                <w:szCs w:val="18"/>
                              </w:rPr>
                            </w:pPr>
                            <w:r>
                              <w:rPr>
                                <w:sz w:val="18"/>
                                <w:szCs w:val="18"/>
                              </w:rPr>
                              <w:t>žemės ūkio ekosistema (dirvos, klimato ir reljefo sąlygomis);</w:t>
                            </w:r>
                          </w:p>
                          <w:p w:rsidR="001F67E3" w:rsidRPr="00253803" w:rsidRDefault="001F67E3" w:rsidP="00320AA0">
                            <w:pPr>
                              <w:numPr>
                                <w:ilvl w:val="0"/>
                                <w:numId w:val="63"/>
                              </w:numPr>
                              <w:ind w:left="567" w:hanging="567"/>
                              <w:contextualSpacing/>
                              <w:rPr>
                                <w:rFonts w:cs="Arial"/>
                                <w:sz w:val="18"/>
                                <w:szCs w:val="18"/>
                              </w:rPr>
                            </w:pPr>
                            <w:r>
                              <w:rPr>
                                <w:sz w:val="18"/>
                                <w:szCs w:val="18"/>
                              </w:rPr>
                              <w:t>ūkininkavimo sistemomis ir jų dinamika žemės ūkio sistemose;</w:t>
                            </w:r>
                          </w:p>
                          <w:p w:rsidR="001F67E3" w:rsidRPr="00253803" w:rsidRDefault="001F67E3" w:rsidP="00320AA0">
                            <w:pPr>
                              <w:numPr>
                                <w:ilvl w:val="0"/>
                                <w:numId w:val="63"/>
                              </w:numPr>
                              <w:ind w:left="567" w:hanging="567"/>
                              <w:contextualSpacing/>
                              <w:rPr>
                                <w:rFonts w:cs="Arial"/>
                                <w:sz w:val="18"/>
                                <w:szCs w:val="18"/>
                              </w:rPr>
                            </w:pPr>
                            <w:r>
                              <w:rPr>
                                <w:sz w:val="18"/>
                                <w:szCs w:val="18"/>
                              </w:rPr>
                              <w:t xml:space="preserve">kaimo kontekstu ir platesnio masto pokyčius lemiančiais veiksniais (politikos sritimis, technologijomis, visuomenės pokyčiais); </w:t>
                            </w:r>
                          </w:p>
                          <w:p w:rsidR="001F67E3" w:rsidRPr="00253803" w:rsidRDefault="001F67E3" w:rsidP="00320AA0">
                            <w:pPr>
                              <w:numPr>
                                <w:ilvl w:val="0"/>
                                <w:numId w:val="63"/>
                              </w:numPr>
                              <w:ind w:left="567" w:hanging="567"/>
                              <w:contextualSpacing/>
                              <w:rPr>
                                <w:rFonts w:cs="Arial"/>
                                <w:sz w:val="18"/>
                                <w:szCs w:val="18"/>
                              </w:rPr>
                            </w:pPr>
                            <w:r>
                              <w:rPr>
                                <w:sz w:val="18"/>
                                <w:szCs w:val="18"/>
                              </w:rPr>
                              <w:t>kompleksiniais klausimais (subjektai ir socialinis organizavimas).</w:t>
                            </w:r>
                          </w:p>
                          <w:p w:rsidR="001F67E3" w:rsidRPr="000E5745" w:rsidRDefault="001F67E3" w:rsidP="00320AA0">
                            <w:pPr>
                              <w:pStyle w:val="Hlistbullet"/>
                              <w:numPr>
                                <w:ilvl w:val="0"/>
                                <w:numId w:val="0"/>
                              </w:numPr>
                              <w:rPr>
                                <w:sz w:val="18"/>
                                <w:szCs w:val="18"/>
                              </w:rPr>
                            </w:pPr>
                            <w:r>
                              <w:rPr>
                                <w:sz w:val="18"/>
                                <w:szCs w:val="18"/>
                              </w:rPr>
                              <w:t xml:space="preserve">Siekiant įvertinti pradinę padėtį, taikyti įvairių metodų deriniai: 1) žemės ūkio ekosistemos įvertimas 2.) žemės ūkio ir ūkininkavimo sistemų analizė, 3) kaimo vietovės analizė, 4) subjektų analizė. Ši metodika padeda nustatyti priešingosios padėties situaciją siekiant įvertinti HNV teritorijose vykdomą inovacijų procesą ir inovacijų poveikį. Šios metodikos taikymo pavyzdį galima rasti čia: </w:t>
                            </w:r>
                            <w:hyperlink r:id="rId99" w:history="1">
                              <w:r>
                                <w:rPr>
                                  <w:rStyle w:val="Hyperlink"/>
                                  <w:sz w:val="18"/>
                                  <w:szCs w:val="18"/>
                                </w:rPr>
                                <w:t>http://www.hnvlink.eu/download/D1.3BAcomplete.pdf</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AB952F" id="Rectangle: Diagonal Corners Rounded 719" o:spid="_x0000_s1055" style="width:423.15pt;height:253.25pt;visibility:visible;mso-wrap-style:square;mso-left-percent:-10001;mso-top-percent:-10001;mso-position-horizontal:absolute;mso-position-horizontal-relative:char;mso-position-vertical:absolute;mso-position-vertical-relative:line;mso-left-percent:-10001;mso-top-percent:-10001;v-text-anchor:middle" coordsize="5374005,32164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" adj="-11796480,,5400" path="m127403,l5374005,r,l5374005,3089039v,70363,-57040,127403,-127403,127403l,3216442r,l,127403c,57040,57040,,127403,xe" filled="f" strokecolor="#f07e31" strokeweight="2pt">
                <v:stroke joinstyle="miter"/>
                <v:formulas/>
                <v:path arrowok="t" o:connecttype="custom" o:connectlocs="127403,0;5374005,0;5374005,0;5374005,3089039;5246602,3216442;0,3216442;0,3216442;0,127403;127403,0" o:connectangles="0,0,0,0,0,0,0,0,0" textboxrect="0,0,5374005,3216442"/>
                <v:textbox>
                  <w:txbxContent>
                    <w:p w:rsidR="001F67E3" w:rsidRPr="00253803" w:rsidRDefault="001F67E3" w:rsidP="00320AA0">
                      <w:pPr>
                        <w:ind w:left="567" w:hanging="567"/>
                        <w:rPr>
                          <w:rFonts w:cs="Arial"/>
                          <w:color w:val="F07E31"/>
                          <w:sz w:val="18"/>
                          <w:szCs w:val="18"/>
                        </w:rPr>
                      </w:pPr>
                      <w:r>
                        <w:rPr>
                          <w:noProof/>
                          <w:szCs w:val="18"/>
                          <w:lang w:val="en-GB" w:eastAsia="en-GB"/>
                        </w:rPr>
                        <w:drawing>
                          <wp:inline distT="0" distB="0" distL="0" distR="0" wp14:anchorId="35FA43F7" wp14:editId="5D0E35D8">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Teminis tinklas „Didelės gamtinės vertės ūkininkavimas“</w:t>
                      </w:r>
                    </w:p>
                    <w:p w:rsidR="001F67E3" w:rsidRPr="00253803" w:rsidRDefault="001F67E3" w:rsidP="00320AA0">
                      <w:pPr>
                        <w:spacing w:line="280" w:lineRule="atLeast"/>
                        <w:rPr>
                          <w:rFonts w:cs="Arial"/>
                          <w:sz w:val="18"/>
                          <w:szCs w:val="18"/>
                        </w:rPr>
                      </w:pPr>
                      <w:r>
                        <w:rPr>
                          <w:sz w:val="18"/>
                          <w:szCs w:val="18"/>
                        </w:rPr>
                        <w:t xml:space="preserve">Įgyvendindami programos „Horizontas 2020“ mokslinių tyrimų projektą: </w:t>
                      </w:r>
                      <w:hyperlink r:id="rId100" w:history="1">
                        <w:r w:rsidRPr="00127F70">
                          <w:rPr>
                            <w:rStyle w:val="Hyperlink"/>
                            <w:i/>
                            <w:iCs/>
                            <w:sz w:val="18"/>
                            <w:szCs w:val="18"/>
                          </w:rPr>
                          <w:t xml:space="preserve">HNV </w:t>
                        </w:r>
                        <w:r w:rsidR="00127F70" w:rsidRPr="00127F70">
                          <w:rPr>
                            <w:rStyle w:val="Hyperlink"/>
                            <w:i/>
                            <w:iCs/>
                            <w:sz w:val="18"/>
                            <w:szCs w:val="18"/>
                          </w:rPr>
                          <w:t>link</w:t>
                        </w:r>
                      </w:hyperlink>
                      <w:r>
                        <w:rPr>
                          <w:rStyle w:val="Hyperlink"/>
                          <w:sz w:val="18"/>
                          <w:szCs w:val="18"/>
                        </w:rPr>
                        <w:t xml:space="preserve"> </w:t>
                      </w:r>
                      <w:r>
                        <w:rPr>
                          <w:sz w:val="18"/>
                          <w:szCs w:val="18"/>
                        </w:rPr>
                        <w:t xml:space="preserve">(„Didelės gamtinės vertės (angl. </w:t>
                      </w:r>
                      <w:r>
                        <w:rPr>
                          <w:i/>
                          <w:sz w:val="18"/>
                          <w:szCs w:val="18"/>
                        </w:rPr>
                        <w:t>HNV – High Nature Value</w:t>
                      </w:r>
                      <w:r w:rsidR="00127F70">
                        <w:rPr>
                          <w:i/>
                          <w:sz w:val="18"/>
                          <w:szCs w:val="18"/>
                        </w:rPr>
                        <w:t>)</w:t>
                      </w:r>
                      <w:r>
                        <w:rPr>
                          <w:sz w:val="18"/>
                          <w:szCs w:val="18"/>
                        </w:rPr>
                        <w:t xml:space="preserve"> sąsaja“), tyrėjų grupė parengė vertinimo pagrindą, skirtą išanalizuoti pradinę didelės gamtinės vertės teritorijų, kurias būtų galima pagerinti inovacijomis, būklę. Atliekant šį pirminį vertinimą, analizuojami keli požymiai, susiję su: </w:t>
                      </w:r>
                    </w:p>
                    <w:p w:rsidR="001F67E3" w:rsidRPr="00253803" w:rsidRDefault="001F67E3" w:rsidP="00320AA0">
                      <w:pPr>
                        <w:numPr>
                          <w:ilvl w:val="0"/>
                          <w:numId w:val="63"/>
                        </w:numPr>
                        <w:ind w:left="567" w:hanging="567"/>
                        <w:contextualSpacing/>
                        <w:rPr>
                          <w:rFonts w:cs="Arial"/>
                          <w:sz w:val="18"/>
                          <w:szCs w:val="18"/>
                        </w:rPr>
                      </w:pPr>
                      <w:r>
                        <w:rPr>
                          <w:sz w:val="18"/>
                          <w:szCs w:val="18"/>
                        </w:rPr>
                        <w:t>žemės ūkio ekosistema (dirvos, klimato ir reljefo sąlygomis);</w:t>
                      </w:r>
                    </w:p>
                    <w:p w:rsidR="001F67E3" w:rsidRPr="00253803" w:rsidRDefault="001F67E3" w:rsidP="00320AA0">
                      <w:pPr>
                        <w:numPr>
                          <w:ilvl w:val="0"/>
                          <w:numId w:val="63"/>
                        </w:numPr>
                        <w:ind w:left="567" w:hanging="567"/>
                        <w:contextualSpacing/>
                        <w:rPr>
                          <w:rFonts w:cs="Arial"/>
                          <w:sz w:val="18"/>
                          <w:szCs w:val="18"/>
                        </w:rPr>
                      </w:pPr>
                      <w:r>
                        <w:rPr>
                          <w:sz w:val="18"/>
                          <w:szCs w:val="18"/>
                        </w:rPr>
                        <w:t>ūkininkavimo sistemomis ir jų dinamika žemės ūkio sistemose;</w:t>
                      </w:r>
                    </w:p>
                    <w:p w:rsidR="001F67E3" w:rsidRPr="00253803" w:rsidRDefault="001F67E3" w:rsidP="00320AA0">
                      <w:pPr>
                        <w:numPr>
                          <w:ilvl w:val="0"/>
                          <w:numId w:val="63"/>
                        </w:numPr>
                        <w:ind w:left="567" w:hanging="567"/>
                        <w:contextualSpacing/>
                        <w:rPr>
                          <w:rFonts w:cs="Arial"/>
                          <w:sz w:val="18"/>
                          <w:szCs w:val="18"/>
                        </w:rPr>
                      </w:pPr>
                      <w:r>
                        <w:rPr>
                          <w:sz w:val="18"/>
                          <w:szCs w:val="18"/>
                        </w:rPr>
                        <w:t xml:space="preserve">kaimo kontekstu ir platesnio masto pokyčius lemiančiais veiksniais (politikos sritimis, technologijomis, visuomenės pokyčiais); </w:t>
                      </w:r>
                    </w:p>
                    <w:p w:rsidR="001F67E3" w:rsidRPr="00253803" w:rsidRDefault="001F67E3" w:rsidP="00320AA0">
                      <w:pPr>
                        <w:numPr>
                          <w:ilvl w:val="0"/>
                          <w:numId w:val="63"/>
                        </w:numPr>
                        <w:ind w:left="567" w:hanging="567"/>
                        <w:contextualSpacing/>
                        <w:rPr>
                          <w:rFonts w:cs="Arial"/>
                          <w:sz w:val="18"/>
                          <w:szCs w:val="18"/>
                        </w:rPr>
                      </w:pPr>
                      <w:r>
                        <w:rPr>
                          <w:sz w:val="18"/>
                          <w:szCs w:val="18"/>
                        </w:rPr>
                        <w:t>kompleksiniais klausimais (subjektai ir socialinis organizavimas).</w:t>
                      </w:r>
                    </w:p>
                    <w:p w:rsidR="001F67E3" w:rsidRPr="000E5745" w:rsidRDefault="001F67E3" w:rsidP="00320AA0">
                      <w:pPr>
                        <w:pStyle w:val="Hlistbullet"/>
                        <w:numPr>
                          <w:ilvl w:val="0"/>
                          <w:numId w:val="0"/>
                        </w:numPr>
                        <w:rPr>
                          <w:sz w:val="18"/>
                          <w:szCs w:val="18"/>
                        </w:rPr>
                      </w:pPr>
                      <w:r>
                        <w:rPr>
                          <w:sz w:val="18"/>
                          <w:szCs w:val="18"/>
                        </w:rPr>
                        <w:t xml:space="preserve">Siekiant įvertinti pradinę padėtį, taikyti įvairių metodų deriniai: 1) žemės ūkio ekosistemos įvertimas 2.) žemės ūkio ir ūkininkavimo sistemų analizė, 3) kaimo vietovės analizė, 4) subjektų analizė. Ši metodika padeda nustatyti priešingosios padėties situaciją siekiant įvertinti HNV teritorijose vykdomą inovacijų procesą ir inovacijų poveikį. Šios metodikos taikymo pavyzdį galima rasti čia: </w:t>
                      </w:r>
                      <w:hyperlink r:id="rId101" w:history="1">
                        <w:r>
                          <w:rPr>
                            <w:rStyle w:val="Hyperlink"/>
                            <w:sz w:val="18"/>
                            <w:szCs w:val="18"/>
                          </w:rPr>
                          <w:t>http://www.hnvlink.eu/download/D1.3BAcomplete.pdf</w:t>
                        </w:r>
                      </w:hyperlink>
                      <w:r>
                        <w:t>.</w:t>
                      </w:r>
                    </w:p>
                  </w:txbxContent>
                </v:textbox>
                <w10:anchorlock/>
              </v:shape>
            </w:pict>
          </mc:Fallback>
        </mc:AlternateContent>
      </w:r>
    </w:p>
    <w:p w:rsidR="00A45935" w:rsidRPr="00F74623" w:rsidRDefault="00A45935" w:rsidP="000026C6">
      <w:pPr>
        <w:pStyle w:val="Hlistbullet"/>
      </w:pPr>
      <w:r>
        <w:rPr>
          <w:b/>
        </w:rPr>
        <w:t>2 ETAPAS. Surinkite informaciją apie KPP priemonių veiksmingumą atsižvelgiant į vertinimo kriterijus ir rodiklius</w:t>
      </w:r>
      <w:r>
        <w:t xml:space="preserve"> (kaip siūloma pirmesnėje 9 lentelėje, kurioje pateikti vertinimo elementai), kuri reikalinga trims pagalbiniams klausimams, susijusiems su KPP priemonėmis padaryto poveikio  trims inovacijų proceso kryptims mastu. </w:t>
      </w:r>
    </w:p>
    <w:p w:rsidR="00A45935" w:rsidRPr="00717885" w:rsidRDefault="00037CA6" w:rsidP="000026C6">
      <w:pPr>
        <w:pStyle w:val="Hlistbullet2"/>
      </w:pPr>
      <w:r>
        <w:rPr>
          <w:noProof/>
          <w:highlight w:val="yellow"/>
          <w:lang w:val="en-GB" w:eastAsia="en-GB"/>
        </w:rPr>
        <w:lastRenderedPageBreak/>
        <mc:AlternateContent>
          <mc:Choice Requires="wps">
            <w:drawing>
              <wp:anchor distT="0" distB="0" distL="114300" distR="114300" simplePos="0" relativeHeight="251726848" behindDoc="0" locked="0" layoutInCell="1" allowOverlap="1" wp14:anchorId="35AC199A" wp14:editId="2CE2347D">
                <wp:simplePos x="0" y="0"/>
                <wp:positionH relativeFrom="column">
                  <wp:posOffset>351155</wp:posOffset>
                </wp:positionH>
                <wp:positionV relativeFrom="paragraph">
                  <wp:posOffset>1179830</wp:posOffset>
                </wp:positionV>
                <wp:extent cx="5414645" cy="2467610"/>
                <wp:effectExtent l="0" t="0" r="14605" b="27940"/>
                <wp:wrapSquare wrapText="bothSides"/>
                <wp:docPr id="562" name="Rectangle: Diagonal Corners Rounded 562"/>
                <wp:cNvGraphicFramePr/>
                <a:graphic xmlns:a="http://schemas.openxmlformats.org/drawingml/2006/main">
                  <a:graphicData uri="http://schemas.microsoft.com/office/word/2010/wordprocessingShape">
                    <wps:wsp>
                      <wps:cNvSpPr/>
                      <wps:spPr>
                        <a:xfrm>
                          <a:off x="0" y="0"/>
                          <a:ext cx="5414645" cy="2467610"/>
                        </a:xfrm>
                        <a:prstGeom prst="round2DiagRect">
                          <a:avLst>
                            <a:gd name="adj1" fmla="val 7843"/>
                            <a:gd name="adj2" fmla="val 0"/>
                          </a:avLst>
                        </a:prstGeom>
                        <a:noFill/>
                        <a:ln w="25400" cap="flat" cmpd="sng" algn="ctr">
                          <a:solidFill>
                            <a:srgbClr val="BE4A35"/>
                          </a:solidFill>
                          <a:prstDash val="solid"/>
                        </a:ln>
                        <a:effectLst/>
                      </wps:spPr>
                      <wps:txbx>
                        <w:txbxContent>
                          <w:p w:rsidR="001F67E3" w:rsidRPr="003D7EC4" w:rsidRDefault="001F67E3" w:rsidP="00E05D08">
                            <w:pPr>
                              <w:pStyle w:val="HStandard"/>
                              <w:rPr>
                                <w:rFonts w:cs="Arial"/>
                                <w:sz w:val="18"/>
                              </w:rPr>
                            </w:pPr>
                            <w:r>
                              <w:rPr>
                                <w:noProof/>
                                <w:lang w:val="en-GB" w:eastAsia="en-GB"/>
                              </w:rPr>
                              <w:drawing>
                                <wp:inline distT="0" distB="0" distL="0" distR="0" wp14:anchorId="63502ABC" wp14:editId="15845421">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127F70">
                              <w:rPr>
                                <w:sz w:val="18"/>
                                <w:szCs w:val="18"/>
                              </w:rPr>
                              <w:t>Novatoriškų idėjų, procesų, modelių ir (arba) technologijų, kurie buvo pateikti pagal KPP, taikymą galima įvertinti pasitelkiant apklausas, kuriomis įvertinamas naujovių taikymo lygis bei mastas ir nustatomas naujovių šaltinis. Rengiant apklausas turėtų būti siekiama:</w:t>
                            </w:r>
                          </w:p>
                          <w:p w:rsidR="001F67E3" w:rsidRPr="003D7EC4" w:rsidRDefault="001F67E3" w:rsidP="008C0B17">
                            <w:pPr>
                              <w:pStyle w:val="HStandard"/>
                              <w:numPr>
                                <w:ilvl w:val="3"/>
                                <w:numId w:val="43"/>
                              </w:numPr>
                            </w:pPr>
                            <w:r>
                              <w:rPr>
                                <w:sz w:val="18"/>
                              </w:rPr>
                              <w:t>įtraukti ne tik naujoves įdiegusius subjektus, bet ir tuos, kurie jų neįdiegė, taip pat apklausa turėtų būti siekiama: a) išaiškinti neįdiegimo priežastis ir b) nustatyti, ar yra kitų klausimo, kurį padėjo išspręsti įdiegta naujovė, sprendimo būdų;</w:t>
                            </w:r>
                          </w:p>
                          <w:p w:rsidR="001F67E3" w:rsidRPr="000E5745" w:rsidRDefault="001F67E3" w:rsidP="008C0B17">
                            <w:pPr>
                              <w:pStyle w:val="HStandard"/>
                              <w:numPr>
                                <w:ilvl w:val="3"/>
                                <w:numId w:val="43"/>
                              </w:numPr>
                            </w:pPr>
                            <w:r>
                              <w:rPr>
                                <w:sz w:val="18"/>
                              </w:rPr>
                              <w:t>pažymėti naują idėją taikančius ir jos netaikančius subjektus ten, kur, kaip žinoma, nauja idėja buvo įdiegta, taip pat vietovėse, kurios, atliekant inovacijų skatinimo potencialo vertinimą, buvo nustatytos kaip perspektyvios (žr. </w:t>
                            </w:r>
                            <w:hyperlink w:anchor="Screening_Potential" w:history="1">
                              <w:r>
                                <w:rPr>
                                  <w:rStyle w:val="Hyperlink"/>
                                  <w:sz w:val="18"/>
                                </w:rPr>
                                <w:t>2.2 skyrių</w:t>
                              </w:r>
                            </w:hyperlink>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C199A" id="Rectangle: Diagonal Corners Rounded 562" o:spid="_x0000_s1056" style="position:absolute;left:0;text-align:left;margin-left:27.65pt;margin-top:92.9pt;width:426.35pt;height:19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4645,2467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" adj="-11796480,,5400" path="m193535,l5414645,r,l5414645,2274075v,106886,-86649,193535,-193535,193535l,2467610r,l,193535c,86649,86649,,193535,xe" filled="f" strokecolor="#be4a35" strokeweight="2pt">
                <v:stroke joinstyle="miter"/>
                <v:formulas/>
                <v:path arrowok="t" o:connecttype="custom" o:connectlocs="193535,0;5414645,0;5414645,0;5414645,2274075;5221110,2467610;0,2467610;0,2467610;0,193535;193535,0" o:connectangles="0,0,0,0,0,0,0,0,0" textboxrect="0,0,5414645,2467610"/>
                <v:textbox>
                  <w:txbxContent>
                    <w:p w:rsidR="001F67E3" w:rsidRPr="003D7EC4" w:rsidRDefault="001F67E3" w:rsidP="00E05D08">
                      <w:pPr>
                        <w:pStyle w:val="HStandard"/>
                        <w:rPr>
                          <w:rFonts w:cs="Arial"/>
                          <w:sz w:val="18"/>
                        </w:rPr>
                      </w:pPr>
                      <w:r>
                        <w:rPr>
                          <w:noProof/>
                          <w:lang w:val="en-GB" w:eastAsia="en-GB"/>
                        </w:rPr>
                        <w:drawing>
                          <wp:inline distT="0" distB="0" distL="0" distR="0" wp14:anchorId="63502ABC" wp14:editId="15845421">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127F70">
                        <w:rPr>
                          <w:sz w:val="18"/>
                          <w:szCs w:val="18"/>
                        </w:rPr>
                        <w:t>Novatoriškų idėjų, procesų, modelių ir (arba) technologijų, kurie buvo pateikti pagal KPP, taikymą galima įvertinti pasitelkiant apklausas, kuriomis įvertinamas naujovių taikymo lygis bei mastas ir nustatomas naujovių šaltinis. Rengiant apklausas turėtų būti siekiama:</w:t>
                      </w:r>
                    </w:p>
                    <w:p w:rsidR="001F67E3" w:rsidRPr="003D7EC4" w:rsidRDefault="001F67E3" w:rsidP="008C0B17">
                      <w:pPr>
                        <w:pStyle w:val="HStandard"/>
                        <w:numPr>
                          <w:ilvl w:val="3"/>
                          <w:numId w:val="43"/>
                        </w:numPr>
                      </w:pPr>
                      <w:r>
                        <w:rPr>
                          <w:sz w:val="18"/>
                        </w:rPr>
                        <w:t>įtraukti ne tik naujoves įdiegusius subjektus, bet ir tuos, kurie jų neįdiegė, taip pat apklausa turėtų būti siekiama: a) išaiškinti neįdiegimo priežastis ir b) nustatyti, ar yra kitų klausimo, kurį padėjo išspręsti įdiegta naujovė, sprendimo būdų;</w:t>
                      </w:r>
                    </w:p>
                    <w:p w:rsidR="001F67E3" w:rsidRPr="000E5745" w:rsidRDefault="001F67E3" w:rsidP="008C0B17">
                      <w:pPr>
                        <w:pStyle w:val="HStandard"/>
                        <w:numPr>
                          <w:ilvl w:val="3"/>
                          <w:numId w:val="43"/>
                        </w:numPr>
                      </w:pPr>
                      <w:r>
                        <w:rPr>
                          <w:sz w:val="18"/>
                        </w:rPr>
                        <w:t>pažymėti naują idėją taikančius ir jos netaikančius subjektus ten, kur, kaip žinoma, nauja idėja buvo įdiegta, taip pat vietovėse, kurios, atliekant inovacijų skatinimo potencialo vertinimą, buvo nustatytos kaip perspektyvios (žr. </w:t>
                      </w:r>
                      <w:hyperlink w:anchor="Screening_Potential" w:history="1">
                        <w:r>
                          <w:rPr>
                            <w:rStyle w:val="Hyperlink"/>
                            <w:sz w:val="18"/>
                          </w:rPr>
                          <w:t>2.2 skyrių</w:t>
                        </w:r>
                      </w:hyperlink>
                      <w:r>
                        <w:rPr>
                          <w:sz w:val="18"/>
                        </w:rPr>
                        <w:t xml:space="preserve">). </w:t>
                      </w:r>
                    </w:p>
                  </w:txbxContent>
                </v:textbox>
                <w10:wrap type="square"/>
              </v:shape>
            </w:pict>
          </mc:Fallback>
        </mc:AlternateContent>
      </w:r>
      <w:r>
        <w:rPr>
          <w:b/>
        </w:rPr>
        <w:t>1 krypties</w:t>
      </w:r>
      <w:r>
        <w:t xml:space="preserve"> vertinimo kriterijus „novatoriškų idėjų, procesų, modelių ir (arba) technologijų, kurie buvo pateikti pagal KPP, taikymas“. Šį kriterijų galima įvertinti panaudojant bendruosius ir papildomus rodiklius, kaip siūloma 9 lentelėje. Bendriesiems rodikliams reikalingus duomenis galima surinkti pasinaudojant veiksmų duomenų baze. Papildomų rodiklių duomenis ir informaciją galima surinkti per vertintojo rengiamą ir atliekamą apklausą (žr. pavyzdį toliau).</w:t>
      </w:r>
    </w:p>
    <w:p w:rsidR="00A45935" w:rsidRPr="00717885" w:rsidRDefault="00A45935" w:rsidP="000026C6">
      <w:pPr>
        <w:pStyle w:val="Hlistbullet2"/>
      </w:pPr>
      <w:r>
        <w:rPr>
          <w:b/>
        </w:rPr>
        <w:t xml:space="preserve">2 kryptis </w:t>
      </w:r>
      <w:r>
        <w:t xml:space="preserve">yra susijusi su trimis vertinimo kriterijais, kurie taikomi kartu su rezultato rodikliais: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 xml:space="preserve">Pirmasis kriterijus – glaudesnis subjektų, dalyvaujančių skatinant pokyčius, prie kurių prisidėta pagal KPP, bendradarbiavimas ir informacijos mainai. Tai apima partnerių tarpusavio susitarimų, sudarytų tarpininkaujant pagal KPP, nustatymą naudojant papildomus rezultatų rodiklius: „oficialių partnerysčių susitarimų, sudarytų tarpininkaujant pagal KPP, skaičius, susijęs su kaimo plėtros prioritetų pokyčiais, prie kurių prisidėta kaimo plėtros programomis“ ir „bendradarbiavimo projektuose dalyvaujančių partnerių skaičiaus ir rūšių padidėjimas procentais“ (žr. darbinį dokumentą </w:t>
      </w:r>
      <w:hyperlink r:id="rId102" w:history="1">
        <w:r>
          <w:rPr>
            <w:color w:val="F07E31"/>
            <w:szCs w:val="20"/>
            <w:u w:val="single"/>
          </w:rPr>
          <w:t>2014–2020 m. kaimo plėtros programų bendrieji vertinimo klausimai</w:t>
        </w:r>
      </w:hyperlink>
      <w:r>
        <w:t xml:space="preserve">). Vertintojai gali surinkti pirmam papildomam rodikliui reikalingą informaciją ir duomenis, rengdami pokalbius su nustatytoje partnerystėje dalyvaujančiais partneriais ir sudarydami tikslines grupes su jais. Antrajam papildomam rodikliui reikalingus duomenis galima gauti tiesiogiai iš veiksmų duomenų bazės.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Antrasis rodiklis yra susijęs su KPP indėliu sudarant didesnes mokymosi, informacijos apmąstymo ir mainų galimybes. Tai apima bendradarbiavimo platformų (pvz., praktikos bendruomenės), grupių ir kitų institucinės „erdvės“ formų (pvz., po veiksmų atliekamų peržiūrų) nustatymą, kai bendraujama ir virtualiai, ir dalyvaujant tiesiogiai, kurios leidžia inovacijų proceso dalyviams pasikeisti patirtimi, apmąstyti jos reikšmę ir vertę, mokytis ir imtis tolesnių veiksmų. Papildomą rezultato rodiklį „platformų ir „erdvių“, padedančių remti inovacijas, kurios buvo sukurtos arba sustiprintos KPP priemonėmis, skaičius ir kokybė“ siūloma taikyti siekiant įvertinti šiuo vertinimo kriterijumi apibūdinamą pažangą</w:t>
      </w:r>
      <w:r>
        <w:rPr>
          <w:i/>
          <w:sz w:val="18"/>
          <w:szCs w:val="16"/>
        </w:rPr>
        <w:t xml:space="preserve">. </w:t>
      </w:r>
      <w:r>
        <w:t xml:space="preserve">Kiekybinę ir kokybinę informaciją surenka vertintojai vertinimo metu (pvz., rengdami tikslinių grupių pokalbius su pirmiau minėtų platformų / erdvių dalyviais). </w:t>
      </w:r>
    </w:p>
    <w:p w:rsidR="00A45935" w:rsidRPr="00253803" w:rsidRDefault="003B44A9" w:rsidP="000026C6">
      <w:pPr>
        <w:numPr>
          <w:ilvl w:val="3"/>
          <w:numId w:val="44"/>
        </w:numPr>
        <w:spacing w:before="60" w:after="120" w:line="280" w:lineRule="atLeast"/>
        <w:ind w:left="1701" w:hanging="567"/>
        <w:rPr>
          <w:rFonts w:eastAsia="Times New Roman" w:cs="Arial"/>
          <w:szCs w:val="20"/>
        </w:rPr>
      </w:pPr>
      <w:r>
        <w:rPr>
          <w:rFonts w:eastAsia="Times New Roman" w:cs="Times New Roman"/>
          <w:noProof/>
          <w:szCs w:val="20"/>
          <w:highlight w:val="yellow"/>
          <w:lang w:val="en-GB" w:eastAsia="en-GB"/>
        </w:rPr>
        <w:lastRenderedPageBreak/>
        <mc:AlternateContent>
          <mc:Choice Requires="wps">
            <w:drawing>
              <wp:anchor distT="0" distB="0" distL="114300" distR="114300" simplePos="0" relativeHeight="251727872" behindDoc="0" locked="0" layoutInCell="1" allowOverlap="1" wp14:anchorId="24A1BA36" wp14:editId="295E4E0C">
                <wp:simplePos x="0" y="0"/>
                <wp:positionH relativeFrom="column">
                  <wp:posOffset>3322320</wp:posOffset>
                </wp:positionH>
                <wp:positionV relativeFrom="paragraph">
                  <wp:posOffset>1035685</wp:posOffset>
                </wp:positionV>
                <wp:extent cx="2360930" cy="2011680"/>
                <wp:effectExtent l="0" t="0" r="20320" b="26670"/>
                <wp:wrapSquare wrapText="bothSides"/>
                <wp:docPr id="564" name="Rectangle: Diagonal Corners Rounded 564"/>
                <wp:cNvGraphicFramePr/>
                <a:graphic xmlns:a="http://schemas.openxmlformats.org/drawingml/2006/main">
                  <a:graphicData uri="http://schemas.microsoft.com/office/word/2010/wordprocessingShape">
                    <wps:wsp>
                      <wps:cNvSpPr/>
                      <wps:spPr>
                        <a:xfrm>
                          <a:off x="0" y="0"/>
                          <a:ext cx="2360930" cy="2011680"/>
                        </a:xfrm>
                        <a:prstGeom prst="round2DiagRect">
                          <a:avLst>
                            <a:gd name="adj1" fmla="val 7843"/>
                            <a:gd name="adj2" fmla="val 0"/>
                          </a:avLst>
                        </a:prstGeom>
                        <a:noFill/>
                        <a:ln w="25400" cap="flat" cmpd="sng" algn="ctr">
                          <a:solidFill>
                            <a:srgbClr val="BE4A35"/>
                          </a:solidFill>
                          <a:prstDash val="solid"/>
                        </a:ln>
                        <a:effectLst/>
                      </wps:spPr>
                      <wps:txbx>
                        <w:txbxContent>
                          <w:p w:rsidR="001F67E3" w:rsidRPr="000E5745" w:rsidRDefault="001F67E3" w:rsidP="00E05D08">
                            <w:pPr>
                              <w:pStyle w:val="HStandard"/>
                            </w:pPr>
                            <w:r>
                              <w:rPr>
                                <w:noProof/>
                                <w:lang w:val="en-GB" w:eastAsia="en-GB"/>
                              </w:rPr>
                              <w:drawing>
                                <wp:inline distT="0" distB="0" distL="0" distR="0" wp14:anchorId="109C23B3" wp14:editId="511235DC">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Rezultatų rinkimas</w:t>
                            </w:r>
                            <w:r>
                              <w:rPr>
                                <w:color w:val="BE4A35"/>
                                <w:sz w:val="18"/>
                              </w:rPr>
                              <w:t xml:space="preserve"> </w:t>
                            </w:r>
                            <w:r>
                              <w:rPr>
                                <w:sz w:val="18"/>
                              </w:rPr>
                              <w:t>– metodas, kurį taikant KPP permainų tarpininkai (dalyvaujantieji KPP bendradarbiavimo politikoje) nustato politikos pokyčius, prie kurių prisidėta kaimo plėtros programomis, o tada gerai informuoti, bet nepriklausomi asmenys šiuos pareiškimus patvirtina.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1BA36" id="Rectangle: Diagonal Corners Rounded 564" o:spid="_x0000_s1057" style="position:absolute;left:0;text-align:left;margin-left:261.6pt;margin-top:81.55pt;width:185.9pt;height:15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0930,201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" adj="-11796480,,5400" path="m157776,l2360930,r,l2360930,1853904v,87137,-70639,157776,-157776,157776l,2011680r,l,157776c,70639,70639,,157776,xe" filled="f" strokecolor="#be4a35" strokeweight="2pt">
                <v:stroke joinstyle="miter"/>
                <v:formulas/>
                <v:path arrowok="t" o:connecttype="custom" o:connectlocs="157776,0;2360930,0;2360930,0;2360930,1853904;2203154,2011680;0,2011680;0,2011680;0,157776;157776,0" o:connectangles="0,0,0,0,0,0,0,0,0" textboxrect="0,0,2360930,2011680"/>
                <v:textbox>
                  <w:txbxContent>
                    <w:p w:rsidR="001F67E3" w:rsidRPr="000E5745" w:rsidRDefault="001F67E3" w:rsidP="00E05D08">
                      <w:pPr>
                        <w:pStyle w:val="HStandard"/>
                      </w:pPr>
                      <w:r>
                        <w:rPr>
                          <w:noProof/>
                          <w:lang w:val="en-GB" w:eastAsia="en-GB"/>
                        </w:rPr>
                        <w:drawing>
                          <wp:inline distT="0" distB="0" distL="0" distR="0" wp14:anchorId="109C23B3" wp14:editId="511235DC">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Rezultatų rinkimas</w:t>
                      </w:r>
                      <w:r>
                        <w:rPr>
                          <w:color w:val="BE4A35"/>
                          <w:sz w:val="18"/>
                        </w:rPr>
                        <w:t xml:space="preserve"> </w:t>
                      </w:r>
                      <w:r>
                        <w:rPr>
                          <w:sz w:val="18"/>
                        </w:rPr>
                        <w:t>– metodas, kurį taikant KPP permainų tarpininkai (dalyvaujantieji KPP bendradarbiavimo politikoje) nustato politikos pokyčius, prie kurių prisidėta kaimo plėtros programomis, o tada gerai informuoti, bet nepriklausomi asmenys šiuos pareiškimus patvirtina.</w:t>
                      </w:r>
                    </w:p>
                  </w:txbxContent>
                </v:textbox>
                <w10:wrap type="square"/>
              </v:shape>
            </w:pict>
          </mc:Fallback>
        </mc:AlternateContent>
      </w:r>
      <w:r>
        <w:t>Trečiasis rodiklis yra susijęs su informacijos srauto pagerėjimu ir didesne organizavimo formų įvairove inovacijų sistemoje, kurioje įvyko pokyčiai. Rodiklio duomenis galima surinkti panaudojant papildomą rezultatų rodiklį: „tinklinio grafiko kelio vidutinės trukmės ir tinklų įvairovės sumažėjimas“. Šį rodiklį galima įvertinti taikant socialinių tinklų analizę, kurią vertintojas atlieka vertinimo metu.</w:t>
      </w:r>
      <w:r>
        <w:rPr>
          <w:b/>
          <w:i/>
          <w:color w:val="BE4A35"/>
          <w:szCs w:val="20"/>
        </w:rPr>
        <w:t xml:space="preserve"> Socialinių tinklų analizė</w:t>
      </w:r>
      <w:r>
        <w:rPr>
          <w:rFonts w:eastAsia="Calibri" w:cs="Times New Roman"/>
          <w:szCs w:val="20"/>
          <w:vertAlign w:val="superscript"/>
        </w:rPr>
        <w:footnoteReference w:id="77"/>
      </w:r>
      <w:r>
        <w:t xml:space="preserve"> – metodas, taikomas siekiant surinkti susijusių rodiklių duomenis dviejuose laiko taškuose, apskaičiuojant vidutinės grafiko kelio trukmės ir skirtingų rūšių dalyvaujančių subjektų skaičiaus pokyčius. Tuomet būtina pokyčius vėl susieti su KPP intervenciniais veiksmais pasitelkiant </w:t>
      </w:r>
      <w:r>
        <w:rPr>
          <w:b/>
          <w:i/>
          <w:szCs w:val="20"/>
        </w:rPr>
        <w:t>pokalbius</w:t>
      </w:r>
      <w:r>
        <w:t xml:space="preserve"> su svarbiausiais informatoriais – gerai informuotais, bet nepriklausomais asmenimis, kurie galėtų patvirtinti arba atmesti pareiškimus dėl priežastinio ryšio buvimo. Geriausiu atveju pradinė padėtis turėtų būti nustatoma KPP rengimo pradžioje, kaip inovacijų skatinimo potencialo vertinimo dalis.</w:t>
      </w:r>
    </w:p>
    <w:p w:rsidR="00A45935" w:rsidRPr="00E34FAC" w:rsidRDefault="00A45935" w:rsidP="00A847F8">
      <w:pPr>
        <w:pStyle w:val="Hlistbullet2"/>
      </w:pPr>
      <w:r>
        <w:rPr>
          <w:b/>
        </w:rPr>
        <w:t>3 kryptis</w:t>
      </w:r>
      <w:r>
        <w:t xml:space="preserve"> apima keletą vertinimo kriterijų, susijusių su įvairiomis 1.1 skyriuje apibūdintomis palankios aplinkos rūšimis:</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pirmasis kriterijus susijęs su mastu, kuriuo KPP padarė poveikį politikos sritims, padėjusioms įgyvendinti pokytį, prie kurio prisidėta pagal KPP. Tam reikia nustatyti politikos sritis, kurioms, kaip būtų galima teigti, KPP padarė įtaką, o tada surinkti įrodymus, kad būtų galima nustatyti šių pareiškimų pagrįstumą. Įrodymus galima surinkti atliekant vertinimą, pasitelkus papildomą rezultatų rodiklį „politikos sričių, kurioms KPP turėjo įtakos dalyvaujančiųjų organizacijų lygmeniu, skaičius ir rūšys ir platesnė inovacijoms palanki aplinka“. Rezultatų rinkimo</w:t>
      </w:r>
      <w:r>
        <w:rPr>
          <w:rFonts w:eastAsia="Times New Roman" w:cs="Arial"/>
          <w:szCs w:val="20"/>
          <w:vertAlign w:val="superscript"/>
          <w:lang w:eastAsia="de-DE"/>
        </w:rPr>
        <w:footnoteReference w:id="78"/>
      </w:r>
      <w:r>
        <w:t xml:space="preserve"> metodas puikiai tinka siekiant įvertinti KPP bendradarbiavimo politiką; </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antrasis vertinimo kriterijus susijęs su mokymosi ir novatoriškos patirties mainų galimybėmis, kurios remiamos pagal KPP. Siūlomas papildomas rezultatų rodiklis – „mokymo seminarų ir novatoriškos patirties mainų renginių skaičius ir jų dalis, atsižvelgiant į visą pagal KPP paremtų mokymo seminarų / renginių skaičių“. Šio rodiklio duomenis galima surinkti iš veiksmų duomenų bazės, susiejus informaciją apie mokymo veiklą ir renginius su inovacijomis;</w:t>
      </w:r>
    </w:p>
    <w:p w:rsidR="00A45935" w:rsidRPr="00E05D08" w:rsidRDefault="00A45935" w:rsidP="00A847F8">
      <w:pPr>
        <w:numPr>
          <w:ilvl w:val="0"/>
          <w:numId w:val="48"/>
        </w:numPr>
        <w:spacing w:before="60" w:after="120" w:line="280" w:lineRule="atLeast"/>
        <w:ind w:left="1701" w:hanging="567"/>
        <w:rPr>
          <w:rFonts w:eastAsia="Times New Roman" w:cs="Arial"/>
          <w:szCs w:val="20"/>
        </w:rPr>
      </w:pPr>
      <w:r>
        <w:t xml:space="preserve">trečiasis vertinimo kriterijus susijęs su inovacijų srities subjektų tarpusavio sąveikos galimybių sudarymu. Siekiant įvertinti su šiuo vertinimo kriterijumi susijusią pažangą, rekomenduojama taikyti papildomą rezultatų rodiklį: „surengtų pagal KPP paremtų renginių, skirtų inovacijų srities subjektų tarpusavio ryšiams užmegzti, skaičius“. Šiam rodikliui reikalingus duomenis galima surinkti iš veiksmų duomenų bazės (pvz., papildant renginių stebėsenos duomenis informacija apie inovacijų srities subjektus, paremtus KPP); </w:t>
      </w:r>
    </w:p>
    <w:p w:rsidR="001275FF" w:rsidRDefault="00A45935" w:rsidP="00A847F8">
      <w:pPr>
        <w:numPr>
          <w:ilvl w:val="0"/>
          <w:numId w:val="48"/>
        </w:numPr>
        <w:spacing w:before="60" w:after="120" w:line="280" w:lineRule="atLeast"/>
        <w:ind w:left="1701" w:hanging="567"/>
        <w:rPr>
          <w:rFonts w:eastAsia="Calibri" w:cs="Arial"/>
          <w:szCs w:val="20"/>
        </w:rPr>
      </w:pPr>
      <w:r>
        <w:lastRenderedPageBreak/>
        <w:t xml:space="preserve">ketvirtasis vertinimo kriterijus susijęs su KPP, kaip palankios naujoms technologijoms diegti aplinkos kūrimą lemiančiu veiksniu. Jį galima įvertinti pasitelkus papildomą rezultatų rodiklį „pagal KPP paremtų naujų technologijų kaimo vietovėse skaičius pagal rūšis“. Šiam rodikliui reikalingą informaciją galima gauti iš veiksmų duomenų bazės, jeigu ji atitinkamai pritaikoma. </w:t>
      </w:r>
    </w:p>
    <w:p w:rsidR="00A45935" w:rsidRPr="000E1023" w:rsidRDefault="00A847F8" w:rsidP="00A847F8">
      <w:pPr>
        <w:pStyle w:val="Hlistbullet"/>
        <w:rPr>
          <w:color w:val="FFFFFF" w:themeColor="background1"/>
        </w:rPr>
      </w:pPr>
      <w:r>
        <w:rPr>
          <w:b/>
          <w:noProof/>
          <w:highlight w:val="yellow"/>
          <w:lang w:val="en-GB" w:eastAsia="en-GB"/>
        </w:rPr>
        <mc:AlternateContent>
          <mc:Choice Requires="wps">
            <w:drawing>
              <wp:anchor distT="0" distB="0" distL="114300" distR="114300" simplePos="0" relativeHeight="251693056" behindDoc="0" locked="0" layoutInCell="1" allowOverlap="1" wp14:anchorId="7C1AB931" wp14:editId="3771719A">
                <wp:simplePos x="0" y="0"/>
                <wp:positionH relativeFrom="column">
                  <wp:posOffset>40640</wp:posOffset>
                </wp:positionH>
                <wp:positionV relativeFrom="paragraph">
                  <wp:posOffset>2043049</wp:posOffset>
                </wp:positionV>
                <wp:extent cx="5670550" cy="2631440"/>
                <wp:effectExtent l="0" t="0" r="25400" b="16510"/>
                <wp:wrapSquare wrapText="bothSides"/>
                <wp:docPr id="566" name="Rectangle: Diagonal Corners Rounded 566"/>
                <wp:cNvGraphicFramePr/>
                <a:graphic xmlns:a="http://schemas.openxmlformats.org/drawingml/2006/main">
                  <a:graphicData uri="http://schemas.microsoft.com/office/word/2010/wordprocessingShape">
                    <wps:wsp>
                      <wps:cNvSpPr/>
                      <wps:spPr>
                        <a:xfrm>
                          <a:off x="0" y="0"/>
                          <a:ext cx="5670550" cy="2631440"/>
                        </a:xfrm>
                        <a:prstGeom prst="round2DiagRect">
                          <a:avLst>
                            <a:gd name="adj1" fmla="val 7843"/>
                            <a:gd name="adj2" fmla="val 0"/>
                          </a:avLst>
                        </a:prstGeom>
                        <a:noFill/>
                        <a:ln w="25400" cap="flat" cmpd="sng" algn="ctr">
                          <a:solidFill>
                            <a:srgbClr val="BE4A35"/>
                          </a:solidFill>
                          <a:prstDash val="solid"/>
                        </a:ln>
                        <a:effectLst/>
                      </wps:spPr>
                      <wps:txbx>
                        <w:txbxContent>
                          <w:p w:rsidR="001F67E3" w:rsidRPr="00EF653F" w:rsidRDefault="001F67E3" w:rsidP="00E05D08">
                            <w:pPr>
                              <w:pStyle w:val="HStandard"/>
                              <w:rPr>
                                <w:rFonts w:cs="Arial"/>
                                <w:b/>
                                <w:sz w:val="18"/>
                                <w:szCs w:val="18"/>
                              </w:rPr>
                            </w:pPr>
                            <w:r>
                              <w:rPr>
                                <w:noProof/>
                                <w:lang w:val="en-GB" w:eastAsia="en-GB"/>
                              </w:rPr>
                              <w:drawing>
                                <wp:inline distT="0" distB="0" distL="0" distR="0" wp14:anchorId="42A91CBA" wp14:editId="6CBFE34F">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Vertinimo aprašymo plėtojimo ir rezultatų vertinimo būdai</w:t>
                            </w:r>
                          </w:p>
                          <w:p w:rsidR="001F67E3" w:rsidRPr="00EF653F" w:rsidRDefault="001F67E3" w:rsidP="00E05D08">
                            <w:pPr>
                              <w:pStyle w:val="HStandard"/>
                              <w:rPr>
                                <w:rFonts w:cs="Arial"/>
                                <w:sz w:val="18"/>
                                <w:szCs w:val="18"/>
                              </w:rPr>
                            </w:pPr>
                            <w:r>
                              <w:rPr>
                                <w:sz w:val="18"/>
                                <w:szCs w:val="18"/>
                              </w:rPr>
                              <w:t xml:space="preserve">Plėtodamas vertinimo aprašymą, vertintojas gali panaudoti keletą </w:t>
                            </w:r>
                            <w:r>
                              <w:rPr>
                                <w:b/>
                                <w:sz w:val="18"/>
                                <w:szCs w:val="18"/>
                              </w:rPr>
                              <w:t xml:space="preserve">metodų, kad taikydamas trianguliaciją galėtų pagrįsti tiriamą atvejį. </w:t>
                            </w:r>
                            <w:r>
                              <w:rPr>
                                <w:sz w:val="18"/>
                                <w:szCs w:val="18"/>
                              </w:rPr>
                              <w:t>Tokie metodai – tai: indėlio analizė, kurią atlikdamas vertintojas nustato būtiną ir pakankamą priežastinių ryšių grandinę, leidžiančią paaiškinti pokytį</w:t>
                            </w:r>
                            <w:r>
                              <w:rPr>
                                <w:sz w:val="18"/>
                                <w:szCs w:val="18"/>
                                <w:vertAlign w:val="superscript"/>
                              </w:rPr>
                              <w:t>82</w:t>
                            </w:r>
                            <w:r>
                              <w:rPr>
                                <w:sz w:val="18"/>
                                <w:szCs w:val="18"/>
                              </w:rPr>
                              <w:t>; metodas siekiant nustatyti ir atmesti alternatyvius priežastinius paaiškinimus</w:t>
                            </w:r>
                            <w:r>
                              <w:rPr>
                                <w:sz w:val="18"/>
                                <w:szCs w:val="18"/>
                                <w:vertAlign w:val="superscript"/>
                              </w:rPr>
                              <w:t>83</w:t>
                            </w:r>
                            <w:r>
                              <w:rPr>
                                <w:sz w:val="18"/>
                                <w:szCs w:val="18"/>
                              </w:rPr>
                              <w:t xml:space="preserve"> ir (arba) nustatyti ir pagrįsti itin svarbias įrodymų, surinktų siekiant įrodyti KPP indėlį</w:t>
                            </w:r>
                            <w:r>
                              <w:rPr>
                                <w:sz w:val="18"/>
                                <w:szCs w:val="18"/>
                                <w:vertAlign w:val="superscript"/>
                              </w:rPr>
                              <w:t>84</w:t>
                            </w:r>
                            <w:r>
                              <w:rPr>
                                <w:sz w:val="18"/>
                                <w:szCs w:val="18"/>
                              </w:rPr>
                              <w:t>, grandinės dalis.</w:t>
                            </w:r>
                          </w:p>
                          <w:p w:rsidR="001F67E3" w:rsidRPr="000E5745" w:rsidRDefault="001F67E3" w:rsidP="00E05D08">
                            <w:pPr>
                              <w:pStyle w:val="HStandard"/>
                            </w:pPr>
                            <w:r>
                              <w:rPr>
                                <w:sz w:val="18"/>
                                <w:szCs w:val="18"/>
                              </w:rPr>
                              <w:t>KPP indėlio mastas turėtų būti vertinamas pagal Likerto skalę</w:t>
                            </w:r>
                            <w:r>
                              <w:rPr>
                                <w:sz w:val="18"/>
                                <w:szCs w:val="18"/>
                                <w:vertAlign w:val="superscript"/>
                              </w:rPr>
                              <w:t>85</w:t>
                            </w:r>
                            <w:r>
                              <w:rPr>
                                <w:sz w:val="18"/>
                                <w:szCs w:val="18"/>
                              </w:rPr>
                              <w:t>, pavyzdžiui, „jokio indėlio“, „mažas indėlis“, „tam tikras indėlis“, „vienas pagrindinių indėlį lėmusių veiksnių“, „vienintelis indėlį lėmęs veiksnys“. Vertintojas taip pat turėtų įvertinti savo pasitikėjimo vertinimo rezultatais lygį pagal panašaus tipo penkių balų skalę. Gautas įvertis turės būti patvirtintas.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B931" id="Rectangle: Diagonal Corners Rounded 566" o:spid="_x0000_s1058" style="position:absolute;left:0;text-align:left;margin-left:3.2pt;margin-top:160.85pt;width:446.5pt;height:20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0,2631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" adj="-11796480,,5400" path="m206384,l5670550,r,l5670550,2425056v,113983,-92401,206384,-206384,206384l,2631440r,l,206384c,92401,92401,,206384,xe" filled="f" strokecolor="#be4a35" strokeweight="2pt">
                <v:stroke joinstyle="miter"/>
                <v:formulas/>
                <v:path arrowok="t" o:connecttype="custom" o:connectlocs="206384,0;5670550,0;5670550,0;5670550,2425056;5464166,2631440;0,2631440;0,2631440;0,206384;206384,0" o:connectangles="0,0,0,0,0,0,0,0,0" textboxrect="0,0,5670550,2631440"/>
                <v:textbox>
                  <w:txbxContent>
                    <w:p w:rsidR="001F67E3" w:rsidRPr="00EF653F" w:rsidRDefault="001F67E3" w:rsidP="00E05D08">
                      <w:pPr>
                        <w:pStyle w:val="HStandard"/>
                        <w:rPr>
                          <w:rFonts w:cs="Arial"/>
                          <w:b/>
                          <w:sz w:val="18"/>
                          <w:szCs w:val="18"/>
                        </w:rPr>
                      </w:pPr>
                      <w:r>
                        <w:rPr>
                          <w:noProof/>
                          <w:lang w:val="en-GB" w:eastAsia="en-GB"/>
                        </w:rPr>
                        <w:drawing>
                          <wp:inline distT="0" distB="0" distL="0" distR="0" wp14:anchorId="42A91CBA" wp14:editId="6CBFE34F">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Vertinimo aprašymo plėtojimo ir rezultatų vertinimo būdai</w:t>
                      </w:r>
                    </w:p>
                    <w:p w:rsidR="001F67E3" w:rsidRPr="00EF653F" w:rsidRDefault="001F67E3" w:rsidP="00E05D08">
                      <w:pPr>
                        <w:pStyle w:val="HStandard"/>
                        <w:rPr>
                          <w:rFonts w:cs="Arial"/>
                          <w:sz w:val="18"/>
                          <w:szCs w:val="18"/>
                        </w:rPr>
                      </w:pPr>
                      <w:r>
                        <w:rPr>
                          <w:sz w:val="18"/>
                          <w:szCs w:val="18"/>
                        </w:rPr>
                        <w:t xml:space="preserve">Plėtodamas vertinimo aprašymą, vertintojas gali panaudoti keletą </w:t>
                      </w:r>
                      <w:r>
                        <w:rPr>
                          <w:b/>
                          <w:sz w:val="18"/>
                          <w:szCs w:val="18"/>
                        </w:rPr>
                        <w:t xml:space="preserve">metodų, kad taikydamas trianguliaciją galėtų pagrįsti tiriamą atvejį. </w:t>
                      </w:r>
                      <w:r>
                        <w:rPr>
                          <w:sz w:val="18"/>
                          <w:szCs w:val="18"/>
                        </w:rPr>
                        <w:t>Tokie metodai – tai: indėlio analizė, kurią atlikdamas vertintojas nustato būtiną ir pakankamą priežastinių ryšių grandinę, leidžiančią paaiškinti pokytį</w:t>
                      </w:r>
                      <w:r>
                        <w:rPr>
                          <w:sz w:val="18"/>
                          <w:szCs w:val="18"/>
                          <w:vertAlign w:val="superscript"/>
                        </w:rPr>
                        <w:t>82</w:t>
                      </w:r>
                      <w:r>
                        <w:rPr>
                          <w:sz w:val="18"/>
                          <w:szCs w:val="18"/>
                        </w:rPr>
                        <w:t>; metodas siekiant nustatyti ir atmesti alternatyvius priežastinius paaiškinimus</w:t>
                      </w:r>
                      <w:r>
                        <w:rPr>
                          <w:sz w:val="18"/>
                          <w:szCs w:val="18"/>
                          <w:vertAlign w:val="superscript"/>
                        </w:rPr>
                        <w:t>83</w:t>
                      </w:r>
                      <w:r>
                        <w:rPr>
                          <w:sz w:val="18"/>
                          <w:szCs w:val="18"/>
                        </w:rPr>
                        <w:t xml:space="preserve"> ir (arba) nustatyti ir pagrįsti itin svarbias įrodymų, surinktų siekiant įrodyti KPP indėlį</w:t>
                      </w:r>
                      <w:r>
                        <w:rPr>
                          <w:sz w:val="18"/>
                          <w:szCs w:val="18"/>
                          <w:vertAlign w:val="superscript"/>
                        </w:rPr>
                        <w:t>84</w:t>
                      </w:r>
                      <w:r>
                        <w:rPr>
                          <w:sz w:val="18"/>
                          <w:szCs w:val="18"/>
                        </w:rPr>
                        <w:t>, grandinės dalis.</w:t>
                      </w:r>
                    </w:p>
                    <w:p w:rsidR="001F67E3" w:rsidRPr="000E5745" w:rsidRDefault="001F67E3" w:rsidP="00E05D08">
                      <w:pPr>
                        <w:pStyle w:val="HStandard"/>
                      </w:pPr>
                      <w:r>
                        <w:rPr>
                          <w:sz w:val="18"/>
                          <w:szCs w:val="18"/>
                        </w:rPr>
                        <w:t>KPP indėlio mastas turėtų būti vertinamas pagal Likerto skalę</w:t>
                      </w:r>
                      <w:r>
                        <w:rPr>
                          <w:sz w:val="18"/>
                          <w:szCs w:val="18"/>
                          <w:vertAlign w:val="superscript"/>
                        </w:rPr>
                        <w:t>85</w:t>
                      </w:r>
                      <w:r>
                        <w:rPr>
                          <w:sz w:val="18"/>
                          <w:szCs w:val="18"/>
                        </w:rPr>
                        <w:t>, pavyzdžiui, „jokio indėlio“, „mažas indėlis“, „tam tikras indėlis“, „vienas pagrindinių indėlį lėmusių veiksnių“, „vienintelis indėlį lėmęs veiksnys“. Vertintojas taip pat turėtų įvertinti savo pasitikėjimo vertinimo rezultatais lygį pagal panašaus tipo penkių balų skalę. Gautas įvertis turės būti patvirtintas.</w:t>
                      </w:r>
                    </w:p>
                  </w:txbxContent>
                </v:textbox>
                <w10:wrap type="square"/>
              </v:shape>
            </w:pict>
          </mc:Fallback>
        </mc:AlternateContent>
      </w:r>
      <w:r>
        <w:rPr>
          <w:b/>
        </w:rPr>
        <w:t xml:space="preserve">3 ETAPAS. Nustatykite priežastinę įvykių seką ir parenkite aprašymą, </w:t>
      </w:r>
      <w:r>
        <w:t xml:space="preserve">kaip atsirado 1 etapu nustatytas (-i) pokytis (pokyčiai). Aprašyme bus daroma </w:t>
      </w:r>
      <w:r>
        <w:rPr>
          <w:i/>
        </w:rPr>
        <w:t>a priori</w:t>
      </w:r>
      <w:r>
        <w:t xml:space="preserve"> prielaida, kad pokytis (pokyčiai) atsirado laikantis vienos ar daugiau iš trijų krypčių ir dėl jų tarpusavio sąveikos (žr. </w:t>
      </w:r>
      <w:hyperlink w:anchor="Pathways" w:history="1">
        <w:r>
          <w:rPr>
            <w:rStyle w:val="Hyperlink"/>
            <w:sz w:val="20"/>
          </w:rPr>
          <w:t>1 diagramą</w:t>
        </w:r>
      </w:hyperlink>
      <w:r>
        <w:t>). Į priežastinių ryšių seką ir aprašymą turėtų būti įtraukti ne vien tik pagal KPP įgyvendinamos veiklos nulemti įvykiai ir procesai, bet visi pagrindiniai įvykiai ir procesai, dėl kurių atsirado pokytis. Šis metodas pagrįstas atvejo tyrimo metodika</w:t>
      </w:r>
      <w:r>
        <w:rPr>
          <w:rFonts w:cs="Arial"/>
          <w:vertAlign w:val="superscript"/>
        </w:rPr>
        <w:footnoteReference w:id="79"/>
      </w:r>
      <w:r>
        <w:t>. Specialūs metodai, kuriuos galima taikyti yra proceso atsekimo metodas (kuriuo nustatomas teorinis kelias nuo rezultato iki jį lėmusių priežasčių svarstant keletą alternatyvų)</w:t>
      </w:r>
      <w:r>
        <w:rPr>
          <w:rFonts w:cs="Arial"/>
          <w:vertAlign w:val="superscript"/>
        </w:rPr>
        <w:footnoteReference w:id="80"/>
      </w:r>
      <w:r>
        <w:t xml:space="preserve"> ir inovacijų istorijų kūrimo metodas (inovacijų proceso registravimo ir aptarimo metodas)</w:t>
      </w:r>
      <w:r>
        <w:rPr>
          <w:vertAlign w:val="superscript"/>
        </w:rPr>
        <w:t xml:space="preserve"> </w:t>
      </w:r>
      <w:r>
        <w:rPr>
          <w:rFonts w:cs="Arial"/>
          <w:vertAlign w:val="superscript"/>
        </w:rPr>
        <w:footnoteReference w:id="81"/>
      </w:r>
      <w:r>
        <w:t>. Reikalingus duomenis galima gauti pasinaudojus ankstesnių etapų rezultatais, atliekant KPP dokumentų peržiūrą ir (arba) rengiant pokalbius su svarbiausiais informatoriais – programų darbuotojais ir suinteresuotaisiais subjektais</w:t>
      </w:r>
      <w:r>
        <w:rPr>
          <w:rStyle w:val="FootnoteReference"/>
          <w:color w:val="FFFFFF" w:themeColor="background1"/>
        </w:rPr>
        <w:footnoteReference w:id="82"/>
      </w:r>
      <w:r>
        <w:rPr>
          <w:rStyle w:val="FootnoteReference"/>
          <w:color w:val="FFFFFF" w:themeColor="background1"/>
        </w:rPr>
        <w:footnoteReference w:id="83"/>
      </w:r>
      <w:r>
        <w:rPr>
          <w:rStyle w:val="FootnoteReference"/>
          <w:color w:val="FFFFFF" w:themeColor="background1"/>
        </w:rPr>
        <w:footnoteReference w:id="84"/>
      </w:r>
      <w:r>
        <w:t>.</w:t>
      </w:r>
      <w:r>
        <w:rPr>
          <w:rStyle w:val="FootnoteReference"/>
          <w:color w:val="FFFFFF" w:themeColor="background1"/>
        </w:rPr>
        <w:footnoteReference w:id="85"/>
      </w:r>
    </w:p>
    <w:p w:rsidR="00E05D08" w:rsidRPr="00E30E27" w:rsidRDefault="00E05D08" w:rsidP="00F31494">
      <w:pPr>
        <w:pStyle w:val="Hlistbullet"/>
        <w:spacing w:before="240"/>
      </w:pPr>
      <w:r>
        <w:rPr>
          <w:b/>
        </w:rPr>
        <w:t>4 ETAPAS. Palyginkite prieš vertinimą nustatytą inovacijų skatinimo potencialą su KPP indėliu.</w:t>
      </w:r>
      <w:r>
        <w:t xml:space="preserve"> Darome prielaidą, kad gali būti skirtumų, kurie padės visiems dalyvaujantiems inovacijų procese geriau suprasti inovacijas kaip naujai besivystantį ir nenuspėjamą procesą, kuris, vis tik gali būti plėtojamas, jeigu įgyvendinat KPP sukuriami mokymosi ir prisitaikomojo valdymo mechanizmai.</w:t>
      </w:r>
    </w:p>
    <w:p w:rsidR="00AB6603" w:rsidRDefault="00F64797" w:rsidP="00AB6603">
      <w:pPr>
        <w:numPr>
          <w:ilvl w:val="0"/>
          <w:numId w:val="62"/>
        </w:numPr>
        <w:spacing w:before="120" w:after="120" w:line="280" w:lineRule="atLeast"/>
        <w:ind w:left="567" w:hanging="567"/>
        <w:mirrorIndents/>
        <w:rPr>
          <w:rFonts w:eastAsia="Times New Roman" w:cs="Times New Roman"/>
          <w:b/>
          <w:szCs w:val="20"/>
        </w:rPr>
      </w:pPr>
      <w:r>
        <w:rPr>
          <w:b/>
          <w:szCs w:val="20"/>
        </w:rPr>
        <w:lastRenderedPageBreak/>
        <w:t>Rizika ir sprendimai</w:t>
      </w:r>
      <w:r>
        <w:t xml:space="preserve"> </w:t>
      </w:r>
    </w:p>
    <w:p w:rsidR="00E05D08" w:rsidRPr="00AB6603" w:rsidRDefault="00AB6603" w:rsidP="00A847F8">
      <w:pPr>
        <w:spacing w:before="120" w:after="120" w:line="280" w:lineRule="atLeast"/>
        <w:mirrorIndents/>
        <w:rPr>
          <w:rFonts w:eastAsia="Times New Roman" w:cs="Times New Roman"/>
          <w:b/>
          <w:szCs w:val="20"/>
        </w:rPr>
      </w:pPr>
      <w:r>
        <w:t>Pagrindinė rizika susijusi su tuo, kad pirmiau aprašytas atvejo tyrimu pagrįstas vertinimas gali būti nepakankamai aukštos kokybės, kad jo rezultatais būtų galima pasitikėti.</w:t>
      </w:r>
    </w:p>
    <w:p w:rsidR="00E05D08" w:rsidRDefault="00E05D08" w:rsidP="00E05D08">
      <w:pPr>
        <w:spacing w:after="120" w:line="280" w:lineRule="atLeast"/>
        <w:mirrorIndents/>
        <w:rPr>
          <w:rFonts w:eastAsia="Times New Roman" w:cs="Arial"/>
          <w:szCs w:val="20"/>
        </w:rPr>
      </w:pPr>
      <w:r>
        <w:t xml:space="preserve">Kita vertus, jeigu atvejo tyrimo metodas netaikomas, yra rizika, kad 30-asis BVK bus įvertintas tik atsižvelgiant į vertinimo kriterijus ir rodiklius, kurie neleis įvertinti nei KPP indėlio masto, nei padės vertinimo dalyviams sužinoti, kaip sudėtingose sistemose atsiranda pokyčiai. </w:t>
      </w:r>
    </w:p>
    <w:p w:rsidR="00E05D08" w:rsidRPr="00E05D08" w:rsidRDefault="00E05D08" w:rsidP="008C0B17">
      <w:pPr>
        <w:numPr>
          <w:ilvl w:val="0"/>
          <w:numId w:val="62"/>
        </w:numPr>
        <w:spacing w:before="120" w:after="120" w:line="280" w:lineRule="atLeast"/>
        <w:ind w:left="567" w:hanging="567"/>
        <w:mirrorIndents/>
        <w:rPr>
          <w:rFonts w:eastAsia="Times New Roman" w:cs="Times New Roman"/>
          <w:b/>
          <w:szCs w:val="20"/>
        </w:rPr>
      </w:pPr>
      <w:r>
        <w:rPr>
          <w:b/>
          <w:szCs w:val="20"/>
        </w:rPr>
        <w:t>Išvados ir rekomendacijos</w:t>
      </w:r>
    </w:p>
    <w:p w:rsidR="00E05D08" w:rsidRPr="00E05D08" w:rsidRDefault="00E05D08" w:rsidP="00E05D08">
      <w:pPr>
        <w:spacing w:after="120" w:line="280" w:lineRule="atLeast"/>
        <w:mirrorIndents/>
        <w:rPr>
          <w:rFonts w:eastAsia="Times New Roman" w:cs="Arial"/>
          <w:szCs w:val="20"/>
        </w:rPr>
      </w:pPr>
      <w:r>
        <w:t>Su 30-uoju BVK susijusiose išvadose ir rekomendacijose turėtų būti atsižvelgiama į:</w:t>
      </w:r>
    </w:p>
    <w:p w:rsidR="00E05D08" w:rsidRPr="00812586" w:rsidRDefault="00E05D08" w:rsidP="00320AA0">
      <w:pPr>
        <w:pStyle w:val="Hlistbullet"/>
      </w:pPr>
      <w:r>
        <w:t xml:space="preserve">specialias priemones (ir jų derinius), kurios buvo veiksmingiausios ir efektyviausios skatinant inovacijas kaimo vietovėse pagal KPP; </w:t>
      </w:r>
    </w:p>
    <w:p w:rsidR="00E05D08" w:rsidRPr="00812586" w:rsidRDefault="00E05D08" w:rsidP="00320AA0">
      <w:pPr>
        <w:pStyle w:val="Hlistbullet"/>
      </w:pPr>
      <w:r>
        <w:t xml:space="preserve">su  trimis kryptimis susijusias priemones, kuriomis KPP padėjo skatinti inovacijas; </w:t>
      </w:r>
    </w:p>
    <w:p w:rsidR="00E05D08" w:rsidRPr="00812586" w:rsidRDefault="00E05D08" w:rsidP="00320AA0">
      <w:pPr>
        <w:pStyle w:val="Hlistbullet"/>
      </w:pPr>
      <w:r>
        <w:t xml:space="preserve">politikos tikslus, kuriuos pasiekti labiausiai padėjo paskatintos inovacijos; </w:t>
      </w:r>
    </w:p>
    <w:p w:rsidR="000E0FE4" w:rsidRDefault="00E05D08" w:rsidP="00320AA0">
      <w:pPr>
        <w:pStyle w:val="Hlistbullet"/>
      </w:pPr>
      <w:r>
        <w:t xml:space="preserve">suinteresuotuosius subjektus ir KPP paramos gavėjus, kurie buvo veiksmingiausi inovacijų diegėjai. </w:t>
      </w:r>
    </w:p>
    <w:p w:rsidR="000E0FE4" w:rsidRDefault="000E0FE4" w:rsidP="000E0FE4">
      <w:pPr>
        <w:ind w:left="720"/>
        <w:mirrorIndents/>
        <w:rPr>
          <w:szCs w:val="20"/>
        </w:rPr>
        <w:sectPr w:rsidR="000E0FE4" w:rsidSect="001F6F07">
          <w:headerReference w:type="first" r:id="rId103"/>
          <w:pgSz w:w="11907" w:h="16840" w:code="9"/>
          <w:pgMar w:top="1440" w:right="1440" w:bottom="1134" w:left="1440" w:header="567" w:footer="1020" w:gutter="0"/>
          <w:cols w:space="708"/>
          <w:titlePg/>
          <w:docGrid w:linePitch="435"/>
        </w:sectPr>
      </w:pPr>
    </w:p>
    <w:p w:rsidR="00E05D08" w:rsidRPr="00E05D08" w:rsidRDefault="00BA450C" w:rsidP="00E05D08">
      <w:pPr>
        <w:keepNext/>
        <w:keepLines/>
        <w:tabs>
          <w:tab w:val="left" w:pos="680"/>
        </w:tabs>
        <w:spacing w:before="240" w:after="240" w:line="280" w:lineRule="atLeast"/>
        <w:mirrorIndents/>
        <w:outlineLvl w:val="3"/>
        <w:rPr>
          <w:rFonts w:eastAsia="Times New Roman" w:cs="Times New Roman"/>
          <w:b/>
          <w:color w:val="57825E"/>
          <w:szCs w:val="20"/>
        </w:rPr>
      </w:pPr>
      <w:r>
        <w:rPr>
          <w:rFonts w:eastAsia="Times New Roman" w:cs="Times New Roman"/>
          <w:b/>
          <w:noProof/>
          <w:color w:val="57825E"/>
          <w:sz w:val="18"/>
          <w:szCs w:val="24"/>
          <w:lang w:val="en-GB" w:eastAsia="en-GB"/>
        </w:rPr>
        <mc:AlternateContent>
          <mc:Choice Requires="wps">
            <w:drawing>
              <wp:anchor distT="0" distB="0" distL="114300" distR="114300" simplePos="0" relativeHeight="251695104" behindDoc="0" locked="0" layoutInCell="1" allowOverlap="1" wp14:anchorId="2604CA04" wp14:editId="29E715E4">
                <wp:simplePos x="0" y="0"/>
                <wp:positionH relativeFrom="column">
                  <wp:posOffset>-54244</wp:posOffset>
                </wp:positionH>
                <wp:positionV relativeFrom="paragraph">
                  <wp:posOffset>325465</wp:posOffset>
                </wp:positionV>
                <wp:extent cx="5811864" cy="4083804"/>
                <wp:effectExtent l="0" t="0" r="17780" b="12065"/>
                <wp:wrapNone/>
                <wp:docPr id="582" name="Rectangle: Diagonal Corners Rounded 582"/>
                <wp:cNvGraphicFramePr/>
                <a:graphic xmlns:a="http://schemas.openxmlformats.org/drawingml/2006/main">
                  <a:graphicData uri="http://schemas.microsoft.com/office/word/2010/wordprocessingShape">
                    <wps:wsp>
                      <wps:cNvSpPr/>
                      <wps:spPr>
                        <a:xfrm>
                          <a:off x="0" y="0"/>
                          <a:ext cx="5811864" cy="4083804"/>
                        </a:xfrm>
                        <a:prstGeom prst="round2DiagRect">
                          <a:avLst>
                            <a:gd name="adj1" fmla="val 6996"/>
                            <a:gd name="adj2" fmla="val 0"/>
                          </a:avLst>
                        </a:prstGeom>
                        <a:noFill/>
                        <a:ln w="25400" cap="flat" cmpd="sng" algn="ctr">
                          <a:solidFill>
                            <a:srgbClr val="59638E"/>
                          </a:solidFill>
                          <a:prstDash val="solid"/>
                        </a:ln>
                        <a:effectLst/>
                      </wps:spPr>
                      <wps:txbx>
                        <w:txbxContent>
                          <w:p w:rsidR="001F67E3" w:rsidRDefault="001F67E3" w:rsidP="00BA450C">
                            <w:pPr>
                              <w:pStyle w:val="HStandard"/>
                              <w:rPr>
                                <w:sz w:val="18"/>
                                <w:szCs w:val="18"/>
                              </w:rPr>
                            </w:pPr>
                            <w:r>
                              <w:rPr>
                                <w:noProof/>
                                <w:lang w:val="en-GB" w:eastAsia="en-GB"/>
                              </w:rPr>
                              <w:drawing>
                                <wp:inline distT="0" distB="0" distL="0" distR="0" wp14:anchorId="065EB8B8" wp14:editId="7AE11DDE">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1F67E3" w:rsidRPr="00BA450C" w:rsidRDefault="001F67E3" w:rsidP="00BA450C">
                            <w:pPr>
                              <w:pStyle w:val="HStandard"/>
                              <w:rPr>
                                <w:sz w:val="18"/>
                                <w:szCs w:val="18"/>
                              </w:rPr>
                            </w:pPr>
                            <w:r>
                              <w:rPr>
                                <w:sz w:val="18"/>
                                <w:szCs w:val="18"/>
                              </w:rPr>
                              <w:t>Allen, I.E. and Seaman, C.A. (2007)</w:t>
                            </w:r>
                            <w:r w:rsidR="00127F70">
                              <w:rPr>
                                <w:sz w:val="18"/>
                                <w:szCs w:val="18"/>
                              </w:rPr>
                              <w:t>,</w:t>
                            </w:r>
                            <w:r>
                              <w:rPr>
                                <w:sz w:val="18"/>
                                <w:szCs w:val="18"/>
                              </w:rPr>
                              <w:t xml:space="preserve"> </w:t>
                            </w:r>
                            <w:hyperlink r:id="rId104" w:history="1">
                              <w:r w:rsidRPr="00127F70">
                                <w:rPr>
                                  <w:rStyle w:val="Hyperlink"/>
                                  <w:i/>
                                  <w:iCs/>
                                  <w:sz w:val="18"/>
                                  <w:szCs w:val="18"/>
                                </w:rPr>
                                <w:t>Likert scales and data analyses</w:t>
                              </w:r>
                            </w:hyperlink>
                            <w:r>
                              <w:rPr>
                                <w:sz w:val="18"/>
                                <w:szCs w:val="18"/>
                              </w:rPr>
                              <w:t>. Quality progress, 40(7), p.64.</w:t>
                            </w:r>
                          </w:p>
                          <w:p w:rsidR="001F67E3" w:rsidRPr="00BA450C" w:rsidRDefault="001F67E3" w:rsidP="00BA450C">
                            <w:pPr>
                              <w:pStyle w:val="HStandard"/>
                              <w:jc w:val="left"/>
                              <w:rPr>
                                <w:sz w:val="18"/>
                                <w:szCs w:val="18"/>
                              </w:rPr>
                            </w:pPr>
                            <w:r>
                              <w:rPr>
                                <w:sz w:val="18"/>
                                <w:szCs w:val="18"/>
                              </w:rPr>
                              <w:t xml:space="preserve">Collier, D., 2011. </w:t>
                            </w:r>
                            <w:hyperlink r:id="rId105" w:history="1">
                              <w:r w:rsidRPr="00127F70">
                                <w:rPr>
                                  <w:rStyle w:val="Hyperlink"/>
                                  <w:i/>
                                  <w:iCs/>
                                  <w:sz w:val="18"/>
                                  <w:szCs w:val="18"/>
                                </w:rPr>
                                <w:t>Understanding process tracing</w:t>
                              </w:r>
                              <w:r>
                                <w:rPr>
                                  <w:rStyle w:val="Hyperlink"/>
                                  <w:sz w:val="18"/>
                                  <w:szCs w:val="18"/>
                                </w:rPr>
                                <w:t>.</w:t>
                              </w:r>
                            </w:hyperlink>
                            <w:r>
                              <w:rPr>
                                <w:sz w:val="18"/>
                                <w:szCs w:val="18"/>
                              </w:rPr>
                              <w:t> PS: Political Science &amp; Politics 44.04: 823-830.</w:t>
                            </w:r>
                          </w:p>
                          <w:p w:rsidR="001F67E3" w:rsidRPr="00BA450C" w:rsidRDefault="001F67E3" w:rsidP="00BA450C">
                            <w:pPr>
                              <w:pStyle w:val="HStandard"/>
                              <w:jc w:val="left"/>
                              <w:rPr>
                                <w:sz w:val="18"/>
                                <w:szCs w:val="18"/>
                              </w:rPr>
                            </w:pPr>
                            <w:r>
                              <w:rPr>
                                <w:sz w:val="18"/>
                                <w:szCs w:val="18"/>
                              </w:rPr>
                              <w:t>Douthwaite, B. and Ashby, J., 2005</w:t>
                            </w:r>
                            <w:r w:rsidR="00127F70">
                              <w:rPr>
                                <w:sz w:val="18"/>
                                <w:szCs w:val="18"/>
                              </w:rPr>
                              <w:t>,</w:t>
                            </w:r>
                            <w:r>
                              <w:rPr>
                                <w:sz w:val="18"/>
                                <w:szCs w:val="18"/>
                              </w:rPr>
                              <w:t xml:space="preserve"> Innovation histories: a method from learning from experience. Institutional Learning and Change Initiative. Paskutinį kartą prieita gegužės 15 d. per </w:t>
                            </w:r>
                            <w:hyperlink r:id="rId106" w:history="1">
                              <w:r>
                                <w:rPr>
                                  <w:rStyle w:val="Hyperlink"/>
                                  <w:sz w:val="18"/>
                                  <w:szCs w:val="18"/>
                                </w:rPr>
                                <w:t>http://ageconsearch.umn.edu/bitstream/52515/2/ILAC_Brief05_Histories.pdf.</w:t>
                              </w:r>
                            </w:hyperlink>
                          </w:p>
                          <w:p w:rsidR="001F67E3" w:rsidRPr="00BA450C" w:rsidRDefault="001F67E3" w:rsidP="00BA450C">
                            <w:pPr>
                              <w:pStyle w:val="HStandard"/>
                              <w:jc w:val="left"/>
                              <w:rPr>
                                <w:sz w:val="18"/>
                                <w:szCs w:val="18"/>
                              </w:rPr>
                            </w:pPr>
                            <w:r>
                              <w:rPr>
                                <w:sz w:val="18"/>
                                <w:szCs w:val="18"/>
                              </w:rPr>
                              <w:t>GAO (General Accounts Office) (1987)</w:t>
                            </w:r>
                            <w:r w:rsidR="00127F70">
                              <w:rPr>
                                <w:sz w:val="18"/>
                                <w:szCs w:val="18"/>
                              </w:rPr>
                              <w:t>,</w:t>
                            </w:r>
                            <w:r>
                              <w:rPr>
                                <w:sz w:val="18"/>
                                <w:szCs w:val="18"/>
                              </w:rPr>
                              <w:t xml:space="preserve"> </w:t>
                            </w:r>
                            <w:hyperlink r:id="rId107" w:history="1">
                              <w:r w:rsidRPr="00127F70">
                                <w:rPr>
                                  <w:rStyle w:val="Hyperlink"/>
                                  <w:i/>
                                  <w:iCs/>
                                  <w:sz w:val="18"/>
                                  <w:szCs w:val="18"/>
                                </w:rPr>
                                <w:t>Case study evaluation.</w:t>
                              </w:r>
                            </w:hyperlink>
                            <w:hyperlink r:id="rId108" w:history="1">
                              <w:r w:rsidRPr="00127F70">
                                <w:rPr>
                                  <w:rStyle w:val="Hyperlink"/>
                                  <w:i/>
                                  <w:iCs/>
                                  <w:sz w:val="18"/>
                                  <w:szCs w:val="18"/>
                                </w:rPr>
                                <w:t xml:space="preserve"> Program Evaluation and Methodology</w:t>
                              </w:r>
                            </w:hyperlink>
                            <w:r>
                              <w:rPr>
                                <w:sz w:val="18"/>
                                <w:szCs w:val="18"/>
                              </w:rPr>
                              <w:t>. Division, Transfer Paper 9. Washington DC: GAO.</w:t>
                            </w:r>
                          </w:p>
                          <w:p w:rsidR="001F67E3" w:rsidRPr="00BA450C" w:rsidRDefault="001F67E3" w:rsidP="00BA450C">
                            <w:pPr>
                              <w:pStyle w:val="HStandard"/>
                              <w:jc w:val="left"/>
                              <w:rPr>
                                <w:sz w:val="18"/>
                                <w:szCs w:val="18"/>
                              </w:rPr>
                            </w:pPr>
                            <w:r>
                              <w:rPr>
                                <w:sz w:val="18"/>
                                <w:szCs w:val="18"/>
                              </w:rPr>
                              <w:t>Hilton, D.J., 1996</w:t>
                            </w:r>
                            <w:r w:rsidR="00127F70">
                              <w:rPr>
                                <w:sz w:val="18"/>
                                <w:szCs w:val="18"/>
                              </w:rPr>
                              <w:t>,</w:t>
                            </w:r>
                            <w:r>
                              <w:rPr>
                                <w:sz w:val="18"/>
                                <w:szCs w:val="18"/>
                              </w:rPr>
                              <w:t xml:space="preserve"> </w:t>
                            </w:r>
                            <w:hyperlink r:id="rId109" w:history="1">
                              <w:r w:rsidRPr="00127F70">
                                <w:rPr>
                                  <w:rStyle w:val="Hyperlink"/>
                                  <w:i/>
                                  <w:iCs/>
                                  <w:sz w:val="18"/>
                                  <w:szCs w:val="18"/>
                                </w:rPr>
                                <w:t>Mental models and causal explanation:</w:t>
                              </w:r>
                            </w:hyperlink>
                            <w:hyperlink r:id="rId110" w:history="1">
                              <w:r w:rsidRPr="00127F70">
                                <w:rPr>
                                  <w:rStyle w:val="Hyperlink"/>
                                  <w:i/>
                                  <w:iCs/>
                                  <w:sz w:val="18"/>
                                  <w:szCs w:val="18"/>
                                </w:rPr>
                                <w:t xml:space="preserve"> Judgments of probable cause and explanatory relevance</w:t>
                              </w:r>
                            </w:hyperlink>
                            <w:r>
                              <w:rPr>
                                <w:sz w:val="18"/>
                                <w:szCs w:val="18"/>
                              </w:rPr>
                              <w:t>. Thinking &amp; Reasoning, 2(4), pp.273-308.</w:t>
                            </w:r>
                          </w:p>
                          <w:p w:rsidR="001F67E3" w:rsidRPr="00BA450C" w:rsidRDefault="001F67E3" w:rsidP="00BA450C">
                            <w:pPr>
                              <w:pStyle w:val="HStandard"/>
                              <w:jc w:val="left"/>
                              <w:rPr>
                                <w:sz w:val="18"/>
                                <w:szCs w:val="18"/>
                              </w:rPr>
                            </w:pPr>
                            <w:r>
                              <w:rPr>
                                <w:sz w:val="18"/>
                                <w:szCs w:val="18"/>
                              </w:rPr>
                              <w:t>Mayne, J., 2012</w:t>
                            </w:r>
                            <w:r w:rsidR="00127F70">
                              <w:rPr>
                                <w:sz w:val="18"/>
                                <w:szCs w:val="18"/>
                              </w:rPr>
                              <w:t>,</w:t>
                            </w:r>
                            <w:r>
                              <w:rPr>
                                <w:sz w:val="18"/>
                                <w:szCs w:val="18"/>
                              </w:rPr>
                              <w:t xml:space="preserve"> </w:t>
                            </w:r>
                            <w:hyperlink r:id="rId111" w:history="1">
                              <w:r w:rsidRPr="00127F70">
                                <w:rPr>
                                  <w:rStyle w:val="Hyperlink"/>
                                  <w:i/>
                                  <w:iCs/>
                                  <w:sz w:val="18"/>
                                  <w:szCs w:val="18"/>
                                </w:rPr>
                                <w:t>Contribution analysis:</w:t>
                              </w:r>
                            </w:hyperlink>
                            <w:hyperlink r:id="rId112" w:history="1">
                              <w:r w:rsidRPr="00127F70">
                                <w:rPr>
                                  <w:rStyle w:val="Hyperlink"/>
                                  <w:i/>
                                  <w:iCs/>
                                  <w:sz w:val="18"/>
                                  <w:szCs w:val="18"/>
                                </w:rPr>
                                <w:t xml:space="preserve"> Coming of age?</w:t>
                              </w:r>
                            </w:hyperlink>
                            <w:hyperlink r:id="rId113" w:history="1">
                              <w:r>
                                <w:rPr>
                                  <w:rStyle w:val="Hyperlink"/>
                                  <w:sz w:val="18"/>
                                  <w:szCs w:val="18"/>
                                </w:rPr>
                                <w:t> </w:t>
                              </w:r>
                            </w:hyperlink>
                            <w:r>
                              <w:rPr>
                                <w:sz w:val="18"/>
                                <w:szCs w:val="18"/>
                              </w:rPr>
                              <w:t>Evaluation 18.3 (2012): 270-280.</w:t>
                            </w:r>
                          </w:p>
                          <w:p w:rsidR="001F67E3" w:rsidRPr="00BA450C" w:rsidRDefault="001F67E3" w:rsidP="00BA450C">
                            <w:pPr>
                              <w:pStyle w:val="HStandard"/>
                              <w:jc w:val="left"/>
                              <w:rPr>
                                <w:sz w:val="18"/>
                                <w:szCs w:val="18"/>
                              </w:rPr>
                            </w:pPr>
                            <w:r>
                              <w:rPr>
                                <w:sz w:val="18"/>
                                <w:szCs w:val="18"/>
                              </w:rPr>
                              <w:t>Pawson, R., Greenhalgh, T., Harvey, G. and Walshe, K., 2005</w:t>
                            </w:r>
                            <w:r w:rsidR="00127F70">
                              <w:rPr>
                                <w:sz w:val="18"/>
                                <w:szCs w:val="18"/>
                              </w:rPr>
                              <w:t>,</w:t>
                            </w:r>
                            <w:r>
                              <w:rPr>
                                <w:sz w:val="18"/>
                                <w:szCs w:val="18"/>
                              </w:rPr>
                              <w:t xml:space="preserve"> </w:t>
                            </w:r>
                            <w:hyperlink r:id="rId114" w:history="1">
                              <w:r w:rsidRPr="00127F70">
                                <w:rPr>
                                  <w:rStyle w:val="Hyperlink"/>
                                  <w:i/>
                                  <w:iCs/>
                                  <w:sz w:val="18"/>
                                  <w:szCs w:val="18"/>
                                </w:rPr>
                                <w:t>Realist review–a new method of systematic review designed for complex policy interventions</w:t>
                              </w:r>
                              <w:r>
                                <w:rPr>
                                  <w:rStyle w:val="Hyperlink"/>
                                  <w:sz w:val="18"/>
                                  <w:szCs w:val="18"/>
                                </w:rPr>
                                <w:t>.</w:t>
                              </w:r>
                            </w:hyperlink>
                            <w:r>
                              <w:rPr>
                                <w:sz w:val="18"/>
                                <w:szCs w:val="18"/>
                              </w:rPr>
                              <w:t> Journal of health services research &amp; policy, 10 (suppl 1), pp.21-34.</w:t>
                            </w:r>
                          </w:p>
                          <w:p w:rsidR="001F67E3" w:rsidRPr="00BA450C" w:rsidRDefault="001F67E3" w:rsidP="00BA450C">
                            <w:pPr>
                              <w:pStyle w:val="HStandard"/>
                              <w:jc w:val="left"/>
                              <w:rPr>
                                <w:sz w:val="18"/>
                                <w:szCs w:val="18"/>
                              </w:rPr>
                            </w:pPr>
                            <w:r>
                              <w:rPr>
                                <w:sz w:val="18"/>
                                <w:szCs w:val="18"/>
                              </w:rPr>
                              <w:t>Wilson-Grau, R. (2015) </w:t>
                            </w:r>
                            <w:r>
                              <w:rPr>
                                <w:i/>
                                <w:sz w:val="18"/>
                                <w:szCs w:val="18"/>
                              </w:rPr>
                              <w:t>Outcome Harvesting</w:t>
                            </w:r>
                            <w:r>
                              <w:rPr>
                                <w:sz w:val="18"/>
                                <w:szCs w:val="18"/>
                              </w:rPr>
                              <w:t>. Better Evaluation. Gauta iš </w:t>
                            </w:r>
                            <w:hyperlink r:id="rId115" w:history="1">
                              <w:r>
                                <w:rPr>
                                  <w:rStyle w:val="Hyperlink"/>
                                  <w:sz w:val="18"/>
                                  <w:szCs w:val="18"/>
                                </w:rPr>
                                <w:t>http://betterevaluation.org/plan/approach/outcome_harvesting</w:t>
                              </w:r>
                            </w:hyperlink>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4CA04" id="Rectangle: Diagonal Corners Rounded 582" o:spid="_x0000_s1059" style="position:absolute;left:0;text-align:left;margin-left:-4.25pt;margin-top:25.65pt;width:457.65pt;height:32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864,40838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" adj="-11796480,,5400" path="m285703,l5811864,r,l5811864,3798101v,157789,-127914,285703,-285703,285703l,4083804r,l,285703c,127914,127914,,285703,xe" filled="f" strokecolor="#59638e" strokeweight="2pt">
                <v:stroke joinstyle="miter"/>
                <v:formulas/>
                <v:path arrowok="t" o:connecttype="custom" o:connectlocs="285703,0;5811864,0;5811864,0;5811864,3798101;5526161,4083804;0,4083804;0,4083804;0,285703;285703,0" o:connectangles="0,0,0,0,0,0,0,0,0" textboxrect="0,0,5811864,4083804"/>
                <v:textbox>
                  <w:txbxContent>
                    <w:p w:rsidR="001F67E3" w:rsidRDefault="001F67E3" w:rsidP="00BA450C">
                      <w:pPr>
                        <w:pStyle w:val="HStandard"/>
                        <w:rPr>
                          <w:sz w:val="18"/>
                          <w:szCs w:val="18"/>
                        </w:rPr>
                      </w:pPr>
                      <w:r>
                        <w:rPr>
                          <w:noProof/>
                          <w:lang w:val="en-GB" w:eastAsia="en-GB"/>
                        </w:rPr>
                        <w:drawing>
                          <wp:inline distT="0" distB="0" distL="0" distR="0" wp14:anchorId="065EB8B8" wp14:editId="7AE11DDE">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1F67E3" w:rsidRPr="00BA450C" w:rsidRDefault="001F67E3" w:rsidP="00BA450C">
                      <w:pPr>
                        <w:pStyle w:val="HStandard"/>
                        <w:rPr>
                          <w:sz w:val="18"/>
                          <w:szCs w:val="18"/>
                        </w:rPr>
                      </w:pPr>
                      <w:r>
                        <w:rPr>
                          <w:sz w:val="18"/>
                          <w:szCs w:val="18"/>
                        </w:rPr>
                        <w:t>Allen, I.E. and Seaman, C.A. (2007)</w:t>
                      </w:r>
                      <w:r w:rsidR="00127F70">
                        <w:rPr>
                          <w:sz w:val="18"/>
                          <w:szCs w:val="18"/>
                        </w:rPr>
                        <w:t>,</w:t>
                      </w:r>
                      <w:r>
                        <w:rPr>
                          <w:sz w:val="18"/>
                          <w:szCs w:val="18"/>
                        </w:rPr>
                        <w:t xml:space="preserve"> </w:t>
                      </w:r>
                      <w:hyperlink r:id="rId116" w:history="1">
                        <w:r w:rsidRPr="00127F70">
                          <w:rPr>
                            <w:rStyle w:val="Hyperlink"/>
                            <w:i/>
                            <w:iCs/>
                            <w:sz w:val="18"/>
                            <w:szCs w:val="18"/>
                          </w:rPr>
                          <w:t>Likert scales and data analyses</w:t>
                        </w:r>
                      </w:hyperlink>
                      <w:r>
                        <w:rPr>
                          <w:sz w:val="18"/>
                          <w:szCs w:val="18"/>
                        </w:rPr>
                        <w:t>. Quality progress, 40(7), p.64.</w:t>
                      </w:r>
                    </w:p>
                    <w:p w:rsidR="001F67E3" w:rsidRPr="00BA450C" w:rsidRDefault="001F67E3" w:rsidP="00BA450C">
                      <w:pPr>
                        <w:pStyle w:val="HStandard"/>
                        <w:jc w:val="left"/>
                        <w:rPr>
                          <w:sz w:val="18"/>
                          <w:szCs w:val="18"/>
                        </w:rPr>
                      </w:pPr>
                      <w:r>
                        <w:rPr>
                          <w:sz w:val="18"/>
                          <w:szCs w:val="18"/>
                        </w:rPr>
                        <w:t xml:space="preserve">Collier, D., 2011. </w:t>
                      </w:r>
                      <w:hyperlink r:id="rId117" w:history="1">
                        <w:r w:rsidRPr="00127F70">
                          <w:rPr>
                            <w:rStyle w:val="Hyperlink"/>
                            <w:i/>
                            <w:iCs/>
                            <w:sz w:val="18"/>
                            <w:szCs w:val="18"/>
                          </w:rPr>
                          <w:t>Understanding process tracing</w:t>
                        </w:r>
                        <w:r>
                          <w:rPr>
                            <w:rStyle w:val="Hyperlink"/>
                            <w:sz w:val="18"/>
                            <w:szCs w:val="18"/>
                          </w:rPr>
                          <w:t>.</w:t>
                        </w:r>
                      </w:hyperlink>
                      <w:r>
                        <w:rPr>
                          <w:sz w:val="18"/>
                          <w:szCs w:val="18"/>
                        </w:rPr>
                        <w:t> PS: Political Science &amp; Politics 44.04: 823-830.</w:t>
                      </w:r>
                    </w:p>
                    <w:p w:rsidR="001F67E3" w:rsidRPr="00BA450C" w:rsidRDefault="001F67E3" w:rsidP="00BA450C">
                      <w:pPr>
                        <w:pStyle w:val="HStandard"/>
                        <w:jc w:val="left"/>
                        <w:rPr>
                          <w:sz w:val="18"/>
                          <w:szCs w:val="18"/>
                        </w:rPr>
                      </w:pPr>
                      <w:r>
                        <w:rPr>
                          <w:sz w:val="18"/>
                          <w:szCs w:val="18"/>
                        </w:rPr>
                        <w:t>Douthwaite, B. and Ashby, J., 2005</w:t>
                      </w:r>
                      <w:r w:rsidR="00127F70">
                        <w:rPr>
                          <w:sz w:val="18"/>
                          <w:szCs w:val="18"/>
                        </w:rPr>
                        <w:t>,</w:t>
                      </w:r>
                      <w:r>
                        <w:rPr>
                          <w:sz w:val="18"/>
                          <w:szCs w:val="18"/>
                        </w:rPr>
                        <w:t xml:space="preserve"> Innovation histories: a method from learning from experience. Institutional Learning and Change Initiative. Paskutinį kartą prieita gegužės 15 d. per </w:t>
                      </w:r>
                      <w:hyperlink r:id="rId118" w:history="1">
                        <w:r>
                          <w:rPr>
                            <w:rStyle w:val="Hyperlink"/>
                            <w:sz w:val="18"/>
                            <w:szCs w:val="18"/>
                          </w:rPr>
                          <w:t>http://ageconsearch.umn.edu/bitstream/52515/2/ILAC_Brief05_Histories.pdf.</w:t>
                        </w:r>
                      </w:hyperlink>
                    </w:p>
                    <w:p w:rsidR="001F67E3" w:rsidRPr="00BA450C" w:rsidRDefault="001F67E3" w:rsidP="00BA450C">
                      <w:pPr>
                        <w:pStyle w:val="HStandard"/>
                        <w:jc w:val="left"/>
                        <w:rPr>
                          <w:sz w:val="18"/>
                          <w:szCs w:val="18"/>
                        </w:rPr>
                      </w:pPr>
                      <w:r>
                        <w:rPr>
                          <w:sz w:val="18"/>
                          <w:szCs w:val="18"/>
                        </w:rPr>
                        <w:t>GAO (General Accounts Office) (1987)</w:t>
                      </w:r>
                      <w:r w:rsidR="00127F70">
                        <w:rPr>
                          <w:sz w:val="18"/>
                          <w:szCs w:val="18"/>
                        </w:rPr>
                        <w:t>,</w:t>
                      </w:r>
                      <w:r>
                        <w:rPr>
                          <w:sz w:val="18"/>
                          <w:szCs w:val="18"/>
                        </w:rPr>
                        <w:t xml:space="preserve"> </w:t>
                      </w:r>
                      <w:hyperlink r:id="rId119" w:history="1">
                        <w:r w:rsidRPr="00127F70">
                          <w:rPr>
                            <w:rStyle w:val="Hyperlink"/>
                            <w:i/>
                            <w:iCs/>
                            <w:sz w:val="18"/>
                            <w:szCs w:val="18"/>
                          </w:rPr>
                          <w:t>Case study evaluation.</w:t>
                        </w:r>
                      </w:hyperlink>
                      <w:hyperlink r:id="rId120" w:history="1">
                        <w:r w:rsidRPr="00127F70">
                          <w:rPr>
                            <w:rStyle w:val="Hyperlink"/>
                            <w:i/>
                            <w:iCs/>
                            <w:sz w:val="18"/>
                            <w:szCs w:val="18"/>
                          </w:rPr>
                          <w:t xml:space="preserve"> Program Evaluation and Methodology</w:t>
                        </w:r>
                      </w:hyperlink>
                      <w:r>
                        <w:rPr>
                          <w:sz w:val="18"/>
                          <w:szCs w:val="18"/>
                        </w:rPr>
                        <w:t>. Division, Transfer Paper 9. Washington DC: GAO.</w:t>
                      </w:r>
                    </w:p>
                    <w:p w:rsidR="001F67E3" w:rsidRPr="00BA450C" w:rsidRDefault="001F67E3" w:rsidP="00BA450C">
                      <w:pPr>
                        <w:pStyle w:val="HStandard"/>
                        <w:jc w:val="left"/>
                        <w:rPr>
                          <w:sz w:val="18"/>
                          <w:szCs w:val="18"/>
                        </w:rPr>
                      </w:pPr>
                      <w:r>
                        <w:rPr>
                          <w:sz w:val="18"/>
                          <w:szCs w:val="18"/>
                        </w:rPr>
                        <w:t>Hilton, D.J., 1996</w:t>
                      </w:r>
                      <w:r w:rsidR="00127F70">
                        <w:rPr>
                          <w:sz w:val="18"/>
                          <w:szCs w:val="18"/>
                        </w:rPr>
                        <w:t>,</w:t>
                      </w:r>
                      <w:r>
                        <w:rPr>
                          <w:sz w:val="18"/>
                          <w:szCs w:val="18"/>
                        </w:rPr>
                        <w:t xml:space="preserve"> </w:t>
                      </w:r>
                      <w:hyperlink r:id="rId121" w:history="1">
                        <w:r w:rsidRPr="00127F70">
                          <w:rPr>
                            <w:rStyle w:val="Hyperlink"/>
                            <w:i/>
                            <w:iCs/>
                            <w:sz w:val="18"/>
                            <w:szCs w:val="18"/>
                          </w:rPr>
                          <w:t>Mental models and causal explanation:</w:t>
                        </w:r>
                      </w:hyperlink>
                      <w:hyperlink r:id="rId122" w:history="1">
                        <w:r w:rsidRPr="00127F70">
                          <w:rPr>
                            <w:rStyle w:val="Hyperlink"/>
                            <w:i/>
                            <w:iCs/>
                            <w:sz w:val="18"/>
                            <w:szCs w:val="18"/>
                          </w:rPr>
                          <w:t xml:space="preserve"> Judgments of probable cause and explanatory relevance</w:t>
                        </w:r>
                      </w:hyperlink>
                      <w:r>
                        <w:rPr>
                          <w:sz w:val="18"/>
                          <w:szCs w:val="18"/>
                        </w:rPr>
                        <w:t>. Thinking &amp; Reasoning, 2(4), pp.273-308.</w:t>
                      </w:r>
                    </w:p>
                    <w:p w:rsidR="001F67E3" w:rsidRPr="00BA450C" w:rsidRDefault="001F67E3" w:rsidP="00BA450C">
                      <w:pPr>
                        <w:pStyle w:val="HStandard"/>
                        <w:jc w:val="left"/>
                        <w:rPr>
                          <w:sz w:val="18"/>
                          <w:szCs w:val="18"/>
                        </w:rPr>
                      </w:pPr>
                      <w:r>
                        <w:rPr>
                          <w:sz w:val="18"/>
                          <w:szCs w:val="18"/>
                        </w:rPr>
                        <w:t>Mayne, J., 2012</w:t>
                      </w:r>
                      <w:r w:rsidR="00127F70">
                        <w:rPr>
                          <w:sz w:val="18"/>
                          <w:szCs w:val="18"/>
                        </w:rPr>
                        <w:t>,</w:t>
                      </w:r>
                      <w:r>
                        <w:rPr>
                          <w:sz w:val="18"/>
                          <w:szCs w:val="18"/>
                        </w:rPr>
                        <w:t xml:space="preserve"> </w:t>
                      </w:r>
                      <w:hyperlink r:id="rId123" w:history="1">
                        <w:r w:rsidRPr="00127F70">
                          <w:rPr>
                            <w:rStyle w:val="Hyperlink"/>
                            <w:i/>
                            <w:iCs/>
                            <w:sz w:val="18"/>
                            <w:szCs w:val="18"/>
                          </w:rPr>
                          <w:t>Contribution analysis:</w:t>
                        </w:r>
                      </w:hyperlink>
                      <w:hyperlink r:id="rId124" w:history="1">
                        <w:r w:rsidRPr="00127F70">
                          <w:rPr>
                            <w:rStyle w:val="Hyperlink"/>
                            <w:i/>
                            <w:iCs/>
                            <w:sz w:val="18"/>
                            <w:szCs w:val="18"/>
                          </w:rPr>
                          <w:t xml:space="preserve"> Coming of age?</w:t>
                        </w:r>
                      </w:hyperlink>
                      <w:hyperlink r:id="rId125" w:history="1">
                        <w:r>
                          <w:rPr>
                            <w:rStyle w:val="Hyperlink"/>
                            <w:sz w:val="18"/>
                            <w:szCs w:val="18"/>
                          </w:rPr>
                          <w:t> </w:t>
                        </w:r>
                      </w:hyperlink>
                      <w:r>
                        <w:rPr>
                          <w:sz w:val="18"/>
                          <w:szCs w:val="18"/>
                        </w:rPr>
                        <w:t>Evaluation 18.3 (2012): 270-280.</w:t>
                      </w:r>
                    </w:p>
                    <w:p w:rsidR="001F67E3" w:rsidRPr="00BA450C" w:rsidRDefault="001F67E3" w:rsidP="00BA450C">
                      <w:pPr>
                        <w:pStyle w:val="HStandard"/>
                        <w:jc w:val="left"/>
                        <w:rPr>
                          <w:sz w:val="18"/>
                          <w:szCs w:val="18"/>
                        </w:rPr>
                      </w:pPr>
                      <w:r>
                        <w:rPr>
                          <w:sz w:val="18"/>
                          <w:szCs w:val="18"/>
                        </w:rPr>
                        <w:t>Pawson, R., Greenhalgh, T., Harvey, G. and Walshe, K., 2005</w:t>
                      </w:r>
                      <w:r w:rsidR="00127F70">
                        <w:rPr>
                          <w:sz w:val="18"/>
                          <w:szCs w:val="18"/>
                        </w:rPr>
                        <w:t>,</w:t>
                      </w:r>
                      <w:r>
                        <w:rPr>
                          <w:sz w:val="18"/>
                          <w:szCs w:val="18"/>
                        </w:rPr>
                        <w:t xml:space="preserve"> </w:t>
                      </w:r>
                      <w:hyperlink r:id="rId126" w:history="1">
                        <w:r w:rsidRPr="00127F70">
                          <w:rPr>
                            <w:rStyle w:val="Hyperlink"/>
                            <w:i/>
                            <w:iCs/>
                            <w:sz w:val="18"/>
                            <w:szCs w:val="18"/>
                          </w:rPr>
                          <w:t>Realist review–a new method of systematic review designed for complex policy interventions</w:t>
                        </w:r>
                        <w:r>
                          <w:rPr>
                            <w:rStyle w:val="Hyperlink"/>
                            <w:sz w:val="18"/>
                            <w:szCs w:val="18"/>
                          </w:rPr>
                          <w:t>.</w:t>
                        </w:r>
                      </w:hyperlink>
                      <w:r>
                        <w:rPr>
                          <w:sz w:val="18"/>
                          <w:szCs w:val="18"/>
                        </w:rPr>
                        <w:t> Journal of health services research &amp; policy, 10 (suppl 1), pp.21-34.</w:t>
                      </w:r>
                    </w:p>
                    <w:p w:rsidR="001F67E3" w:rsidRPr="00BA450C" w:rsidRDefault="001F67E3" w:rsidP="00BA450C">
                      <w:pPr>
                        <w:pStyle w:val="HStandard"/>
                        <w:jc w:val="left"/>
                        <w:rPr>
                          <w:sz w:val="18"/>
                          <w:szCs w:val="18"/>
                        </w:rPr>
                      </w:pPr>
                      <w:r>
                        <w:rPr>
                          <w:sz w:val="18"/>
                          <w:szCs w:val="18"/>
                        </w:rPr>
                        <w:t>Wilson-Grau, R. (2015) </w:t>
                      </w:r>
                      <w:r>
                        <w:rPr>
                          <w:i/>
                          <w:sz w:val="18"/>
                          <w:szCs w:val="18"/>
                        </w:rPr>
                        <w:t>Outcome Harvesting</w:t>
                      </w:r>
                      <w:r>
                        <w:rPr>
                          <w:sz w:val="18"/>
                          <w:szCs w:val="18"/>
                        </w:rPr>
                        <w:t>. Better Evaluation. Gauta iš </w:t>
                      </w:r>
                      <w:hyperlink r:id="rId127" w:history="1">
                        <w:r>
                          <w:rPr>
                            <w:rStyle w:val="Hyperlink"/>
                            <w:sz w:val="18"/>
                            <w:szCs w:val="18"/>
                          </w:rPr>
                          <w:t>http://betterevaluation.org/plan/approach/outcome_harvesting</w:t>
                        </w:r>
                      </w:hyperlink>
                      <w:r>
                        <w:rPr>
                          <w:sz w:val="18"/>
                          <w:szCs w:val="18"/>
                        </w:rPr>
                        <w:t>.</w:t>
                      </w:r>
                    </w:p>
                  </w:txbxContent>
                </v:textbox>
              </v:shape>
            </w:pict>
          </mc:Fallback>
        </mc:AlternateContent>
      </w:r>
      <w:r>
        <w:rPr>
          <w:b/>
          <w:color w:val="57825E"/>
          <w:szCs w:val="20"/>
        </w:rPr>
        <w:t>Daugiau informacijos</w:t>
      </w:r>
    </w:p>
    <w:p w:rsidR="00E05D08" w:rsidRDefault="00E05D08" w:rsidP="00E05D08">
      <w:pPr>
        <w:spacing w:after="120" w:line="280" w:lineRule="atLeast"/>
        <w:mirrorIndents/>
        <w:rPr>
          <w:rFonts w:eastAsia="Times New Roman" w:cs="Times New Roman"/>
          <w:szCs w:val="20"/>
          <w:lang w:eastAsia="de-DE"/>
        </w:rPr>
      </w:pPr>
    </w:p>
    <w:p w:rsidR="000E0FE4" w:rsidRDefault="000E0FE4" w:rsidP="0025413B">
      <w:pPr>
        <w:pStyle w:val="HHeading1"/>
        <w:tabs>
          <w:tab w:val="clear" w:pos="567"/>
        </w:tabs>
        <w:sectPr w:rsidR="000E0FE4" w:rsidSect="001F6F07">
          <w:type w:val="continuous"/>
          <w:pgSz w:w="11907" w:h="16840" w:code="9"/>
          <w:pgMar w:top="1440" w:right="1440" w:bottom="1134" w:left="1440" w:header="567" w:footer="1020" w:gutter="0"/>
          <w:cols w:space="708"/>
          <w:titlePg/>
          <w:docGrid w:linePitch="435"/>
        </w:sectPr>
      </w:pPr>
      <w:bookmarkStart w:id="134" w:name="_Toc493151905"/>
      <w:bookmarkStart w:id="135" w:name="_Toc501382136"/>
    </w:p>
    <w:p w:rsidR="00E05D08" w:rsidRPr="00F5230D" w:rsidRDefault="00E05D08" w:rsidP="0025413B">
      <w:pPr>
        <w:pStyle w:val="HHeading1"/>
        <w:tabs>
          <w:tab w:val="clear" w:pos="567"/>
        </w:tabs>
      </w:pPr>
      <w:bookmarkStart w:id="136" w:name="_Toc508976533"/>
      <w:r>
        <w:lastRenderedPageBreak/>
        <w:t>PRIEDAI</w:t>
      </w:r>
      <w:bookmarkEnd w:id="134"/>
      <w:bookmarkEnd w:id="135"/>
      <w:bookmarkEnd w:id="136"/>
    </w:p>
    <w:p w:rsidR="00E05D08" w:rsidRPr="009414CC" w:rsidRDefault="00E05D08" w:rsidP="0025413B">
      <w:pPr>
        <w:pStyle w:val="HHeading2"/>
        <w:numPr>
          <w:ilvl w:val="1"/>
          <w:numId w:val="119"/>
        </w:numPr>
        <w:ind w:left="567" w:hanging="567"/>
      </w:pPr>
      <w:bookmarkStart w:id="137" w:name="_Toc476063939"/>
      <w:bookmarkStart w:id="138" w:name="_Toc476064206"/>
      <w:bookmarkStart w:id="139" w:name="_Toc476064501"/>
      <w:bookmarkStart w:id="140" w:name="_Toc476064561"/>
      <w:bookmarkStart w:id="141" w:name="_Toc493151906"/>
      <w:bookmarkStart w:id="142" w:name="_Toc501382137"/>
      <w:bookmarkStart w:id="143" w:name="_Toc508976534"/>
      <w:bookmarkEnd w:id="137"/>
      <w:bookmarkEnd w:id="138"/>
      <w:bookmarkEnd w:id="139"/>
      <w:bookmarkEnd w:id="140"/>
      <w:r>
        <w:t>Terminų žodynėlis</w:t>
      </w:r>
      <w:bookmarkEnd w:id="141"/>
      <w:bookmarkEnd w:id="142"/>
      <w:bookmarkEnd w:id="143"/>
    </w:p>
    <w:p w:rsidR="004E0EC9" w:rsidRDefault="004E0EC9" w:rsidP="004E0EC9">
      <w:pPr>
        <w:rPr>
          <w:rFonts w:eastAsia="Arial" w:cs="Arial"/>
          <w:b/>
          <w:color w:val="57825E"/>
          <w:szCs w:val="20"/>
        </w:rPr>
      </w:pPr>
      <w:r>
        <w:rPr>
          <w:b/>
          <w:color w:val="57825E"/>
          <w:szCs w:val="20"/>
        </w:rPr>
        <w:t>Europos inovacijų partnerystė</w:t>
      </w:r>
    </w:p>
    <w:p w:rsidR="004E0EC9" w:rsidRDefault="004E0EC9" w:rsidP="004E0EC9">
      <w:pPr>
        <w:rPr>
          <w:rFonts w:cs="Arial"/>
          <w:color w:val="404040" w:themeColor="background1" w:themeShade="40"/>
          <w:szCs w:val="20"/>
        </w:rPr>
      </w:pPr>
      <w:r>
        <w:rPr>
          <w:color w:val="404040" w:themeColor="background1" w:themeShade="40"/>
          <w:szCs w:val="20"/>
        </w:rPr>
        <w:t>Tai – požiūris į ES mokslinius tyrimus ir inovacijas, kuris yra pavyzdinės iniciatyvos „Inovacijų sąjunga“ dalis. Jis grindžiamas problemų sprendimu, aprėpia visą mokslinių tyrimų ir inovacijų grandinę ir padeda racionalizuoti, supaprastinti ir geriau koordinuoti esamas priemones ir iniciatyvas.</w:t>
      </w:r>
    </w:p>
    <w:p w:rsidR="004E0EC9" w:rsidRPr="00A05F6E" w:rsidRDefault="004E0EC9" w:rsidP="004E0EC9">
      <w:pPr>
        <w:rPr>
          <w:rFonts w:eastAsia="Times New Roman" w:cs="Arial"/>
          <w:color w:val="404040" w:themeColor="background1" w:themeShade="40"/>
          <w:szCs w:val="20"/>
        </w:rPr>
      </w:pPr>
      <w:r>
        <w:rPr>
          <w:i/>
          <w:color w:val="404040" w:themeColor="background1" w:themeShade="40"/>
          <w:sz w:val="16"/>
          <w:szCs w:val="16"/>
          <w:u w:val="single"/>
        </w:rPr>
        <w:t>Nuoroda</w:t>
      </w:r>
      <w:r>
        <w:rPr>
          <w:i/>
          <w:color w:val="404040" w:themeColor="background1" w:themeShade="40"/>
          <w:sz w:val="16"/>
          <w:szCs w:val="16"/>
        </w:rPr>
        <w:t xml:space="preserve">: Komisijos komunikatas Europos Parlamentui, Tarybai, Europos ekonomikos ir socialinių reikalų komitetui ir Regionų komitetui  </w:t>
      </w:r>
      <w:r w:rsidR="00E50DBF">
        <w:rPr>
          <w:rFonts w:cs="Arial"/>
          <w:i/>
          <w:color w:val="404040" w:themeColor="background1" w:themeShade="40"/>
          <w:sz w:val="16"/>
          <w:szCs w:val="16"/>
        </w:rPr>
        <w:t>„</w:t>
      </w:r>
      <w:r>
        <w:rPr>
          <w:i/>
          <w:color w:val="404040" w:themeColor="background1" w:themeShade="40"/>
          <w:sz w:val="16"/>
          <w:szCs w:val="16"/>
        </w:rPr>
        <w:t xml:space="preserve">Strategijos „Europa 2020“ pavyzdinė iniciatyva „Inovacijų sąjunga“, (2010), </w:t>
      </w:r>
      <w:hyperlink r:id="rId128" w:history="1">
        <w:r>
          <w:rPr>
            <w:rStyle w:val="Hyperlink"/>
            <w:i/>
            <w:szCs w:val="16"/>
          </w:rPr>
          <w:t>https://ec.europa.eu/research/innovation-union/pdf/innovation-union-communication_en.pdf</w:t>
        </w:r>
      </w:hyperlink>
      <w:r>
        <w:t>.</w:t>
      </w:r>
    </w:p>
    <w:p w:rsidR="004E0EC9" w:rsidRDefault="004E0EC9" w:rsidP="004E0EC9">
      <w:pPr>
        <w:jc w:val="left"/>
        <w:rPr>
          <w:rFonts w:eastAsia="Arial" w:cs="Arial"/>
          <w:b/>
          <w:color w:val="57825E"/>
          <w:szCs w:val="20"/>
        </w:rPr>
      </w:pPr>
      <w:r>
        <w:rPr>
          <w:b/>
          <w:color w:val="57825E"/>
          <w:szCs w:val="20"/>
        </w:rPr>
        <w:t>Europos inovacijų partnerystė žemės ūkio našumo ir tvarumo srityje  (EIP AGRI)</w:t>
      </w:r>
    </w:p>
    <w:p w:rsidR="004E0EC9" w:rsidRDefault="004E0EC9" w:rsidP="004E0EC9">
      <w:pPr>
        <w:rPr>
          <w:rFonts w:cs="Arial"/>
          <w:szCs w:val="20"/>
        </w:rPr>
      </w:pPr>
      <w:r>
        <w:t>EIP AGRI, Europos Komisijos pradėta 2012 m., yra Europos inovacijų partnerystė, skirta žemės ūkio ir miškininkystės sektoriams. EIP AGRI suburia inovacijų subjektus ir sudaro galimybes kurti esamų politikos sričių sąveiką. Svarbiausias jos tikslas – skatinti šių sektorių konkurencingumą ir tvarumą ir taip prisidėti prie: nuolatinio maisto, pašarų ir biologinių medžiagų tiekimo ir pagrindinių gamtos išteklių, nuo kurių priklauso žemės ūkio ir miškininkystės veikla, tausojimo, vykdant veiklą nekenkiant aplinkai.</w:t>
      </w:r>
    </w:p>
    <w:p w:rsidR="004E0EC9" w:rsidRPr="00D5702B" w:rsidRDefault="004E0EC9" w:rsidP="004E0EC9">
      <w:pPr>
        <w:spacing w:after="120" w:line="280" w:lineRule="atLeast"/>
        <w:jc w:val="left"/>
        <w:rPr>
          <w:rFonts w:cs="Arial"/>
          <w:i/>
          <w:color w:val="404040" w:themeColor="background1" w:themeShade="40"/>
          <w:sz w:val="16"/>
          <w:szCs w:val="16"/>
        </w:rPr>
      </w:pPr>
      <w:r>
        <w:rPr>
          <w:i/>
          <w:color w:val="404040" w:themeColor="background1" w:themeShade="40"/>
          <w:sz w:val="16"/>
          <w:szCs w:val="16"/>
          <w:u w:val="single"/>
        </w:rPr>
        <w:t>Nuoroda</w:t>
      </w:r>
      <w:r>
        <w:rPr>
          <w:i/>
          <w:color w:val="404040" w:themeColor="background1" w:themeShade="40"/>
          <w:sz w:val="16"/>
          <w:szCs w:val="16"/>
        </w:rPr>
        <w:t xml:space="preserve">: </w:t>
      </w:r>
      <w:r>
        <w:rPr>
          <w:i/>
          <w:sz w:val="16"/>
          <w:szCs w:val="16"/>
        </w:rPr>
        <w:t>Europos inovacijų partnerystes žemės ūkio našumo ir tvarumo srityje</w:t>
      </w:r>
      <w:r>
        <w:rPr>
          <w:i/>
          <w:color w:val="404040" w:themeColor="background1" w:themeShade="40"/>
          <w:sz w:val="16"/>
          <w:szCs w:val="16"/>
        </w:rPr>
        <w:t xml:space="preserve"> įgyvendinimo vertinimo studija,</w:t>
      </w:r>
      <w:r>
        <w:rPr>
          <w:i/>
          <w:color w:val="F07E31"/>
          <w:sz w:val="16"/>
          <w:szCs w:val="16"/>
          <w:u w:val="single"/>
        </w:rPr>
        <w:t>https://ec.europa.eu/agriculture/external-studies/2016-eip_en.</w:t>
      </w:r>
    </w:p>
    <w:p w:rsidR="004E0EC9" w:rsidRPr="00D5702B" w:rsidRDefault="004E0EC9" w:rsidP="004E0EC9">
      <w:pPr>
        <w:jc w:val="left"/>
        <w:rPr>
          <w:rFonts w:eastAsia="Times New Roman" w:cs="Arial"/>
          <w:i/>
          <w:szCs w:val="20"/>
        </w:rPr>
      </w:pPr>
      <w:r>
        <w:rPr>
          <w:i/>
          <w:color w:val="404040" w:themeColor="background1" w:themeShade="40"/>
          <w:sz w:val="16"/>
          <w:szCs w:val="16"/>
        </w:rPr>
        <w:t xml:space="preserve">Komisijos komunikatas Europos Parlamentui ir Tarybai dėl Europos inovacijų partnerystės „Žemės ūkio našumo ir tvarumas“ (2012), </w:t>
      </w:r>
      <w:hyperlink r:id="rId129" w:history="1">
        <w:r>
          <w:rPr>
            <w:rStyle w:val="Hyperlink"/>
            <w:i/>
            <w:szCs w:val="16"/>
          </w:rPr>
          <w:t>https://ec.europa.eu/eip/agriculture/sites/agri-eip/files/communication_on_eip_-_en.pdf</w:t>
        </w:r>
      </w:hyperlink>
      <w:r>
        <w:t>.</w:t>
      </w:r>
    </w:p>
    <w:p w:rsidR="004E0EC9" w:rsidRPr="009125CD" w:rsidRDefault="004E0EC9" w:rsidP="004E0EC9">
      <w:pPr>
        <w:rPr>
          <w:rFonts w:eastAsia="Arial" w:cs="Arial"/>
          <w:b/>
          <w:color w:val="57825E"/>
          <w:szCs w:val="20"/>
        </w:rPr>
      </w:pPr>
      <w:r>
        <w:rPr>
          <w:b/>
          <w:color w:val="57825E"/>
          <w:szCs w:val="20"/>
        </w:rPr>
        <w:t>Inovacijų pajėgumas</w:t>
      </w:r>
    </w:p>
    <w:p w:rsidR="004E0EC9" w:rsidRPr="005E61D0" w:rsidRDefault="004E0EC9" w:rsidP="004E0EC9">
      <w:pPr>
        <w:rPr>
          <w:rFonts w:cs="Arial"/>
          <w:szCs w:val="20"/>
        </w:rPr>
      </w:pPr>
      <w:r>
        <w:t>„Nuolatinis gebėjimas derinti ir panaudoti įvairių rūšių žinias“.</w:t>
      </w:r>
    </w:p>
    <w:p w:rsidR="004E0EC9" w:rsidRPr="005E61D0" w:rsidRDefault="004E0EC9" w:rsidP="004E0EC9">
      <w:pPr>
        <w:rPr>
          <w:rFonts w:cs="Arial"/>
          <w:i/>
          <w:color w:val="404040" w:themeColor="background1" w:themeShade="40"/>
          <w:sz w:val="16"/>
          <w:szCs w:val="16"/>
        </w:rPr>
      </w:pPr>
      <w:r>
        <w:rPr>
          <w:i/>
          <w:color w:val="404040" w:themeColor="background1" w:themeShade="40"/>
          <w:sz w:val="16"/>
          <w:szCs w:val="16"/>
          <w:u w:val="single"/>
        </w:rPr>
        <w:t>Nuoroda</w:t>
      </w:r>
      <w:r>
        <w:rPr>
          <w:i/>
          <w:color w:val="404040" w:themeColor="background1" w:themeShade="40"/>
          <w:sz w:val="16"/>
          <w:szCs w:val="16"/>
        </w:rPr>
        <w:t>: Chuluunbaatar, D. and LeGrand, S., 2015</w:t>
      </w:r>
      <w:r w:rsidR="00E50DBF">
        <w:rPr>
          <w:i/>
          <w:color w:val="404040" w:themeColor="background1" w:themeShade="40"/>
          <w:sz w:val="16"/>
          <w:szCs w:val="16"/>
        </w:rPr>
        <w:t>,</w:t>
      </w:r>
      <w:r>
        <w:rPr>
          <w:i/>
          <w:color w:val="404040" w:themeColor="background1" w:themeShade="40"/>
          <w:sz w:val="16"/>
          <w:szCs w:val="16"/>
        </w:rPr>
        <w:t xml:space="preserve"> Enabling the capacity to innovate with a system-wide assessment process. Occasional Papers in Innovation in Family Farming. FAO, Rome. </w:t>
      </w:r>
      <w:r>
        <w:rPr>
          <w:rStyle w:val="Hyperlink"/>
          <w:i/>
          <w:szCs w:val="16"/>
        </w:rPr>
        <w:t>http://www.fao.org/3/a-i5097e.pdf.</w:t>
      </w:r>
    </w:p>
    <w:p w:rsidR="004E0EC9" w:rsidRPr="009125CD" w:rsidRDefault="004E0EC9" w:rsidP="004E0EC9">
      <w:pPr>
        <w:rPr>
          <w:rFonts w:eastAsia="Arial" w:cs="Arial"/>
          <w:b/>
          <w:color w:val="57825E"/>
          <w:szCs w:val="20"/>
        </w:rPr>
      </w:pPr>
      <w:r>
        <w:rPr>
          <w:b/>
          <w:color w:val="57825E"/>
          <w:szCs w:val="20"/>
        </w:rPr>
        <w:t xml:space="preserve">Inovacijų rezultatai </w:t>
      </w:r>
    </w:p>
    <w:p w:rsidR="004E0EC9" w:rsidRDefault="004E0EC9" w:rsidP="004E0EC9">
      <w:pPr>
        <w:rPr>
          <w:rFonts w:cs="Arial"/>
          <w:color w:val="404040" w:themeColor="background1" w:themeShade="40"/>
          <w:szCs w:val="20"/>
        </w:rPr>
      </w:pPr>
      <w:r>
        <w:rPr>
          <w:color w:val="404040" w:themeColor="background1" w:themeShade="40"/>
          <w:szCs w:val="20"/>
        </w:rPr>
        <w:t xml:space="preserve">Inovacijų rezultatai gaunami dėl rezultatų, kuriais sudaromos galimybės, (pvz., nauja </w:t>
      </w:r>
      <w:r>
        <w:rPr>
          <w:color w:val="404040" w:themeColor="background1" w:themeShade="40"/>
          <w:szCs w:val="20"/>
        </w:rPr>
        <w:t>praktika, padidėjusios pajamos, darnesnės ūkininkavimo praktikos taikymas).</w:t>
      </w:r>
    </w:p>
    <w:p w:rsidR="004E0EC9" w:rsidRPr="009125CD" w:rsidRDefault="004E0EC9" w:rsidP="004E0EC9">
      <w:pPr>
        <w:rPr>
          <w:rFonts w:cs="Arial"/>
          <w:color w:val="404040" w:themeColor="background1" w:themeShade="40"/>
          <w:szCs w:val="20"/>
        </w:rPr>
      </w:pPr>
      <w:r>
        <w:rPr>
          <w:i/>
          <w:color w:val="404040" w:themeColor="background1" w:themeShade="40"/>
          <w:sz w:val="16"/>
          <w:szCs w:val="16"/>
          <w:u w:val="single"/>
        </w:rPr>
        <w:t>Nuoroda</w:t>
      </w:r>
      <w:r>
        <w:rPr>
          <w:i/>
          <w:color w:val="404040" w:themeColor="background1" w:themeShade="40"/>
          <w:sz w:val="16"/>
          <w:szCs w:val="16"/>
        </w:rPr>
        <w:t>: 4 TDG, p. 11.</w:t>
      </w:r>
    </w:p>
    <w:p w:rsidR="004E0EC9" w:rsidRPr="009125CD" w:rsidRDefault="004E0EC9" w:rsidP="004E0EC9">
      <w:pPr>
        <w:rPr>
          <w:rFonts w:eastAsia="Arial" w:cs="Arial"/>
          <w:b/>
          <w:color w:val="57825E"/>
          <w:szCs w:val="20"/>
        </w:rPr>
      </w:pPr>
      <w:r>
        <w:rPr>
          <w:b/>
          <w:color w:val="57825E"/>
          <w:szCs w:val="20"/>
        </w:rPr>
        <w:t>Inovacijų sistema</w:t>
      </w:r>
    </w:p>
    <w:p w:rsidR="004E0EC9" w:rsidRDefault="004E0EC9" w:rsidP="004E0EC9">
      <w:pPr>
        <w:rPr>
          <w:rFonts w:cs="Arial"/>
          <w:color w:val="404040" w:themeColor="background1" w:themeShade="40"/>
          <w:szCs w:val="20"/>
        </w:rPr>
      </w:pPr>
      <w:r>
        <w:rPr>
          <w:color w:val="404040" w:themeColor="background1" w:themeShade="40"/>
          <w:szCs w:val="20"/>
        </w:rPr>
        <w:t>„Organizacijų ir asmenų, dalyvaujančių socialiniu ir ekonominiu požiūriu svarbių žinių kūrimo, sklaidos bei pritaikymo ir panaudojimo procese, grupės ir institucinės sąlygos, kurios nulemia, kaip vyks ši sąveika ir procesai.</w:t>
      </w:r>
    </w:p>
    <w:p w:rsidR="004E0EC9" w:rsidRDefault="004E0EC9" w:rsidP="004E0EC9">
      <w:pPr>
        <w:rPr>
          <w:rFonts w:cs="Arial"/>
          <w:color w:val="404040" w:themeColor="background1" w:themeShade="40"/>
          <w:szCs w:val="20"/>
        </w:rPr>
      </w:pPr>
      <w:r>
        <w:rPr>
          <w:i/>
          <w:color w:val="404040" w:themeColor="background1" w:themeShade="40"/>
          <w:sz w:val="16"/>
          <w:szCs w:val="16"/>
          <w:u w:val="single"/>
        </w:rPr>
        <w:t>Nuoroda</w:t>
      </w:r>
      <w:r>
        <w:rPr>
          <w:i/>
          <w:color w:val="404040" w:themeColor="background1" w:themeShade="40"/>
          <w:sz w:val="16"/>
          <w:szCs w:val="16"/>
        </w:rPr>
        <w:t>: Hall, A., S. Rasheed, N. Clark, and B. Yoganand. 2003</w:t>
      </w:r>
      <w:r w:rsidR="00E50DBF">
        <w:rPr>
          <w:i/>
          <w:color w:val="404040" w:themeColor="background1" w:themeShade="40"/>
          <w:sz w:val="16"/>
          <w:szCs w:val="16"/>
        </w:rPr>
        <w:t>,</w:t>
      </w:r>
      <w:r>
        <w:rPr>
          <w:i/>
          <w:color w:val="404040" w:themeColor="background1" w:themeShade="40"/>
          <w:sz w:val="16"/>
          <w:szCs w:val="16"/>
        </w:rPr>
        <w:t xml:space="preserve"> From measuring impact to learning institutional lessons: an innovation system’s perspective on improving the management of international agricultural research. Agricultural Systems 78: 213-241.</w:t>
      </w:r>
    </w:p>
    <w:p w:rsidR="004E0EC9" w:rsidRPr="009125CD" w:rsidRDefault="004E0EC9" w:rsidP="004E0EC9">
      <w:pPr>
        <w:rPr>
          <w:rFonts w:eastAsia="Arial" w:cs="Arial"/>
          <w:b/>
          <w:color w:val="57825E"/>
          <w:szCs w:val="20"/>
        </w:rPr>
      </w:pPr>
      <w:r>
        <w:rPr>
          <w:b/>
          <w:color w:val="57825E"/>
          <w:szCs w:val="20"/>
        </w:rPr>
        <w:t>Inovacijų skatinimo kryptis</w:t>
      </w:r>
    </w:p>
    <w:p w:rsidR="004E0EC9" w:rsidRDefault="004E0EC9" w:rsidP="004E0EC9">
      <w:pPr>
        <w:rPr>
          <w:rFonts w:cs="Arial"/>
          <w:color w:val="404040" w:themeColor="background1" w:themeShade="40"/>
          <w:szCs w:val="20"/>
        </w:rPr>
      </w:pPr>
      <w:r>
        <w:rPr>
          <w:color w:val="404040" w:themeColor="background1" w:themeShade="40"/>
          <w:szCs w:val="20"/>
        </w:rPr>
        <w:t>Procesas, kai vykdant veiklą pagal KPP  gaunami rodikliai, rezultatai ir poveikis, kuriais prisidedama prie KPP tikslų įgyvendinimo ir kurie daro įtaką inovacijų sistemai, kuriai priklauso ir yra jos veikiami .</w:t>
      </w:r>
    </w:p>
    <w:p w:rsidR="004E0EC9" w:rsidRPr="009125CD" w:rsidRDefault="004E0EC9" w:rsidP="004E0EC9">
      <w:pPr>
        <w:rPr>
          <w:rFonts w:eastAsia="Arial" w:cs="Arial"/>
          <w:color w:val="404040" w:themeColor="background1" w:themeShade="40"/>
          <w:szCs w:val="20"/>
        </w:rPr>
      </w:pPr>
      <w:r>
        <w:rPr>
          <w:i/>
          <w:color w:val="404040" w:themeColor="background1" w:themeShade="40"/>
          <w:sz w:val="16"/>
          <w:szCs w:val="16"/>
          <w:u w:val="single"/>
        </w:rPr>
        <w:t>Nuoroda</w:t>
      </w:r>
      <w:r>
        <w:rPr>
          <w:i/>
          <w:color w:val="404040" w:themeColor="background1" w:themeShade="40"/>
          <w:sz w:val="16"/>
          <w:szCs w:val="16"/>
        </w:rPr>
        <w:t>: 4 TDG, p. 5.</w:t>
      </w:r>
    </w:p>
    <w:p w:rsidR="004E0EC9" w:rsidRDefault="004E0EC9" w:rsidP="004E0EC9">
      <w:pPr>
        <w:rPr>
          <w:rFonts w:eastAsia="Arial" w:cs="Arial"/>
          <w:b/>
          <w:color w:val="57825E"/>
          <w:szCs w:val="20"/>
        </w:rPr>
      </w:pPr>
      <w:r>
        <w:rPr>
          <w:b/>
          <w:color w:val="57825E"/>
          <w:szCs w:val="20"/>
        </w:rPr>
        <w:t>Interaktyvus inovacijų procesas</w:t>
      </w:r>
    </w:p>
    <w:p w:rsidR="004E0EC9" w:rsidRDefault="004E0EC9" w:rsidP="004E0EC9">
      <w:pPr>
        <w:rPr>
          <w:rFonts w:cs="Arial"/>
          <w:color w:val="404040" w:themeColor="background1" w:themeShade="40"/>
          <w:szCs w:val="20"/>
        </w:rPr>
      </w:pPr>
      <w:r>
        <w:rPr>
          <w:color w:val="404040" w:themeColor="background1" w:themeShade="40"/>
          <w:szCs w:val="20"/>
        </w:rPr>
        <w:t>Kuriant interaktyvią inovacijų sistemą, tikimasi, kad inovacijų sudedamosios dalys bus sukurtos pasinaudojus mokslo rezultatais, taip pat praktika ir pasitelkus tarpininkus, įskaitant ūkininkus, konsultavimo paslaugų teikėjus, NVO, tyrėjus ir kt., kaip principu „iš apačios į viršų“ grindžiamų procesų dalyvius. Interaktyvus inovacijų procesas apima (kartais neformalias) žinias, kurios ne visada yra vien tik mokslinės.</w:t>
      </w:r>
    </w:p>
    <w:p w:rsidR="004E0EC9" w:rsidRDefault="004E0EC9" w:rsidP="004E0EC9">
      <w:pPr>
        <w:rPr>
          <w:b/>
          <w:color w:val="57825E"/>
          <w:szCs w:val="20"/>
        </w:rPr>
      </w:pPr>
      <w:r>
        <w:rPr>
          <w:i/>
          <w:color w:val="404040" w:themeColor="background1" w:themeShade="40"/>
          <w:sz w:val="16"/>
          <w:szCs w:val="16"/>
          <w:u w:val="single"/>
        </w:rPr>
        <w:t>Nuoroda</w:t>
      </w:r>
      <w:r>
        <w:rPr>
          <w:i/>
          <w:color w:val="404040" w:themeColor="background1" w:themeShade="40"/>
          <w:sz w:val="16"/>
          <w:szCs w:val="16"/>
        </w:rPr>
        <w:t xml:space="preserve">: Europos inovacijų partnerystės (EIP) žemės ūkio našumo ir tvarumo srityje inovacijų programavimo ir įgyvendinimo gairės, </w:t>
      </w:r>
      <w:hyperlink r:id="rId130" w:history="1">
        <w:r>
          <w:rPr>
            <w:rStyle w:val="Hyperlink"/>
            <w:i/>
            <w:szCs w:val="16"/>
          </w:rPr>
          <w:t>http://ec.europa.eu/eip/agriculture/sites/agri-eip/files/eip-guidelines-july-2014_en.pdf</w:t>
        </w:r>
      </w:hyperlink>
    </w:p>
    <w:p w:rsidR="004E0EC9" w:rsidRPr="009125CD" w:rsidRDefault="004E0EC9" w:rsidP="004E0EC9">
      <w:pPr>
        <w:rPr>
          <w:rFonts w:eastAsia="Arial" w:cs="Arial"/>
          <w:b/>
          <w:color w:val="57825E"/>
          <w:szCs w:val="20"/>
        </w:rPr>
      </w:pPr>
      <w:r>
        <w:rPr>
          <w:b/>
          <w:color w:val="57825E"/>
          <w:szCs w:val="20"/>
        </w:rPr>
        <w:t xml:space="preserve">KPP inovacijų skatinimo potencialas </w:t>
      </w:r>
    </w:p>
    <w:p w:rsidR="004E0EC9" w:rsidRDefault="004E0EC9" w:rsidP="004E0EC9">
      <w:pPr>
        <w:rPr>
          <w:rFonts w:cs="Arial"/>
          <w:color w:val="404040" w:themeColor="background1" w:themeShade="40"/>
          <w:szCs w:val="20"/>
        </w:rPr>
      </w:pPr>
      <w:r>
        <w:rPr>
          <w:color w:val="404040" w:themeColor="background1" w:themeShade="40"/>
          <w:szCs w:val="20"/>
        </w:rPr>
        <w:t xml:space="preserve">KPP inovacijų skatinimo potencialas yra mastas, kuriuo konkrečiu KPP nustatytu inovacijoms taikomu metodu gali būti paskatintos inovacijos ir pasiekti politikos tikslai kaimo vietovėse konkrečioje inovacijų sistemoje arba konkrečiomis sąlygomis. </w:t>
      </w:r>
    </w:p>
    <w:p w:rsidR="004E0EC9" w:rsidRPr="00A05F6E" w:rsidRDefault="004E0EC9" w:rsidP="004E0EC9">
      <w:pPr>
        <w:rPr>
          <w:rFonts w:eastAsia="Arial" w:cs="Arial"/>
          <w:color w:val="404040" w:themeColor="background1" w:themeShade="40"/>
          <w:szCs w:val="20"/>
        </w:rPr>
      </w:pPr>
      <w:r>
        <w:rPr>
          <w:i/>
          <w:color w:val="404040" w:themeColor="background1" w:themeShade="40"/>
          <w:sz w:val="16"/>
          <w:szCs w:val="16"/>
          <w:u w:val="single"/>
        </w:rPr>
        <w:t>Nuoroda</w:t>
      </w:r>
      <w:r>
        <w:rPr>
          <w:i/>
          <w:color w:val="404040" w:themeColor="background1" w:themeShade="40"/>
          <w:sz w:val="16"/>
          <w:szCs w:val="16"/>
        </w:rPr>
        <w:t>: 4 TDG.</w:t>
      </w:r>
    </w:p>
    <w:p w:rsidR="004E0EC9" w:rsidRDefault="004E0EC9" w:rsidP="004E0EC9">
      <w:pPr>
        <w:rPr>
          <w:rFonts w:eastAsia="Arial" w:cs="Arial"/>
          <w:b/>
          <w:color w:val="57825E"/>
          <w:szCs w:val="20"/>
        </w:rPr>
      </w:pPr>
      <w:r>
        <w:rPr>
          <w:b/>
          <w:color w:val="57825E"/>
          <w:szCs w:val="20"/>
        </w:rPr>
        <w:t>Paramos inovacijoms paslaugos</w:t>
      </w:r>
    </w:p>
    <w:p w:rsidR="004E0EC9" w:rsidRDefault="004E0EC9" w:rsidP="004E0EC9">
      <w:pPr>
        <w:rPr>
          <w:rFonts w:cs="Arial"/>
          <w:color w:val="404040" w:themeColor="background1" w:themeShade="40"/>
          <w:szCs w:val="20"/>
        </w:rPr>
      </w:pPr>
      <w:r>
        <w:rPr>
          <w:color w:val="404040" w:themeColor="background1" w:themeShade="40"/>
          <w:szCs w:val="20"/>
        </w:rPr>
        <w:t xml:space="preserve">Paramos inovacijoms paslaugos teikiamos pagal modelius, kurie yra pritaikyti vietos sąlygoms ir kurie galėtų būti svarbūs siekiant įtraukti į projektus reikiamus asmenis, užmegzti </w:t>
      </w:r>
      <w:r>
        <w:rPr>
          <w:color w:val="404040" w:themeColor="background1" w:themeShade="40"/>
          <w:szCs w:val="20"/>
        </w:rPr>
        <w:lastRenderedPageBreak/>
        <w:t>ūkininkų bei konsultantų ryšius su tyrėjais ir padėti nustatyti finansavimo šaltinius.</w:t>
      </w:r>
    </w:p>
    <w:p w:rsidR="004E0EC9" w:rsidRPr="009125CD" w:rsidRDefault="004E0EC9" w:rsidP="004E0EC9">
      <w:pPr>
        <w:rPr>
          <w:rFonts w:cs="Arial"/>
          <w:color w:val="404040" w:themeColor="background1" w:themeShade="40"/>
          <w:szCs w:val="20"/>
        </w:rPr>
      </w:pPr>
      <w:r>
        <w:rPr>
          <w:i/>
          <w:color w:val="404040" w:themeColor="background1" w:themeShade="40"/>
          <w:sz w:val="16"/>
          <w:szCs w:val="16"/>
          <w:u w:val="single"/>
        </w:rPr>
        <w:t>Nuoroda</w:t>
      </w:r>
      <w:r>
        <w:rPr>
          <w:i/>
          <w:color w:val="404040" w:themeColor="background1" w:themeShade="40"/>
          <w:sz w:val="16"/>
          <w:szCs w:val="16"/>
        </w:rPr>
        <w:t xml:space="preserve">: EIP AGRI brošiūra apie paramos inovacijoms paslaugas, </w:t>
      </w:r>
      <w:hyperlink r:id="rId131" w:history="1">
        <w:r>
          <w:rPr>
            <w:rStyle w:val="Hyperlink"/>
            <w:i/>
            <w:szCs w:val="16"/>
          </w:rPr>
          <w:t>https://ec.europa.eu/eip/agriculture/en/content/innovation-support-services</w:t>
        </w:r>
      </w:hyperlink>
      <w:r>
        <w:rPr>
          <w:i/>
          <w:color w:val="404040" w:themeColor="background1" w:themeShade="40"/>
          <w:sz w:val="16"/>
          <w:szCs w:val="16"/>
        </w:rPr>
        <w:t>.</w:t>
      </w:r>
    </w:p>
    <w:p w:rsidR="004E0EC9" w:rsidRPr="009125CD" w:rsidRDefault="004E0EC9" w:rsidP="004E0EC9">
      <w:pPr>
        <w:rPr>
          <w:rFonts w:eastAsia="Arial" w:cs="Arial"/>
          <w:b/>
          <w:color w:val="57825E"/>
          <w:szCs w:val="20"/>
        </w:rPr>
      </w:pPr>
      <w:r>
        <w:rPr>
          <w:b/>
          <w:color w:val="57825E"/>
          <w:szCs w:val="20"/>
        </w:rPr>
        <w:t>Rezultatas, kuriuo sudaromos galimybės</w:t>
      </w:r>
    </w:p>
    <w:p w:rsidR="004E0EC9" w:rsidRDefault="004E0EC9" w:rsidP="004E0EC9">
      <w:pPr>
        <w:rPr>
          <w:rFonts w:cs="Arial"/>
          <w:color w:val="404040" w:themeColor="background1" w:themeShade="40"/>
          <w:szCs w:val="20"/>
        </w:rPr>
      </w:pPr>
      <w:r>
        <w:rPr>
          <w:color w:val="404040" w:themeColor="background1" w:themeShade="40"/>
          <w:szCs w:val="20"/>
        </w:rPr>
        <w:t>Rezultatas, susijęs su trimis inovacijų skatinimo kryptimis, pavyzdžiui, su: 1) galimų novatoriškų idėjų nustatymu ir plėtojimu, 2) gebėjimu diegti inovacijas ir 3) palankios inovacijoms aplinkos kūrimu. Šį rezultatą galima išreikšti, kaip atsirandančių novatoriškų idėjų kūrimo tempo ir jų kokybės pokyčius, gebėjimo diegti inovacijas pokyčius ir palankios aplinkos pokyčius.</w:t>
      </w:r>
    </w:p>
    <w:p w:rsidR="004E0EC9" w:rsidRPr="005E61D0" w:rsidRDefault="004E0EC9" w:rsidP="004E0EC9">
      <w:pPr>
        <w:rPr>
          <w:rFonts w:cs="Arial"/>
          <w:i/>
          <w:color w:val="404040" w:themeColor="background1" w:themeShade="40"/>
          <w:sz w:val="16"/>
          <w:szCs w:val="16"/>
        </w:rPr>
      </w:pPr>
      <w:r>
        <w:rPr>
          <w:i/>
          <w:color w:val="404040" w:themeColor="background1" w:themeShade="40"/>
          <w:sz w:val="16"/>
          <w:szCs w:val="16"/>
          <w:u w:val="single"/>
        </w:rPr>
        <w:t>Nuoroda</w:t>
      </w:r>
      <w:r>
        <w:rPr>
          <w:i/>
          <w:color w:val="404040" w:themeColor="background1" w:themeShade="40"/>
          <w:sz w:val="16"/>
          <w:szCs w:val="16"/>
        </w:rPr>
        <w:t>: 4 TDG.</w:t>
      </w:r>
    </w:p>
    <w:p w:rsidR="0025413B" w:rsidRDefault="0025413B" w:rsidP="004E0EC9">
      <w:pPr>
        <w:rPr>
          <w:rFonts w:eastAsia="Arial" w:cs="Arial"/>
          <w:b/>
          <w:color w:val="57825E"/>
          <w:szCs w:val="20"/>
        </w:rPr>
      </w:pPr>
      <w:r>
        <w:rPr>
          <w:b/>
          <w:color w:val="57825E"/>
          <w:szCs w:val="20"/>
        </w:rPr>
        <w:t>Sankaupa</w:t>
      </w:r>
    </w:p>
    <w:p w:rsidR="0025413B" w:rsidRDefault="0025413B" w:rsidP="0025413B">
      <w:pPr>
        <w:rPr>
          <w:rFonts w:cs="Arial"/>
          <w:color w:val="404040" w:themeColor="background1" w:themeShade="40"/>
          <w:szCs w:val="20"/>
        </w:rPr>
      </w:pPr>
      <w:r>
        <w:rPr>
          <w:color w:val="404040" w:themeColor="background1" w:themeShade="40"/>
          <w:szCs w:val="20"/>
        </w:rPr>
        <w:t xml:space="preserve">klasteris – savarankiškų įmonių (įskaitant naujai įsisteigusias įmones, mažąsias, vidutines ir didžiąsias įmones, taip pat konsultavimo paslaugas teikiančias įstaigas ir (arba) mokslinių tyrimų organizacijas) grupė, kurios tikslas yra skatinti ekonominę ir </w:t>
      </w:r>
      <w:r w:rsidR="00FF4D19">
        <w:rPr>
          <w:color w:val="404040" w:themeColor="background1" w:themeShade="40"/>
          <w:szCs w:val="20"/>
        </w:rPr>
        <w:t>novatorišką</w:t>
      </w:r>
      <w:r>
        <w:rPr>
          <w:color w:val="404040" w:themeColor="background1" w:themeShade="40"/>
          <w:szCs w:val="20"/>
        </w:rPr>
        <w:t xml:space="preserve"> veiklą propaguojant aktyvų bendradarbiavimą, dalijantis infrastruktūra ir žiniomis bei praktine patirtimi, taip pat veiksmingai prisidedant prie žinių perdavimo, bendradarbiavimo tinkle ir informacijos sklaidos tarp klasterio įmonių;</w:t>
      </w:r>
    </w:p>
    <w:p w:rsidR="0025413B" w:rsidRPr="00D5702B" w:rsidRDefault="0025413B" w:rsidP="0025413B">
      <w:pPr>
        <w:jc w:val="left"/>
        <w:rPr>
          <w:rFonts w:eastAsia="Times New Roman" w:cs="Arial"/>
          <w:i/>
          <w:color w:val="404040" w:themeColor="background1" w:themeShade="40"/>
          <w:sz w:val="16"/>
          <w:szCs w:val="16"/>
        </w:rPr>
      </w:pPr>
      <w:r>
        <w:rPr>
          <w:i/>
          <w:color w:val="404040" w:themeColor="background1" w:themeShade="40"/>
          <w:sz w:val="16"/>
          <w:szCs w:val="16"/>
          <w:u w:val="single"/>
        </w:rPr>
        <w:t>Nuoroda</w:t>
      </w:r>
      <w:r>
        <w:rPr>
          <w:i/>
          <w:color w:val="404040" w:themeColor="background1" w:themeShade="40"/>
          <w:sz w:val="16"/>
          <w:szCs w:val="16"/>
        </w:rPr>
        <w:t>: 2014 m. lapkričio mėn. rekomendacinis dokumenta</w:t>
      </w:r>
      <w:r w:rsidR="00E50DBF">
        <w:rPr>
          <w:i/>
          <w:color w:val="404040" w:themeColor="background1" w:themeShade="40"/>
          <w:sz w:val="16"/>
          <w:szCs w:val="16"/>
        </w:rPr>
        <w:t xml:space="preserve">s „Bendradarbiavimo priemonė“ (angl. </w:t>
      </w:r>
      <w:r w:rsidR="00E50DBF">
        <w:rPr>
          <w:rFonts w:cs="Arial"/>
          <w:i/>
          <w:color w:val="404040" w:themeColor="background1" w:themeShade="40"/>
          <w:sz w:val="16"/>
          <w:szCs w:val="16"/>
        </w:rPr>
        <w:t>„</w:t>
      </w:r>
      <w:r>
        <w:rPr>
          <w:i/>
          <w:color w:val="404040" w:themeColor="background1" w:themeShade="40"/>
          <w:sz w:val="16"/>
          <w:szCs w:val="16"/>
        </w:rPr>
        <w:t xml:space="preserve">Cooperation measure“), </w:t>
      </w:r>
      <w:hyperlink r:id="rId132" w:history="1">
        <w:r>
          <w:rPr>
            <w:rStyle w:val="Hyperlink"/>
            <w:i/>
            <w:szCs w:val="16"/>
          </w:rPr>
          <w:t>http://ec.europa.eu/eip/agriculture/sites/agri-eip/files/16_measure_fiche_art_35_co-operation.pdf</w:t>
        </w:r>
      </w:hyperlink>
      <w:r>
        <w:t>.</w:t>
      </w:r>
    </w:p>
    <w:p w:rsidR="004E0EC9" w:rsidRPr="009125CD" w:rsidRDefault="004E0EC9" w:rsidP="004E0EC9">
      <w:pPr>
        <w:rPr>
          <w:rFonts w:eastAsia="Arial" w:cs="Arial"/>
          <w:b/>
          <w:color w:val="57825E"/>
          <w:szCs w:val="20"/>
        </w:rPr>
      </w:pPr>
      <w:r>
        <w:rPr>
          <w:b/>
          <w:color w:val="57825E"/>
          <w:szCs w:val="20"/>
        </w:rPr>
        <w:t>Socialinės inovacijos</w:t>
      </w:r>
    </w:p>
    <w:p w:rsidR="004E0EC9" w:rsidRDefault="004E0EC9" w:rsidP="004E0EC9">
      <w:pPr>
        <w:rPr>
          <w:rFonts w:cs="Arial"/>
          <w:color w:val="404040" w:themeColor="background1" w:themeShade="40"/>
          <w:szCs w:val="20"/>
        </w:rPr>
      </w:pPr>
      <w:r>
        <w:rPr>
          <w:color w:val="404040" w:themeColor="background1" w:themeShade="40"/>
          <w:szCs w:val="20"/>
        </w:rPr>
        <w:t>Socialines inovacijas galima apibrėžti kaip naujų idėjų (produktų, paslaugų ir modelių) kūrimą ir įgyvendinimą siekiant patenkinti socialinius poreikius ir sukurti naujus socialinius ryšius ar bendradarbiavimo formas.</w:t>
      </w:r>
    </w:p>
    <w:p w:rsidR="004E0EC9" w:rsidRPr="00A05F6E" w:rsidRDefault="004E0EC9" w:rsidP="004E0EC9">
      <w:pPr>
        <w:rPr>
          <w:rFonts w:eastAsia="Arial" w:cs="Arial"/>
          <w:color w:val="404040" w:themeColor="background1" w:themeShade="40"/>
          <w:szCs w:val="20"/>
        </w:rPr>
      </w:pPr>
      <w:r>
        <w:rPr>
          <w:i/>
          <w:color w:val="404040" w:themeColor="background1" w:themeShade="40"/>
          <w:sz w:val="16"/>
          <w:szCs w:val="16"/>
          <w:u w:val="single"/>
        </w:rPr>
        <w:t>Nuoroda</w:t>
      </w:r>
      <w:r>
        <w:rPr>
          <w:i/>
          <w:color w:val="404040" w:themeColor="background1" w:themeShade="40"/>
          <w:sz w:val="16"/>
          <w:szCs w:val="16"/>
        </w:rPr>
        <w:t>: 2013 m. Regioninės ir miestų politikos GD, Užimtumo, socialinių reikalų ir įtraukties GD, Žemės ūkio ir kaimo plėtros GD ir kt. „Socialinių inovacijų vadovas“ (</w:t>
      </w:r>
      <w:r w:rsidR="00E50DBF">
        <w:rPr>
          <w:i/>
          <w:color w:val="404040" w:themeColor="background1" w:themeShade="40"/>
          <w:sz w:val="16"/>
          <w:szCs w:val="16"/>
        </w:rPr>
        <w:t xml:space="preserve">angl. </w:t>
      </w:r>
      <w:r w:rsidR="00E50DBF">
        <w:rPr>
          <w:rFonts w:cs="Arial"/>
          <w:i/>
          <w:color w:val="404040" w:themeColor="background1" w:themeShade="40"/>
          <w:sz w:val="16"/>
          <w:szCs w:val="16"/>
        </w:rPr>
        <w:t>„</w:t>
      </w:r>
      <w:r>
        <w:rPr>
          <w:i/>
          <w:color w:val="404040" w:themeColor="background1" w:themeShade="40"/>
          <w:sz w:val="16"/>
          <w:szCs w:val="16"/>
        </w:rPr>
        <w:t>Guide to Social Innovation</w:t>
      </w:r>
      <w:r w:rsidR="00E50DBF">
        <w:rPr>
          <w:rFonts w:cs="Arial"/>
          <w:i/>
          <w:color w:val="404040" w:themeColor="background1" w:themeShade="40"/>
          <w:sz w:val="16"/>
          <w:szCs w:val="16"/>
        </w:rPr>
        <w:t>“</w:t>
      </w:r>
      <w:r>
        <w:rPr>
          <w:i/>
          <w:color w:val="404040" w:themeColor="background1" w:themeShade="40"/>
          <w:sz w:val="16"/>
          <w:szCs w:val="16"/>
        </w:rPr>
        <w:t>).</w:t>
      </w:r>
    </w:p>
    <w:p w:rsidR="004E0EC9" w:rsidRPr="009125CD" w:rsidRDefault="004E0EC9" w:rsidP="004E0EC9">
      <w:pPr>
        <w:rPr>
          <w:rFonts w:eastAsia="Arial" w:cs="Arial"/>
          <w:b/>
          <w:color w:val="57825E"/>
          <w:szCs w:val="20"/>
        </w:rPr>
      </w:pPr>
      <w:r>
        <w:rPr>
          <w:b/>
          <w:color w:val="57825E"/>
          <w:szCs w:val="20"/>
        </w:rPr>
        <w:t>Teminiai ir analizės mainai</w:t>
      </w:r>
    </w:p>
    <w:p w:rsidR="004E0EC9" w:rsidRDefault="004E0EC9" w:rsidP="004E0EC9">
      <w:pPr>
        <w:rPr>
          <w:rFonts w:cs="Arial"/>
          <w:color w:val="404040" w:themeColor="background1" w:themeShade="40"/>
          <w:szCs w:val="20"/>
        </w:rPr>
      </w:pPr>
      <w:r>
        <w:rPr>
          <w:color w:val="404040" w:themeColor="background1" w:themeShade="40"/>
          <w:szCs w:val="20"/>
        </w:rPr>
        <w:t xml:space="preserve">NKT gali skatinti įvairių formų mainus. Dažniausiai NKT veikla organizuojama teminių mainų forma kaip nuolatinės arba </w:t>
      </w:r>
      <w:r>
        <w:rPr>
          <w:i/>
          <w:color w:val="404040" w:themeColor="background1" w:themeShade="40"/>
          <w:szCs w:val="20"/>
        </w:rPr>
        <w:t>ad hoc</w:t>
      </w:r>
      <w:r>
        <w:rPr>
          <w:color w:val="404040" w:themeColor="background1" w:themeShade="40"/>
          <w:szCs w:val="20"/>
        </w:rPr>
        <w:t xml:space="preserve"> teminės darbo grupės (TDG). NKT TDG suburia įvairius suinteresuotuosius subjektus, kad jie aptartų, analizuotų ir keistųsi informacija bendromis temomis, ir šio darbo rezultatai dažnai pateikiami kaip su KPP įgyvendinimu ir programavimu susijusios rekomendacijos.</w:t>
      </w:r>
    </w:p>
    <w:p w:rsidR="004E0EC9" w:rsidRDefault="004E0EC9" w:rsidP="004E0EC9">
      <w:pPr>
        <w:jc w:val="left"/>
        <w:rPr>
          <w:i/>
          <w:color w:val="404040" w:themeColor="background1" w:themeShade="40"/>
          <w:sz w:val="16"/>
          <w:szCs w:val="16"/>
        </w:rPr>
      </w:pPr>
      <w:r>
        <w:rPr>
          <w:i/>
          <w:color w:val="404040" w:themeColor="background1" w:themeShade="40"/>
          <w:sz w:val="16"/>
          <w:szCs w:val="16"/>
          <w:u w:val="single"/>
        </w:rPr>
        <w:t xml:space="preserve"> Nuoroda</w:t>
      </w:r>
      <w:r>
        <w:rPr>
          <w:i/>
          <w:color w:val="404040" w:themeColor="background1" w:themeShade="40"/>
          <w:sz w:val="16"/>
          <w:szCs w:val="16"/>
        </w:rPr>
        <w:t xml:space="preserve">: NKT vadovas, </w:t>
      </w:r>
      <w:hyperlink r:id="rId133" w:history="1">
        <w:r>
          <w:rPr>
            <w:rStyle w:val="Hyperlink"/>
            <w:i/>
            <w:szCs w:val="16"/>
          </w:rPr>
          <w:t>http://enrd.ec.europa.eu/enrd-static/app_templates/enrd_assets/pdf/guidebook/nrn_handbook_webversion.pdf</w:t>
        </w:r>
      </w:hyperlink>
    </w:p>
    <w:p w:rsidR="0025413B" w:rsidRDefault="0025413B" w:rsidP="0025413B">
      <w:pPr>
        <w:rPr>
          <w:rFonts w:eastAsia="Arial" w:cs="Arial"/>
          <w:b/>
          <w:color w:val="57825E"/>
          <w:szCs w:val="20"/>
        </w:rPr>
      </w:pPr>
      <w:r>
        <w:rPr>
          <w:b/>
          <w:color w:val="57825E"/>
          <w:szCs w:val="20"/>
        </w:rPr>
        <w:t>Veiklos grupės</w:t>
      </w:r>
    </w:p>
    <w:p w:rsidR="0025413B" w:rsidRDefault="0025413B" w:rsidP="0025413B">
      <w:pPr>
        <w:rPr>
          <w:rFonts w:cs="Arial"/>
          <w:color w:val="404040" w:themeColor="background1" w:themeShade="40"/>
          <w:szCs w:val="20"/>
        </w:rPr>
      </w:pPr>
      <w:r>
        <w:rPr>
          <w:color w:val="404040" w:themeColor="background1" w:themeShade="40"/>
          <w:szCs w:val="20"/>
        </w:rPr>
        <w:t>Asmenų (pavyzdžiui, ūkininkų, tyrėjų, konsultantų ir pan.), kurie dirba kartu įgyvendindami praktinį inovacijų projektą siekiant konkrečių tikslų, grupės.</w:t>
      </w:r>
    </w:p>
    <w:p w:rsidR="0025413B" w:rsidRPr="00A05F6E" w:rsidRDefault="0025413B" w:rsidP="0025413B">
      <w:pPr>
        <w:rPr>
          <w:rFonts w:eastAsia="Times New Roman" w:cs="Arial"/>
          <w:color w:val="404040" w:themeColor="background1" w:themeShade="40"/>
          <w:szCs w:val="20"/>
        </w:rPr>
      </w:pPr>
      <w:r>
        <w:rPr>
          <w:i/>
          <w:color w:val="404040" w:themeColor="background1" w:themeShade="40"/>
          <w:sz w:val="16"/>
          <w:szCs w:val="16"/>
          <w:u w:val="single"/>
        </w:rPr>
        <w:t>Nuoroda</w:t>
      </w:r>
      <w:r>
        <w:rPr>
          <w:i/>
          <w:color w:val="404040" w:themeColor="background1" w:themeShade="40"/>
          <w:sz w:val="16"/>
          <w:szCs w:val="16"/>
        </w:rPr>
        <w:t xml:space="preserve">: EIP AGRI brošiūra apie paramos inovacijoms paslaugas, </w:t>
      </w:r>
      <w:hyperlink r:id="rId134" w:history="1">
        <w:r>
          <w:rPr>
            <w:rStyle w:val="Hyperlink"/>
            <w:i/>
            <w:szCs w:val="16"/>
          </w:rPr>
          <w:t>https://ec.europa.eu/eip/agriculture/en/content/innovation-support-services</w:t>
        </w:r>
      </w:hyperlink>
      <w:r>
        <w:t>.</w:t>
      </w:r>
    </w:p>
    <w:p w:rsidR="0025413B" w:rsidRPr="00A05F6E" w:rsidRDefault="0025413B" w:rsidP="0025413B">
      <w:pPr>
        <w:jc w:val="left"/>
        <w:rPr>
          <w:rFonts w:eastAsia="Arial" w:cs="Arial"/>
          <w:color w:val="404040" w:themeColor="background1" w:themeShade="40"/>
          <w:szCs w:val="20"/>
        </w:rPr>
      </w:pPr>
      <w:r>
        <w:t>.</w:t>
      </w:r>
    </w:p>
    <w:p w:rsidR="0025413B" w:rsidRPr="00C6274D" w:rsidRDefault="0025413B" w:rsidP="0025413B">
      <w:pPr>
        <w:rPr>
          <w:rFonts w:cs="Arial"/>
          <w:color w:val="404040" w:themeColor="background1" w:themeShade="40"/>
          <w:szCs w:val="20"/>
        </w:rPr>
        <w:sectPr w:rsidR="0025413B" w:rsidRPr="00C6274D" w:rsidSect="001F6F07">
          <w:type w:val="continuous"/>
          <w:pgSz w:w="11907" w:h="16840" w:code="9"/>
          <w:pgMar w:top="1440" w:right="1440" w:bottom="1134" w:left="1440" w:header="567" w:footer="1020" w:gutter="0"/>
          <w:cols w:num="2" w:space="708"/>
          <w:titlePg/>
          <w:docGrid w:linePitch="435"/>
        </w:sectPr>
      </w:pPr>
    </w:p>
    <w:p w:rsidR="0025413B" w:rsidRPr="00BC0813" w:rsidRDefault="0025413B" w:rsidP="001319A0">
      <w:pPr>
        <w:pStyle w:val="HStandard"/>
      </w:pPr>
    </w:p>
    <w:p w:rsidR="00E05D08" w:rsidRPr="00A963F4" w:rsidRDefault="00E05D08" w:rsidP="00E05D08">
      <w:pPr>
        <w:spacing w:before="60" w:after="140" w:line="220" w:lineRule="atLeast"/>
        <w:rPr>
          <w:rFonts w:eastAsia="Times New Roman" w:cs="Times New Roman"/>
          <w:sz w:val="18"/>
          <w:szCs w:val="24"/>
          <w:lang w:val="sv-SE" w:eastAsia="de-DE"/>
        </w:rPr>
        <w:sectPr w:rsidR="00E05D08" w:rsidRPr="00A963F4" w:rsidSect="00400064">
          <w:endnotePr>
            <w:numFmt w:val="decimal"/>
          </w:endnotePr>
          <w:type w:val="continuous"/>
          <w:pgSz w:w="11907" w:h="16840" w:code="9"/>
          <w:pgMar w:top="1440" w:right="1440" w:bottom="1134" w:left="1440" w:header="567" w:footer="709" w:gutter="0"/>
          <w:cols w:space="708"/>
          <w:noEndnote/>
          <w:titlePg/>
          <w:docGrid w:linePitch="360"/>
        </w:sectPr>
      </w:pPr>
    </w:p>
    <w:p w:rsidR="00E05D08" w:rsidRPr="000A14B3" w:rsidRDefault="00E05D08" w:rsidP="0025413B">
      <w:pPr>
        <w:pStyle w:val="HHeading2"/>
        <w:numPr>
          <w:ilvl w:val="1"/>
          <w:numId w:val="119"/>
        </w:numPr>
        <w:ind w:left="567" w:hanging="567"/>
      </w:pPr>
      <w:bookmarkStart w:id="144" w:name="_Toc493151908"/>
      <w:bookmarkStart w:id="145" w:name="_Toc501382138"/>
      <w:bookmarkStart w:id="146" w:name="_Toc508976535"/>
      <w:r>
        <w:lastRenderedPageBreak/>
        <w:t>KPP inovacijų skatinimo potencialo nustatymas: etapas po etapo</w:t>
      </w:r>
      <w:bookmarkEnd w:id="144"/>
      <w:bookmarkEnd w:id="145"/>
      <w:bookmarkEnd w:id="146"/>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127"/>
        <w:gridCol w:w="2400"/>
        <w:gridCol w:w="2694"/>
        <w:gridCol w:w="2268"/>
        <w:gridCol w:w="2410"/>
      </w:tblGrid>
      <w:tr w:rsidR="00E05D08" w:rsidRPr="00E05D08" w:rsidTr="000C4A16">
        <w:trPr>
          <w:trHeight w:val="294"/>
        </w:trPr>
        <w:tc>
          <w:tcPr>
            <w:tcW w:w="1980" w:type="dxa"/>
            <w:shd w:val="clear" w:color="auto" w:fill="F07E31"/>
          </w:tcPr>
          <w:p w:rsidR="00E05D08" w:rsidRPr="00E05D08" w:rsidRDefault="00E05D08" w:rsidP="00E05D08">
            <w:pPr>
              <w:tabs>
                <w:tab w:val="right" w:pos="2885"/>
              </w:tabs>
              <w:spacing w:before="120" w:after="120" w:line="280" w:lineRule="atLeast"/>
              <w:jc w:val="center"/>
              <w:rPr>
                <w:rFonts w:cs="Arial"/>
                <w:b/>
                <w:color w:val="FFFFFF"/>
                <w:sz w:val="18"/>
                <w:szCs w:val="18"/>
              </w:rPr>
            </w:pPr>
            <w:r>
              <w:rPr>
                <w:b/>
                <w:color w:val="FFFFFF"/>
                <w:sz w:val="18"/>
                <w:szCs w:val="18"/>
              </w:rPr>
              <w:t>Etapai</w:t>
            </w:r>
          </w:p>
        </w:tc>
        <w:tc>
          <w:tcPr>
            <w:tcW w:w="3127"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 xml:space="preserve">Pagrindiniai klausimai, į kuriuos turi būti atsakyta </w:t>
            </w:r>
          </w:p>
        </w:tc>
        <w:tc>
          <w:tcPr>
            <w:tcW w:w="240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Kuriame KPP skyriuje?</w:t>
            </w:r>
          </w:p>
        </w:tc>
        <w:tc>
          <w:tcPr>
            <w:tcW w:w="2694"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Pavyzdžiai</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Su etapu susijusi rizika</w:t>
            </w:r>
          </w:p>
        </w:tc>
        <w:tc>
          <w:tcPr>
            <w:tcW w:w="241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Sprendimai</w:t>
            </w:r>
          </w:p>
        </w:tc>
      </w:tr>
      <w:tr w:rsidR="00E05D08" w:rsidRPr="00E05D08" w:rsidTr="000C4A16">
        <w:tc>
          <w:tcPr>
            <w:tcW w:w="1980" w:type="dxa"/>
          </w:tcPr>
          <w:p w:rsidR="00E05D08" w:rsidRPr="00F31494" w:rsidRDefault="00E05D08" w:rsidP="00F31494">
            <w:pPr>
              <w:jc w:val="left"/>
              <w:rPr>
                <w:rFonts w:cs="Arial"/>
                <w:color w:val="F07E31"/>
                <w:sz w:val="18"/>
                <w:szCs w:val="18"/>
              </w:rPr>
            </w:pPr>
            <w:r>
              <w:rPr>
                <w:color w:val="F07E31"/>
                <w:sz w:val="18"/>
                <w:szCs w:val="18"/>
              </w:rPr>
              <w:t xml:space="preserve">1 etapas. Nustatykite su inovacijomis susijusių poreikių ir priemonių / pagalbinių priemonių tarpusavio sąsajas </w:t>
            </w:r>
          </w:p>
        </w:tc>
        <w:tc>
          <w:tcPr>
            <w:tcW w:w="3127" w:type="dxa"/>
          </w:tcPr>
          <w:p w:rsidR="00E05D08" w:rsidRPr="00E05D08" w:rsidRDefault="00AA5817" w:rsidP="00F31494">
            <w:pPr>
              <w:spacing w:after="120"/>
              <w:jc w:val="left"/>
              <w:rPr>
                <w:rFonts w:cs="Arial"/>
                <w:sz w:val="16"/>
                <w:szCs w:val="16"/>
              </w:rPr>
            </w:pPr>
            <w:r>
              <w:rPr>
                <w:sz w:val="16"/>
                <w:szCs w:val="16"/>
              </w:rPr>
              <w:t>Kokie su inovacijomis susiję poreikiai buvo nustatyti per poreikių vertinimą, atsižvelgiant į priemonę / pagalbinę priemonę?</w:t>
            </w:r>
          </w:p>
          <w:p w:rsidR="00E05D08" w:rsidRPr="00E05D08" w:rsidRDefault="00E05D08" w:rsidP="00F31494">
            <w:pPr>
              <w:spacing w:after="120"/>
              <w:jc w:val="left"/>
              <w:rPr>
                <w:rFonts w:cs="Arial"/>
                <w:sz w:val="16"/>
                <w:szCs w:val="16"/>
              </w:rPr>
            </w:pPr>
            <w:r>
              <w:rPr>
                <w:sz w:val="16"/>
                <w:szCs w:val="16"/>
              </w:rPr>
              <w:t>Kaip priemone / pagalbine priemone tenkinami šie poreikiai, atsižvelgiant į  tris kryptis?</w:t>
            </w:r>
          </w:p>
        </w:tc>
        <w:tc>
          <w:tcPr>
            <w:tcW w:w="2400" w:type="dxa"/>
          </w:tcPr>
          <w:p w:rsidR="00E05D08" w:rsidRPr="00E05D08" w:rsidRDefault="00E05D08" w:rsidP="00F31494">
            <w:pPr>
              <w:jc w:val="left"/>
              <w:rPr>
                <w:rFonts w:cs="Arial"/>
                <w:sz w:val="16"/>
                <w:szCs w:val="16"/>
              </w:rPr>
            </w:pPr>
            <w:r>
              <w:rPr>
                <w:sz w:val="16"/>
                <w:szCs w:val="16"/>
              </w:rPr>
              <w:t>4 skyrius. SSGG analizė ir poreikių analizė</w:t>
            </w:r>
          </w:p>
          <w:p w:rsidR="00E05D08" w:rsidRPr="00E05D08" w:rsidRDefault="00E05D08" w:rsidP="00F31494">
            <w:pPr>
              <w:jc w:val="left"/>
              <w:rPr>
                <w:rFonts w:cs="Arial"/>
                <w:sz w:val="16"/>
                <w:szCs w:val="16"/>
              </w:rPr>
            </w:pPr>
            <w:r>
              <w:rPr>
                <w:sz w:val="16"/>
                <w:szCs w:val="16"/>
              </w:rPr>
              <w:t>5 skyrius. Strategijos aprašymas</w:t>
            </w:r>
          </w:p>
          <w:p w:rsidR="00E05D08" w:rsidRPr="00E05D08" w:rsidRDefault="00E05D08" w:rsidP="00F31494">
            <w:pPr>
              <w:jc w:val="left"/>
              <w:rPr>
                <w:rFonts w:cs="Arial"/>
                <w:sz w:val="16"/>
                <w:szCs w:val="16"/>
              </w:rPr>
            </w:pPr>
            <w:r>
              <w:rPr>
                <w:sz w:val="16"/>
                <w:szCs w:val="16"/>
              </w:rPr>
              <w:t>8 skyrius. Priemonių / pagalbinių priemonių aprašymas</w:t>
            </w:r>
          </w:p>
        </w:tc>
        <w:tc>
          <w:tcPr>
            <w:tcW w:w="2694" w:type="dxa"/>
          </w:tcPr>
          <w:p w:rsidR="00E05D08" w:rsidRPr="00E05D08" w:rsidRDefault="00E05D08" w:rsidP="00F31494">
            <w:pPr>
              <w:jc w:val="left"/>
              <w:rPr>
                <w:rFonts w:cs="Arial"/>
                <w:sz w:val="16"/>
                <w:szCs w:val="16"/>
              </w:rPr>
            </w:pPr>
            <w:r>
              <w:rPr>
                <w:sz w:val="16"/>
                <w:szCs w:val="16"/>
              </w:rPr>
              <w:t>Poreikis patobulinti MTTPI sistemą; poreikis pagerinti žinių perdavimo mechanizmus; poreikis skatinti žemės ūkio ir maisto produktų gamybos sektoriaus subjektų inovacijų kultūrą</w:t>
            </w:r>
          </w:p>
        </w:tc>
        <w:tc>
          <w:tcPr>
            <w:tcW w:w="2268" w:type="dxa"/>
          </w:tcPr>
          <w:p w:rsidR="00E05D08" w:rsidRPr="00E05D08" w:rsidRDefault="00AA5817" w:rsidP="00963A81">
            <w:pPr>
              <w:jc w:val="left"/>
              <w:rPr>
                <w:rFonts w:cs="Arial"/>
                <w:sz w:val="16"/>
                <w:szCs w:val="16"/>
              </w:rPr>
            </w:pPr>
            <w:r>
              <w:rPr>
                <w:sz w:val="16"/>
                <w:szCs w:val="16"/>
              </w:rPr>
              <w:t xml:space="preserve">Su inovacijomis susiję poreikiai nebuvo aiškiai suformuluoti SSGG analizėje ir poreikių vertinime. </w:t>
            </w:r>
          </w:p>
        </w:tc>
        <w:tc>
          <w:tcPr>
            <w:tcW w:w="2410" w:type="dxa"/>
          </w:tcPr>
          <w:p w:rsidR="00E05D08" w:rsidRPr="00E05D08" w:rsidRDefault="00E05D08" w:rsidP="00F31494">
            <w:pPr>
              <w:jc w:val="left"/>
              <w:rPr>
                <w:rFonts w:cs="Arial"/>
                <w:sz w:val="16"/>
                <w:szCs w:val="16"/>
              </w:rPr>
            </w:pPr>
            <w:r>
              <w:rPr>
                <w:sz w:val="16"/>
                <w:szCs w:val="16"/>
              </w:rPr>
              <w:t>Įvertinti SSGG analizę ir poreikių vertinimą, atsižvelgiant į su inovacijomis susijusius poreikius</w:t>
            </w:r>
          </w:p>
        </w:tc>
      </w:tr>
      <w:tr w:rsidR="00E05D08" w:rsidRPr="00E05D08" w:rsidTr="000C4A16">
        <w:tc>
          <w:tcPr>
            <w:tcW w:w="1980" w:type="dxa"/>
          </w:tcPr>
          <w:p w:rsidR="00E05D08" w:rsidRPr="00F31494" w:rsidRDefault="00AA5817" w:rsidP="00F31494">
            <w:pPr>
              <w:spacing w:after="120"/>
              <w:jc w:val="left"/>
              <w:rPr>
                <w:rFonts w:cs="Arial"/>
                <w:color w:val="F07E31"/>
                <w:sz w:val="18"/>
                <w:szCs w:val="18"/>
              </w:rPr>
            </w:pPr>
            <w:r>
              <w:rPr>
                <w:color w:val="F07E31"/>
                <w:sz w:val="18"/>
                <w:szCs w:val="18"/>
              </w:rPr>
              <w:t>2 etapas. Nustatykite su inovacijomis susijusias priemonės / pagalbinės priemonės tikslų dalis</w:t>
            </w:r>
          </w:p>
        </w:tc>
        <w:tc>
          <w:tcPr>
            <w:tcW w:w="3127" w:type="dxa"/>
          </w:tcPr>
          <w:p w:rsidR="00E05D08" w:rsidRPr="00E05D08" w:rsidRDefault="00E05D08" w:rsidP="00F31494">
            <w:pPr>
              <w:spacing w:after="120"/>
              <w:jc w:val="left"/>
              <w:rPr>
                <w:rFonts w:cs="Arial"/>
                <w:sz w:val="16"/>
                <w:szCs w:val="16"/>
              </w:rPr>
            </w:pPr>
            <w:r>
              <w:rPr>
                <w:sz w:val="16"/>
                <w:szCs w:val="16"/>
              </w:rPr>
              <w:t>Kokiu mastu priemonės / pagalbinės priemonės tikslai padeda patenkinti su inovacijomis susijusius poreikius?</w:t>
            </w:r>
          </w:p>
          <w:p w:rsidR="00E05D08" w:rsidRPr="00E05D08" w:rsidRDefault="00E05D08" w:rsidP="00F31494">
            <w:pPr>
              <w:spacing w:after="120"/>
              <w:jc w:val="left"/>
              <w:rPr>
                <w:rFonts w:cs="Arial"/>
                <w:sz w:val="16"/>
                <w:szCs w:val="16"/>
              </w:rPr>
            </w:pPr>
            <w:r>
              <w:rPr>
                <w:sz w:val="16"/>
                <w:szCs w:val="16"/>
              </w:rPr>
              <w:t>Kaip tikslas (-ai) formuluojamas (-i), atsižvelgiant į inovacijas?</w:t>
            </w:r>
          </w:p>
        </w:tc>
        <w:tc>
          <w:tcPr>
            <w:tcW w:w="2400" w:type="dxa"/>
          </w:tcPr>
          <w:p w:rsidR="00E05D08" w:rsidRPr="00E05D08" w:rsidRDefault="00E05D08" w:rsidP="00F31494">
            <w:pPr>
              <w:jc w:val="left"/>
              <w:rPr>
                <w:rFonts w:cs="Arial"/>
                <w:sz w:val="16"/>
                <w:szCs w:val="16"/>
              </w:rPr>
            </w:pPr>
            <w:r>
              <w:rPr>
                <w:sz w:val="16"/>
                <w:szCs w:val="16"/>
              </w:rPr>
              <w:t>5 skyrius. Strategijos aprašymas</w:t>
            </w:r>
          </w:p>
          <w:p w:rsidR="00E05D08" w:rsidRPr="00E05D08" w:rsidRDefault="00E05D08" w:rsidP="00F31494">
            <w:pPr>
              <w:jc w:val="left"/>
              <w:rPr>
                <w:rFonts w:cs="Arial"/>
                <w:sz w:val="16"/>
                <w:szCs w:val="16"/>
              </w:rPr>
            </w:pPr>
            <w:r>
              <w:rPr>
                <w:sz w:val="16"/>
                <w:szCs w:val="16"/>
              </w:rPr>
              <w:t>8 skyrius. Priemonių / pagalbinių priemonių aprašymas</w:t>
            </w:r>
          </w:p>
        </w:tc>
        <w:tc>
          <w:tcPr>
            <w:tcW w:w="2694" w:type="dxa"/>
          </w:tcPr>
          <w:p w:rsidR="00E05D08" w:rsidRPr="00E05D08" w:rsidRDefault="00E05D08" w:rsidP="00F31494">
            <w:pPr>
              <w:jc w:val="left"/>
              <w:rPr>
                <w:rFonts w:cs="Arial"/>
                <w:sz w:val="16"/>
                <w:szCs w:val="16"/>
              </w:rPr>
            </w:pPr>
            <w:r>
              <w:rPr>
                <w:sz w:val="16"/>
                <w:szCs w:val="16"/>
              </w:rPr>
              <w:t>Skatinti naujų technologijų taikymą drėkinimo sistemose; taikyti naujas žinias kultūrinių augalų apsaugos ir perdirbimo srityse; pagerinti kaimo įmonių ekonominius rezultatus taikant inovacijas</w:t>
            </w:r>
          </w:p>
        </w:tc>
        <w:tc>
          <w:tcPr>
            <w:tcW w:w="2268" w:type="dxa"/>
          </w:tcPr>
          <w:p w:rsidR="00E05D08" w:rsidRPr="00E05D08" w:rsidRDefault="00AA5817" w:rsidP="00F31494">
            <w:pPr>
              <w:jc w:val="left"/>
              <w:rPr>
                <w:rFonts w:cs="Arial"/>
                <w:sz w:val="16"/>
                <w:szCs w:val="16"/>
              </w:rPr>
            </w:pPr>
            <w:r>
              <w:rPr>
                <w:sz w:val="16"/>
                <w:szCs w:val="16"/>
              </w:rPr>
              <w:t>Su inovacijomis susiję tikslai nėra akivaizdūs bendrame priemonės ir pagalbinių priemonių aprašyme.</w:t>
            </w:r>
          </w:p>
        </w:tc>
        <w:tc>
          <w:tcPr>
            <w:tcW w:w="2410" w:type="dxa"/>
          </w:tcPr>
          <w:p w:rsidR="00E05D08" w:rsidRPr="00E05D08" w:rsidRDefault="00E05D08" w:rsidP="00F31494">
            <w:pPr>
              <w:jc w:val="left"/>
              <w:rPr>
                <w:rFonts w:cs="Arial"/>
                <w:sz w:val="16"/>
                <w:szCs w:val="16"/>
              </w:rPr>
            </w:pPr>
            <w:r>
              <w:rPr>
                <w:sz w:val="16"/>
                <w:szCs w:val="16"/>
              </w:rPr>
              <w:t>Peržiūrėti visas pagalbines priemones ir atitinkamus jų tikslus, kad būtų galima nustatyti kokius nors su inovacijomis susijusius tikslus</w:t>
            </w:r>
          </w:p>
        </w:tc>
      </w:tr>
      <w:tr w:rsidR="00E05D08" w:rsidRPr="00E05D08" w:rsidTr="000C4A16">
        <w:tc>
          <w:tcPr>
            <w:tcW w:w="1980" w:type="dxa"/>
          </w:tcPr>
          <w:p w:rsidR="00E05D08" w:rsidRPr="00F31494" w:rsidRDefault="00AA5817" w:rsidP="00F31494">
            <w:pPr>
              <w:jc w:val="left"/>
              <w:rPr>
                <w:rFonts w:cs="Arial"/>
                <w:color w:val="F07E31"/>
                <w:sz w:val="18"/>
                <w:szCs w:val="18"/>
              </w:rPr>
            </w:pPr>
            <w:r>
              <w:rPr>
                <w:color w:val="F07E31"/>
                <w:sz w:val="18"/>
                <w:szCs w:val="18"/>
              </w:rPr>
              <w:t>3 etapas. Nustatykite su inovacijomis susijusius priemonės / pagalbinės priemonės atrankos kriterijus</w:t>
            </w:r>
          </w:p>
        </w:tc>
        <w:tc>
          <w:tcPr>
            <w:tcW w:w="3127" w:type="dxa"/>
          </w:tcPr>
          <w:p w:rsidR="00E05D08" w:rsidRPr="00E05D08" w:rsidRDefault="00E05D08" w:rsidP="00F31494">
            <w:pPr>
              <w:spacing w:after="120"/>
              <w:jc w:val="left"/>
              <w:rPr>
                <w:rFonts w:cs="Arial"/>
                <w:sz w:val="16"/>
                <w:szCs w:val="16"/>
              </w:rPr>
            </w:pPr>
            <w:r>
              <w:rPr>
                <w:sz w:val="16"/>
                <w:szCs w:val="16"/>
              </w:rPr>
              <w:t xml:space="preserve">Kokiu mastu priemonės / pagalbinės priemonės projekto atrankos kriterijais remiamas inovacijų skatinimas, atsižvelgiant į  tris kryptis? </w:t>
            </w:r>
          </w:p>
          <w:p w:rsidR="00E05D08" w:rsidRPr="00E05D08" w:rsidRDefault="00E05D08" w:rsidP="00F31494">
            <w:pPr>
              <w:spacing w:after="120"/>
              <w:jc w:val="left"/>
              <w:rPr>
                <w:rFonts w:cs="Arial"/>
                <w:sz w:val="16"/>
                <w:szCs w:val="16"/>
              </w:rPr>
            </w:pPr>
            <w:r>
              <w:rPr>
                <w:sz w:val="16"/>
                <w:szCs w:val="16"/>
              </w:rPr>
              <w:t>Kokiais konkrečiais atrankos kriterijais remiami projektai, kuriais skatinamos inovacijos?</w:t>
            </w:r>
          </w:p>
        </w:tc>
        <w:tc>
          <w:tcPr>
            <w:tcW w:w="2400" w:type="dxa"/>
          </w:tcPr>
          <w:p w:rsidR="00E05D08" w:rsidRPr="00E05D08" w:rsidRDefault="00E05D08" w:rsidP="00F31494">
            <w:pPr>
              <w:jc w:val="left"/>
              <w:rPr>
                <w:rFonts w:cs="Arial"/>
                <w:sz w:val="16"/>
                <w:szCs w:val="16"/>
              </w:rPr>
            </w:pPr>
            <w:r>
              <w:rPr>
                <w:sz w:val="16"/>
                <w:szCs w:val="16"/>
              </w:rPr>
              <w:t>8 skyrius. Priemonių / pagalbinių priemonių aprašymas</w:t>
            </w:r>
          </w:p>
          <w:p w:rsidR="00E05D08" w:rsidRPr="00E05D08" w:rsidRDefault="00E05D08" w:rsidP="00F31494">
            <w:pPr>
              <w:jc w:val="left"/>
              <w:rPr>
                <w:rFonts w:cs="Arial"/>
                <w:sz w:val="16"/>
                <w:szCs w:val="16"/>
              </w:rPr>
            </w:pPr>
            <w:r>
              <w:rPr>
                <w:sz w:val="16"/>
                <w:szCs w:val="16"/>
              </w:rPr>
              <w:t>Įgyvendinant programą parengti atrankos kriterijai (šaltinis: programos tinklalapis, VĮ)</w:t>
            </w:r>
          </w:p>
        </w:tc>
        <w:tc>
          <w:tcPr>
            <w:tcW w:w="2694" w:type="dxa"/>
          </w:tcPr>
          <w:p w:rsidR="00E05D08" w:rsidRPr="00E05D08" w:rsidRDefault="00E05D08" w:rsidP="00F31494">
            <w:pPr>
              <w:jc w:val="left"/>
              <w:rPr>
                <w:rFonts w:cs="Arial"/>
                <w:sz w:val="16"/>
                <w:szCs w:val="16"/>
              </w:rPr>
            </w:pPr>
            <w:r>
              <w:rPr>
                <w:sz w:val="16"/>
                <w:szCs w:val="16"/>
              </w:rPr>
              <w:t>Inovacijų patirties turinčių subjektų suskirstymas pirmenybine tvarka; mokslinius tyrimus ir praktiką susiejančių veiksmų suskirstymas pirmenybine tvarka; daugiausia dėmesio skiriama partnerystės sudėčiai (kai tai susiję su bendradarbiavimo veiksmais).</w:t>
            </w:r>
          </w:p>
        </w:tc>
        <w:tc>
          <w:tcPr>
            <w:tcW w:w="2268" w:type="dxa"/>
          </w:tcPr>
          <w:p w:rsidR="00E05D08" w:rsidRPr="00E05D08" w:rsidRDefault="00E05D08" w:rsidP="00FF4D19">
            <w:pPr>
              <w:jc w:val="left"/>
              <w:rPr>
                <w:rFonts w:cs="Arial"/>
                <w:sz w:val="16"/>
                <w:szCs w:val="16"/>
              </w:rPr>
            </w:pPr>
            <w:r>
              <w:rPr>
                <w:sz w:val="16"/>
                <w:szCs w:val="16"/>
              </w:rPr>
              <w:t xml:space="preserve">Priemonių aprašyme konkrečiai neįvardijami su inovacijomis susiję projektų atrankos kriterijai arba tik pateikiama bendra formuluotė, pvz., „atrinktas projektas yra </w:t>
            </w:r>
            <w:r w:rsidR="00FF4D19">
              <w:rPr>
                <w:sz w:val="16"/>
                <w:szCs w:val="16"/>
              </w:rPr>
              <w:t>novatoriškas</w:t>
            </w:r>
            <w:r>
              <w:rPr>
                <w:sz w:val="16"/>
                <w:szCs w:val="16"/>
              </w:rPr>
              <w:t xml:space="preserve">“. </w:t>
            </w:r>
          </w:p>
        </w:tc>
        <w:tc>
          <w:tcPr>
            <w:tcW w:w="2410" w:type="dxa"/>
          </w:tcPr>
          <w:p w:rsidR="00E05D08" w:rsidRPr="00E05D08" w:rsidRDefault="00E05D08" w:rsidP="00FF4D19">
            <w:pPr>
              <w:jc w:val="left"/>
              <w:rPr>
                <w:rFonts w:cs="Arial"/>
                <w:sz w:val="16"/>
                <w:szCs w:val="16"/>
              </w:rPr>
            </w:pPr>
            <w:r>
              <w:rPr>
                <w:sz w:val="16"/>
                <w:szCs w:val="16"/>
              </w:rPr>
              <w:t xml:space="preserve">Pasiūlyti veiklos kriterijus, kuriais būtų apibūdinama sąlyga, pagal kurią projektas atrenkamas kaip </w:t>
            </w:r>
            <w:r w:rsidR="00FF4D19">
              <w:rPr>
                <w:sz w:val="16"/>
                <w:szCs w:val="16"/>
              </w:rPr>
              <w:t>novatoriškas</w:t>
            </w:r>
          </w:p>
        </w:tc>
      </w:tr>
      <w:tr w:rsidR="00E05D08" w:rsidRPr="00E05D08" w:rsidTr="000C4A16">
        <w:tc>
          <w:tcPr>
            <w:tcW w:w="1980" w:type="dxa"/>
          </w:tcPr>
          <w:p w:rsidR="00E05D08" w:rsidRPr="00F31494" w:rsidRDefault="00E05D08" w:rsidP="00F31494">
            <w:pPr>
              <w:spacing w:after="120"/>
              <w:jc w:val="left"/>
              <w:rPr>
                <w:rFonts w:cs="Arial"/>
                <w:color w:val="F07E31"/>
                <w:sz w:val="18"/>
                <w:szCs w:val="18"/>
              </w:rPr>
            </w:pPr>
            <w:r>
              <w:rPr>
                <w:color w:val="F07E31"/>
                <w:sz w:val="18"/>
                <w:szCs w:val="18"/>
              </w:rPr>
              <w:t>4 etapas. Priemonės / pagalbinės priemonės aprašyme nurodykite suinteresuotuosius inovacijų subjektus</w:t>
            </w:r>
          </w:p>
        </w:tc>
        <w:tc>
          <w:tcPr>
            <w:tcW w:w="3127" w:type="dxa"/>
          </w:tcPr>
          <w:p w:rsidR="00E05D08" w:rsidRPr="00E05D08" w:rsidRDefault="00E05D08" w:rsidP="00F31494">
            <w:pPr>
              <w:spacing w:after="120"/>
              <w:jc w:val="left"/>
              <w:rPr>
                <w:rFonts w:cs="Arial"/>
                <w:sz w:val="16"/>
                <w:szCs w:val="16"/>
              </w:rPr>
            </w:pPr>
            <w:r>
              <w:rPr>
                <w:sz w:val="16"/>
                <w:szCs w:val="16"/>
              </w:rPr>
              <w:t>Kurie paramos gavėjai, kaip numatoma, gali paskatinti inovacijas minėtomis trimis kryptimis?</w:t>
            </w:r>
          </w:p>
          <w:p w:rsidR="00E05D08" w:rsidRPr="00E05D08" w:rsidRDefault="00E05D08" w:rsidP="00F31494">
            <w:pPr>
              <w:spacing w:after="120"/>
              <w:jc w:val="left"/>
              <w:rPr>
                <w:rFonts w:cs="Arial"/>
                <w:sz w:val="16"/>
                <w:szCs w:val="16"/>
              </w:rPr>
            </w:pPr>
            <w:r>
              <w:rPr>
                <w:sz w:val="16"/>
                <w:szCs w:val="16"/>
              </w:rPr>
              <w:t>Kurie kiti inovacijų srities suinteresuotieji subjektai dalyvauja įgyvendinant priemonę?</w:t>
            </w:r>
          </w:p>
        </w:tc>
        <w:tc>
          <w:tcPr>
            <w:tcW w:w="2400" w:type="dxa"/>
          </w:tcPr>
          <w:p w:rsidR="00E05D08" w:rsidRPr="00E05D08" w:rsidRDefault="00E05D08" w:rsidP="00F31494">
            <w:pPr>
              <w:jc w:val="left"/>
              <w:rPr>
                <w:rFonts w:cs="Arial"/>
                <w:sz w:val="16"/>
                <w:szCs w:val="16"/>
              </w:rPr>
            </w:pPr>
            <w:r>
              <w:rPr>
                <w:sz w:val="16"/>
                <w:szCs w:val="16"/>
              </w:rPr>
              <w:t>8 skyrius. Priemonių / pagalbinių priemonių aprašymas</w:t>
            </w:r>
          </w:p>
        </w:tc>
        <w:tc>
          <w:tcPr>
            <w:tcW w:w="2694" w:type="dxa"/>
          </w:tcPr>
          <w:p w:rsidR="00E05D08" w:rsidRPr="00E05D08" w:rsidRDefault="00E05D08" w:rsidP="00F31494">
            <w:pPr>
              <w:jc w:val="left"/>
              <w:rPr>
                <w:rFonts w:cs="Arial"/>
                <w:sz w:val="16"/>
                <w:szCs w:val="16"/>
              </w:rPr>
            </w:pPr>
            <w:r>
              <w:rPr>
                <w:sz w:val="16"/>
                <w:szCs w:val="16"/>
              </w:rPr>
              <w:t>MTTP centrai</w:t>
            </w:r>
          </w:p>
          <w:p w:rsidR="00E05D08" w:rsidRPr="00E05D08" w:rsidRDefault="00E05D08" w:rsidP="00F31494">
            <w:pPr>
              <w:jc w:val="left"/>
              <w:rPr>
                <w:rFonts w:cs="Arial"/>
                <w:sz w:val="16"/>
                <w:szCs w:val="16"/>
              </w:rPr>
            </w:pPr>
            <w:r>
              <w:rPr>
                <w:sz w:val="16"/>
                <w:szCs w:val="16"/>
              </w:rPr>
              <w:t>Technologijų institutai</w:t>
            </w:r>
          </w:p>
          <w:p w:rsidR="00E05D08" w:rsidRPr="00E05D08" w:rsidRDefault="00E05D08" w:rsidP="00F31494">
            <w:pPr>
              <w:jc w:val="left"/>
              <w:rPr>
                <w:rFonts w:cs="Arial"/>
                <w:sz w:val="16"/>
                <w:szCs w:val="16"/>
              </w:rPr>
            </w:pPr>
            <w:r>
              <w:rPr>
                <w:sz w:val="16"/>
                <w:szCs w:val="16"/>
              </w:rPr>
              <w:t>Valstybės institucijų inovacijų padaliniai</w:t>
            </w:r>
          </w:p>
          <w:p w:rsidR="00E05D08" w:rsidRPr="00EC17B2" w:rsidRDefault="00E05D08" w:rsidP="00F31494">
            <w:pPr>
              <w:jc w:val="left"/>
              <w:rPr>
                <w:rFonts w:cs="Arial"/>
                <w:sz w:val="16"/>
                <w:szCs w:val="16"/>
                <w:lang w:val="fr-BE"/>
              </w:rPr>
            </w:pPr>
          </w:p>
          <w:p w:rsidR="00E05D08" w:rsidRPr="00EC17B2" w:rsidRDefault="00E05D08" w:rsidP="00F31494">
            <w:pPr>
              <w:jc w:val="left"/>
              <w:rPr>
                <w:rFonts w:cs="Arial"/>
                <w:sz w:val="16"/>
                <w:szCs w:val="16"/>
                <w:lang w:val="fr-BE"/>
              </w:rPr>
            </w:pPr>
          </w:p>
        </w:tc>
        <w:tc>
          <w:tcPr>
            <w:tcW w:w="2268" w:type="dxa"/>
          </w:tcPr>
          <w:p w:rsidR="00E05D08" w:rsidRPr="00E05D08" w:rsidRDefault="00AA5817" w:rsidP="00F31494">
            <w:pPr>
              <w:jc w:val="left"/>
              <w:rPr>
                <w:rFonts w:cs="Arial"/>
                <w:sz w:val="16"/>
                <w:szCs w:val="16"/>
              </w:rPr>
            </w:pPr>
            <w:r>
              <w:rPr>
                <w:sz w:val="16"/>
                <w:szCs w:val="16"/>
              </w:rPr>
              <w:t>Su inovacijomis susiję suinteresuotieji subjektai gali nebūti nurodyti priemonės struktūroje.</w:t>
            </w:r>
          </w:p>
        </w:tc>
        <w:tc>
          <w:tcPr>
            <w:tcW w:w="2410" w:type="dxa"/>
          </w:tcPr>
          <w:p w:rsidR="00E05D08" w:rsidRPr="00E05D08" w:rsidRDefault="00E05D08" w:rsidP="00F31494">
            <w:pPr>
              <w:jc w:val="left"/>
              <w:rPr>
                <w:rFonts w:cs="Arial"/>
                <w:sz w:val="16"/>
                <w:szCs w:val="16"/>
              </w:rPr>
            </w:pPr>
            <w:r>
              <w:rPr>
                <w:sz w:val="16"/>
                <w:szCs w:val="16"/>
              </w:rPr>
              <w:t xml:space="preserve">Vertintojas turėtų patikrinti, ar su inovacijomis susiję suinteresuotieji subjektai dalyvavo įgyvendinant priemonę ir pagalbines priemones. </w:t>
            </w:r>
          </w:p>
        </w:tc>
      </w:tr>
      <w:tr w:rsidR="00E05D08" w:rsidRPr="00E05D08" w:rsidTr="000C4A16">
        <w:tc>
          <w:tcPr>
            <w:tcW w:w="1980" w:type="dxa"/>
          </w:tcPr>
          <w:p w:rsidR="00E05D08" w:rsidRPr="00F31494" w:rsidRDefault="00AA5817" w:rsidP="00F31494">
            <w:pPr>
              <w:spacing w:after="120"/>
              <w:jc w:val="left"/>
              <w:rPr>
                <w:rFonts w:cs="Arial"/>
                <w:color w:val="F07E31"/>
                <w:sz w:val="18"/>
                <w:szCs w:val="18"/>
              </w:rPr>
            </w:pPr>
            <w:r>
              <w:rPr>
                <w:color w:val="F07E31"/>
                <w:sz w:val="18"/>
                <w:szCs w:val="18"/>
              </w:rPr>
              <w:t>5 etapas. Priemonės / pagalbinės priemonės aprašyme nurodykite su inovacijomis susijusius veiksmus, išlaidas ir biudžetus</w:t>
            </w:r>
          </w:p>
        </w:tc>
        <w:tc>
          <w:tcPr>
            <w:tcW w:w="3127" w:type="dxa"/>
          </w:tcPr>
          <w:p w:rsidR="00E05D08" w:rsidRPr="00E05D08" w:rsidRDefault="00E05D08" w:rsidP="00F31494">
            <w:pPr>
              <w:spacing w:after="120"/>
              <w:jc w:val="left"/>
              <w:rPr>
                <w:rFonts w:cs="Arial"/>
                <w:sz w:val="16"/>
                <w:szCs w:val="16"/>
              </w:rPr>
            </w:pPr>
            <w:r>
              <w:rPr>
                <w:sz w:val="16"/>
                <w:szCs w:val="16"/>
              </w:rPr>
              <w:t xml:space="preserve">Kokiais tinkamais finansuoti veiksmais ir išlaidomis bus remiamos inovacijos? </w:t>
            </w:r>
          </w:p>
          <w:p w:rsidR="00E05D08" w:rsidRPr="00E05D08" w:rsidRDefault="00E05D08" w:rsidP="00963A81">
            <w:pPr>
              <w:spacing w:after="120"/>
              <w:jc w:val="left"/>
              <w:rPr>
                <w:rFonts w:cs="Arial"/>
                <w:sz w:val="16"/>
                <w:szCs w:val="16"/>
              </w:rPr>
            </w:pPr>
            <w:r>
              <w:rPr>
                <w:sz w:val="16"/>
                <w:szCs w:val="16"/>
              </w:rPr>
              <w:t>Koks yra veiksmų finansavimo biudžetas, kokios yra paramos inovacijoms išlaidos?</w:t>
            </w:r>
          </w:p>
        </w:tc>
        <w:tc>
          <w:tcPr>
            <w:tcW w:w="2400" w:type="dxa"/>
          </w:tcPr>
          <w:p w:rsidR="00E05D08" w:rsidRPr="00E05D08" w:rsidRDefault="00E05D08" w:rsidP="00F31494">
            <w:pPr>
              <w:jc w:val="left"/>
              <w:rPr>
                <w:rFonts w:cs="Arial"/>
                <w:sz w:val="16"/>
                <w:szCs w:val="16"/>
              </w:rPr>
            </w:pPr>
            <w:r>
              <w:rPr>
                <w:sz w:val="16"/>
                <w:szCs w:val="16"/>
              </w:rPr>
              <w:t>8 skyrius. Priemonių / pagalbinių priemonių aprašymas</w:t>
            </w:r>
          </w:p>
          <w:p w:rsidR="00E05D08" w:rsidRPr="00E05D08" w:rsidRDefault="00E05D08" w:rsidP="00F31494">
            <w:pPr>
              <w:jc w:val="left"/>
              <w:rPr>
                <w:rFonts w:cs="Arial"/>
                <w:sz w:val="16"/>
                <w:szCs w:val="16"/>
              </w:rPr>
            </w:pPr>
            <w:r>
              <w:rPr>
                <w:sz w:val="16"/>
                <w:szCs w:val="16"/>
              </w:rPr>
              <w:t>Įgyvendinant programą parengtos įgyvendinimo sistemos (šaltinis: programos tinklalapis, VĮ)</w:t>
            </w:r>
          </w:p>
          <w:p w:rsidR="00E05D08" w:rsidRPr="00A963F4" w:rsidRDefault="00E05D08" w:rsidP="00F31494">
            <w:pPr>
              <w:jc w:val="left"/>
              <w:rPr>
                <w:rFonts w:cs="Arial"/>
                <w:sz w:val="16"/>
                <w:szCs w:val="16"/>
              </w:rPr>
            </w:pPr>
          </w:p>
          <w:p w:rsidR="00E05D08" w:rsidRPr="00E05D08" w:rsidRDefault="00E05D08" w:rsidP="00F31494">
            <w:pPr>
              <w:jc w:val="left"/>
              <w:rPr>
                <w:rFonts w:cs="Arial"/>
                <w:sz w:val="16"/>
                <w:szCs w:val="16"/>
              </w:rPr>
            </w:pPr>
            <w:r>
              <w:rPr>
                <w:sz w:val="16"/>
                <w:szCs w:val="16"/>
              </w:rPr>
              <w:t xml:space="preserve">10 skyrius. Finansinis planas – biudžetas kiekvienai priemonei </w:t>
            </w:r>
          </w:p>
        </w:tc>
        <w:tc>
          <w:tcPr>
            <w:tcW w:w="2694" w:type="dxa"/>
          </w:tcPr>
          <w:p w:rsidR="00E05D08" w:rsidRPr="00E05D08" w:rsidRDefault="00E05D08" w:rsidP="00F31494">
            <w:pPr>
              <w:jc w:val="left"/>
              <w:rPr>
                <w:rFonts w:cs="Arial"/>
                <w:sz w:val="16"/>
                <w:szCs w:val="16"/>
              </w:rPr>
            </w:pPr>
            <w:r>
              <w:rPr>
                <w:sz w:val="16"/>
                <w:szCs w:val="16"/>
              </w:rPr>
              <w:t xml:space="preserve">Naudojimasis inovacijų tarpininkų paslaugomis siekiant įkurti veiklos grupes; iniciatyvinių grupių steigimas siekiant atlikti inovacijų stebėseną; administraciniai klausimai, susiję su inovacijas skatinančia intervencine veikla; renginiai siekiant didinti informuotumą apie inovacijas </w:t>
            </w:r>
          </w:p>
        </w:tc>
        <w:tc>
          <w:tcPr>
            <w:tcW w:w="2268" w:type="dxa"/>
          </w:tcPr>
          <w:p w:rsidR="00E05D08" w:rsidRPr="00E05D08" w:rsidRDefault="00E05D08" w:rsidP="00F31494">
            <w:pPr>
              <w:jc w:val="left"/>
              <w:rPr>
                <w:rFonts w:cs="Arial"/>
                <w:sz w:val="16"/>
                <w:szCs w:val="16"/>
              </w:rPr>
            </w:pPr>
            <w:r>
              <w:rPr>
                <w:sz w:val="16"/>
                <w:szCs w:val="16"/>
              </w:rPr>
              <w:t>Bet kokių duomenų apie su inovacijomis susijusias priemones ir paramą trūkumas</w:t>
            </w:r>
          </w:p>
        </w:tc>
        <w:tc>
          <w:tcPr>
            <w:tcW w:w="2410" w:type="dxa"/>
          </w:tcPr>
          <w:p w:rsidR="00E05D08" w:rsidRPr="00E05D08" w:rsidRDefault="00E05D08" w:rsidP="00F31494">
            <w:pPr>
              <w:jc w:val="left"/>
              <w:rPr>
                <w:rFonts w:cs="Arial"/>
                <w:sz w:val="16"/>
                <w:szCs w:val="16"/>
              </w:rPr>
            </w:pPr>
            <w:r>
              <w:rPr>
                <w:sz w:val="16"/>
                <w:szCs w:val="16"/>
              </w:rPr>
              <w:t>Analizuoti papildomą MĮA arba VĮ pateiktą informaciją apie priemonės ir pagalbinių priemonių įgyvendinimą</w:t>
            </w:r>
          </w:p>
        </w:tc>
      </w:tr>
    </w:tbl>
    <w:p w:rsidR="00863DB0" w:rsidRDefault="00863DB0" w:rsidP="00E05D08">
      <w:pPr>
        <w:spacing w:before="120" w:after="120" w:line="280" w:lineRule="atLeast"/>
        <w:mirrorIndents/>
        <w:rPr>
          <w:rFonts w:eastAsia="Times New Roman" w:cs="Times New Roman"/>
          <w:szCs w:val="20"/>
          <w:lang w:eastAsia="de-DE"/>
        </w:rPr>
        <w:sectPr w:rsidR="00863DB0" w:rsidSect="001F6F07">
          <w:endnotePr>
            <w:numFmt w:val="decimal"/>
          </w:endnotePr>
          <w:pgSz w:w="16840" w:h="11907" w:orient="landscape" w:code="9"/>
          <w:pgMar w:top="1440" w:right="1440" w:bottom="1440" w:left="1134" w:header="567" w:footer="1020" w:gutter="0"/>
          <w:cols w:space="708"/>
          <w:noEndnote/>
          <w:titlePg/>
          <w:docGrid w:linePitch="435"/>
        </w:sectPr>
      </w:pPr>
    </w:p>
    <w:p w:rsidR="003F6AF1" w:rsidRDefault="003F6AF1">
      <w:pPr>
        <w:jc w:val="left"/>
        <w:rPr>
          <w:rFonts w:eastAsia="Times New Roman" w:cs="Times New Roman"/>
          <w:szCs w:val="20"/>
          <w:lang w:eastAsia="de-DE"/>
        </w:rPr>
      </w:pPr>
    </w:p>
    <w:p w:rsidR="00E05D08" w:rsidRPr="00E05D08" w:rsidRDefault="00E05D08" w:rsidP="00690E70">
      <w:pPr>
        <w:spacing w:after="0" w:line="240" w:lineRule="auto"/>
        <w:jc w:val="left"/>
        <w:rPr>
          <w:rFonts w:eastAsia="Times New Roman" w:cs="Times New Roman"/>
          <w:szCs w:val="20"/>
        </w:rPr>
      </w:pPr>
    </w:p>
    <w:bookmarkEnd w:id="0"/>
    <w:p w:rsidR="00E16522" w:rsidRDefault="00E16522"/>
    <w:sectPr w:rsidR="00E16522" w:rsidSect="00055039">
      <w:headerReference w:type="default" r:id="rId135"/>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6E17" w:rsidRDefault="007C6E17" w:rsidP="00E05D08">
      <w:pPr>
        <w:spacing w:after="0" w:line="240" w:lineRule="auto"/>
      </w:pPr>
      <w:r>
        <w:separator/>
      </w:r>
    </w:p>
  </w:endnote>
  <w:endnote w:type="continuationSeparator" w:id="0">
    <w:p w:rsidR="007C6E17" w:rsidRDefault="007C6E17" w:rsidP="00E0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Helvetica LT Pro">
    <w:altName w:val="Segoe Script"/>
    <w:panose1 w:val="020B0704020202030204"/>
    <w:charset w:val="00"/>
    <w:family w:val="swiss"/>
    <w:pitch w:val="variable"/>
    <w:sig w:usb0="A00002AF" w:usb1="5000204A" w:usb2="00000000" w:usb3="00000000" w:csb0="00000097" w:csb1="00000000"/>
  </w:font>
  <w:font w:name="Calibri Light">
    <w:panose1 w:val="020F0302020204030204"/>
    <w:charset w:val="00"/>
    <w:family w:val="swiss"/>
    <w:pitch w:val="variable"/>
    <w:sig w:usb0="A0002AEF" w:usb1="4000207B" w:usb2="00000000"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7E3" w:rsidRDefault="001F67E3">
    <w:pPr>
      <w:pStyle w:val="Footer"/>
    </w:pPr>
    <w:r>
      <w:t xml:space="preserve">puslapis </w:t>
    </w:r>
    <w:r w:rsidRPr="00E05D08">
      <w:rPr>
        <w:rStyle w:val="PageNumber"/>
      </w:rPr>
      <w:fldChar w:fldCharType="begin"/>
    </w:r>
    <w:r w:rsidRPr="00E05D08">
      <w:rPr>
        <w:rStyle w:val="PageNumber"/>
      </w:rPr>
      <w:instrText xml:space="preserve"> PAGE </w:instrText>
    </w:r>
    <w:r w:rsidRPr="00E05D08">
      <w:rPr>
        <w:rStyle w:val="PageNumber"/>
      </w:rPr>
      <w:fldChar w:fldCharType="separate"/>
    </w:r>
    <w:r w:rsidRPr="00E05D08">
      <w:rPr>
        <w:rStyle w:val="PageNumber"/>
      </w:rPr>
      <w:t>4</w:t>
    </w:r>
    <w:r w:rsidRPr="00E05D08">
      <w:rPr>
        <w:rStyle w:val="PageNumber"/>
      </w:rPr>
      <w:fldChar w:fldCharType="end"/>
    </w:r>
    <w:r>
      <w:rPr>
        <w:rStyle w:val="PageNumber"/>
      </w:rPr>
      <w:tab/>
    </w:r>
    <w:r>
      <w:rPr>
        <w:noProof/>
        <w:lang w:val="en-GB" w:eastAsia="en-GB"/>
      </w:rPr>
      <w:drawing>
        <wp:inline distT="0" distB="0" distL="0" distR="0" wp14:anchorId="079E03A8" wp14:editId="53FF048B">
          <wp:extent cx="971550" cy="247650"/>
          <wp:effectExtent l="19050" t="0" r="0" b="0"/>
          <wp:docPr id="33"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7E3" w:rsidRPr="00611706" w:rsidRDefault="001F67E3" w:rsidP="00E1652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226613"/>
      <w:docPartObj>
        <w:docPartGallery w:val="Page Numbers (Bottom of Page)"/>
        <w:docPartUnique/>
      </w:docPartObj>
    </w:sdtPr>
    <w:sdtEndPr>
      <w:rPr>
        <w:noProof/>
        <w:sz w:val="18"/>
        <w:szCs w:val="18"/>
      </w:rPr>
    </w:sdtEndPr>
    <w:sdtContent>
      <w:p w:rsidR="001F67E3" w:rsidRPr="00611706" w:rsidRDefault="007C6E17">
        <w:pPr>
          <w:pStyle w:val="Footer"/>
          <w:rPr>
            <w:sz w:val="18"/>
            <w:szCs w:val="18"/>
          </w:rPr>
        </w:pPr>
      </w:p>
    </w:sdtContent>
  </w:sdt>
  <w:p w:rsidR="001F67E3" w:rsidRPr="006D33F1" w:rsidRDefault="001F67E3" w:rsidP="00E16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7E3" w:rsidRPr="00431FF5" w:rsidRDefault="001F67E3" w:rsidP="00431FF5">
    <w:pPr>
      <w:pStyle w:val="Footer"/>
      <w:spacing w:before="240"/>
      <w:rPr>
        <w:rStyle w:val="PageNumber"/>
        <w:rFonts w:eastAsiaTheme="majorEastAsia"/>
        <w:noProof/>
        <w:color w:val="373737"/>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7E3" w:rsidRPr="00150D5B" w:rsidRDefault="001F67E3" w:rsidP="00E165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222601"/>
      <w:docPartObj>
        <w:docPartGallery w:val="Page Numbers (Bottom of Page)"/>
        <w:docPartUnique/>
      </w:docPartObj>
    </w:sdtPr>
    <w:sdtEndPr>
      <w:rPr>
        <w:rStyle w:val="PageNumber"/>
        <w:rFonts w:eastAsiaTheme="majorEastAsia"/>
        <w:color w:val="808080"/>
        <w:sz w:val="18"/>
        <w:szCs w:val="18"/>
      </w:rPr>
    </w:sdtEndPr>
    <w:sdtContent>
      <w:p w:rsidR="001F67E3" w:rsidRDefault="001F67E3">
        <w:pPr>
          <w:pStyle w:val="Footer"/>
          <w:spacing w:before="240"/>
          <w:rPr>
            <w:rStyle w:val="PageNumber"/>
            <w:rFonts w:eastAsiaTheme="majorEastAsia"/>
            <w:noProof/>
            <w:color w:val="373737"/>
            <w:szCs w:val="18"/>
          </w:rPr>
        </w:pPr>
        <w:r w:rsidRPr="00431FF5">
          <w:rPr>
            <w:rStyle w:val="PageNumber"/>
            <w:rFonts w:eastAsiaTheme="majorEastAsia"/>
            <w:color w:val="373737"/>
            <w:szCs w:val="18"/>
          </w:rPr>
          <w:fldChar w:fldCharType="begin"/>
        </w:r>
        <w:r w:rsidRPr="00431FF5">
          <w:rPr>
            <w:rStyle w:val="PageNumber"/>
            <w:rFonts w:eastAsiaTheme="majorEastAsia"/>
            <w:color w:val="373737"/>
            <w:szCs w:val="18"/>
          </w:rPr>
          <w:instrText xml:space="preserve"> PAGE   \* MERGEFORMAT </w:instrText>
        </w:r>
        <w:r w:rsidRPr="00431FF5">
          <w:rPr>
            <w:rStyle w:val="PageNumber"/>
            <w:rFonts w:eastAsiaTheme="majorEastAsia"/>
            <w:color w:val="373737"/>
            <w:szCs w:val="18"/>
          </w:rPr>
          <w:fldChar w:fldCharType="separate"/>
        </w:r>
        <w:r w:rsidR="00DD2637">
          <w:rPr>
            <w:rStyle w:val="PageNumber"/>
            <w:rFonts w:eastAsiaTheme="majorEastAsia"/>
            <w:noProof/>
            <w:color w:val="373737"/>
            <w:szCs w:val="18"/>
          </w:rPr>
          <w:t>13</w:t>
        </w:r>
        <w:r w:rsidRPr="00431FF5">
          <w:rPr>
            <w:rStyle w:val="PageNumber"/>
            <w:rFonts w:eastAsiaTheme="majorEastAsia"/>
            <w:color w:val="373737"/>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7E3" w:rsidRDefault="001F67E3">
    <w:pPr>
      <w:pStyle w:val="Footer"/>
    </w:pPr>
    <w:r>
      <w:t xml:space="preserve">puslapis </w:t>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rPr>
      <w:t>4</w:t>
    </w:r>
    <w:r>
      <w:rPr>
        <w:rStyle w:val="PageNumber"/>
        <w:rFonts w:eastAsiaTheme="majorEastAsia"/>
      </w:rPr>
      <w:fldChar w:fldCharType="end"/>
    </w:r>
    <w:r>
      <w:rPr>
        <w:rStyle w:val="PageNumber"/>
      </w:rPr>
      <w:tab/>
    </w:r>
    <w:r>
      <w:rPr>
        <w:noProof/>
        <w:lang w:val="en-GB" w:eastAsia="en-GB"/>
      </w:rPr>
      <w:drawing>
        <wp:inline distT="0" distB="0" distL="0" distR="0" wp14:anchorId="795E3164" wp14:editId="2D99D4EC">
          <wp:extent cx="971550" cy="247650"/>
          <wp:effectExtent l="19050" t="0" r="0" b="0"/>
          <wp:docPr id="708"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7E3" w:rsidRPr="00611706" w:rsidRDefault="001F67E3" w:rsidP="00485923">
    <w:pPr>
      <w:pStyle w:val="Footer"/>
      <w:spacing w:before="240"/>
      <w:rPr>
        <w:sz w:val="18"/>
        <w:szCs w:val="18"/>
      </w:rPr>
    </w:pPr>
    <w:r w:rsidRPr="00611706">
      <w:rPr>
        <w:rStyle w:val="PageNumber"/>
        <w:rFonts w:eastAsiaTheme="majorEastAsia"/>
        <w:color w:val="373737"/>
        <w:szCs w:val="18"/>
      </w:rPr>
      <w:fldChar w:fldCharType="begin"/>
    </w:r>
    <w:r w:rsidRPr="00611706">
      <w:rPr>
        <w:rStyle w:val="PageNumber"/>
        <w:rFonts w:eastAsiaTheme="majorEastAsia"/>
        <w:color w:val="373737"/>
        <w:szCs w:val="18"/>
      </w:rPr>
      <w:instrText xml:space="preserve"> PAGE </w:instrText>
    </w:r>
    <w:r w:rsidRPr="00611706">
      <w:rPr>
        <w:rStyle w:val="PageNumber"/>
        <w:rFonts w:eastAsiaTheme="majorEastAsia"/>
        <w:color w:val="373737"/>
        <w:szCs w:val="18"/>
      </w:rPr>
      <w:fldChar w:fldCharType="separate"/>
    </w:r>
    <w:r w:rsidR="00DD2637">
      <w:rPr>
        <w:rStyle w:val="PageNumber"/>
        <w:rFonts w:eastAsiaTheme="majorEastAsia"/>
        <w:noProof/>
        <w:color w:val="373737"/>
        <w:szCs w:val="18"/>
      </w:rPr>
      <w:t>21</w:t>
    </w:r>
    <w:r w:rsidRPr="00611706">
      <w:rPr>
        <w:rStyle w:val="PageNumber"/>
        <w:rFonts w:eastAsiaTheme="majorEastAsia"/>
        <w:color w:val="373737"/>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653537"/>
      <w:docPartObj>
        <w:docPartGallery w:val="Page Numbers (Bottom of Page)"/>
        <w:docPartUnique/>
      </w:docPartObj>
    </w:sdtPr>
    <w:sdtEndPr>
      <w:rPr>
        <w:noProof/>
        <w:sz w:val="18"/>
        <w:szCs w:val="18"/>
      </w:rPr>
    </w:sdtEndPr>
    <w:sdtContent>
      <w:p w:rsidR="001F67E3" w:rsidRDefault="001F67E3">
        <w:pPr>
          <w:pStyle w:val="Footer"/>
          <w:rPr>
            <w:sz w:val="18"/>
            <w:szCs w:val="18"/>
          </w:rPr>
        </w:pPr>
        <w:r w:rsidRPr="00611706">
          <w:rPr>
            <w:sz w:val="18"/>
            <w:szCs w:val="18"/>
          </w:rPr>
          <w:fldChar w:fldCharType="begin"/>
        </w:r>
        <w:r w:rsidRPr="00611706">
          <w:rPr>
            <w:sz w:val="18"/>
            <w:szCs w:val="18"/>
          </w:rPr>
          <w:instrText xml:space="preserve"> PAGE   \* MERGEFORMAT </w:instrText>
        </w:r>
        <w:r w:rsidRPr="00611706">
          <w:rPr>
            <w:sz w:val="18"/>
            <w:szCs w:val="18"/>
          </w:rPr>
          <w:fldChar w:fldCharType="separate"/>
        </w:r>
        <w:r w:rsidR="00DD2637">
          <w:rPr>
            <w:noProof/>
            <w:sz w:val="18"/>
            <w:szCs w:val="18"/>
          </w:rPr>
          <w:t>29</w:t>
        </w:r>
        <w:r w:rsidRPr="00611706">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6E17" w:rsidRPr="00CE2990" w:rsidRDefault="007C6E17" w:rsidP="00E05D08">
      <w:pPr>
        <w:spacing w:after="0" w:line="240" w:lineRule="auto"/>
        <w:rPr>
          <w:color w:val="F07E31"/>
        </w:rPr>
      </w:pPr>
      <w:r>
        <w:rPr>
          <w:color w:val="F07E31"/>
        </w:rPr>
        <w:separator/>
      </w:r>
    </w:p>
  </w:footnote>
  <w:footnote w:type="continuationSeparator" w:id="0">
    <w:p w:rsidR="007C6E17" w:rsidRDefault="007C6E17" w:rsidP="00E05D08">
      <w:pPr>
        <w:spacing w:after="0" w:line="240" w:lineRule="auto"/>
      </w:pPr>
      <w:r>
        <w:continuationSeparator/>
      </w:r>
    </w:p>
  </w:footnote>
  <w:footnote w:id="1">
    <w:p w:rsidR="001F67E3" w:rsidRPr="00194986" w:rsidRDefault="001F67E3" w:rsidP="00E05D08">
      <w:pPr>
        <w:pStyle w:val="FootnoteText"/>
      </w:pPr>
      <w:r>
        <w:rPr>
          <w:rStyle w:val="FootnoteReference"/>
          <w:rFonts w:cs="Arial"/>
        </w:rPr>
        <w:footnoteRef/>
      </w:r>
      <w:r>
        <w:t xml:space="preserve">Kiti du kompleksiniai tikslai – aplinka ir klimato kaitos švelninimas, prisitaikymas prie klimato kaitos. </w:t>
      </w:r>
    </w:p>
  </w:footnote>
  <w:footnote w:id="2">
    <w:p w:rsidR="001F67E3" w:rsidRPr="00194986" w:rsidRDefault="001F67E3" w:rsidP="00E05D08">
      <w:pPr>
        <w:pStyle w:val="FootnoteText"/>
      </w:pPr>
      <w:r>
        <w:rPr>
          <w:rStyle w:val="FootnoteReference"/>
          <w:rFonts w:cs="Arial"/>
        </w:rPr>
        <w:footnoteRef/>
      </w:r>
      <w:r>
        <w:t xml:space="preserve"> </w:t>
      </w:r>
      <w:r>
        <w:t>Reglamento (ES) Nr. 1305/2013 8 straipsnio 1 dalies c punkto v papunktis ir Reglamento (ES) Nr. 808/2014 I priedo, 1 dalies 5 punkto c papunktis.</w:t>
      </w:r>
    </w:p>
  </w:footnote>
  <w:footnote w:id="3">
    <w:p w:rsidR="001F67E3" w:rsidRPr="00B97B27" w:rsidRDefault="001F67E3" w:rsidP="00E05D08">
      <w:pPr>
        <w:pStyle w:val="FootnoteText"/>
      </w:pPr>
      <w:r>
        <w:rPr>
          <w:rStyle w:val="FootnoteReference"/>
          <w:rFonts w:cs="Arial"/>
        </w:rPr>
        <w:footnoteRef/>
      </w:r>
      <w:r>
        <w:t xml:space="preserve"> </w:t>
      </w:r>
      <w:r>
        <w:t>Reglamento (ES) Nr. 1305/2013 68 straipsnis.</w:t>
      </w:r>
    </w:p>
  </w:footnote>
  <w:footnote w:id="4">
    <w:p w:rsidR="001F67E3" w:rsidRDefault="001F67E3" w:rsidP="000E1D4B">
      <w:pPr>
        <w:pStyle w:val="FootnoteText"/>
      </w:pPr>
      <w:r>
        <w:rPr>
          <w:rStyle w:val="FootnoteReference"/>
          <w:sz w:val="12"/>
          <w:szCs w:val="12"/>
        </w:rPr>
        <w:footnoteRef/>
      </w:r>
      <w:r>
        <w:t xml:space="preserve"> </w:t>
      </w:r>
      <w:r>
        <w:t xml:space="preserve">Europos inovacijų partnerystės (EIP) žemės ūkio našumo ir tvarumo srityje inovacijų programavimo ir įgyvendinimo gairės (angl. </w:t>
      </w:r>
      <w:r w:rsidRPr="001F67E3">
        <w:rPr>
          <w:i/>
        </w:rPr>
        <w:t>Guidelines on programming for innovation and the implementation of the EIP for agricultural productivity and sustainability</w:t>
      </w:r>
      <w:r>
        <w:t>),</w:t>
      </w:r>
      <w:r>
        <w:cr/>
      </w:r>
      <w:r>
        <w:rPr>
          <w:rStyle w:val="Hyperlink"/>
        </w:rPr>
        <w:t>https://ec.europa.eu/eip/agriculture/sites/agri-eip/files/pb_guidelines_eip_implementation_2014_en.pdf</w:t>
      </w:r>
      <w:r>
        <w:t>.</w:t>
      </w:r>
    </w:p>
  </w:footnote>
  <w:footnote w:id="5">
    <w:p w:rsidR="001F67E3" w:rsidRPr="00DC008D" w:rsidRDefault="001F67E3" w:rsidP="00F74459">
      <w:pPr>
        <w:pStyle w:val="FootnoteText"/>
        <w:rPr>
          <w:rFonts w:eastAsia="Calibri"/>
        </w:rPr>
      </w:pPr>
      <w:r>
        <w:rPr>
          <w:rStyle w:val="FootnoteReference"/>
        </w:rPr>
        <w:footnoteRef/>
      </w:r>
      <w:r>
        <w:t xml:space="preserve"> </w:t>
      </w:r>
      <w:r>
        <w:t xml:space="preserve">Europos inovacijų partnerystės (EIP) žemės ūkio našumo ir tvarumo srityje inovacijų programavimo ir įgyvendinimo gairės (angl. </w:t>
      </w:r>
      <w:r w:rsidRPr="001F67E3">
        <w:rPr>
          <w:i/>
          <w:iCs/>
        </w:rPr>
        <w:t>Guidelines on programming for innovation and the implementation of the EIP for agricultural productivity and sustainability</w:t>
      </w:r>
      <w:r>
        <w:t>),</w:t>
      </w:r>
      <w:r>
        <w:cr/>
      </w:r>
      <w:hyperlink r:id="rId1" w:history="1">
        <w:r>
          <w:rPr>
            <w:rStyle w:val="Hyperlink"/>
          </w:rPr>
          <w:t>https://ec.europa.eu/eip/agriculture/sites/agri-eip/files/pb_guidelines_eip_implementation_2014_en.pdf</w:t>
        </w:r>
      </w:hyperlink>
      <w:r>
        <w:t>.</w:t>
      </w:r>
    </w:p>
  </w:footnote>
  <w:footnote w:id="6">
    <w:p w:rsidR="001F67E3" w:rsidRPr="008F676D" w:rsidRDefault="001F67E3" w:rsidP="00F74459">
      <w:pPr>
        <w:pStyle w:val="FootnoteText"/>
      </w:pPr>
      <w:r>
        <w:rPr>
          <w:rStyle w:val="FootnoteReference"/>
        </w:rPr>
        <w:footnoteRef/>
      </w:r>
      <w:r>
        <w:t xml:space="preserve"> </w:t>
      </w:r>
      <w:r>
        <w:t>Programa „Horizontas 2020“ aktyviai remiama koncepcija, grindžiama daugiašalio dalyvavimo principu moksliniuose tyrimuose, todėl ūkininkai, konsultantai ir kiti specialistai, bendradarbiaudami su tyrėjais, gali  bendrai kurti sprendimus arba sudaryti novatoriškas galimybes, kad mokslinius tyrimus ir inovacijas pritaikytų prie ūkininkavimo veiklos poreikių, žr. „Horizontas 2020“ 2018–2020 m. darbo programa“, p. 8–9 dėl reikalavimų, taikomų daugiašaliams projektams (</w:t>
      </w:r>
      <w:hyperlink r:id="rId2" w:history="1">
        <w:r>
          <w:rPr>
            <w:rStyle w:val="Hyperlink"/>
          </w:rPr>
          <w:t>http://ec.europa.eu/research/participants/data/ref/h2020/wp/2018-2020/main/h2020-wp1820-food_en.pdf</w:t>
        </w:r>
      </w:hyperlink>
      <w:r>
        <w:t>) ir EIP brošiūrą dėl daugiašalio dalyvavimo principo (</w:t>
      </w:r>
      <w:hyperlink r:id="rId3" w:history="1">
        <w:r>
          <w:rPr>
            <w:rStyle w:val="Hyperlink"/>
          </w:rPr>
          <w:t>https://ec.europa.eu/eip/agriculture/sites/agri-eip/files/eip-agri_brochure_multi-actor_projects_2017_en_web.pdf</w:t>
        </w:r>
      </w:hyperlink>
      <w:r>
        <w:t>).</w:t>
      </w:r>
    </w:p>
  </w:footnote>
  <w:footnote w:id="7">
    <w:p w:rsidR="001F67E3" w:rsidRDefault="001F67E3" w:rsidP="00F74459">
      <w:pPr>
        <w:pStyle w:val="FootnoteText"/>
      </w:pPr>
      <w:r>
        <w:rPr>
          <w:rStyle w:val="FootnoteReference"/>
        </w:rPr>
        <w:footnoteRef/>
      </w:r>
      <w:r>
        <w:t xml:space="preserve"> </w:t>
      </w:r>
      <w:r>
        <w:t>Nuolatinio žemės ūkio mokslinių tyrimų komiteto (SCAR) strateginės darbo grupės (SDG) ataskaitos apie žemės ūkio žinių ir inovacijų sistemas (AKIS)):</w:t>
      </w:r>
    </w:p>
    <w:p w:rsidR="001F67E3" w:rsidRDefault="001F67E3" w:rsidP="00F74459">
      <w:pPr>
        <w:pStyle w:val="FootnoteText"/>
      </w:pPr>
      <w:r>
        <w:t xml:space="preserve">„Žemės ūkio žinių ir inovacijų sistemos artėjant 2020 m. – orientacinis dokumentas dėl inovacijų ir mokslinių tyrimų susiejimo“ (angl. </w:t>
      </w:r>
      <w:r>
        <w:rPr>
          <w:i/>
        </w:rPr>
        <w:t>Agricultural Knowledge and Innovation Systems Towards 2020 – an orientation paper on linking innovation and research</w:t>
      </w:r>
      <w:r>
        <w:t>),</w:t>
      </w:r>
    </w:p>
    <w:p w:rsidR="001F67E3" w:rsidRDefault="007C6E17" w:rsidP="00F74459">
      <w:pPr>
        <w:pStyle w:val="FootnoteText"/>
      </w:pPr>
      <w:hyperlink r:id="rId4" w:history="1">
        <w:r w:rsidR="001F67E3">
          <w:rPr>
            <w:rStyle w:val="Hyperlink"/>
          </w:rPr>
          <w:t xml:space="preserve">http://www.gppq.fct.pt/h2020/_docs/brochuras/bioeco/agricultural-knowledge-innovation-systems-towards-2020_en.pdf </w:t>
        </w:r>
      </w:hyperlink>
      <w:r w:rsidR="001F67E3">
        <w:t>(dėl daugiašalio dalyvavimo principoformavimo),</w:t>
      </w:r>
    </w:p>
    <w:p w:rsidR="001F67E3" w:rsidRPr="009C39EE" w:rsidRDefault="001F67E3" w:rsidP="00F74459">
      <w:pPr>
        <w:pStyle w:val="FootnoteText"/>
      </w:pPr>
      <w:r>
        <w:t xml:space="preserve">„Žemės ūkio žinių ir inovacijų sistemos žvelgiant į ateitį“ (angl. </w:t>
      </w:r>
      <w:r>
        <w:rPr>
          <w:i/>
        </w:rPr>
        <w:t>Agricultural Knowledge and Innovation Systems towards the Future</w:t>
      </w:r>
      <w:r>
        <w:t xml:space="preserve">), prognozavimo dokumentas, </w:t>
      </w:r>
      <w:hyperlink r:id="rId5" w:anchor="view=fit&amp;pagemode=none" w:history="1">
        <w:r>
          <w:rPr>
            <w:rStyle w:val="Hyperlink"/>
          </w:rPr>
          <w:t>https://ec.europa.eu/research/scar/pdf/akis-3_end_report.pdf#view=fit&amp;pagemode=none</w:t>
        </w:r>
      </w:hyperlink>
      <w:r>
        <w:t>.</w:t>
      </w:r>
      <w:r>
        <w:rPr>
          <w:rStyle w:val="Hyperlink"/>
        </w:rPr>
        <w:t xml:space="preserve"> </w:t>
      </w:r>
    </w:p>
  </w:footnote>
  <w:footnote w:id="8">
    <w:p w:rsidR="001F67E3" w:rsidRPr="00B13D00" w:rsidRDefault="001F67E3" w:rsidP="00F74459">
      <w:pPr>
        <w:pStyle w:val="FootnoteText"/>
      </w:pPr>
      <w:r>
        <w:rPr>
          <w:rStyle w:val="FootnoteReference"/>
          <w:color w:val="373737"/>
        </w:rPr>
        <w:footnoteRef/>
      </w:r>
      <w:r>
        <w:t xml:space="preserve"> </w:t>
      </w:r>
      <w:r>
        <w:t xml:space="preserve">Daugiau informacijos apie socialines ir technines galimybes ieškokite Schot and Geels (2008). </w:t>
      </w:r>
    </w:p>
  </w:footnote>
  <w:footnote w:id="9">
    <w:p w:rsidR="001F67E3" w:rsidRPr="00F74459" w:rsidRDefault="001F67E3" w:rsidP="00F74459">
      <w:pPr>
        <w:pStyle w:val="FootnoteText"/>
      </w:pPr>
      <w:r>
        <w:rPr>
          <w:szCs w:val="16"/>
          <w:vertAlign w:val="superscript"/>
          <w:lang w:val="en-IE"/>
        </w:rPr>
        <w:footnoteRef/>
      </w:r>
      <w:r>
        <w:t xml:space="preserve"> </w:t>
      </w:r>
      <w:r>
        <w:t xml:space="preserve">ENRD (2013) (EKPT 2013 m. ataskaita) </w:t>
      </w:r>
      <w:r w:rsidRPr="001F67E3">
        <w:rPr>
          <w:i/>
          <w:iCs/>
        </w:rPr>
        <w:t>Towards Successful Innovation Brokerage: Insights for the 2007-2013 Rural Development Programmes</w:t>
      </w:r>
      <w:r>
        <w:t xml:space="preserve"> („Siekiant sėkmingo tarpininkavimo diegiant inovacijas: su 2007–2013 m. kaimo plėtros programomis susijusios įžvalgos“) ir Leeuwis C, Schut M, Waters-Bayer A, Mur R, Atta-Krah K and Douthwaite B. 2014. </w:t>
      </w:r>
      <w:r w:rsidRPr="001F67E3">
        <w:rPr>
          <w:i/>
          <w:iCs/>
        </w:rPr>
        <w:t>Capacity to innovate from a system CGIAR research program perspective</w:t>
      </w:r>
      <w:r>
        <w:t>. Penang, Malaysia: CGIAR Research Program on Aquatic Agricultural Systems. Program Brief: AAS-2014-29.</w:t>
      </w:r>
    </w:p>
  </w:footnote>
  <w:footnote w:id="10">
    <w:p w:rsidR="001F67E3" w:rsidRPr="00F74459" w:rsidRDefault="001F67E3" w:rsidP="00F74459">
      <w:pPr>
        <w:pStyle w:val="FootnoteText"/>
      </w:pPr>
      <w:r>
        <w:rPr>
          <w:szCs w:val="16"/>
          <w:vertAlign w:val="superscript"/>
          <w:lang w:val="en-IE"/>
        </w:rPr>
        <w:footnoteRef/>
      </w:r>
      <w:r>
        <w:t xml:space="preserve"> </w:t>
      </w:r>
      <w:r>
        <w:t>EKPT 2013 m. ataskaitoje tarpininkavimas diegiant inovacijas įvardijamas kaip pagrindinis sistemos gebėjimas būtent tų subjektų, kurie yra pasirengę pokyčiams ir kurie yra kūrybingi, iniciatyvūs, motyvuoti, nešališki, skaidrūs ir geba atsižvelgti į inovacijų aplinkybes, buvimas (ir aktyvumas).</w:t>
      </w:r>
    </w:p>
  </w:footnote>
  <w:footnote w:id="11">
    <w:p w:rsidR="001F67E3" w:rsidRDefault="001F67E3" w:rsidP="00F74459">
      <w:pPr>
        <w:pStyle w:val="FootnoteText"/>
      </w:pPr>
      <w:r>
        <w:rPr>
          <w:szCs w:val="16"/>
          <w:vertAlign w:val="superscript"/>
          <w:lang w:val="en-IE"/>
        </w:rPr>
        <w:footnoteRef/>
      </w:r>
      <w:r>
        <w:t xml:space="preserve"> </w:t>
      </w:r>
      <w:r>
        <w:t>Douthwaite and Hoffecker (dar nepaskelbta) ir Nemes and Augustyn (2017).</w:t>
      </w:r>
    </w:p>
  </w:footnote>
  <w:footnote w:id="12">
    <w:p w:rsidR="001F67E3" w:rsidRPr="00B13D00" w:rsidRDefault="001F67E3" w:rsidP="00E05D08">
      <w:pPr>
        <w:pStyle w:val="FootnoteText"/>
      </w:pPr>
      <w:r>
        <w:rPr>
          <w:vertAlign w:val="superscript"/>
        </w:rPr>
        <w:footnoteRef/>
      </w:r>
      <w:r>
        <w:t xml:space="preserve"> </w:t>
      </w:r>
      <w:r>
        <w:t xml:space="preserve">ENRD (2013) (EKPT 2013 m. ataskaita) </w:t>
      </w:r>
      <w:r w:rsidRPr="001F67E3">
        <w:rPr>
          <w:i/>
          <w:iCs/>
        </w:rPr>
        <w:t>Towards Successful Innovation Brokerage: insights for the 2007-2013 Rural Development Programmes</w:t>
      </w:r>
      <w:r>
        <w:t xml:space="preserve"> („Siekiant sėkmingo tarpininkavimo diegiant inovacijas: su 2007–2013 m. kaimo plėtros programomis susijusios įžvalgos“).</w:t>
      </w:r>
    </w:p>
  </w:footnote>
  <w:footnote w:id="13">
    <w:p w:rsidR="001F67E3" w:rsidRPr="00690E70" w:rsidRDefault="001F67E3" w:rsidP="004508D0">
      <w:pPr>
        <w:pStyle w:val="FootnoteText"/>
        <w:rPr>
          <w:rStyle w:val="Hyperlink"/>
        </w:rPr>
      </w:pPr>
      <w:r>
        <w:rPr>
          <w:rStyle w:val="FootnoteReference"/>
        </w:rPr>
        <w:footnoteRef/>
      </w:r>
      <w:r>
        <w:t xml:space="preserve"> </w:t>
      </w:r>
      <w:r>
        <w:t>EIP AGRI 2016 m. praktinis seminaras „Miestai ir maistas – glaudesnis vartotojų ir gamintojų ryšys“ (</w:t>
      </w:r>
      <w:r>
        <w:rPr>
          <w:i/>
        </w:rPr>
        <w:t>Workshop on Cities and Food: Connecting Consumers and Producers</w:t>
      </w:r>
      <w:r>
        <w:t xml:space="preserve">). Pateikta </w:t>
      </w:r>
      <w:hyperlink r:id="rId6" w:history="1">
        <w:r>
          <w:rPr>
            <w:rStyle w:val="Hyperlink"/>
          </w:rPr>
          <w:t>https://ec.europa.eu/eip/agriculture/sites/agri-eip/files/eip-agri_factsheet_cities_and_food_en_web.pdf.</w:t>
        </w:r>
      </w:hyperlink>
    </w:p>
  </w:footnote>
  <w:footnote w:id="14">
    <w:p w:rsidR="001F67E3" w:rsidRPr="00B13D00" w:rsidRDefault="001F67E3" w:rsidP="00E05D08">
      <w:pPr>
        <w:pStyle w:val="FootnoteText"/>
      </w:pPr>
      <w:r>
        <w:rPr>
          <w:rStyle w:val="FootnoteReference"/>
        </w:rPr>
        <w:footnoteRef/>
      </w:r>
      <w:r>
        <w:t xml:space="preserve"> </w:t>
      </w:r>
      <w:r>
        <w:t xml:space="preserve">Senge, P. M., &amp; Sterman, J. D. (1992): </w:t>
      </w:r>
      <w:r>
        <w:rPr>
          <w:i/>
        </w:rPr>
        <w:t>Systems thinking and organisational learning:</w:t>
      </w:r>
      <w:r>
        <w:t xml:space="preserve"> </w:t>
      </w:r>
      <w:r>
        <w:rPr>
          <w:i/>
        </w:rPr>
        <w:t>Acting locally and thinking globally in the organisation of the futur</w:t>
      </w:r>
      <w:r>
        <w:t>e. European journal of operational research, 59(1), 137–150.</w:t>
      </w:r>
    </w:p>
  </w:footnote>
  <w:footnote w:id="15">
    <w:p w:rsidR="001F67E3" w:rsidRPr="00554BBB" w:rsidRDefault="001F67E3" w:rsidP="00E05D08">
      <w:pPr>
        <w:pStyle w:val="FootnoteText"/>
      </w:pPr>
      <w:r>
        <w:rPr>
          <w:rStyle w:val="FootnoteReference"/>
        </w:rPr>
        <w:footnoteRef/>
      </w:r>
      <w:r>
        <w:rPr>
          <w:rFonts w:asciiTheme="minorHAnsi" w:hAnsiTheme="minorHAnsi"/>
          <w:color w:val="auto"/>
          <w:sz w:val="22"/>
          <w:szCs w:val="22"/>
        </w:rPr>
        <w:t xml:space="preserve"> </w:t>
      </w:r>
      <w:r>
        <w:t xml:space="preserve">Pawson, R. (2013): </w:t>
      </w:r>
      <w:r>
        <w:rPr>
          <w:i/>
          <w:iCs/>
        </w:rPr>
        <w:t>The science of evaluation: A realist manifesto</w:t>
      </w:r>
      <w:r>
        <w:t>. London, UK: Sage Publications</w:t>
      </w:r>
    </w:p>
  </w:footnote>
  <w:footnote w:id="16">
    <w:p w:rsidR="001F67E3" w:rsidRPr="00B13D00" w:rsidRDefault="001F67E3" w:rsidP="00E05D08">
      <w:pPr>
        <w:pStyle w:val="FootnoteText"/>
      </w:pPr>
      <w:r>
        <w:rPr>
          <w:rStyle w:val="FootnoteReference"/>
        </w:rPr>
        <w:footnoteRef/>
      </w:r>
      <w:r>
        <w:t xml:space="preserve"> </w:t>
      </w:r>
      <w:r>
        <w:t>Programa „Horizontas 2020“ yra didžiausia ES mokslinių tyrimų ir inovacijų programa, kurios tikslas – susieti mokslinius tyrimus ir inovacijas visuose sektoriuose, įskaitant žemės ūkio ir miškininkystės sektorius, kaip priemonę pažangaus, tvaraus ir integracinio augimo ir darbo vietų kūrimo siekiams įgyvendinti. Daugelis kitų ES politikos krypčių, skirtų inovacijoms ir gebėjimų ugdymui, taip pat gali prisidėti prie žemės ūkio srities mokslinių tyrimų ir inovacijų (sanglaudos politika, COSME, programa „Erasmus“, LIFE+).</w:t>
      </w:r>
    </w:p>
  </w:footnote>
  <w:footnote w:id="17">
    <w:p w:rsidR="001F67E3" w:rsidRPr="00B13D00" w:rsidRDefault="001F67E3" w:rsidP="00E05D08">
      <w:pPr>
        <w:pStyle w:val="FootnoteText"/>
      </w:pPr>
      <w:r>
        <w:rPr>
          <w:rStyle w:val="FootnoteReference"/>
          <w:rFonts w:cs="Helvetica"/>
          <w:szCs w:val="16"/>
        </w:rPr>
        <w:footnoteRef/>
      </w:r>
      <w:r>
        <w:t xml:space="preserve"> </w:t>
      </w:r>
      <w:r>
        <w:t>Jos tikslas – išspręsti tokius pagrindinius visuomenei kylančius uždavinius, kaip klimato kaita ir efektyvus išteklių naudojimas ir sustiprinti inovacijų grandinės ryšius (</w:t>
      </w:r>
      <w:hyperlink r:id="rId7" w:history="1">
        <w:r>
          <w:rPr>
            <w:rStyle w:val="Hyperlink"/>
          </w:rPr>
          <w:t>http://ec.europa.eu/europe2020/europe-2020-in-a-nutshell/flagship-initiatives/index_en.htm</w:t>
        </w:r>
      </w:hyperlink>
      <w:r>
        <w:t xml:space="preserve">). </w:t>
      </w:r>
    </w:p>
  </w:footnote>
  <w:footnote w:id="18">
    <w:p w:rsidR="001F67E3" w:rsidRPr="00275EE5" w:rsidRDefault="001F67E3" w:rsidP="00E05D08">
      <w:pPr>
        <w:pStyle w:val="FootnoteText"/>
      </w:pPr>
      <w:r>
        <w:rPr>
          <w:rStyle w:val="FootnoteReference"/>
        </w:rPr>
        <w:footnoteRef/>
      </w:r>
      <w:r>
        <w:t xml:space="preserve"> </w:t>
      </w:r>
      <w:hyperlink r:id="rId8" w:history="1">
        <w:r>
          <w:rPr>
            <w:rStyle w:val="Hyperlink"/>
          </w:rPr>
          <w:t>http://ec.europa.eu/europe2020/europe-2020-in-a-nutshell/targets/index_en.htm</w:t>
        </w:r>
      </w:hyperlink>
      <w:r>
        <w:t xml:space="preserve">. </w:t>
      </w:r>
    </w:p>
  </w:footnote>
  <w:footnote w:id="19">
    <w:p w:rsidR="001F67E3" w:rsidRPr="00B13D00" w:rsidRDefault="001F67E3" w:rsidP="00E05D08">
      <w:pPr>
        <w:pStyle w:val="FootnoteText"/>
      </w:pPr>
      <w:r>
        <w:rPr>
          <w:rStyle w:val="FootnoteReference"/>
        </w:rPr>
        <w:footnoteRef/>
      </w:r>
      <w:r>
        <w:t xml:space="preserve"> </w:t>
      </w:r>
      <w:r>
        <w:t>Reglamento (ES) Nr. 1305/2013 5 straipsnis.</w:t>
      </w:r>
    </w:p>
  </w:footnote>
  <w:footnote w:id="20">
    <w:p w:rsidR="001F67E3" w:rsidRPr="00171202" w:rsidRDefault="001F67E3" w:rsidP="00E05D08">
      <w:pPr>
        <w:pStyle w:val="FootnoteText"/>
      </w:pPr>
      <w:r>
        <w:rPr>
          <w:rStyle w:val="FootnoteReference"/>
        </w:rPr>
        <w:footnoteRef/>
      </w:r>
      <w:r>
        <w:t xml:space="preserve"> </w:t>
      </w:r>
      <w:r>
        <w:t>(Reglamento (ES) Nr. 1305/2013 8 straipsnio 1 dalies c punkto v papunktis).</w:t>
      </w:r>
    </w:p>
  </w:footnote>
  <w:footnote w:id="21">
    <w:p w:rsidR="001F67E3" w:rsidRPr="00171202" w:rsidRDefault="001F67E3" w:rsidP="00E05D08">
      <w:pPr>
        <w:pStyle w:val="FootnoteText"/>
      </w:pPr>
      <w:r>
        <w:rPr>
          <w:rStyle w:val="FootnoteReference"/>
          <w:i/>
        </w:rPr>
        <w:footnoteRef/>
      </w:r>
      <w:r>
        <w:t xml:space="preserve"> </w:t>
      </w:r>
      <w:r>
        <w:t>Reglamento 1305/2013 8 straipsnio 1 dalies b punktas.</w:t>
      </w:r>
    </w:p>
  </w:footnote>
  <w:footnote w:id="22">
    <w:p w:rsidR="001F67E3" w:rsidRPr="00171202" w:rsidRDefault="001F67E3" w:rsidP="00E05D08">
      <w:pPr>
        <w:pStyle w:val="FootnoteText"/>
      </w:pPr>
      <w:r>
        <w:rPr>
          <w:rStyle w:val="FootnoteReference"/>
          <w:i/>
        </w:rPr>
        <w:footnoteRef/>
      </w:r>
      <w:r>
        <w:t xml:space="preserve"> </w:t>
      </w:r>
      <w:r>
        <w:t>Reglamento 1305/2013 5 straipsnis.</w:t>
      </w:r>
    </w:p>
  </w:footnote>
  <w:footnote w:id="23">
    <w:p w:rsidR="001F67E3" w:rsidRPr="00D461AB" w:rsidRDefault="001F67E3" w:rsidP="00D461AB">
      <w:pPr>
        <w:pStyle w:val="FootnoteText"/>
      </w:pPr>
      <w:r>
        <w:rPr>
          <w:rStyle w:val="FootnoteReference"/>
        </w:rPr>
        <w:footnoteRef/>
      </w:r>
      <w:r>
        <w:t xml:space="preserve"> </w:t>
      </w:r>
      <w:r>
        <w:t xml:space="preserve">EIP žemės ūkio našumo ir tvarumo srityje inovacijų programavimo ir įgyvendinimo gairės (angl. </w:t>
      </w:r>
      <w:r>
        <w:rPr>
          <w:i/>
        </w:rPr>
        <w:t>Guidelines on programming for innovation and the implementation of the EIP for agricultural productivity and sustainability</w:t>
      </w:r>
      <w:r>
        <w:t>), 8 skirsnio 2 dalis, p. 13.</w:t>
      </w:r>
    </w:p>
  </w:footnote>
  <w:footnote w:id="24">
    <w:p w:rsidR="001F67E3" w:rsidRPr="00171202" w:rsidRDefault="001F67E3" w:rsidP="00E05D08">
      <w:pPr>
        <w:pStyle w:val="FootnoteText"/>
      </w:pPr>
      <w:r>
        <w:rPr>
          <w:rStyle w:val="FootnoteReference"/>
        </w:rPr>
        <w:footnoteRef/>
      </w:r>
      <w:r>
        <w:t xml:space="preserve"> </w:t>
      </w:r>
      <w:r>
        <w:t xml:space="preserve">Reglamentas (ES) Nr. 1303/2013, Reglamento (ES) Nr. 808/2014 I priedo 5 dalis ir EIP žemės ūkio našumo ir tvarumo srityje inovacijų programavimo ir įgyvendinimo gairės (angl. </w:t>
      </w:r>
      <w:r>
        <w:rPr>
          <w:i/>
        </w:rPr>
        <w:t>Guidelines on programming for innovation and the implementation of the EIP for agricultural productivity and sustainability</w:t>
      </w:r>
      <w:r>
        <w:t>), 2014 m., p. 10.</w:t>
      </w:r>
    </w:p>
  </w:footnote>
  <w:footnote w:id="25">
    <w:p w:rsidR="001F67E3" w:rsidRPr="00171202" w:rsidRDefault="001F67E3" w:rsidP="00E05D08">
      <w:pPr>
        <w:pStyle w:val="FootnoteText"/>
      </w:pPr>
      <w:r>
        <w:rPr>
          <w:rStyle w:val="FootnoteReference"/>
        </w:rPr>
        <w:footnoteRef/>
      </w:r>
      <w:r>
        <w:t xml:space="preserve"> </w:t>
      </w:r>
      <w:r>
        <w:t>Reglamento (ES) Nr. 1303/2013 27 straipsnis ir Reglamento (ES) Nr. 808/2014 I priedo 5 dalis.</w:t>
      </w:r>
    </w:p>
  </w:footnote>
  <w:footnote w:id="26">
    <w:p w:rsidR="001F67E3" w:rsidRPr="00171202" w:rsidRDefault="001F67E3" w:rsidP="00E05D08">
      <w:pPr>
        <w:pStyle w:val="FootnoteText"/>
      </w:pPr>
      <w:r>
        <w:rPr>
          <w:rStyle w:val="FootnoteReference"/>
        </w:rPr>
        <w:footnoteRef/>
      </w:r>
      <w:r>
        <w:t xml:space="preserve"> </w:t>
      </w:r>
      <w:r>
        <w:t>Reglamento (ES) Nr. 1303/2013 32–34 straipsniai ir Reglamento (ES) Nr. 808/2014 I priedo 5 dalis.</w:t>
      </w:r>
    </w:p>
  </w:footnote>
  <w:footnote w:id="27">
    <w:p w:rsidR="001F67E3" w:rsidRPr="00171202" w:rsidRDefault="001F67E3" w:rsidP="00E05D08">
      <w:pPr>
        <w:pStyle w:val="FootnoteText"/>
      </w:pPr>
      <w:r>
        <w:rPr>
          <w:rStyle w:val="FootnoteReference"/>
        </w:rPr>
        <w:footnoteRef/>
      </w:r>
      <w:r>
        <w:t xml:space="preserve"> </w:t>
      </w:r>
      <w:r>
        <w:t>Reglamento (ES) Nr. 1305/2013 53 straipsnis.</w:t>
      </w:r>
    </w:p>
  </w:footnote>
  <w:footnote w:id="28">
    <w:p w:rsidR="001F67E3" w:rsidRPr="00171202" w:rsidRDefault="001F67E3" w:rsidP="00E05D08">
      <w:pPr>
        <w:pStyle w:val="FootnoteText"/>
      </w:pPr>
      <w:r>
        <w:rPr>
          <w:rStyle w:val="FootnoteReference"/>
        </w:rPr>
        <w:footnoteRef/>
      </w:r>
      <w:r>
        <w:t xml:space="preserve"> </w:t>
      </w:r>
      <w:r>
        <w:t>Reglamento (ES) Nr. 1305/2013 54 straipsnio d punktas.</w:t>
      </w:r>
    </w:p>
  </w:footnote>
  <w:footnote w:id="29">
    <w:p w:rsidR="001F67E3" w:rsidRPr="00171202" w:rsidRDefault="001F67E3" w:rsidP="00E05D08">
      <w:pPr>
        <w:pStyle w:val="FootnoteText"/>
      </w:pPr>
      <w:r>
        <w:rPr>
          <w:rStyle w:val="FootnoteReference"/>
        </w:rPr>
        <w:footnoteRef/>
      </w:r>
      <w:r>
        <w:t xml:space="preserve"> </w:t>
      </w:r>
      <w:r>
        <w:t xml:space="preserve">EIP žemės ūkio našumo ir tvarumo srityje inovacijų programavimo ir įgyvendinimo gairės (angl. </w:t>
      </w:r>
      <w:r>
        <w:rPr>
          <w:i/>
        </w:rPr>
        <w:t>Guidelines on programming for innovation and the implementation of the EIP for agricultural productivity and sustainability</w:t>
      </w:r>
      <w:r>
        <w:t>), 2014 m., p. 13.</w:t>
      </w:r>
    </w:p>
  </w:footnote>
  <w:footnote w:id="30">
    <w:p w:rsidR="001F67E3" w:rsidRPr="00171202" w:rsidRDefault="001F67E3" w:rsidP="00E05D08">
      <w:pPr>
        <w:pStyle w:val="FootnoteText"/>
      </w:pPr>
      <w:r>
        <w:rPr>
          <w:rStyle w:val="FootnoteReference"/>
        </w:rPr>
        <w:footnoteRef/>
      </w:r>
      <w:r>
        <w:t xml:space="preserve"> </w:t>
      </w:r>
      <w:r>
        <w:t>Reglamento (ES) Nr. 1305/2013 54 straipsnio 3 dalies b punkto iv papunktis.</w:t>
      </w:r>
    </w:p>
  </w:footnote>
  <w:footnote w:id="31">
    <w:p w:rsidR="001F67E3" w:rsidRPr="00171202" w:rsidRDefault="001F67E3" w:rsidP="00E05D08">
      <w:pPr>
        <w:pStyle w:val="FootnoteText"/>
      </w:pPr>
      <w:r>
        <w:rPr>
          <w:rStyle w:val="FootnoteReference"/>
        </w:rPr>
        <w:footnoteRef/>
      </w:r>
      <w:r>
        <w:t xml:space="preserve"> </w:t>
      </w:r>
      <w:r>
        <w:t>Reglamento (ES) Nr. 808/2014 I priedo 1 dalies 9 punkto 3 dalies a papunktis.</w:t>
      </w:r>
    </w:p>
  </w:footnote>
  <w:footnote w:id="32">
    <w:p w:rsidR="001F67E3" w:rsidRPr="00171202" w:rsidRDefault="001F67E3" w:rsidP="00E05D08">
      <w:pPr>
        <w:pStyle w:val="FootnoteText"/>
      </w:pPr>
      <w:r>
        <w:rPr>
          <w:rStyle w:val="FootnoteReference"/>
        </w:rPr>
        <w:footnoteRef/>
      </w:r>
      <w:r>
        <w:t xml:space="preserve"> </w:t>
      </w:r>
      <w:r>
        <w:t>Reglamento (ES) Nr. 808/2014 VII priedo 2 punktas.</w:t>
      </w:r>
    </w:p>
  </w:footnote>
  <w:footnote w:id="33">
    <w:p w:rsidR="001F67E3" w:rsidRPr="005F1B3E" w:rsidRDefault="001F67E3" w:rsidP="00E05D08">
      <w:pPr>
        <w:pStyle w:val="FootnoteText"/>
      </w:pPr>
      <w:r>
        <w:rPr>
          <w:rStyle w:val="FootnoteReference"/>
        </w:rPr>
        <w:footnoteRef/>
      </w:r>
      <w:r>
        <w:t xml:space="preserve"> </w:t>
      </w:r>
      <w:r>
        <w:t>Reglamento (ES) Nr. 808/2014 IV priedas.</w:t>
      </w:r>
    </w:p>
  </w:footnote>
  <w:footnote w:id="34">
    <w:p w:rsidR="001F67E3" w:rsidRPr="00E14E11" w:rsidRDefault="001F67E3" w:rsidP="00E05D08">
      <w:pPr>
        <w:pStyle w:val="FootnoteText"/>
      </w:pPr>
      <w:r>
        <w:rPr>
          <w:rStyle w:val="FootnoteReference"/>
        </w:rPr>
        <w:footnoteRef/>
      </w:r>
      <w:r>
        <w:t xml:space="preserve">Žr. EIP seminaro „Žinių sistemos ir interaktyvus inovacijų kūrimo procesas“ (angl. </w:t>
      </w:r>
      <w:r>
        <w:rPr>
          <w:i/>
        </w:rPr>
        <w:t>EIP seminar on Knowledge Systems and Interactive Innovation</w:t>
      </w:r>
      <w:r>
        <w:t>) medžiagą,</w:t>
      </w:r>
      <w:r>
        <w:rPr>
          <w:rStyle w:val="Hyperlink"/>
        </w:rPr>
        <w:t xml:space="preserve"> </w:t>
      </w:r>
      <w:hyperlink r:id="rId9" w:history="1">
        <w:r>
          <w:rPr>
            <w:rStyle w:val="Hyperlink"/>
          </w:rPr>
          <w:t>https://ec.europa.eu/eip/agriculture/sites/agri-eip/files/field_event_attachments/sem-knowledge-20151203-pres02-inge_van_oost.pdf</w:t>
        </w:r>
      </w:hyperlink>
      <w:r>
        <w:t>.</w:t>
      </w:r>
    </w:p>
  </w:footnote>
  <w:footnote w:id="35">
    <w:p w:rsidR="001F67E3" w:rsidRPr="008F676D" w:rsidRDefault="001F67E3" w:rsidP="00E05D08">
      <w:pPr>
        <w:pStyle w:val="FootnoteText"/>
      </w:pPr>
      <w:r>
        <w:rPr>
          <w:rStyle w:val="FootnoteReference"/>
        </w:rPr>
        <w:footnoteRef/>
      </w:r>
      <w:r>
        <w:t xml:space="preserve"> </w:t>
      </w:r>
      <w:r>
        <w:t xml:space="preserve">Daugiau rekomendacijų pateikiama gairėse „KPP rezultatų vertinimas: kai pasirengti teikti vertinimo rezultatų ataskaitas 2017 m.“, </w:t>
      </w:r>
      <w:hyperlink r:id="rId10" w:history="1">
        <w:r>
          <w:rPr>
            <w:rStyle w:val="Hyperlink"/>
          </w:rPr>
          <w:t>https://enrd.ec.europa.eu/evaluation/publications/guidelines-assessment-rdp-results-how-prepare-reporting-evaluation-2017_en</w:t>
        </w:r>
      </w:hyperlink>
      <w:r>
        <w:t>.</w:t>
      </w:r>
    </w:p>
  </w:footnote>
  <w:footnote w:id="36">
    <w:p w:rsidR="001F67E3" w:rsidRPr="00401F29" w:rsidRDefault="001F67E3" w:rsidP="00E05D08">
      <w:pPr>
        <w:pStyle w:val="FootnoteText"/>
      </w:pPr>
      <w:r>
        <w:rPr>
          <w:rStyle w:val="FootnoteReference"/>
        </w:rPr>
        <w:footnoteRef/>
      </w:r>
      <w:r>
        <w:t xml:space="preserve"> </w:t>
      </w:r>
      <w:r>
        <w:t>Reglamento (ES) Nr. 1305/2013 66 straipsnis ir Reglamento (ES) Nr. 808/2014 15 straipsnis ir VII priedas.</w:t>
      </w:r>
    </w:p>
  </w:footnote>
  <w:footnote w:id="37">
    <w:p w:rsidR="001F67E3" w:rsidRPr="00576A73" w:rsidRDefault="001F67E3" w:rsidP="00804433">
      <w:pPr>
        <w:pStyle w:val="FootnoteText"/>
      </w:pPr>
      <w:r>
        <w:rPr>
          <w:rStyle w:val="FootnoteReference"/>
        </w:rPr>
        <w:footnoteRef/>
      </w:r>
      <w:r>
        <w:t xml:space="preserve"> </w:t>
      </w:r>
      <w:r>
        <w:t xml:space="preserve">Žr. gaires „KPP rezultatų vertinimas: kaip pasirengti teikti vertinimo ataskaitas 2017 m.“, Europos kaimo plėtros vertinimo pagalbos tarnyba, 2016 m. rugsėjo mėn., </w:t>
      </w:r>
      <w:hyperlink r:id="rId11" w:history="1">
        <w:r>
          <w:rPr>
            <w:rStyle w:val="Hyperlink"/>
          </w:rPr>
          <w:t>https://enrd.ec.europa.eu/evaluation/publications/guidelines-assessment-rdp-results-how-prepare-reporting-evaluation-2017_en</w:t>
        </w:r>
      </w:hyperlink>
      <w:r>
        <w:t>.</w:t>
      </w:r>
    </w:p>
  </w:footnote>
  <w:footnote w:id="38">
    <w:p w:rsidR="001F67E3" w:rsidRPr="00626C0C" w:rsidRDefault="001F67E3" w:rsidP="00583AC8">
      <w:pPr>
        <w:pStyle w:val="FootnoteText"/>
      </w:pPr>
      <w:r>
        <w:rPr>
          <w:rStyle w:val="FootnoteReference"/>
        </w:rPr>
        <w:footnoteRef/>
      </w:r>
      <w:r>
        <w:t xml:space="preserve"> </w:t>
      </w:r>
      <w:r>
        <w:t xml:space="preserve">Nuoroda į Švedijos vertinimo sekretoriatą: </w:t>
      </w:r>
      <w:hyperlink r:id="rId12" w:history="1">
        <w:r>
          <w:rPr>
            <w:rStyle w:val="Hyperlink"/>
          </w:rPr>
          <w:t>https://www.jordbruksverket.se/utvardering</w:t>
        </w:r>
      </w:hyperlink>
      <w:r>
        <w:t>.</w:t>
      </w:r>
    </w:p>
  </w:footnote>
  <w:footnote w:id="39">
    <w:p w:rsidR="001F67E3" w:rsidRPr="00171202" w:rsidRDefault="001F67E3" w:rsidP="00804433">
      <w:pPr>
        <w:pStyle w:val="FootnoteText"/>
      </w:pPr>
      <w:r>
        <w:rPr>
          <w:rStyle w:val="FootnoteReference"/>
        </w:rPr>
        <w:footnoteRef/>
      </w:r>
      <w:r>
        <w:t xml:space="preserve"> </w:t>
      </w:r>
      <w:r>
        <w:t>Reglamento (ES) Nr. 808/2014 VII priedo 7 punktas.</w:t>
      </w:r>
    </w:p>
  </w:footnote>
  <w:footnote w:id="40">
    <w:p w:rsidR="001F67E3" w:rsidRPr="00171202" w:rsidRDefault="001F67E3" w:rsidP="00804433">
      <w:pPr>
        <w:pStyle w:val="FootnoteText"/>
      </w:pPr>
      <w:r>
        <w:rPr>
          <w:rStyle w:val="FootnoteReference"/>
        </w:rPr>
        <w:footnoteRef/>
      </w:r>
      <w:r>
        <w:t xml:space="preserve"> </w:t>
      </w:r>
      <w:r>
        <w:t>Reglamento (ES) Nr. 808/2014 IV priedo 2, 3 ir 4 punktai.</w:t>
      </w:r>
    </w:p>
  </w:footnote>
  <w:footnote w:id="41">
    <w:p w:rsidR="001F67E3" w:rsidRPr="00171202" w:rsidRDefault="001F67E3" w:rsidP="00E05D08">
      <w:pPr>
        <w:pStyle w:val="FootnoteText"/>
      </w:pPr>
      <w:r>
        <w:rPr>
          <w:rStyle w:val="FootnoteReference"/>
        </w:rPr>
        <w:footnoteRef/>
      </w:r>
      <w:r>
        <w:t xml:space="preserve"> </w:t>
      </w:r>
      <w:r>
        <w:t>Vertinimo kriterijai, nustatyti darbiniame dokumente „2014–2020 m. kaimo plėtros programų bendrieji vertinimo klausimai“,</w:t>
      </w:r>
      <w:r>
        <w:rPr>
          <w:rStyle w:val="Hyperlink"/>
        </w:rPr>
        <w:t xml:space="preserve"> </w:t>
      </w:r>
      <w:hyperlink r:id="rId13" w:history="1">
        <w:r>
          <w:rPr>
            <w:rStyle w:val="Hyperlink"/>
          </w:rPr>
          <w:t>https://enrd.ec.europa.eu/evaluation/publications/working-document-common-evaluation-questions-rural-development-programmes_en</w:t>
        </w:r>
      </w:hyperlink>
      <w:r>
        <w:t>.</w:t>
      </w:r>
    </w:p>
  </w:footnote>
  <w:footnote w:id="42">
    <w:p w:rsidR="001F67E3" w:rsidRPr="00171202" w:rsidRDefault="001F67E3" w:rsidP="00E05D08">
      <w:pPr>
        <w:pStyle w:val="FootnoteText"/>
      </w:pPr>
      <w:r>
        <w:rPr>
          <w:rStyle w:val="FootnoteReference"/>
        </w:rPr>
        <w:footnoteRef/>
      </w:r>
      <w:r>
        <w:t xml:space="preserve"> </w:t>
      </w:r>
      <w:r>
        <w:t>Reglamento (ES) Nr. 808/2014 IV priedas.</w:t>
      </w:r>
    </w:p>
  </w:footnote>
  <w:footnote w:id="43">
    <w:p w:rsidR="001F67E3" w:rsidRPr="00091F73" w:rsidRDefault="001F67E3" w:rsidP="00E05D08">
      <w:pPr>
        <w:pStyle w:val="FootnoteText"/>
      </w:pPr>
      <w:r>
        <w:rPr>
          <w:rStyle w:val="FootnoteReference"/>
        </w:rPr>
        <w:footnoteRef/>
      </w:r>
      <w:r>
        <w:t xml:space="preserve"> </w:t>
      </w:r>
      <w:r>
        <w:t xml:space="preserve">Papildomi vertinimo kriterijai parengti valstybėse narėse papildant kriterijus, nustatytus darbiniame dokumente „2014–2020 m. kaimo plėtros programų bendrieji vertinimo klausimai“. </w:t>
      </w:r>
    </w:p>
  </w:footnote>
  <w:footnote w:id="44">
    <w:p w:rsidR="001F67E3" w:rsidRPr="00091F73" w:rsidRDefault="001F67E3" w:rsidP="00E05D08">
      <w:pPr>
        <w:pStyle w:val="FootnoteText"/>
      </w:pPr>
      <w:r>
        <w:rPr>
          <w:rStyle w:val="FootnoteReference"/>
        </w:rPr>
        <w:footnoteRef/>
      </w:r>
      <w:r>
        <w:t xml:space="preserve"> </w:t>
      </w:r>
      <w:r>
        <w:t xml:space="preserve">Papildomi rodikliai yra valstybėse narėse parengti rodikliai, papildantys bendruosius rodiklius, jei šių rodiklių nepakanka, kad būtų galima atsakyti į vertinimo kriterijais apibrėžtus vertinimo klausimus. Daugiau rekomendacijų rasite gairėse „KPP rezultatų vertinimas: kaip pasirengti teikti vertinimo rezultatų ataskaitas 2017 m.“, </w:t>
      </w:r>
      <w:hyperlink r:id="rId14" w:history="1">
        <w:r>
          <w:rPr>
            <w:rStyle w:val="Hyperlink"/>
          </w:rPr>
          <w:t>https://enrd.ec.europa.eu/evaluation/publications/guidelines-assessment-rdp-results-how-prepare-reporting-evaluation-2017_en</w:t>
        </w:r>
      </w:hyperlink>
      <w:r>
        <w:t>.</w:t>
      </w:r>
    </w:p>
    <w:p w:rsidR="001F67E3" w:rsidRPr="00091F73" w:rsidRDefault="001F67E3" w:rsidP="00F74459">
      <w:pPr>
        <w:pStyle w:val="FootnoteText"/>
        <w:rPr>
          <w:lang w:val="sk-SK"/>
        </w:rPr>
      </w:pPr>
    </w:p>
  </w:footnote>
  <w:footnote w:id="45">
    <w:p w:rsidR="001F67E3" w:rsidRPr="00576A73" w:rsidRDefault="001F67E3">
      <w:pPr>
        <w:pStyle w:val="FootnoteText"/>
        <w:rPr>
          <w:sz w:val="12"/>
          <w:szCs w:val="12"/>
        </w:rPr>
      </w:pPr>
      <w:r>
        <w:rPr>
          <w:rStyle w:val="FootnoteReference"/>
          <w:szCs w:val="16"/>
        </w:rPr>
        <w:footnoteRef/>
      </w:r>
      <w:r>
        <w:rPr>
          <w:sz w:val="12"/>
          <w:szCs w:val="12"/>
        </w:rPr>
        <w:t xml:space="preserve"> </w:t>
      </w:r>
      <w:r>
        <w:t>15 straipsnio 4 dalies, a–g punktai.</w:t>
      </w:r>
    </w:p>
  </w:footnote>
  <w:footnote w:id="46">
    <w:p w:rsidR="001F67E3" w:rsidRPr="00401F29" w:rsidRDefault="001F67E3" w:rsidP="00E05D08">
      <w:pPr>
        <w:pStyle w:val="FootnoteText"/>
        <w:rPr>
          <w:rStyle w:val="Hyperlink"/>
        </w:rPr>
      </w:pPr>
      <w:r>
        <w:rPr>
          <w:rStyle w:val="FootnoteReference"/>
        </w:rPr>
        <w:footnoteRef/>
      </w:r>
      <w:r>
        <w:t xml:space="preserve"> </w:t>
      </w:r>
      <w:r>
        <w:t>Žr.</w:t>
      </w:r>
      <w:r>
        <w:rPr>
          <w:rStyle w:val="Hyperlink"/>
        </w:rPr>
        <w:t xml:space="preserve"> </w:t>
      </w:r>
      <w:hyperlink r:id="rId15" w:history="1">
        <w:r>
          <w:rPr>
            <w:rStyle w:val="Hyperlink"/>
          </w:rPr>
          <w:t>http://ec.europa.eu/europe2020/targets/eu-targets/index_lt.htm</w:t>
        </w:r>
      </w:hyperlink>
    </w:p>
  </w:footnote>
  <w:footnote w:id="47">
    <w:p w:rsidR="001F67E3" w:rsidRPr="00401F29" w:rsidRDefault="001F67E3" w:rsidP="00C3092C">
      <w:pPr>
        <w:pStyle w:val="FootnoteText"/>
      </w:pPr>
      <w:r>
        <w:rPr>
          <w:vertAlign w:val="superscript"/>
        </w:rPr>
        <w:footnoteRef/>
      </w:r>
      <w:r>
        <w:t xml:space="preserve"> </w:t>
      </w:r>
      <w:r>
        <w:t xml:space="preserve">Darbinis dokumentas „2014–2020 m. kaimo plėtros programų bendrieji vertinimo klausimai“, </w:t>
      </w:r>
      <w:hyperlink r:id="rId16" w:history="1">
        <w:r>
          <w:rPr>
            <w:rStyle w:val="Hyperlink"/>
          </w:rPr>
          <w:t>http://enrd.ec.europa.eu/evaluation/publications/working-document-common-evaluation-questions-rural-development-programmes_en</w:t>
        </w:r>
      </w:hyperlink>
      <w:r>
        <w:t>.</w:t>
      </w:r>
    </w:p>
  </w:footnote>
  <w:footnote w:id="48">
    <w:p w:rsidR="001F67E3" w:rsidRPr="00401F29" w:rsidRDefault="001F67E3" w:rsidP="00E05D08">
      <w:pPr>
        <w:pStyle w:val="FootnoteText"/>
      </w:pPr>
      <w:r>
        <w:rPr>
          <w:rStyle w:val="FootnoteReference"/>
        </w:rPr>
        <w:footnoteRef/>
      </w:r>
      <w:r>
        <w:t xml:space="preserve"> </w:t>
      </w:r>
      <w:r>
        <w:t>Tai Reglamento (ES) Nr. 1305/2013 straipsniai.</w:t>
      </w:r>
    </w:p>
  </w:footnote>
  <w:footnote w:id="49">
    <w:p w:rsidR="001F67E3" w:rsidRPr="00401F29" w:rsidRDefault="001F67E3" w:rsidP="00E05D08">
      <w:pPr>
        <w:pStyle w:val="FootnoteText"/>
      </w:pPr>
      <w:r>
        <w:rPr>
          <w:rStyle w:val="FootnoteReference"/>
        </w:rPr>
        <w:footnoteRef/>
      </w:r>
      <w:r>
        <w:t xml:space="preserve"> </w:t>
      </w:r>
      <w:r>
        <w:t>Reglamento (ES) Nr. 1305/2013 15 straipsnio 4 dalies c punktas.</w:t>
      </w:r>
    </w:p>
  </w:footnote>
  <w:footnote w:id="50">
    <w:p w:rsidR="001F67E3" w:rsidRPr="00401F29" w:rsidRDefault="001F67E3" w:rsidP="00E05D08">
      <w:pPr>
        <w:pStyle w:val="FootnoteText"/>
      </w:pPr>
      <w:r>
        <w:rPr>
          <w:rStyle w:val="FootnoteReference"/>
        </w:rPr>
        <w:footnoteRef/>
      </w:r>
      <w:r>
        <w:t xml:space="preserve"> </w:t>
      </w:r>
      <w:r>
        <w:t>Reglamento (ES) Nr. 1303/2013 32 straipsnis.</w:t>
      </w:r>
    </w:p>
  </w:footnote>
  <w:footnote w:id="51">
    <w:p w:rsidR="001F67E3" w:rsidRPr="00C3092C" w:rsidRDefault="001F67E3" w:rsidP="00C3092C">
      <w:pPr>
        <w:pStyle w:val="FootnoteText"/>
      </w:pPr>
      <w:r>
        <w:rPr>
          <w:rStyle w:val="FootnoteReference"/>
        </w:rPr>
        <w:footnoteRef/>
      </w:r>
      <w:r>
        <w:t xml:space="preserve"> </w:t>
      </w:r>
      <w:r>
        <w:t>Reglamento (ES) Nr. 1305/2013 35 straipsnio 2 dalies b punktas.</w:t>
      </w:r>
    </w:p>
  </w:footnote>
  <w:footnote w:id="52">
    <w:p w:rsidR="001F67E3" w:rsidRPr="0026694F" w:rsidRDefault="001F67E3" w:rsidP="00E05D08">
      <w:pPr>
        <w:pStyle w:val="FootnoteText"/>
        <w:rPr>
          <w:color w:val="373737"/>
        </w:rPr>
      </w:pPr>
      <w:r>
        <w:rPr>
          <w:rStyle w:val="FootnoteReference"/>
        </w:rPr>
        <w:footnoteRef/>
      </w:r>
      <w:r>
        <w:t xml:space="preserve"> </w:t>
      </w:r>
      <w:r>
        <w:t xml:space="preserve">Reglamento (ES) Nr. 1305/2013 35 straipsnio 1 dalis. Rekomendacinio dokumento „Bendradarbiavimo priemonė“ (angl. </w:t>
      </w:r>
      <w:r>
        <w:rPr>
          <w:i/>
        </w:rPr>
        <w:t>Cooperation measure</w:t>
      </w:r>
      <w:r>
        <w:t>) (2014 m. lapkričio mėn. redakcija) I priede pateikiamas visų bendradarbiavimo priemonės pagalbinių priemonių sąrašas,</w:t>
      </w:r>
      <w:r>
        <w:rPr>
          <w:color w:val="373737"/>
        </w:rPr>
        <w:t xml:space="preserve"> </w:t>
      </w:r>
      <w:hyperlink r:id="rId17" w:history="1">
        <w:r>
          <w:rPr>
            <w:rStyle w:val="Hyperlink"/>
          </w:rPr>
          <w:t>https://ec.europa.eu/eip/agriculture/sites/agri-eip/files/16_measure_fiche_art_35_co-operation.pdf</w:t>
        </w:r>
      </w:hyperlink>
      <w:r>
        <w:t>.</w:t>
      </w:r>
    </w:p>
  </w:footnote>
  <w:footnote w:id="53">
    <w:p w:rsidR="001F67E3" w:rsidRPr="00401F29" w:rsidRDefault="001F67E3" w:rsidP="00E05D08">
      <w:pPr>
        <w:pStyle w:val="FootnoteText"/>
      </w:pPr>
      <w:r>
        <w:rPr>
          <w:rStyle w:val="FootnoteReference"/>
        </w:rPr>
        <w:footnoteRef/>
      </w:r>
      <w:r>
        <w:t xml:space="preserve"> </w:t>
      </w:r>
      <w:r>
        <w:t>Reglamento (ES) Nr. 1305/2013 35 straipsnio 1 dalis.</w:t>
      </w:r>
    </w:p>
  </w:footnote>
  <w:footnote w:id="54">
    <w:p w:rsidR="001F67E3" w:rsidRPr="00AB16BB" w:rsidRDefault="001F67E3">
      <w:pPr>
        <w:pStyle w:val="FootnoteText"/>
        <w:rPr>
          <w:sz w:val="12"/>
          <w:szCs w:val="12"/>
        </w:rPr>
      </w:pPr>
      <w:r>
        <w:rPr>
          <w:rStyle w:val="FootnoteReference"/>
          <w:szCs w:val="16"/>
        </w:rPr>
        <w:footnoteRef/>
      </w:r>
      <w:r>
        <w:t xml:space="preserve">Su EŽŪFKP P4 ir P5 prioritetais susijusių programavimo pavyzdžių pateiktis. Pateikiama adresu </w:t>
      </w:r>
      <w:hyperlink r:id="rId18" w:history="1">
        <w:r>
          <w:rPr>
            <w:rStyle w:val="Hyperlink"/>
          </w:rPr>
          <w:t>http://enrd.ec.europa.eu/sites/enrd/files/w10_m16_finland_karlsson.pdf</w:t>
        </w:r>
      </w:hyperlink>
      <w:r>
        <w:t>.</w:t>
      </w:r>
      <w:r>
        <w:rPr>
          <w:sz w:val="12"/>
          <w:szCs w:val="12"/>
        </w:rPr>
        <w:t xml:space="preserve"> </w:t>
      </w:r>
    </w:p>
  </w:footnote>
  <w:footnote w:id="55">
    <w:p w:rsidR="001F67E3" w:rsidRPr="00A45935" w:rsidRDefault="001F67E3">
      <w:pPr>
        <w:pStyle w:val="FootnoteText"/>
        <w:rPr>
          <w:szCs w:val="16"/>
        </w:rPr>
      </w:pPr>
      <w:r>
        <w:rPr>
          <w:rStyle w:val="FootnoteReference"/>
          <w:szCs w:val="16"/>
        </w:rPr>
        <w:footnoteRef/>
      </w:r>
      <w:r>
        <w:rPr>
          <w:rStyle w:val="Hyperlink"/>
        </w:rPr>
        <w:t xml:space="preserve"> </w:t>
      </w:r>
      <w:hyperlink r:id="rId19" w:history="1">
        <w:r>
          <w:rPr>
            <w:rStyle w:val="Hyperlink"/>
          </w:rPr>
          <w:t>https://ec.europa.eu/eip/agriculture/en/content/innovative-stable-reducing-ammonia-emissions</w:t>
        </w:r>
      </w:hyperlink>
      <w:r>
        <w:t>.</w:t>
      </w:r>
    </w:p>
  </w:footnote>
  <w:footnote w:id="56">
    <w:p w:rsidR="001F67E3" w:rsidRDefault="001F67E3">
      <w:pPr>
        <w:pStyle w:val="FootnoteText"/>
      </w:pPr>
      <w:r>
        <w:rPr>
          <w:rStyle w:val="FootnoteReference"/>
          <w:szCs w:val="16"/>
        </w:rPr>
        <w:footnoteRef/>
      </w:r>
      <w:r>
        <w:t xml:space="preserve"> </w:t>
      </w:r>
      <w:r>
        <w:t xml:space="preserve">Su EŽŪFKP P4 ir P5 prioritetais susijusių programavimo pavyzdžių pateiktis. Pateikiama adresu </w:t>
      </w:r>
      <w:hyperlink r:id="rId20" w:history="1">
        <w:r>
          <w:rPr>
            <w:rStyle w:val="Hyperlink"/>
          </w:rPr>
          <w:t>http://enrd.ec.europa.eu/sites/enrd/files/w10_m16.5_hesse_de_vonkutzleben.pdf</w:t>
        </w:r>
      </w:hyperlink>
      <w:r>
        <w:t>.</w:t>
      </w:r>
    </w:p>
  </w:footnote>
  <w:footnote w:id="57">
    <w:p w:rsidR="001F67E3" w:rsidRPr="00401F29" w:rsidRDefault="001F67E3" w:rsidP="00E05D08">
      <w:pPr>
        <w:pStyle w:val="FootnoteText"/>
      </w:pPr>
      <w:r>
        <w:rPr>
          <w:rStyle w:val="FootnoteReference"/>
        </w:rPr>
        <w:footnoteRef/>
      </w:r>
      <w:r>
        <w:t xml:space="preserve"> </w:t>
      </w:r>
      <w:r>
        <w:t>Reglamento (ES) Nr. 1305/2013 54 straipsnio 2 dalis.</w:t>
      </w:r>
    </w:p>
  </w:footnote>
  <w:footnote w:id="58">
    <w:p w:rsidR="001F67E3" w:rsidRPr="002D11C3" w:rsidRDefault="001F67E3" w:rsidP="00E05D08">
      <w:pPr>
        <w:pStyle w:val="FootnoteText"/>
      </w:pPr>
      <w:r>
        <w:rPr>
          <w:rStyle w:val="FootnoteReference"/>
        </w:rPr>
        <w:footnoteRef/>
      </w:r>
      <w:r>
        <w:t xml:space="preserve"> </w:t>
      </w:r>
      <w:r>
        <w:t xml:space="preserve">Rekomendacijos, kaip atsakyti į 21-ąjį BVK, taip pat buvo pateiktos gairių „KPP rezultatų vertinimas: kaip pasirengti teikti vertinimo ataskaitas 2017 m.“ 11 priede, kuriame atsakant į minėtą BVK buvo atsižvelgta į visus su NKT susijusius tikslus, </w:t>
      </w:r>
      <w:hyperlink r:id="rId21" w:history="1">
        <w:r>
          <w:rPr>
            <w:rStyle w:val="Hyperlink"/>
          </w:rPr>
          <w:t>https://enrd.ec.europa.eu/evaluation/publications/guidelines-assessment-rdp-results-how-prepare-reporting-evaluation-2017_en</w:t>
        </w:r>
      </w:hyperlink>
      <w:r>
        <w:t>.</w:t>
      </w:r>
    </w:p>
  </w:footnote>
  <w:footnote w:id="59">
    <w:p w:rsidR="001F67E3" w:rsidRPr="00401F29" w:rsidRDefault="001F67E3" w:rsidP="00E05D08">
      <w:pPr>
        <w:pStyle w:val="FootnoteText"/>
      </w:pPr>
      <w:r>
        <w:rPr>
          <w:rStyle w:val="FootnoteReference"/>
        </w:rPr>
        <w:footnoteRef/>
      </w:r>
      <w:r>
        <w:t xml:space="preserve"> </w:t>
      </w:r>
      <w:r>
        <w:t>Reglamento (ES) Nr. 1305/2013 54 straipsnis.</w:t>
      </w:r>
    </w:p>
  </w:footnote>
  <w:footnote w:id="60">
    <w:p w:rsidR="001F67E3" w:rsidRPr="00401F29" w:rsidRDefault="001F67E3" w:rsidP="00E05D08">
      <w:pPr>
        <w:pStyle w:val="FootnoteText"/>
      </w:pPr>
      <w:r>
        <w:rPr>
          <w:rStyle w:val="FootnoteReference"/>
        </w:rPr>
        <w:footnoteRef/>
      </w:r>
      <w:r>
        <w:t xml:space="preserve"> </w:t>
      </w:r>
      <w:r>
        <w:t>Reglamento (ES) Nr. 1305/2013 54 straipsnio 3 dalies b punktas.</w:t>
      </w:r>
    </w:p>
  </w:footnote>
  <w:footnote w:id="61">
    <w:p w:rsidR="001F67E3" w:rsidRPr="00401F29" w:rsidRDefault="001F67E3" w:rsidP="00E05D08">
      <w:pPr>
        <w:pStyle w:val="FootnoteText"/>
      </w:pPr>
      <w:r>
        <w:rPr>
          <w:rStyle w:val="FootnoteReference"/>
        </w:rPr>
        <w:footnoteRef/>
      </w:r>
      <w:r>
        <w:t xml:space="preserve"> </w:t>
      </w:r>
      <w:r>
        <w:t>Reglamento (ES) Nr. 1305/2013 8 straipsnio 1 dalies c punkto v papunktis ir Reglamento (ES) Nr. 808/2014 I priedo, I dalies 5 punkto c ir e papunkčiai.</w:t>
      </w:r>
    </w:p>
  </w:footnote>
  <w:footnote w:id="62">
    <w:p w:rsidR="001F67E3" w:rsidRPr="00401F29" w:rsidRDefault="001F67E3" w:rsidP="00E05D08">
      <w:pPr>
        <w:pStyle w:val="FootnoteText"/>
      </w:pPr>
      <w:r>
        <w:rPr>
          <w:rStyle w:val="FootnoteReference"/>
        </w:rPr>
        <w:footnoteRef/>
      </w:r>
      <w:r>
        <w:t xml:space="preserve"> </w:t>
      </w:r>
      <w:r>
        <w:t>Reglamento (ES) Nr. 1305/2013 54 straipsnis.</w:t>
      </w:r>
    </w:p>
  </w:footnote>
  <w:footnote w:id="63">
    <w:p w:rsidR="001F67E3" w:rsidRPr="00401F29" w:rsidRDefault="001F67E3" w:rsidP="00E05D08">
      <w:pPr>
        <w:pStyle w:val="FootnoteText"/>
        <w:rPr>
          <w:rStyle w:val="Hyperlink"/>
        </w:rPr>
      </w:pPr>
      <w:r>
        <w:rPr>
          <w:rStyle w:val="FootnoteReference"/>
        </w:rPr>
        <w:footnoteRef/>
      </w:r>
      <w:r>
        <w:t xml:space="preserve"> </w:t>
      </w:r>
      <w:r>
        <w:t>Vertinimo pagalbos tarnybos darbinis dokumentas „2014–2020 m. kaimo plėtros programų bendrieji vertinimo klausimai“, pateikiama adresu</w:t>
      </w:r>
      <w:hyperlink r:id="rId22" w:history="1">
        <w:r>
          <w:rPr>
            <w:rStyle w:val="Hyperlink"/>
          </w:rPr>
          <w:t>http://enrd.ec.europa.eu/evaluation/publications/working-document-common-evaluation-questions-rural-development-programmes_en</w:t>
        </w:r>
      </w:hyperlink>
      <w:r>
        <w:t>.</w:t>
      </w:r>
    </w:p>
  </w:footnote>
  <w:footnote w:id="64">
    <w:p w:rsidR="001F67E3" w:rsidRPr="00401F29" w:rsidRDefault="001F67E3" w:rsidP="00E05D08">
      <w:pPr>
        <w:pStyle w:val="FootnoteText"/>
      </w:pPr>
      <w:r>
        <w:rPr>
          <w:rStyle w:val="FootnoteReference"/>
        </w:rPr>
        <w:footnoteRef/>
      </w:r>
      <w:r>
        <w:t xml:space="preserve"> </w:t>
      </w:r>
      <w:r>
        <w:t>Ten pat.</w:t>
      </w:r>
    </w:p>
  </w:footnote>
  <w:footnote w:id="65">
    <w:p w:rsidR="001F67E3" w:rsidRPr="00401F29" w:rsidRDefault="001F67E3" w:rsidP="00E05D08">
      <w:pPr>
        <w:pStyle w:val="FootnoteText"/>
      </w:pPr>
      <w:r>
        <w:rPr>
          <w:rStyle w:val="FootnoteReference"/>
        </w:rPr>
        <w:footnoteRef/>
      </w:r>
      <w:r>
        <w:t xml:space="preserve"> </w:t>
      </w:r>
      <w:r>
        <w:t>Allen and Seaman (2007).</w:t>
      </w:r>
    </w:p>
  </w:footnote>
  <w:footnote w:id="66">
    <w:p w:rsidR="001F67E3" w:rsidRPr="00401F29" w:rsidRDefault="001F67E3" w:rsidP="00E05D08">
      <w:pPr>
        <w:pStyle w:val="FootnoteText"/>
      </w:pPr>
      <w:r>
        <w:rPr>
          <w:rStyle w:val="FootnoteReference"/>
        </w:rPr>
        <w:footnoteRef/>
      </w:r>
      <w:r>
        <w:t xml:space="preserve"> </w:t>
      </w:r>
      <w:r>
        <w:t>Vertinimo pagalbos tarnybos 2016 m. gairių „Nacionalinių kaimo tinklų vei</w:t>
      </w:r>
      <w:r w:rsidR="00127F70">
        <w:t xml:space="preserve">klos 2014–2020 m. vertinimas“ (angl. </w:t>
      </w:r>
      <w:r w:rsidRPr="00127F70">
        <w:rPr>
          <w:i/>
          <w:iCs/>
        </w:rPr>
        <w:t>Evaluation of NRNs 2014-2020</w:t>
      </w:r>
      <w:r>
        <w:t xml:space="preserve">) 3.1.3 skyrius ir III dalis, </w:t>
      </w:r>
      <w:r>
        <w:rPr>
          <w:rStyle w:val="Hyperlink"/>
        </w:rPr>
        <w:t>https://enrd.ec.europa.eu/evaluation/publications/guidelines-evaluation-national-rural-networks-</w:t>
      </w:r>
      <w:hyperlink r:id="rId23" w:history="1">
        <w:r>
          <w:rPr>
            <w:rStyle w:val="Hyperlink"/>
          </w:rPr>
          <w:t>2014</w:t>
        </w:r>
      </w:hyperlink>
      <w:r>
        <w:rPr>
          <w:rStyle w:val="Hyperlink"/>
        </w:rPr>
        <w:t>-</w:t>
      </w:r>
      <w:hyperlink r:id="rId24" w:history="1">
        <w:r>
          <w:rPr>
            <w:rStyle w:val="Hyperlink"/>
          </w:rPr>
          <w:t>2020</w:t>
        </w:r>
      </w:hyperlink>
      <w:r>
        <w:rPr>
          <w:rStyle w:val="Hyperlink"/>
        </w:rPr>
        <w:t>_en</w:t>
      </w:r>
      <w:r>
        <w:t>.</w:t>
      </w:r>
    </w:p>
  </w:footnote>
  <w:footnote w:id="67">
    <w:p w:rsidR="001F67E3" w:rsidRPr="00401F29" w:rsidRDefault="001F67E3" w:rsidP="00E05D08">
      <w:pPr>
        <w:pStyle w:val="FootnoteText"/>
        <w:rPr>
          <w:rStyle w:val="Hyperlink"/>
        </w:rPr>
      </w:pPr>
      <w:r>
        <w:rPr>
          <w:rStyle w:val="FootnoteReference"/>
        </w:rPr>
        <w:footnoteRef/>
      </w:r>
      <w:r>
        <w:t xml:space="preserve"> </w:t>
      </w:r>
      <w:r>
        <w:t>Italijos NKT veiklos pavyzdys</w:t>
      </w:r>
      <w:r>
        <w:rPr>
          <w:rFonts w:ascii="Helvetica" w:hAnsi="Helvetica"/>
          <w:szCs w:val="16"/>
        </w:rPr>
        <w:t xml:space="preserve"> </w:t>
      </w:r>
      <w:hyperlink r:id="rId25" w:history="1">
        <w:r>
          <w:rPr>
            <w:rStyle w:val="Hyperlink"/>
          </w:rPr>
          <w:t>http://www.reterurale.it/flex/cm/pages/ServeBLOB.php/L/IT/IDPagina/16281</w:t>
        </w:r>
      </w:hyperlink>
      <w:r>
        <w:t>.</w:t>
      </w:r>
    </w:p>
    <w:p w:rsidR="001F67E3" w:rsidRPr="00F743D3" w:rsidRDefault="001F67E3" w:rsidP="00F74459">
      <w:pPr>
        <w:pStyle w:val="FootnoteText"/>
        <w:rPr>
          <w:lang w:val="sk-SK"/>
        </w:rPr>
      </w:pPr>
    </w:p>
  </w:footnote>
  <w:footnote w:id="68">
    <w:p w:rsidR="001F67E3" w:rsidRPr="00CE37B0" w:rsidRDefault="001F67E3" w:rsidP="00E05D08">
      <w:pPr>
        <w:pStyle w:val="FootnoteText"/>
      </w:pPr>
      <w:r>
        <w:rPr>
          <w:rStyle w:val="FootnoteReference"/>
        </w:rPr>
        <w:footnoteRef/>
      </w:r>
      <w:r>
        <w:t xml:space="preserve"> </w:t>
      </w:r>
      <w:r>
        <w:t xml:space="preserve">2020 M. EUROPA. Pažangaus, tvaraus ir integracinio augimo strategija, </w:t>
      </w:r>
      <w:hyperlink r:id="rId26" w:history="1">
        <w:r>
          <w:rPr>
            <w:rStyle w:val="Hyperlink"/>
          </w:rPr>
          <w:t>http://eur-lex.europa.eu/legal-content/en/ALL/?uri=CELEX%3A52010DC2020</w:t>
        </w:r>
      </w:hyperlink>
      <w:r>
        <w:t>.</w:t>
      </w:r>
    </w:p>
  </w:footnote>
  <w:footnote w:id="69">
    <w:p w:rsidR="001F67E3" w:rsidRPr="0026694F" w:rsidRDefault="001F67E3"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7" w:history="1">
        <w:r>
          <w:rPr>
            <w:rStyle w:val="Hyperlink"/>
          </w:rPr>
          <w:t>http://ec.europa.eu/europe2020/targets/eu-targets/index_lt.htm.</w:t>
        </w:r>
      </w:hyperlink>
    </w:p>
  </w:footnote>
  <w:footnote w:id="70">
    <w:p w:rsidR="001F67E3" w:rsidRPr="008F676D" w:rsidRDefault="001F67E3" w:rsidP="00E05D08">
      <w:pPr>
        <w:pStyle w:val="FootnoteText"/>
      </w:pPr>
      <w:r>
        <w:rPr>
          <w:rStyle w:val="FootnoteReference"/>
        </w:rPr>
        <w:footnoteRef/>
      </w:r>
      <w:r>
        <w:t xml:space="preserve"> </w:t>
      </w:r>
      <w:hyperlink r:id="rId28" w:history="1">
        <w:r>
          <w:rPr>
            <w:rStyle w:val="Hyperlink"/>
          </w:rPr>
          <w:t>http://ec.europa.eu/eurostat/statistics-explained/index.php/R_%26_D_expenditure.</w:t>
        </w:r>
      </w:hyperlink>
    </w:p>
  </w:footnote>
  <w:footnote w:id="71">
    <w:p w:rsidR="001F67E3" w:rsidRPr="0026694F" w:rsidRDefault="001F67E3"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9" w:history="1">
        <w:r>
          <w:rPr>
            <w:rStyle w:val="Hyperlink"/>
          </w:rPr>
          <w:t>http://www.oecd.org/publications/frascati-manual-2015-9789264239012-en.htm.</w:t>
        </w:r>
      </w:hyperlink>
    </w:p>
  </w:footnote>
  <w:footnote w:id="72">
    <w:p w:rsidR="001F67E3" w:rsidRPr="00401F29" w:rsidRDefault="001F67E3" w:rsidP="00E05D08">
      <w:pPr>
        <w:pStyle w:val="FootnoteText"/>
      </w:pPr>
      <w:r>
        <w:rPr>
          <w:rStyle w:val="FootnoteReference"/>
          <w:rFonts w:cs="Helvetica"/>
          <w:szCs w:val="18"/>
        </w:rPr>
        <w:footnoteRef/>
      </w:r>
      <w:r>
        <w:rPr>
          <w:color w:val="373737"/>
          <w:szCs w:val="18"/>
        </w:rPr>
        <w:t xml:space="preserve"> </w:t>
      </w:r>
      <w:r>
        <w:t>Europos Parlamento ir Tarybos sprendimas Nr. 1608/2003/EB, Reglamentas (EB) Nr. 753/2004 ir Reglamentas (EB) Nr. 995/2012,</w:t>
      </w:r>
    </w:p>
  </w:footnote>
  <w:footnote w:id="73">
    <w:p w:rsidR="001F67E3" w:rsidRPr="008F676D" w:rsidRDefault="001F67E3" w:rsidP="00E05D08">
      <w:pPr>
        <w:pStyle w:val="FootnoteText"/>
      </w:pPr>
      <w:r>
        <w:rPr>
          <w:rStyle w:val="FootnoteReference"/>
        </w:rPr>
        <w:footnoteRef/>
      </w:r>
      <w:r>
        <w:t xml:space="preserve"> </w:t>
      </w:r>
      <w:hyperlink r:id="rId30" w:history="1">
        <w:r>
          <w:rPr>
            <w:rStyle w:val="Hyperlink"/>
          </w:rPr>
          <w:t>http://ec.europa.eu/eurostat/statistics-explained/index.php/Glossary:Gross_domestic_expenditure_on_R_%26_D_(GERD)</w:t>
        </w:r>
      </w:hyperlink>
      <w:r>
        <w:t>.</w:t>
      </w:r>
    </w:p>
  </w:footnote>
  <w:footnote w:id="74">
    <w:p w:rsidR="001F67E3" w:rsidRPr="0026694F" w:rsidRDefault="001F67E3" w:rsidP="00E05D08">
      <w:pPr>
        <w:pStyle w:val="FootnoteText"/>
        <w:rPr>
          <w:rFonts w:ascii="Helvetica" w:hAnsi="Helvetica" w:cs="Helvetica"/>
          <w:szCs w:val="16"/>
        </w:rPr>
      </w:pPr>
      <w:r>
        <w:rPr>
          <w:rStyle w:val="FootnoteReference"/>
          <w:rFonts w:cs="Arial"/>
          <w:szCs w:val="16"/>
        </w:rPr>
        <w:footnoteRef/>
      </w:r>
      <w:r>
        <w:rPr>
          <w:rFonts w:ascii="Helvetica" w:hAnsi="Helvetica"/>
          <w:szCs w:val="16"/>
        </w:rPr>
        <w:t xml:space="preserve"> </w:t>
      </w:r>
      <w:bookmarkStart w:id="123" w:name="_Hlk500419553"/>
      <w:r>
        <w:rPr>
          <w:rFonts w:ascii="Helvetica" w:hAnsi="Helvetica"/>
          <w:szCs w:val="16"/>
        </w:rPr>
        <w:t xml:space="preserve">Vokietijoje atliktas </w:t>
      </w:r>
      <w:r>
        <w:rPr>
          <w:rFonts w:ascii="Helvetica" w:hAnsi="Helvetica"/>
          <w:i/>
          <w:szCs w:val="16"/>
        </w:rPr>
        <w:t>ex ante</w:t>
      </w:r>
      <w:r>
        <w:rPr>
          <w:rFonts w:ascii="Helvetica" w:hAnsi="Helvetica"/>
          <w:szCs w:val="16"/>
        </w:rPr>
        <w:t xml:space="preserve"> vertinimų tyrimas, kurio metu (be kitų dalykų) buvo vertinama KPP svarba siekiant strategijos „Europa 2020“ tikslų, parodė, kad KPP indėlis į pagrindinio 3 proc. BVP tikslo siekimą vertinamas kaip labai mažas. Keliose Vokietijos žemėse kaimo plėtros išlaidų indėlis į MTTP išlaidų finansavimą bus tik menkas. </w:t>
      </w:r>
    </w:p>
    <w:bookmarkEnd w:id="123"/>
    <w:p w:rsidR="001F67E3" w:rsidRPr="00E05D08" w:rsidRDefault="001F67E3" w:rsidP="00F74459">
      <w:pPr>
        <w:pStyle w:val="FootnoteText"/>
        <w:rPr>
          <w:rFonts w:ascii="Calibri" w:hAnsi="Calibri"/>
          <w:lang w:val="sk-SK"/>
        </w:rPr>
      </w:pPr>
    </w:p>
  </w:footnote>
  <w:footnote w:id="75">
    <w:p w:rsidR="001F67E3" w:rsidRPr="0026694F" w:rsidRDefault="001F67E3" w:rsidP="00E05D08">
      <w:pPr>
        <w:pStyle w:val="FootnoteText"/>
        <w:rPr>
          <w:rFonts w:cs="Helvetica"/>
          <w:color w:val="373737"/>
        </w:rPr>
      </w:pPr>
      <w:r>
        <w:rPr>
          <w:rStyle w:val="FootnoteReference"/>
          <w:rFonts w:cs="Helvetica"/>
        </w:rPr>
        <w:footnoteRef/>
      </w:r>
      <w:r>
        <w:t xml:space="preserve"> </w:t>
      </w:r>
      <w:r>
        <w:t xml:space="preserve">Darbinis dokumentas „2014–2020 m. kaimo plėtros programų bendrieji vertinimo klausimai“, </w:t>
      </w:r>
      <w:hyperlink r:id="rId31" w:history="1">
        <w:r>
          <w:rPr>
            <w:rStyle w:val="Hyperlink"/>
          </w:rPr>
          <w:t>http://enrd.ec.europa.eu/evaluation/publications/working-document-common-evaluation-questions-rural-development-programmes_en</w:t>
        </w:r>
      </w:hyperlink>
      <w:r>
        <w:t>.</w:t>
      </w:r>
    </w:p>
  </w:footnote>
  <w:footnote w:id="76">
    <w:p w:rsidR="001F67E3" w:rsidRPr="00014A2E" w:rsidRDefault="001F67E3" w:rsidP="00E05D08">
      <w:pPr>
        <w:pStyle w:val="FootnoteText"/>
      </w:pPr>
      <w:r>
        <w:rPr>
          <w:rStyle w:val="FootnoteReference"/>
        </w:rPr>
        <w:footnoteRef/>
      </w:r>
      <w:r>
        <w:t xml:space="preserve"> </w:t>
      </w:r>
      <w:r>
        <w:t>Reglamento (ES) Nr. 1305/2013 8 straipsnio 1 dalies c punkto v papunktis ir Reglamento (ES) Nr. 808/2014 I priedo, 1 dalies 5 punkto c ir e papunkčiai.</w:t>
      </w:r>
    </w:p>
  </w:footnote>
  <w:footnote w:id="77">
    <w:p w:rsidR="001F67E3" w:rsidRPr="001D68A9" w:rsidRDefault="001F67E3" w:rsidP="00E05D08">
      <w:pPr>
        <w:pStyle w:val="FootnoteText"/>
      </w:pPr>
      <w:r>
        <w:rPr>
          <w:rStyle w:val="FootnoteReference"/>
        </w:rPr>
        <w:footnoteRef/>
      </w:r>
      <w:r>
        <w:t xml:space="preserve"> </w:t>
      </w:r>
      <w:hyperlink r:id="rId32" w:history="1">
        <w:r>
          <w:rPr>
            <w:rStyle w:val="Hyperlink"/>
          </w:rPr>
          <w:t>http://www.analytictech.com/networks/whatis.htm.</w:t>
        </w:r>
      </w:hyperlink>
    </w:p>
  </w:footnote>
  <w:footnote w:id="78">
    <w:p w:rsidR="001F67E3" w:rsidRPr="00401F29" w:rsidRDefault="001F67E3" w:rsidP="00E05D08">
      <w:pPr>
        <w:pStyle w:val="FootnoteText"/>
      </w:pPr>
      <w:r>
        <w:rPr>
          <w:rStyle w:val="FootnoteReference"/>
        </w:rPr>
        <w:footnoteRef/>
      </w:r>
      <w:r>
        <w:t xml:space="preserve"> </w:t>
      </w:r>
      <w:r>
        <w:t>Wilson-Grau, 2015. </w:t>
      </w:r>
    </w:p>
  </w:footnote>
  <w:footnote w:id="79">
    <w:p w:rsidR="001F67E3" w:rsidRPr="00401F29" w:rsidRDefault="001F67E3" w:rsidP="00E05D08">
      <w:pPr>
        <w:pStyle w:val="FootnoteText"/>
      </w:pPr>
      <w:r>
        <w:rPr>
          <w:rStyle w:val="FootnoteReference"/>
        </w:rPr>
        <w:footnoteRef/>
      </w:r>
      <w:r>
        <w:t xml:space="preserve"> </w:t>
      </w:r>
      <w:r>
        <w:t xml:space="preserve">„Atvejo tyrimas – metodas, kuriuo siekiama išnagrinėti sudėtingą atvejį, pagrįstas visapusišku to atvejo supratimu, pasiektu išsamiai jį aprašant ir ištiriant kaip visumą ir jo paties kontekste“ (Bendroji atsiskaitymų įstaiga (angl. GAO – General Accounts Office </w:t>
      </w:r>
      <w:r>
        <w:rPr>
          <w:i/>
        </w:rPr>
        <w:t>GAO – General Accounts Office</w:t>
      </w:r>
      <w:r>
        <w:t>), 1990 m., p. 15).</w:t>
      </w:r>
    </w:p>
  </w:footnote>
  <w:footnote w:id="80">
    <w:p w:rsidR="001F67E3" w:rsidRPr="00401F29" w:rsidRDefault="001F67E3" w:rsidP="00E05D08">
      <w:pPr>
        <w:pStyle w:val="FootnoteText"/>
      </w:pPr>
      <w:r>
        <w:rPr>
          <w:rStyle w:val="FootnoteReference"/>
        </w:rPr>
        <w:footnoteRef/>
      </w:r>
      <w:r>
        <w:rPr>
          <w:rStyle w:val="FootnoteReference"/>
        </w:rPr>
        <w:t xml:space="preserve"> </w:t>
      </w:r>
      <w:r>
        <w:t xml:space="preserve">Proceso atsekimas yra atvejo tyrimu pagrįstas priežastinių ryšių nustatymo metodas, kuriuo siekiama atsekti svarbiausią su tiriamu atveju susijusią informaciją (priežastinio proceso stebiniai (angl. </w:t>
      </w:r>
      <w:r>
        <w:rPr>
          <w:i/>
        </w:rPr>
        <w:t>CPO – causal process observations</w:t>
      </w:r>
      <w:r>
        <w:t>), kad būtų galima pasirinkti tarp galimų alternatyvių paaiškinimų, daugiau skaitykite</w:t>
      </w:r>
      <w:r>
        <w:rPr>
          <w:color w:val="373737"/>
          <w:szCs w:val="16"/>
          <w:shd w:val="clear" w:color="auto" w:fill="FFFFFF"/>
        </w:rPr>
        <w:t xml:space="preserve"> </w:t>
      </w:r>
      <w:hyperlink r:id="rId33" w:history="1">
        <w:r>
          <w:rPr>
            <w:rStyle w:val="Hyperlink"/>
            <w:szCs w:val="16"/>
            <w:shd w:val="clear" w:color="auto" w:fill="FFFFFF"/>
          </w:rPr>
          <w:t xml:space="preserve"> http://www.betterevaluation.org/en/evaluation-options/processtracing</w:t>
        </w:r>
      </w:hyperlink>
      <w:r>
        <w:rPr>
          <w:color w:val="373737"/>
          <w:szCs w:val="16"/>
        </w:rPr>
        <w:t>,</w:t>
      </w:r>
      <w:r>
        <w:t xml:space="preserve"> taip pat skaitykite Collier 2011, žr. literatūros sąrašą,</w:t>
      </w:r>
    </w:p>
  </w:footnote>
  <w:footnote w:id="81">
    <w:p w:rsidR="001F67E3" w:rsidRPr="00401F29" w:rsidRDefault="001F67E3" w:rsidP="00E05D08">
      <w:pPr>
        <w:pStyle w:val="FootnoteText"/>
      </w:pPr>
      <w:r>
        <w:rPr>
          <w:rStyle w:val="FootnoteReference"/>
        </w:rPr>
        <w:footnoteRef/>
      </w:r>
      <w:r>
        <w:t xml:space="preserve"> </w:t>
      </w:r>
      <w:r>
        <w:t xml:space="preserve">„Inovacijų istorijos“ parengimas – metodas, skirtas inovacijų procesui registruoti ir aptarti. Inovacijų procese dalyvavę asmenys bendrai parengia išsamią ataskaitą (kuri kartais vadinama „mokymosi istorija“), remdamiesi savo prisiminimais ir turimais dokumentais.“ Daugiau skaitykite </w:t>
      </w:r>
      <w:hyperlink r:id="rId34" w:history="1">
        <w:r>
          <w:rPr>
            <w:rStyle w:val="Hyperlink"/>
          </w:rPr>
          <w:t>http://www.betterevaluation.org/en/resources/tools/innovation_history/innovation_timeline</w:t>
        </w:r>
      </w:hyperlink>
      <w:r>
        <w:t xml:space="preserve">, taip pat skaitykite Douthwaite and Ashby, 2005, žr. literatūros sąrašą, </w:t>
      </w:r>
    </w:p>
  </w:footnote>
  <w:footnote w:id="82">
    <w:p w:rsidR="001F67E3" w:rsidRPr="00A847F8" w:rsidRDefault="001F67E3" w:rsidP="00A847F8">
      <w:pPr>
        <w:pStyle w:val="FootnoteText"/>
      </w:pPr>
      <w:r>
        <w:rPr>
          <w:rStyle w:val="FootnoteReference"/>
        </w:rPr>
        <w:footnoteRef/>
      </w:r>
      <w:r>
        <w:t xml:space="preserve"> </w:t>
      </w:r>
      <w:r>
        <w:t>Mayne, 2012, žr. literatūros sąrašą.</w:t>
      </w:r>
    </w:p>
  </w:footnote>
  <w:footnote w:id="83">
    <w:p w:rsidR="001F67E3" w:rsidRPr="00A847F8" w:rsidRDefault="001F67E3" w:rsidP="00A847F8">
      <w:pPr>
        <w:pStyle w:val="FootnoteText"/>
      </w:pPr>
      <w:r>
        <w:rPr>
          <w:rStyle w:val="FootnoteReference"/>
        </w:rPr>
        <w:footnoteRef/>
      </w:r>
      <w:r>
        <w:t xml:space="preserve"> </w:t>
      </w:r>
      <w:r>
        <w:t>Hilton, 1996, žr. literatūros sąrašą.</w:t>
      </w:r>
    </w:p>
  </w:footnote>
  <w:footnote w:id="84">
    <w:p w:rsidR="001F67E3" w:rsidRDefault="001F67E3" w:rsidP="00A847F8">
      <w:pPr>
        <w:pStyle w:val="FootnoteText"/>
      </w:pPr>
      <w:r>
        <w:rPr>
          <w:rStyle w:val="FootnoteReference"/>
        </w:rPr>
        <w:footnoteRef/>
      </w:r>
      <w:r>
        <w:t xml:space="preserve"> </w:t>
      </w:r>
      <w:r>
        <w:t>Pawson et al., 2005, žr. literatūros sąrašą,</w:t>
      </w:r>
    </w:p>
  </w:footnote>
  <w:footnote w:id="85">
    <w:p w:rsidR="001F67E3" w:rsidRDefault="001F67E3" w:rsidP="00BA450C">
      <w:pPr>
        <w:pStyle w:val="FootnoteText"/>
      </w:pPr>
      <w:r>
        <w:rPr>
          <w:rStyle w:val="FootnoteReference"/>
          <w:szCs w:val="16"/>
        </w:rPr>
        <w:footnoteRef/>
      </w:r>
      <w:r>
        <w:t xml:space="preserve"> </w:t>
      </w:r>
      <w:hyperlink r:id="rId35" w:history="1">
        <w:r>
          <w:rPr>
            <w:rStyle w:val="Hyperlink"/>
          </w:rPr>
          <w:t>http://www.socialresearchmethods.net/kb/scallik.php</w:t>
        </w:r>
      </w:hyperlink>
      <w:r>
        <w:rPr>
          <w:color w:val="373737"/>
          <w:szCs w:val="16"/>
        </w:rPr>
        <w:t xml:space="preserve">, </w:t>
      </w:r>
      <w:r>
        <w:t>ir Allen and Seaman (2007</w:t>
      </w:r>
      <w:r>
        <w:rPr>
          <w:color w:val="373737"/>
          <w:szCs w:val="16"/>
          <w:shd w:val="clear" w:color="auto" w:fill="FFFFFF"/>
        </w:rPr>
        <w: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7E3" w:rsidRDefault="001F67E3" w:rsidP="00400064">
    <w:pPr>
      <w:pStyle w:val="Header"/>
      <w:tabs>
        <w:tab w:val="clear" w:pos="4513"/>
        <w:tab w:val="clear" w:pos="9026"/>
      </w:tabs>
      <w:jc w:val="right"/>
    </w:pPr>
    <w:r>
      <w:t>Gairės Inovacijų kaimo plėtros programose vertinimo gairės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7E3" w:rsidRPr="00400064" w:rsidRDefault="001F67E3" w:rsidP="0025413B">
    <w:pPr>
      <w:jc w:val="right"/>
      <w:rPr>
        <w:color w:val="F07E31"/>
        <w:sz w:val="18"/>
        <w:szCs w:val="18"/>
      </w:rPr>
    </w:pPr>
    <w:r>
      <w:rPr>
        <w:color w:val="F07E31"/>
        <w:sz w:val="18"/>
        <w:szCs w:val="18"/>
      </w:rPr>
      <w:t>Gairės Inovacijų kaimo plėtros programose vertinimo gairės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7E3" w:rsidRPr="00400064" w:rsidRDefault="001F67E3" w:rsidP="00400064">
    <w:pPr>
      <w:jc w:val="right"/>
      <w:rPr>
        <w:color w:val="F07E31"/>
        <w:sz w:val="18"/>
        <w:szCs w:val="18"/>
      </w:rPr>
    </w:pPr>
    <w:r>
      <w:rPr>
        <w:color w:val="F07E31"/>
        <w:sz w:val="18"/>
        <w:szCs w:val="18"/>
      </w:rPr>
      <w:t>Gairės Inovacijų kaimo plėtros programose vertinimo gairės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7E3" w:rsidRDefault="001F67E3" w:rsidP="00E165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7E3" w:rsidRPr="00E4509B" w:rsidRDefault="001F67E3" w:rsidP="00D50EF0">
    <w:pPr>
      <w:pStyle w:val="Header"/>
      <w:tabs>
        <w:tab w:val="clear" w:pos="4513"/>
      </w:tabs>
    </w:pPr>
    <w:r>
      <w:tab/>
    </w:r>
    <w:bookmarkStart w:id="4" w:name="_Hlk503344243"/>
    <w:r>
      <w:t>Gairės Inovacijų kaimo plėtros programose vertinimo gairės</w:t>
    </w:r>
    <w:bookmarkEnd w:id="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7E3" w:rsidRPr="00400064" w:rsidRDefault="001F67E3" w:rsidP="00400064">
    <w:pPr>
      <w:jc w:val="right"/>
      <w:rPr>
        <w:color w:val="F07E31"/>
        <w:sz w:val="18"/>
        <w:szCs w:val="18"/>
      </w:rPr>
    </w:pPr>
    <w:r>
      <w:rPr>
        <w:color w:val="F07E31"/>
        <w:sz w:val="18"/>
        <w:szCs w:val="18"/>
      </w:rPr>
      <w:t>Gairės Inovacijų kaimo plėtros programose vertinimo gairės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7E3" w:rsidRPr="00C947BA" w:rsidRDefault="001F67E3" w:rsidP="00C947BA">
    <w:pPr>
      <w:jc w:val="right"/>
      <w:rPr>
        <w:color w:val="F07E31"/>
        <w:sz w:val="18"/>
        <w:szCs w:val="18"/>
      </w:rPr>
    </w:pPr>
    <w:r>
      <w:rPr>
        <w:color w:val="F07E31"/>
        <w:sz w:val="18"/>
        <w:szCs w:val="18"/>
      </w:rPr>
      <w:t>Gairės Inovacijų kaimo plėtros programose vertinimo gairės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7E3" w:rsidRDefault="001F67E3" w:rsidP="00E16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7E3" w:rsidRPr="0052778E" w:rsidRDefault="001F67E3" w:rsidP="00E16522">
    <w:pPr>
      <w:pStyle w:val="Header"/>
      <w:rPr>
        <w:sz w:val="24"/>
      </w:rPr>
    </w:pPr>
    <w:r>
      <w:tab/>
    </w:r>
  </w:p>
  <w:p w:rsidR="001F67E3" w:rsidRPr="0047590C" w:rsidRDefault="001F67E3" w:rsidP="00E16522">
    <w:pPr>
      <w:pStyle w:val="Header"/>
      <w:rPr>
        <w:color w:val="6F6F6F"/>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7E3" w:rsidRDefault="001F67E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7E3" w:rsidRPr="00656719" w:rsidRDefault="001F67E3" w:rsidP="00E16522">
    <w:pPr>
      <w:pStyle w:val="Header"/>
    </w:pPr>
    <w:r>
      <w:tab/>
    </w:r>
    <w:r>
      <w:t>Aiškinamasis dokumentas: Inovacijų kaimo plėtros programose vertinimo gairės</w:t>
    </w:r>
  </w:p>
  <w:p w:rsidR="001F67E3" w:rsidRPr="00A963F4" w:rsidRDefault="001F67E3" w:rsidP="00E16522">
    <w:pPr>
      <w:pStyle w:val="Header"/>
      <w:rPr>
        <w:sz w:val="24"/>
      </w:rPr>
    </w:pPr>
  </w:p>
  <w:p w:rsidR="001F67E3" w:rsidRPr="0047590C" w:rsidRDefault="001F67E3" w:rsidP="00E16522">
    <w:pPr>
      <w:pStyle w:val="Header"/>
      <w:rPr>
        <w:color w:val="6F6F6F"/>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9998C6BA"/>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BBF06EE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0"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547BD"/>
    <w:multiLevelType w:val="hybridMultilevel"/>
    <w:tmpl w:val="5628C4EC"/>
    <w:styleLink w:val="MaListe1"/>
    <w:lvl w:ilvl="0" w:tplc="222EA85A">
      <w:start w:val="1"/>
      <w:numFmt w:val="decimal"/>
      <w:pStyle w:val="HHeadingfigures"/>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ED1ACE"/>
    <w:multiLevelType w:val="hybridMultilevel"/>
    <w:tmpl w:val="CD6645C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35820841"/>
    <w:multiLevelType w:val="hybridMultilevel"/>
    <w:tmpl w:val="57B299EE"/>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BBC6932"/>
    <w:multiLevelType w:val="hybridMultilevel"/>
    <w:tmpl w:val="A32A14BE"/>
    <w:lvl w:ilvl="0" w:tplc="58228422">
      <w:start w:val="1"/>
      <w:numFmt w:val="bullet"/>
      <w:pStyle w:val="Hlistbullet"/>
      <w:lvlText w:val=""/>
      <w:lvlJc w:val="left"/>
      <w:pPr>
        <w:ind w:left="644"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3A72027"/>
    <w:multiLevelType w:val="hybridMultilevel"/>
    <w:tmpl w:val="9E9AF76C"/>
    <w:lvl w:ilvl="0" w:tplc="296C672C">
      <w:start w:val="1"/>
      <w:numFmt w:val="decimal"/>
      <w:pStyle w:val="HHeadingtables"/>
      <w:lvlText w:val="%1 lentelė."/>
      <w:lvlJc w:val="left"/>
      <w:pPr>
        <w:ind w:left="360" w:hanging="360"/>
      </w:pPr>
      <w:rPr>
        <w:rFonts w:ascii="Arial" w:hAnsi="Arial" w:cs="Times New Roman" w:hint="default"/>
        <w:b/>
        <w:bCs w:val="0"/>
        <w:i w:val="0"/>
        <w:iCs w:val="0"/>
        <w:caps w:val="0"/>
        <w:smallCaps w:val="0"/>
        <w:strike w:val="0"/>
        <w:dstrike w:val="0"/>
        <w:noProof w:val="0"/>
        <w:vanish w:val="0"/>
        <w:color w:val="6F6F6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8"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3"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9325D"/>
    <w:multiLevelType w:val="hybridMultilevel"/>
    <w:tmpl w:val="3F7CF02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54A9135C"/>
    <w:multiLevelType w:val="hybridMultilevel"/>
    <w:tmpl w:val="FC12F41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4BD0BEC"/>
    <w:multiLevelType w:val="singleLevel"/>
    <w:tmpl w:val="72D6F376"/>
    <w:lvl w:ilvl="0">
      <w:numFmt w:val="decimal"/>
      <w:lvlText w:val=""/>
      <w:lvlJc w:val="left"/>
    </w:lvl>
  </w:abstractNum>
  <w:abstractNum w:abstractNumId="81"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0E03BF"/>
    <w:multiLevelType w:val="hybridMultilevel"/>
    <w:tmpl w:val="D428C23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6"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7"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8"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7"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2"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3"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AF80D1A"/>
    <w:multiLevelType w:val="hybridMultilevel"/>
    <w:tmpl w:val="C306338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95D33D3"/>
    <w:multiLevelType w:val="multilevel"/>
    <w:tmpl w:val="4C5A8196"/>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6"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7"/>
  </w:num>
  <w:num w:numId="3">
    <w:abstractNumId w:val="70"/>
  </w:num>
  <w:num w:numId="4">
    <w:abstractNumId w:val="36"/>
  </w:num>
  <w:num w:numId="5">
    <w:abstractNumId w:val="119"/>
  </w:num>
  <w:num w:numId="6">
    <w:abstractNumId w:val="115"/>
  </w:num>
  <w:num w:numId="7">
    <w:abstractNumId w:val="64"/>
  </w:num>
  <w:num w:numId="8">
    <w:abstractNumId w:val="45"/>
    <w:lvlOverride w:ilvl="0">
      <w:lvl w:ilvl="0" w:tplc="222EA85A">
        <w:start w:val="1"/>
        <w:numFmt w:val="decimal"/>
        <w:pStyle w:val="HHeadingfigures"/>
        <w:lvlText w:val=" %1 diagrama."/>
        <w:lvlJc w:val="left"/>
        <w:pPr>
          <w:ind w:left="964" w:hanging="360"/>
        </w:pPr>
        <w:rPr>
          <w:rFonts w:ascii="Arial" w:hAnsi="Arial" w:hint="default"/>
          <w:b/>
          <w:bCs w:val="0"/>
          <w:i w:val="0"/>
          <w:iCs w:val="0"/>
          <w:caps w:val="0"/>
          <w:strike w:val="0"/>
          <w:dstrike w:val="0"/>
          <w:outline w:val="0"/>
          <w:shadow w:val="0"/>
          <w:emboss w:val="0"/>
          <w:imprint w:val="0"/>
          <w:vanish w:val="0"/>
          <w:color w:val="373737"/>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9">
    <w:abstractNumId w:val="10"/>
  </w:num>
  <w:num w:numId="10">
    <w:abstractNumId w:val="0"/>
  </w:num>
  <w:num w:numId="11">
    <w:abstractNumId w:val="29"/>
  </w:num>
  <w:num w:numId="12">
    <w:abstractNumId w:val="74"/>
  </w:num>
  <w:num w:numId="13">
    <w:abstractNumId w:val="37"/>
  </w:num>
  <w:num w:numId="14">
    <w:abstractNumId w:val="41"/>
  </w:num>
  <w:num w:numId="15">
    <w:abstractNumId w:val="38"/>
  </w:num>
  <w:num w:numId="16">
    <w:abstractNumId w:val="67"/>
  </w:num>
  <w:num w:numId="17">
    <w:abstractNumId w:val="55"/>
  </w:num>
  <w:num w:numId="18">
    <w:abstractNumId w:val="98"/>
  </w:num>
  <w:num w:numId="19">
    <w:abstractNumId w:val="106"/>
  </w:num>
  <w:num w:numId="20">
    <w:abstractNumId w:val="22"/>
  </w:num>
  <w:num w:numId="21">
    <w:abstractNumId w:val="24"/>
  </w:num>
  <w:num w:numId="22">
    <w:abstractNumId w:val="97"/>
  </w:num>
  <w:num w:numId="23">
    <w:abstractNumId w:val="69"/>
  </w:num>
  <w:num w:numId="24">
    <w:abstractNumId w:val="39"/>
  </w:num>
  <w:num w:numId="25">
    <w:abstractNumId w:val="42"/>
  </w:num>
  <w:num w:numId="26">
    <w:abstractNumId w:val="62"/>
  </w:num>
  <w:num w:numId="27">
    <w:abstractNumId w:val="14"/>
  </w:num>
  <w:num w:numId="28">
    <w:abstractNumId w:val="50"/>
  </w:num>
  <w:num w:numId="29">
    <w:abstractNumId w:val="118"/>
  </w:num>
  <w:num w:numId="30">
    <w:abstractNumId w:val="18"/>
  </w:num>
  <w:num w:numId="31">
    <w:abstractNumId w:val="80"/>
  </w:num>
  <w:num w:numId="32">
    <w:abstractNumId w:val="72"/>
  </w:num>
  <w:num w:numId="33">
    <w:abstractNumId w:val="51"/>
  </w:num>
  <w:num w:numId="34">
    <w:abstractNumId w:val="43"/>
  </w:num>
  <w:num w:numId="35">
    <w:abstractNumId w:val="92"/>
  </w:num>
  <w:num w:numId="36">
    <w:abstractNumId w:val="26"/>
  </w:num>
  <w:num w:numId="37">
    <w:abstractNumId w:val="102"/>
  </w:num>
  <w:num w:numId="38">
    <w:abstractNumId w:val="96"/>
  </w:num>
  <w:num w:numId="39">
    <w:abstractNumId w:val="85"/>
  </w:num>
  <w:num w:numId="40">
    <w:abstractNumId w:val="93"/>
  </w:num>
  <w:num w:numId="41">
    <w:abstractNumId w:val="52"/>
  </w:num>
  <w:num w:numId="42">
    <w:abstractNumId w:val="101"/>
  </w:num>
  <w:num w:numId="43">
    <w:abstractNumId w:val="110"/>
  </w:num>
  <w:num w:numId="44">
    <w:abstractNumId w:val="56"/>
  </w:num>
  <w:num w:numId="45">
    <w:abstractNumId w:val="32"/>
  </w:num>
  <w:num w:numId="46">
    <w:abstractNumId w:val="71"/>
  </w:num>
  <w:num w:numId="47">
    <w:abstractNumId w:val="31"/>
  </w:num>
  <w:num w:numId="48">
    <w:abstractNumId w:val="87"/>
  </w:num>
  <w:num w:numId="49">
    <w:abstractNumId w:val="66"/>
  </w:num>
  <w:num w:numId="50">
    <w:abstractNumId w:val="109"/>
  </w:num>
  <w:num w:numId="51">
    <w:abstractNumId w:val="28"/>
  </w:num>
  <w:num w:numId="52">
    <w:abstractNumId w:val="17"/>
  </w:num>
  <w:num w:numId="53">
    <w:abstractNumId w:val="54"/>
  </w:num>
  <w:num w:numId="54">
    <w:abstractNumId w:val="104"/>
  </w:num>
  <w:num w:numId="55">
    <w:abstractNumId w:val="84"/>
  </w:num>
  <w:num w:numId="56">
    <w:abstractNumId w:val="47"/>
  </w:num>
  <w:num w:numId="57">
    <w:abstractNumId w:val="78"/>
  </w:num>
  <w:num w:numId="58">
    <w:abstractNumId w:val="27"/>
  </w:num>
  <w:num w:numId="59">
    <w:abstractNumId w:val="99"/>
  </w:num>
  <w:num w:numId="60">
    <w:abstractNumId w:val="23"/>
  </w:num>
  <w:num w:numId="61">
    <w:abstractNumId w:val="77"/>
  </w:num>
  <w:num w:numId="62">
    <w:abstractNumId w:val="79"/>
  </w:num>
  <w:num w:numId="63">
    <w:abstractNumId w:val="88"/>
  </w:num>
  <w:num w:numId="64">
    <w:abstractNumId w:val="46"/>
  </w:num>
  <w:num w:numId="65">
    <w:abstractNumId w:val="35"/>
  </w:num>
  <w:num w:numId="66">
    <w:abstractNumId w:val="117"/>
  </w:num>
  <w:num w:numId="67">
    <w:abstractNumId w:val="116"/>
  </w:num>
  <w:num w:numId="68">
    <w:abstractNumId w:val="107"/>
  </w:num>
  <w:num w:numId="69">
    <w:abstractNumId w:val="65"/>
  </w:num>
  <w:num w:numId="70">
    <w:abstractNumId w:val="112"/>
  </w:num>
  <w:num w:numId="71">
    <w:abstractNumId w:val="33"/>
  </w:num>
  <w:num w:numId="72">
    <w:abstractNumId w:val="94"/>
  </w:num>
  <w:num w:numId="73">
    <w:abstractNumId w:val="68"/>
  </w:num>
  <w:num w:numId="74">
    <w:abstractNumId w:val="25"/>
  </w:num>
  <w:num w:numId="75">
    <w:abstractNumId w:val="111"/>
  </w:num>
  <w:num w:numId="76">
    <w:abstractNumId w:val="60"/>
  </w:num>
  <w:num w:numId="77">
    <w:abstractNumId w:val="83"/>
  </w:num>
  <w:num w:numId="78">
    <w:abstractNumId w:val="89"/>
  </w:num>
  <w:num w:numId="79">
    <w:abstractNumId w:val="105"/>
  </w:num>
  <w:num w:numId="80">
    <w:abstractNumId w:val="76"/>
  </w:num>
  <w:num w:numId="81">
    <w:abstractNumId w:val="100"/>
  </w:num>
  <w:num w:numId="82">
    <w:abstractNumId w:val="40"/>
  </w:num>
  <w:num w:numId="83">
    <w:abstractNumId w:val="90"/>
  </w:num>
  <w:num w:numId="84">
    <w:abstractNumId w:val="4"/>
  </w:num>
  <w:num w:numId="85">
    <w:abstractNumId w:val="91"/>
  </w:num>
  <w:num w:numId="86">
    <w:abstractNumId w:val="48"/>
  </w:num>
  <w:num w:numId="87">
    <w:abstractNumId w:val="59"/>
  </w:num>
  <w:num w:numId="88">
    <w:abstractNumId w:val="103"/>
  </w:num>
  <w:num w:numId="89">
    <w:abstractNumId w:val="13"/>
  </w:num>
  <w:num w:numId="90">
    <w:abstractNumId w:val="114"/>
  </w:num>
  <w:num w:numId="91">
    <w:abstractNumId w:val="9"/>
  </w:num>
  <w:num w:numId="92">
    <w:abstractNumId w:val="49"/>
  </w:num>
  <w:num w:numId="93">
    <w:abstractNumId w:val="16"/>
  </w:num>
  <w:num w:numId="94">
    <w:abstractNumId w:val="82"/>
  </w:num>
  <w:num w:numId="95">
    <w:abstractNumId w:val="113"/>
  </w:num>
  <w:num w:numId="96">
    <w:abstractNumId w:val="11"/>
  </w:num>
  <w:num w:numId="97">
    <w:abstractNumId w:val="73"/>
  </w:num>
  <w:num w:numId="98">
    <w:abstractNumId w:val="81"/>
  </w:num>
  <w:num w:numId="99">
    <w:abstractNumId w:val="75"/>
  </w:num>
  <w:num w:numId="100">
    <w:abstractNumId w:val="15"/>
  </w:num>
  <w:num w:numId="101">
    <w:abstractNumId w:val="53"/>
  </w:num>
  <w:num w:numId="102">
    <w:abstractNumId w:val="19"/>
  </w:num>
  <w:num w:numId="103">
    <w:abstractNumId w:val="95"/>
  </w:num>
  <w:num w:numId="104">
    <w:abstractNumId w:val="108"/>
  </w:num>
  <w:num w:numId="105">
    <w:abstractNumId w:val="34"/>
  </w:num>
  <w:num w:numId="106">
    <w:abstractNumId w:val="44"/>
  </w:num>
  <w:num w:numId="107">
    <w:abstractNumId w:val="20"/>
  </w:num>
  <w:num w:numId="108">
    <w:abstractNumId w:val="3"/>
  </w:num>
  <w:num w:numId="109">
    <w:abstractNumId w:val="45"/>
  </w:num>
  <w:num w:numId="110">
    <w:abstractNumId w:val="7"/>
  </w:num>
  <w:num w:numId="111">
    <w:abstractNumId w:val="5"/>
  </w:num>
  <w:num w:numId="112">
    <w:abstractNumId w:val="6"/>
  </w:num>
  <w:num w:numId="113">
    <w:abstractNumId w:val="12"/>
  </w:num>
  <w:num w:numId="114">
    <w:abstractNumId w:val="1"/>
  </w:num>
  <w:num w:numId="115">
    <w:abstractNumId w:val="30"/>
  </w:num>
  <w:num w:numId="116">
    <w:abstractNumId w:val="61"/>
  </w:num>
  <w:num w:numId="117">
    <w:abstractNumId w:val="8"/>
  </w:num>
  <w:num w:numId="118">
    <w:abstractNumId w:val="63"/>
  </w:num>
  <w:num w:numId="119">
    <w:abstractNumId w:val="2"/>
  </w:num>
  <w:num w:numId="120">
    <w:abstractNumId w:val="86"/>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8"/>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E05D08"/>
    <w:rsid w:val="000026C6"/>
    <w:rsid w:val="0001540A"/>
    <w:rsid w:val="00015AA7"/>
    <w:rsid w:val="00021844"/>
    <w:rsid w:val="00021A55"/>
    <w:rsid w:val="00022CA7"/>
    <w:rsid w:val="00027AF3"/>
    <w:rsid w:val="000324A5"/>
    <w:rsid w:val="00036912"/>
    <w:rsid w:val="00037CA6"/>
    <w:rsid w:val="000520DE"/>
    <w:rsid w:val="00053109"/>
    <w:rsid w:val="00055039"/>
    <w:rsid w:val="000828C6"/>
    <w:rsid w:val="000A1399"/>
    <w:rsid w:val="000A14B3"/>
    <w:rsid w:val="000A250D"/>
    <w:rsid w:val="000A307F"/>
    <w:rsid w:val="000A43B7"/>
    <w:rsid w:val="000A718F"/>
    <w:rsid w:val="000B1654"/>
    <w:rsid w:val="000B6304"/>
    <w:rsid w:val="000C4A16"/>
    <w:rsid w:val="000D7245"/>
    <w:rsid w:val="000E0645"/>
    <w:rsid w:val="000E0FE4"/>
    <w:rsid w:val="000E1023"/>
    <w:rsid w:val="000E1D4B"/>
    <w:rsid w:val="000E3675"/>
    <w:rsid w:val="000E5544"/>
    <w:rsid w:val="000F0497"/>
    <w:rsid w:val="000F0841"/>
    <w:rsid w:val="000F23A8"/>
    <w:rsid w:val="00110179"/>
    <w:rsid w:val="00111ADE"/>
    <w:rsid w:val="001120E4"/>
    <w:rsid w:val="001126AE"/>
    <w:rsid w:val="00116EF8"/>
    <w:rsid w:val="001244F9"/>
    <w:rsid w:val="00125266"/>
    <w:rsid w:val="001275FF"/>
    <w:rsid w:val="00127F70"/>
    <w:rsid w:val="00130EA0"/>
    <w:rsid w:val="001319A0"/>
    <w:rsid w:val="001327F5"/>
    <w:rsid w:val="0013305F"/>
    <w:rsid w:val="0013321C"/>
    <w:rsid w:val="0013661C"/>
    <w:rsid w:val="001427A5"/>
    <w:rsid w:val="00142A64"/>
    <w:rsid w:val="00151D94"/>
    <w:rsid w:val="001524F5"/>
    <w:rsid w:val="00155E3F"/>
    <w:rsid w:val="00161678"/>
    <w:rsid w:val="00161D7E"/>
    <w:rsid w:val="00164489"/>
    <w:rsid w:val="00165BF1"/>
    <w:rsid w:val="001744D0"/>
    <w:rsid w:val="00177C4F"/>
    <w:rsid w:val="00183E9B"/>
    <w:rsid w:val="001865CA"/>
    <w:rsid w:val="0018705F"/>
    <w:rsid w:val="001954EB"/>
    <w:rsid w:val="001A12C3"/>
    <w:rsid w:val="001A184E"/>
    <w:rsid w:val="001A2952"/>
    <w:rsid w:val="001A2A93"/>
    <w:rsid w:val="001A2DEC"/>
    <w:rsid w:val="001A6C7C"/>
    <w:rsid w:val="001A7B15"/>
    <w:rsid w:val="001B129C"/>
    <w:rsid w:val="001B58A1"/>
    <w:rsid w:val="001C039D"/>
    <w:rsid w:val="001C03A3"/>
    <w:rsid w:val="001E1B68"/>
    <w:rsid w:val="001E4112"/>
    <w:rsid w:val="001E4AE1"/>
    <w:rsid w:val="001F6140"/>
    <w:rsid w:val="001F626E"/>
    <w:rsid w:val="001F67E3"/>
    <w:rsid w:val="001F6F07"/>
    <w:rsid w:val="001F7296"/>
    <w:rsid w:val="0020060A"/>
    <w:rsid w:val="0021105B"/>
    <w:rsid w:val="002126B4"/>
    <w:rsid w:val="002271D9"/>
    <w:rsid w:val="00230C31"/>
    <w:rsid w:val="00232CF1"/>
    <w:rsid w:val="00235D46"/>
    <w:rsid w:val="00237EDF"/>
    <w:rsid w:val="002403DE"/>
    <w:rsid w:val="00241663"/>
    <w:rsid w:val="00253803"/>
    <w:rsid w:val="0025413B"/>
    <w:rsid w:val="00260B97"/>
    <w:rsid w:val="0028039D"/>
    <w:rsid w:val="002803D8"/>
    <w:rsid w:val="00282948"/>
    <w:rsid w:val="00283811"/>
    <w:rsid w:val="002964ED"/>
    <w:rsid w:val="002B4923"/>
    <w:rsid w:val="002B590B"/>
    <w:rsid w:val="002C2419"/>
    <w:rsid w:val="002C2C15"/>
    <w:rsid w:val="002C3A1C"/>
    <w:rsid w:val="002C4556"/>
    <w:rsid w:val="002D1C8F"/>
    <w:rsid w:val="002D399D"/>
    <w:rsid w:val="002E1723"/>
    <w:rsid w:val="002F0ABF"/>
    <w:rsid w:val="002F11D9"/>
    <w:rsid w:val="002F520A"/>
    <w:rsid w:val="00300AA0"/>
    <w:rsid w:val="0030377F"/>
    <w:rsid w:val="00304961"/>
    <w:rsid w:val="00310F20"/>
    <w:rsid w:val="00310FA9"/>
    <w:rsid w:val="00311624"/>
    <w:rsid w:val="00320AA0"/>
    <w:rsid w:val="00320B7D"/>
    <w:rsid w:val="003224A2"/>
    <w:rsid w:val="00324C42"/>
    <w:rsid w:val="00330136"/>
    <w:rsid w:val="00331223"/>
    <w:rsid w:val="003373B8"/>
    <w:rsid w:val="0034028A"/>
    <w:rsid w:val="003411D5"/>
    <w:rsid w:val="0034160A"/>
    <w:rsid w:val="00347A2C"/>
    <w:rsid w:val="00350B30"/>
    <w:rsid w:val="00356CC8"/>
    <w:rsid w:val="00364255"/>
    <w:rsid w:val="003737FE"/>
    <w:rsid w:val="00374290"/>
    <w:rsid w:val="003766ED"/>
    <w:rsid w:val="00382BE4"/>
    <w:rsid w:val="00385368"/>
    <w:rsid w:val="00387226"/>
    <w:rsid w:val="003A1316"/>
    <w:rsid w:val="003A5A53"/>
    <w:rsid w:val="003B44A9"/>
    <w:rsid w:val="003B7EB7"/>
    <w:rsid w:val="003C170B"/>
    <w:rsid w:val="003D242C"/>
    <w:rsid w:val="003D5EED"/>
    <w:rsid w:val="003E2CE0"/>
    <w:rsid w:val="003E55F2"/>
    <w:rsid w:val="003F416E"/>
    <w:rsid w:val="003F6478"/>
    <w:rsid w:val="003F6AF1"/>
    <w:rsid w:val="00400064"/>
    <w:rsid w:val="00400614"/>
    <w:rsid w:val="00405B0B"/>
    <w:rsid w:val="00406C98"/>
    <w:rsid w:val="00412D26"/>
    <w:rsid w:val="004202DF"/>
    <w:rsid w:val="0042403E"/>
    <w:rsid w:val="00426618"/>
    <w:rsid w:val="00431FF5"/>
    <w:rsid w:val="00447906"/>
    <w:rsid w:val="004508D0"/>
    <w:rsid w:val="00451BFA"/>
    <w:rsid w:val="00452B13"/>
    <w:rsid w:val="00471221"/>
    <w:rsid w:val="00472162"/>
    <w:rsid w:val="00485923"/>
    <w:rsid w:val="0048755C"/>
    <w:rsid w:val="00490F5A"/>
    <w:rsid w:val="00497AC7"/>
    <w:rsid w:val="004A2B05"/>
    <w:rsid w:val="004B1986"/>
    <w:rsid w:val="004B5B60"/>
    <w:rsid w:val="004C17C9"/>
    <w:rsid w:val="004C2BB4"/>
    <w:rsid w:val="004C32F7"/>
    <w:rsid w:val="004C7474"/>
    <w:rsid w:val="004D352C"/>
    <w:rsid w:val="004E0EC9"/>
    <w:rsid w:val="004E272E"/>
    <w:rsid w:val="004E38AA"/>
    <w:rsid w:val="004E3DD3"/>
    <w:rsid w:val="004F414C"/>
    <w:rsid w:val="00500604"/>
    <w:rsid w:val="00500D52"/>
    <w:rsid w:val="00501827"/>
    <w:rsid w:val="0050721E"/>
    <w:rsid w:val="0051700B"/>
    <w:rsid w:val="00530DA6"/>
    <w:rsid w:val="00533971"/>
    <w:rsid w:val="00535A54"/>
    <w:rsid w:val="005411F9"/>
    <w:rsid w:val="00541A7D"/>
    <w:rsid w:val="00544F2D"/>
    <w:rsid w:val="00545C6C"/>
    <w:rsid w:val="00547012"/>
    <w:rsid w:val="005474FA"/>
    <w:rsid w:val="005520BA"/>
    <w:rsid w:val="00554723"/>
    <w:rsid w:val="00556FC4"/>
    <w:rsid w:val="00560E46"/>
    <w:rsid w:val="005626E0"/>
    <w:rsid w:val="005671F4"/>
    <w:rsid w:val="00570507"/>
    <w:rsid w:val="00576A73"/>
    <w:rsid w:val="00580A51"/>
    <w:rsid w:val="00582F60"/>
    <w:rsid w:val="00583AC8"/>
    <w:rsid w:val="00591CB3"/>
    <w:rsid w:val="0059228D"/>
    <w:rsid w:val="0059311F"/>
    <w:rsid w:val="00595D16"/>
    <w:rsid w:val="00596A5B"/>
    <w:rsid w:val="00597107"/>
    <w:rsid w:val="005A0605"/>
    <w:rsid w:val="005A0DA2"/>
    <w:rsid w:val="005A5457"/>
    <w:rsid w:val="005B3685"/>
    <w:rsid w:val="005B740D"/>
    <w:rsid w:val="005D0347"/>
    <w:rsid w:val="005E1D93"/>
    <w:rsid w:val="005F09BC"/>
    <w:rsid w:val="00600BE3"/>
    <w:rsid w:val="0060261A"/>
    <w:rsid w:val="00604B7A"/>
    <w:rsid w:val="0061055B"/>
    <w:rsid w:val="00612D54"/>
    <w:rsid w:val="00615785"/>
    <w:rsid w:val="00617D7B"/>
    <w:rsid w:val="00623618"/>
    <w:rsid w:val="006239C7"/>
    <w:rsid w:val="00624393"/>
    <w:rsid w:val="00626C0C"/>
    <w:rsid w:val="006418CA"/>
    <w:rsid w:val="00642394"/>
    <w:rsid w:val="00643DF6"/>
    <w:rsid w:val="00644398"/>
    <w:rsid w:val="006450B6"/>
    <w:rsid w:val="0064682B"/>
    <w:rsid w:val="00647766"/>
    <w:rsid w:val="006501D4"/>
    <w:rsid w:val="00651F1C"/>
    <w:rsid w:val="00653B72"/>
    <w:rsid w:val="00654F10"/>
    <w:rsid w:val="0066160E"/>
    <w:rsid w:val="00665417"/>
    <w:rsid w:val="00673E3D"/>
    <w:rsid w:val="00674A4B"/>
    <w:rsid w:val="00676750"/>
    <w:rsid w:val="00676B41"/>
    <w:rsid w:val="006803A8"/>
    <w:rsid w:val="00682C8C"/>
    <w:rsid w:val="006871D2"/>
    <w:rsid w:val="00687D39"/>
    <w:rsid w:val="00690E70"/>
    <w:rsid w:val="00695A11"/>
    <w:rsid w:val="00697455"/>
    <w:rsid w:val="006A092E"/>
    <w:rsid w:val="006A32EF"/>
    <w:rsid w:val="006A35B5"/>
    <w:rsid w:val="006A4AEC"/>
    <w:rsid w:val="006B72BF"/>
    <w:rsid w:val="006C085A"/>
    <w:rsid w:val="006C63CD"/>
    <w:rsid w:val="006D0B02"/>
    <w:rsid w:val="006D209F"/>
    <w:rsid w:val="006E0E48"/>
    <w:rsid w:val="006E2A31"/>
    <w:rsid w:val="006E592C"/>
    <w:rsid w:val="006E597D"/>
    <w:rsid w:val="006F0B79"/>
    <w:rsid w:val="006F1601"/>
    <w:rsid w:val="006F3FC1"/>
    <w:rsid w:val="006F63C5"/>
    <w:rsid w:val="00703AD9"/>
    <w:rsid w:val="00710753"/>
    <w:rsid w:val="0071141A"/>
    <w:rsid w:val="00712357"/>
    <w:rsid w:val="00717885"/>
    <w:rsid w:val="00725801"/>
    <w:rsid w:val="00734B11"/>
    <w:rsid w:val="007372CD"/>
    <w:rsid w:val="007441E3"/>
    <w:rsid w:val="00757688"/>
    <w:rsid w:val="007603A8"/>
    <w:rsid w:val="00764D33"/>
    <w:rsid w:val="00767A42"/>
    <w:rsid w:val="00767F5C"/>
    <w:rsid w:val="007707EC"/>
    <w:rsid w:val="0078182B"/>
    <w:rsid w:val="00782C87"/>
    <w:rsid w:val="0079071D"/>
    <w:rsid w:val="007A450E"/>
    <w:rsid w:val="007B0E8B"/>
    <w:rsid w:val="007B323F"/>
    <w:rsid w:val="007B4A6D"/>
    <w:rsid w:val="007B4D84"/>
    <w:rsid w:val="007C2C6A"/>
    <w:rsid w:val="007C69CD"/>
    <w:rsid w:val="007C6E17"/>
    <w:rsid w:val="007C7A64"/>
    <w:rsid w:val="007D2A0C"/>
    <w:rsid w:val="007D301C"/>
    <w:rsid w:val="007D62E6"/>
    <w:rsid w:val="007E16DD"/>
    <w:rsid w:val="007E63EF"/>
    <w:rsid w:val="007E7353"/>
    <w:rsid w:val="007F0B5B"/>
    <w:rsid w:val="007F4DD3"/>
    <w:rsid w:val="007F77C1"/>
    <w:rsid w:val="00803501"/>
    <w:rsid w:val="00804314"/>
    <w:rsid w:val="00804433"/>
    <w:rsid w:val="00805EDF"/>
    <w:rsid w:val="00807A63"/>
    <w:rsid w:val="0081188E"/>
    <w:rsid w:val="00812586"/>
    <w:rsid w:val="00814B95"/>
    <w:rsid w:val="008164E6"/>
    <w:rsid w:val="0081791E"/>
    <w:rsid w:val="00826484"/>
    <w:rsid w:val="008431B9"/>
    <w:rsid w:val="008518F2"/>
    <w:rsid w:val="0085356C"/>
    <w:rsid w:val="00857D5C"/>
    <w:rsid w:val="00863DB0"/>
    <w:rsid w:val="00864D7B"/>
    <w:rsid w:val="00866B4D"/>
    <w:rsid w:val="00876579"/>
    <w:rsid w:val="0088190F"/>
    <w:rsid w:val="008873D9"/>
    <w:rsid w:val="00890C92"/>
    <w:rsid w:val="00891109"/>
    <w:rsid w:val="00893616"/>
    <w:rsid w:val="00897804"/>
    <w:rsid w:val="008A0CFF"/>
    <w:rsid w:val="008A260B"/>
    <w:rsid w:val="008B008F"/>
    <w:rsid w:val="008B1A09"/>
    <w:rsid w:val="008C0B17"/>
    <w:rsid w:val="008C3EAC"/>
    <w:rsid w:val="008D05D4"/>
    <w:rsid w:val="008D178A"/>
    <w:rsid w:val="008D63A8"/>
    <w:rsid w:val="008E4AA6"/>
    <w:rsid w:val="008F1F04"/>
    <w:rsid w:val="0090245E"/>
    <w:rsid w:val="009044EE"/>
    <w:rsid w:val="009106EA"/>
    <w:rsid w:val="00912430"/>
    <w:rsid w:val="00916AB5"/>
    <w:rsid w:val="00916BE2"/>
    <w:rsid w:val="00920CB9"/>
    <w:rsid w:val="009414CC"/>
    <w:rsid w:val="00942585"/>
    <w:rsid w:val="00946806"/>
    <w:rsid w:val="00946DD8"/>
    <w:rsid w:val="00951524"/>
    <w:rsid w:val="0095292E"/>
    <w:rsid w:val="0095336D"/>
    <w:rsid w:val="009567F6"/>
    <w:rsid w:val="00963A81"/>
    <w:rsid w:val="009648DB"/>
    <w:rsid w:val="00965042"/>
    <w:rsid w:val="00966DF2"/>
    <w:rsid w:val="00967CFD"/>
    <w:rsid w:val="009722AA"/>
    <w:rsid w:val="009837FF"/>
    <w:rsid w:val="00987055"/>
    <w:rsid w:val="00990BF3"/>
    <w:rsid w:val="0099418C"/>
    <w:rsid w:val="009968A7"/>
    <w:rsid w:val="00997571"/>
    <w:rsid w:val="009A02D3"/>
    <w:rsid w:val="009A27E2"/>
    <w:rsid w:val="009A2936"/>
    <w:rsid w:val="009A2DAD"/>
    <w:rsid w:val="009A64EA"/>
    <w:rsid w:val="009B603C"/>
    <w:rsid w:val="009C2EC2"/>
    <w:rsid w:val="009C70F8"/>
    <w:rsid w:val="009C734C"/>
    <w:rsid w:val="009C743B"/>
    <w:rsid w:val="009D0C0A"/>
    <w:rsid w:val="009D3A3F"/>
    <w:rsid w:val="009D479A"/>
    <w:rsid w:val="009D56E6"/>
    <w:rsid w:val="009F145D"/>
    <w:rsid w:val="009F1589"/>
    <w:rsid w:val="009F5AB5"/>
    <w:rsid w:val="00A008D3"/>
    <w:rsid w:val="00A04209"/>
    <w:rsid w:val="00A11EFD"/>
    <w:rsid w:val="00A17DD0"/>
    <w:rsid w:val="00A209BF"/>
    <w:rsid w:val="00A2532A"/>
    <w:rsid w:val="00A304B0"/>
    <w:rsid w:val="00A31D39"/>
    <w:rsid w:val="00A35C6D"/>
    <w:rsid w:val="00A3677F"/>
    <w:rsid w:val="00A43434"/>
    <w:rsid w:val="00A43EFD"/>
    <w:rsid w:val="00A45935"/>
    <w:rsid w:val="00A4792C"/>
    <w:rsid w:val="00A51882"/>
    <w:rsid w:val="00A60495"/>
    <w:rsid w:val="00A610F6"/>
    <w:rsid w:val="00A629C8"/>
    <w:rsid w:val="00A66638"/>
    <w:rsid w:val="00A66F3C"/>
    <w:rsid w:val="00A6785E"/>
    <w:rsid w:val="00A71A31"/>
    <w:rsid w:val="00A77E99"/>
    <w:rsid w:val="00A807A5"/>
    <w:rsid w:val="00A823A8"/>
    <w:rsid w:val="00A847F8"/>
    <w:rsid w:val="00A90171"/>
    <w:rsid w:val="00A92E91"/>
    <w:rsid w:val="00A961A7"/>
    <w:rsid w:val="00A963F4"/>
    <w:rsid w:val="00AA5817"/>
    <w:rsid w:val="00AA7F79"/>
    <w:rsid w:val="00AB16BB"/>
    <w:rsid w:val="00AB45F8"/>
    <w:rsid w:val="00AB6603"/>
    <w:rsid w:val="00AB74DA"/>
    <w:rsid w:val="00AC1B3E"/>
    <w:rsid w:val="00AC664B"/>
    <w:rsid w:val="00AC75B9"/>
    <w:rsid w:val="00AC7DDF"/>
    <w:rsid w:val="00AD39B9"/>
    <w:rsid w:val="00AD3CD7"/>
    <w:rsid w:val="00AD72DD"/>
    <w:rsid w:val="00AE3E85"/>
    <w:rsid w:val="00AE68CA"/>
    <w:rsid w:val="00AE704F"/>
    <w:rsid w:val="00AF420C"/>
    <w:rsid w:val="00B05B45"/>
    <w:rsid w:val="00B10B3C"/>
    <w:rsid w:val="00B24679"/>
    <w:rsid w:val="00B311E6"/>
    <w:rsid w:val="00B35581"/>
    <w:rsid w:val="00B36B77"/>
    <w:rsid w:val="00B37E2A"/>
    <w:rsid w:val="00B40DBF"/>
    <w:rsid w:val="00B41573"/>
    <w:rsid w:val="00B421B9"/>
    <w:rsid w:val="00B51B3B"/>
    <w:rsid w:val="00B5530E"/>
    <w:rsid w:val="00B63DE8"/>
    <w:rsid w:val="00B64A1B"/>
    <w:rsid w:val="00B64C7D"/>
    <w:rsid w:val="00B737D4"/>
    <w:rsid w:val="00B76BA4"/>
    <w:rsid w:val="00B80FAE"/>
    <w:rsid w:val="00B91D56"/>
    <w:rsid w:val="00B97A61"/>
    <w:rsid w:val="00BA248B"/>
    <w:rsid w:val="00BA2C5D"/>
    <w:rsid w:val="00BA450C"/>
    <w:rsid w:val="00BA4FCD"/>
    <w:rsid w:val="00BA5122"/>
    <w:rsid w:val="00BA6A33"/>
    <w:rsid w:val="00BB0A98"/>
    <w:rsid w:val="00BB551B"/>
    <w:rsid w:val="00BC211C"/>
    <w:rsid w:val="00BC2432"/>
    <w:rsid w:val="00BC406C"/>
    <w:rsid w:val="00BC471E"/>
    <w:rsid w:val="00BC5B1D"/>
    <w:rsid w:val="00BD475B"/>
    <w:rsid w:val="00BD7227"/>
    <w:rsid w:val="00BE0462"/>
    <w:rsid w:val="00BE1F31"/>
    <w:rsid w:val="00BE70EE"/>
    <w:rsid w:val="00C013AD"/>
    <w:rsid w:val="00C02FCB"/>
    <w:rsid w:val="00C046E8"/>
    <w:rsid w:val="00C16E3D"/>
    <w:rsid w:val="00C202EC"/>
    <w:rsid w:val="00C20C97"/>
    <w:rsid w:val="00C3092C"/>
    <w:rsid w:val="00C31DF0"/>
    <w:rsid w:val="00C3302E"/>
    <w:rsid w:val="00C3334D"/>
    <w:rsid w:val="00C35A25"/>
    <w:rsid w:val="00C37C7A"/>
    <w:rsid w:val="00C477ED"/>
    <w:rsid w:val="00C5127D"/>
    <w:rsid w:val="00C51F59"/>
    <w:rsid w:val="00C61277"/>
    <w:rsid w:val="00C621C4"/>
    <w:rsid w:val="00C6361D"/>
    <w:rsid w:val="00C64B64"/>
    <w:rsid w:val="00C655D3"/>
    <w:rsid w:val="00C67E9D"/>
    <w:rsid w:val="00C8095B"/>
    <w:rsid w:val="00C84B5B"/>
    <w:rsid w:val="00C947BA"/>
    <w:rsid w:val="00C94C28"/>
    <w:rsid w:val="00C9522B"/>
    <w:rsid w:val="00C95BD6"/>
    <w:rsid w:val="00CA12E6"/>
    <w:rsid w:val="00CA28E6"/>
    <w:rsid w:val="00CA3A48"/>
    <w:rsid w:val="00CA6EC8"/>
    <w:rsid w:val="00CB3AD0"/>
    <w:rsid w:val="00CB4818"/>
    <w:rsid w:val="00CB68D9"/>
    <w:rsid w:val="00CC53B5"/>
    <w:rsid w:val="00CD3BC8"/>
    <w:rsid w:val="00CE2990"/>
    <w:rsid w:val="00CF37F0"/>
    <w:rsid w:val="00CF4822"/>
    <w:rsid w:val="00CF6D0E"/>
    <w:rsid w:val="00D010F5"/>
    <w:rsid w:val="00D05E3A"/>
    <w:rsid w:val="00D076E7"/>
    <w:rsid w:val="00D10FA6"/>
    <w:rsid w:val="00D13817"/>
    <w:rsid w:val="00D201A2"/>
    <w:rsid w:val="00D32DA8"/>
    <w:rsid w:val="00D32E53"/>
    <w:rsid w:val="00D336B2"/>
    <w:rsid w:val="00D35751"/>
    <w:rsid w:val="00D4053E"/>
    <w:rsid w:val="00D461AB"/>
    <w:rsid w:val="00D50380"/>
    <w:rsid w:val="00D50EF0"/>
    <w:rsid w:val="00D55226"/>
    <w:rsid w:val="00D57D0A"/>
    <w:rsid w:val="00D612DC"/>
    <w:rsid w:val="00D62992"/>
    <w:rsid w:val="00D62ED4"/>
    <w:rsid w:val="00D66182"/>
    <w:rsid w:val="00D66501"/>
    <w:rsid w:val="00D73319"/>
    <w:rsid w:val="00D7340E"/>
    <w:rsid w:val="00D77B96"/>
    <w:rsid w:val="00D815E7"/>
    <w:rsid w:val="00D85FF6"/>
    <w:rsid w:val="00D91213"/>
    <w:rsid w:val="00D91569"/>
    <w:rsid w:val="00D930A2"/>
    <w:rsid w:val="00D96C8F"/>
    <w:rsid w:val="00DA22EB"/>
    <w:rsid w:val="00DB1887"/>
    <w:rsid w:val="00DC1C77"/>
    <w:rsid w:val="00DC20D6"/>
    <w:rsid w:val="00DC2840"/>
    <w:rsid w:val="00DC6C4F"/>
    <w:rsid w:val="00DD247A"/>
    <w:rsid w:val="00DD2637"/>
    <w:rsid w:val="00DD473C"/>
    <w:rsid w:val="00DD4C4C"/>
    <w:rsid w:val="00DE256D"/>
    <w:rsid w:val="00DE2C82"/>
    <w:rsid w:val="00DF68E2"/>
    <w:rsid w:val="00E03826"/>
    <w:rsid w:val="00E05D08"/>
    <w:rsid w:val="00E16522"/>
    <w:rsid w:val="00E22537"/>
    <w:rsid w:val="00E30E27"/>
    <w:rsid w:val="00E33F37"/>
    <w:rsid w:val="00E34FAC"/>
    <w:rsid w:val="00E35525"/>
    <w:rsid w:val="00E36F81"/>
    <w:rsid w:val="00E50DBF"/>
    <w:rsid w:val="00E54013"/>
    <w:rsid w:val="00E540C7"/>
    <w:rsid w:val="00E54929"/>
    <w:rsid w:val="00E634DC"/>
    <w:rsid w:val="00E64309"/>
    <w:rsid w:val="00E71021"/>
    <w:rsid w:val="00E713B8"/>
    <w:rsid w:val="00E72529"/>
    <w:rsid w:val="00E8197A"/>
    <w:rsid w:val="00E849E7"/>
    <w:rsid w:val="00E92FE2"/>
    <w:rsid w:val="00EA0618"/>
    <w:rsid w:val="00EA0974"/>
    <w:rsid w:val="00EA3273"/>
    <w:rsid w:val="00EB77F2"/>
    <w:rsid w:val="00EB7915"/>
    <w:rsid w:val="00EC17B2"/>
    <w:rsid w:val="00EC468B"/>
    <w:rsid w:val="00EC4AF4"/>
    <w:rsid w:val="00EC5172"/>
    <w:rsid w:val="00ED1295"/>
    <w:rsid w:val="00ED1649"/>
    <w:rsid w:val="00ED47C5"/>
    <w:rsid w:val="00EE3543"/>
    <w:rsid w:val="00EF0A96"/>
    <w:rsid w:val="00EF1B0F"/>
    <w:rsid w:val="00EF4540"/>
    <w:rsid w:val="00F01E0F"/>
    <w:rsid w:val="00F0545B"/>
    <w:rsid w:val="00F117CA"/>
    <w:rsid w:val="00F13B45"/>
    <w:rsid w:val="00F200A2"/>
    <w:rsid w:val="00F250EC"/>
    <w:rsid w:val="00F31494"/>
    <w:rsid w:val="00F31AD6"/>
    <w:rsid w:val="00F32874"/>
    <w:rsid w:val="00F37A59"/>
    <w:rsid w:val="00F4055A"/>
    <w:rsid w:val="00F5230D"/>
    <w:rsid w:val="00F60A36"/>
    <w:rsid w:val="00F64797"/>
    <w:rsid w:val="00F66623"/>
    <w:rsid w:val="00F6793F"/>
    <w:rsid w:val="00F73706"/>
    <w:rsid w:val="00F74459"/>
    <w:rsid w:val="00F74623"/>
    <w:rsid w:val="00F74C18"/>
    <w:rsid w:val="00F8743F"/>
    <w:rsid w:val="00F9406A"/>
    <w:rsid w:val="00F94F86"/>
    <w:rsid w:val="00FA12EA"/>
    <w:rsid w:val="00FA6691"/>
    <w:rsid w:val="00FB51EF"/>
    <w:rsid w:val="00FB5B14"/>
    <w:rsid w:val="00FC1408"/>
    <w:rsid w:val="00FC14FF"/>
    <w:rsid w:val="00FC7364"/>
    <w:rsid w:val="00FF02C1"/>
    <w:rsid w:val="00FF15CC"/>
    <w:rsid w:val="00FF4353"/>
    <w:rsid w:val="00FF4D19"/>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9A5B82-D29A-4FD7-ABC2-C66908FAF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jc w:val="both"/>
    </w:pPr>
    <w:rPr>
      <w:rFonts w:ascii="Arial" w:hAnsi="Arial"/>
      <w:color w:val="373737"/>
      <w:sz w:val="20"/>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lang w:eastAsia="de-DE"/>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lang w:eastAsia="de-DE"/>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lang w:eastAsia="de-DE"/>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lang w:eastAsia="de-DE"/>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rFonts w:eastAsia="Times New Roman" w:cs="Times New Roman"/>
      <w:b/>
      <w:bCs/>
      <w:iCs/>
      <w:color w:val="5F5F5F"/>
      <w:sz w:val="18"/>
      <w:szCs w:val="26"/>
      <w:lang w:eastAsia="de-DE"/>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rFonts w:eastAsia="Times New Roman" w:cs="Times New Roman"/>
      <w:b/>
      <w:bCs/>
      <w:color w:val="808080"/>
      <w:sz w:val="16"/>
      <w:lang w:eastAsia="de-DE"/>
    </w:rPr>
  </w:style>
  <w:style w:type="paragraph" w:styleId="Heading7">
    <w:name w:val="heading 7"/>
    <w:basedOn w:val="Normal"/>
    <w:next w:val="Normal"/>
    <w:link w:val="Heading7Char"/>
    <w:rsid w:val="00E05D08"/>
    <w:pPr>
      <w:suppressAutoHyphens/>
      <w:spacing w:before="140" w:after="140" w:line="200" w:lineRule="exact"/>
      <w:outlineLvl w:val="6"/>
    </w:pPr>
    <w:rPr>
      <w:rFonts w:eastAsia="Times New Roman" w:cs="Times New Roman"/>
      <w:b/>
      <w:color w:val="808080"/>
      <w:sz w:val="16"/>
      <w:szCs w:val="24"/>
      <w:lang w:eastAsia="de-DE"/>
    </w:rPr>
  </w:style>
  <w:style w:type="paragraph" w:styleId="Heading8">
    <w:name w:val="heading 8"/>
    <w:basedOn w:val="Normal"/>
    <w:next w:val="Normal"/>
    <w:link w:val="Heading8Char"/>
    <w:rsid w:val="00E05D08"/>
    <w:pPr>
      <w:suppressAutoHyphens/>
      <w:spacing w:before="140" w:after="140" w:line="200" w:lineRule="exact"/>
      <w:outlineLvl w:val="7"/>
    </w:pPr>
    <w:rPr>
      <w:rFonts w:eastAsia="Times New Roman" w:cs="Times New Roman"/>
      <w:b/>
      <w:iCs/>
      <w:color w:val="808080"/>
      <w:sz w:val="16"/>
      <w:szCs w:val="24"/>
      <w:lang w:eastAsia="de-DE"/>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D08"/>
    <w:rPr>
      <w:rFonts w:ascii="Arial" w:eastAsia="Times New Roman" w:hAnsi="Arial" w:cs="Arial"/>
      <w:b/>
      <w:bCs/>
      <w:kern w:val="32"/>
      <w:sz w:val="24"/>
      <w:szCs w:val="32"/>
      <w:lang w:eastAsia="de-DE"/>
    </w:rPr>
  </w:style>
  <w:style w:type="character" w:customStyle="1" w:styleId="Heading2Char">
    <w:name w:val="Heading 2 Char"/>
    <w:aliases w:val="Titre B Char,no vale Char,Heading 2 Char1 Char,Heading 2 Char Char Char"/>
    <w:basedOn w:val="DefaultParagraphFont"/>
    <w:link w:val="Heading2"/>
    <w:uiPriority w:val="9"/>
    <w:rsid w:val="00E05D08"/>
    <w:rPr>
      <w:rFonts w:ascii="Arial" w:eastAsia="Times New Roman" w:hAnsi="Arial" w:cs="Arial"/>
      <w:b/>
      <w:bCs/>
      <w:iCs/>
      <w:szCs w:val="28"/>
      <w:lang w:eastAsia="de-DE"/>
    </w:rPr>
  </w:style>
  <w:style w:type="character" w:customStyle="1" w:styleId="Heading3Char">
    <w:name w:val="Heading 3 Char"/>
    <w:aliases w:val="H3 Char,no vale1 Char,no vale1 Car Char"/>
    <w:basedOn w:val="DefaultParagraphFont"/>
    <w:link w:val="Heading3"/>
    <w:rsid w:val="00E05D08"/>
    <w:rPr>
      <w:rFonts w:ascii="Arial" w:eastAsia="Times New Roman" w:hAnsi="Arial" w:cs="Arial"/>
      <w:b/>
      <w:bCs/>
      <w:color w:val="5F5F5F"/>
      <w:sz w:val="20"/>
      <w:szCs w:val="26"/>
      <w:lang w:eastAsia="de-DE"/>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basedOn w:val="DefaultParagraphFont"/>
    <w:link w:val="Heading5"/>
    <w:uiPriority w:val="99"/>
    <w:rsid w:val="00E05D08"/>
    <w:rPr>
      <w:rFonts w:ascii="Arial" w:eastAsia="Times New Roman" w:hAnsi="Arial" w:cs="Times New Roman"/>
      <w:b/>
      <w:bCs/>
      <w:iCs/>
      <w:color w:val="5F5F5F"/>
      <w:sz w:val="18"/>
      <w:szCs w:val="26"/>
      <w:lang w:val="lt-LT" w:eastAsia="de-DE"/>
    </w:rPr>
  </w:style>
  <w:style w:type="character" w:customStyle="1" w:styleId="Heading6Char">
    <w:name w:val="Heading 6 Char"/>
    <w:basedOn w:val="DefaultParagraphFont"/>
    <w:link w:val="Heading6"/>
    <w:uiPriority w:val="99"/>
    <w:rsid w:val="00E05D08"/>
    <w:rPr>
      <w:rFonts w:ascii="Arial" w:eastAsia="Times New Roman" w:hAnsi="Arial" w:cs="Times New Roman"/>
      <w:b/>
      <w:bCs/>
      <w:color w:val="808080"/>
      <w:sz w:val="16"/>
      <w:lang w:eastAsia="de-DE"/>
    </w:rPr>
  </w:style>
  <w:style w:type="character" w:customStyle="1" w:styleId="Heading7Char">
    <w:name w:val="Heading 7 Char"/>
    <w:basedOn w:val="DefaultParagraphFont"/>
    <w:link w:val="Heading7"/>
    <w:rsid w:val="00E05D08"/>
    <w:rPr>
      <w:rFonts w:ascii="Arial" w:eastAsia="Times New Roman" w:hAnsi="Arial" w:cs="Times New Roman"/>
      <w:b/>
      <w:color w:val="808080"/>
      <w:sz w:val="16"/>
      <w:szCs w:val="24"/>
      <w:lang w:eastAsia="de-DE"/>
    </w:rPr>
  </w:style>
  <w:style w:type="character" w:customStyle="1" w:styleId="Heading8Char">
    <w:name w:val="Heading 8 Char"/>
    <w:basedOn w:val="DefaultParagraphFont"/>
    <w:link w:val="Heading8"/>
    <w:rsid w:val="00E05D08"/>
    <w:rPr>
      <w:rFonts w:ascii="Arial" w:eastAsia="Times New Roman" w:hAnsi="Arial" w:cs="Times New Roman"/>
      <w:b/>
      <w:iCs/>
      <w:color w:val="808080"/>
      <w:sz w:val="16"/>
      <w:szCs w:val="24"/>
      <w:lang w:eastAsia="de-DE"/>
    </w:rPr>
  </w:style>
  <w:style w:type="character" w:customStyle="1" w:styleId="Heading9Char">
    <w:name w:val="Heading 9 Char"/>
    <w:basedOn w:val="DefaultParagraphFont"/>
    <w:link w:val="Heading9"/>
    <w:rsid w:val="00E05D08"/>
    <w:rPr>
      <w:rFonts w:ascii="Arial" w:eastAsia="Times New Roman" w:hAnsi="Arial" w:cs="Arial"/>
      <w:b/>
      <w:bCs/>
      <w:kern w:val="32"/>
      <w:sz w:val="24"/>
      <w:lang w:eastAsia="de-DE"/>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9837FF"/>
    <w:pPr>
      <w:spacing w:after="100"/>
      <w:ind w:left="567" w:hanging="567"/>
    </w:pPr>
    <w:rPr>
      <w:b/>
      <w:caps/>
    </w:rPr>
  </w:style>
  <w:style w:type="paragraph" w:styleId="TOC2">
    <w:name w:val="toc 2"/>
    <w:basedOn w:val="Normal"/>
    <w:next w:val="Normal"/>
    <w:autoRedefine/>
    <w:uiPriority w:val="39"/>
    <w:unhideWhenUsed/>
    <w:rsid w:val="00E540C7"/>
    <w:pPr>
      <w:tabs>
        <w:tab w:val="left" w:pos="600"/>
        <w:tab w:val="right" w:leader="dot" w:pos="9040"/>
      </w:tabs>
      <w:spacing w:after="100"/>
      <w:ind w:left="1080" w:hanging="1080"/>
    </w:pPr>
  </w:style>
  <w:style w:type="paragraph" w:styleId="Footer">
    <w:name w:val="footer"/>
    <w:link w:val="FooterChar"/>
    <w:uiPriority w:val="99"/>
    <w:rsid w:val="00E05D08"/>
    <w:pPr>
      <w:tabs>
        <w:tab w:val="right" w:pos="8618"/>
      </w:tabs>
      <w:spacing w:after="0" w:line="240" w:lineRule="auto"/>
      <w:ind w:left="-907" w:right="-907"/>
      <w:jc w:val="center"/>
    </w:pPr>
    <w:rPr>
      <w:rFonts w:ascii="Arial" w:eastAsia="Times New Roman" w:hAnsi="Arial" w:cs="Times New Roman"/>
      <w:color w:val="373737"/>
      <w:szCs w:val="20"/>
      <w:lang w:eastAsia="de-DE"/>
    </w:rPr>
  </w:style>
  <w:style w:type="character" w:customStyle="1" w:styleId="FooterChar">
    <w:name w:val="Footer Char"/>
    <w:basedOn w:val="DefaultParagraphFont"/>
    <w:link w:val="Footer"/>
    <w:uiPriority w:val="99"/>
    <w:rsid w:val="00E05D08"/>
    <w:rPr>
      <w:rFonts w:ascii="Arial" w:eastAsia="Times New Roman" w:hAnsi="Arial" w:cs="Times New Roman"/>
      <w:color w:val="373737"/>
      <w:szCs w:val="20"/>
      <w:lang w:eastAsia="de-DE"/>
    </w:rPr>
  </w:style>
  <w:style w:type="character" w:styleId="PageNumber">
    <w:name w:val="page number"/>
    <w:basedOn w:val="DefaultParagraphFont"/>
    <w:semiHidden/>
    <w:rsid w:val="00E05D08"/>
    <w:rPr>
      <w:rFonts w:ascii="Arial" w:hAnsi="Arial"/>
      <w:color w:val="808080"/>
      <w:sz w:val="18"/>
    </w:rPr>
  </w:style>
  <w:style w:type="paragraph" w:customStyle="1" w:styleId="HTitle2">
    <w:name w:val="H_Title2"/>
    <w:basedOn w:val="Normal"/>
    <w:qFormat/>
    <w:rsid w:val="00E05D08"/>
    <w:pPr>
      <w:autoSpaceDE w:val="0"/>
      <w:autoSpaceDN w:val="0"/>
      <w:adjustRightInd w:val="0"/>
      <w:spacing w:after="120" w:line="280" w:lineRule="atLeast"/>
    </w:pPr>
    <w:rPr>
      <w:rFonts w:eastAsia="Times New Roman" w:cs="Times New Roman"/>
      <w:smallCaps/>
      <w:sz w:val="44"/>
      <w:szCs w:val="52"/>
      <w:lang w:eastAsia="de-DE"/>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sz w:val="20"/>
      <w:szCs w:val="20"/>
      <w:lang w:eastAsia="de-DE"/>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sz w:val="20"/>
      <w:szCs w:val="20"/>
      <w:lang w:eastAsia="de-DE"/>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adjustRightInd w:val="0"/>
      <w:spacing w:after="120" w:line="280" w:lineRule="atLeast"/>
    </w:pPr>
    <w:rPr>
      <w:rFonts w:eastAsia="Times New Roman" w:cs="Times New Roman"/>
      <w:bCs/>
      <w:smallCaps/>
      <w:color w:val="F07E31"/>
      <w:sz w:val="60"/>
      <w:szCs w:val="32"/>
      <w:lang w:eastAsia="de-DE"/>
    </w:rPr>
  </w:style>
  <w:style w:type="paragraph" w:customStyle="1" w:styleId="Autor">
    <w:name w:val="Autor"/>
    <w:basedOn w:val="Normal"/>
    <w:rsid w:val="00E05D08"/>
    <w:pPr>
      <w:spacing w:after="0" w:line="280" w:lineRule="exact"/>
    </w:pPr>
    <w:rPr>
      <w:rFonts w:eastAsia="Times New Roman" w:cs="Times New Roman"/>
      <w:szCs w:val="24"/>
      <w:lang w:eastAsia="de-DE"/>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9837FF"/>
    <w:pPr>
      <w:spacing w:after="100"/>
      <w:ind w:left="567" w:hanging="567"/>
    </w:pPr>
  </w:style>
  <w:style w:type="paragraph" w:styleId="TOC4">
    <w:name w:val="toc 4"/>
    <w:basedOn w:val="Normal"/>
    <w:next w:val="Normal"/>
    <w:autoRedefine/>
    <w:uiPriority w:val="39"/>
    <w:unhideWhenUsed/>
    <w:rsid w:val="002F11D9"/>
    <w:pPr>
      <w:keepLines/>
      <w:spacing w:after="100"/>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lang w:eastAsia="de-DE"/>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sz w:val="20"/>
      <w:szCs w:val="20"/>
      <w:lang w:eastAsia="de-DE"/>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line="240" w:lineRule="auto"/>
      <w:ind w:left="1134" w:right="1134"/>
      <w:mirrorIndents/>
      <w:jc w:val="center"/>
    </w:pPr>
    <w:rPr>
      <w:rFonts w:ascii="Arial" w:eastAsia="Times New Roman" w:hAnsi="Arial" w:cs="Times New Roman"/>
      <w:i/>
      <w:color w:val="373737"/>
      <w:sz w:val="16"/>
      <w:szCs w:val="20"/>
      <w:lang w:eastAsia="de-DE"/>
    </w:rPr>
  </w:style>
  <w:style w:type="paragraph" w:customStyle="1" w:styleId="Htableleft">
    <w:name w:val="H_table_left"/>
    <w:rsid w:val="00E05D08"/>
    <w:pPr>
      <w:suppressAutoHyphens/>
      <w:spacing w:before="40" w:after="40" w:line="240" w:lineRule="auto"/>
    </w:pPr>
    <w:rPr>
      <w:rFonts w:ascii="Arial" w:eastAsia="Times New Roman" w:hAnsi="Arial" w:cs="Times New Roman"/>
      <w:color w:val="373737"/>
      <w:sz w:val="18"/>
      <w:szCs w:val="20"/>
      <w:lang w:eastAsia="de-DE"/>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spacing w:after="0" w:line="180" w:lineRule="exact"/>
    </w:pPr>
    <w:rPr>
      <w:rFonts w:ascii="Arial" w:eastAsia="Times New Roman" w:hAnsi="Arial" w:cs="Times New Roman"/>
      <w:color w:val="808080"/>
      <w:sz w:val="16"/>
      <w:szCs w:val="20"/>
      <w:lang w:eastAsia="de-DE"/>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F74459"/>
    <w:rPr>
      <w:rFonts w:ascii="Arial" w:eastAsia="Times New Roman" w:hAnsi="Arial" w:cs="Times New Roman"/>
      <w:color w:val="808080"/>
      <w:sz w:val="16"/>
      <w:szCs w:val="20"/>
      <w:lang w:eastAsia="de-DE"/>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ind w:left="567" w:hanging="567"/>
      <w:mirrorIndents/>
      <w:outlineLvl w:val="0"/>
    </w:pPr>
    <w:rPr>
      <w:rFonts w:ascii="Arial" w:eastAsia="Times New Roman" w:hAnsi="Arial" w:cs="Times New Roman"/>
      <w:b/>
      <w:caps/>
      <w:color w:val="F07E31"/>
      <w:sz w:val="20"/>
      <w:szCs w:val="20"/>
      <w:lang w:eastAsia="de-DE"/>
    </w:rPr>
  </w:style>
  <w:style w:type="paragraph" w:customStyle="1" w:styleId="HHeading2">
    <w:name w:val="H_Heading 2"/>
    <w:next w:val="HStandard"/>
    <w:rsid w:val="00E05D08"/>
    <w:pPr>
      <w:keepNext/>
      <w:keepLines/>
      <w:numPr>
        <w:ilvl w:val="1"/>
        <w:numId w:val="6"/>
      </w:numPr>
      <w:tabs>
        <w:tab w:val="left" w:pos="567"/>
      </w:tabs>
      <w:spacing w:before="240" w:after="140" w:line="260" w:lineRule="exact"/>
      <w:mirrorIndents/>
      <w:outlineLvl w:val="1"/>
    </w:pPr>
    <w:rPr>
      <w:rFonts w:ascii="Arial" w:eastAsia="Times New Roman" w:hAnsi="Arial" w:cs="Times New Roman"/>
      <w:b/>
      <w:color w:val="373737"/>
      <w:sz w:val="20"/>
      <w:szCs w:val="20"/>
      <w:lang w:eastAsia="de-DE"/>
    </w:rPr>
  </w:style>
  <w:style w:type="paragraph" w:customStyle="1" w:styleId="HHeading3">
    <w:name w:val="H_Heading 3"/>
    <w:next w:val="HStandard"/>
    <w:rsid w:val="009B603C"/>
    <w:pPr>
      <w:keepNext/>
      <w:keepLines/>
      <w:numPr>
        <w:ilvl w:val="2"/>
        <w:numId w:val="6"/>
      </w:numPr>
      <w:tabs>
        <w:tab w:val="left" w:pos="567"/>
      </w:tabs>
      <w:spacing w:before="240" w:after="140" w:line="240" w:lineRule="exact"/>
      <w:ind w:left="567" w:hanging="567"/>
      <w:mirrorIndents/>
      <w:outlineLvl w:val="2"/>
    </w:pPr>
    <w:rPr>
      <w:rFonts w:ascii="Arial" w:eastAsia="Times New Roman" w:hAnsi="Arial" w:cs="Times New Roman"/>
      <w:b/>
      <w:color w:val="F07E31"/>
      <w:sz w:val="20"/>
      <w:szCs w:val="20"/>
      <w:lang w:eastAsia="de-DE"/>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sz w:val="20"/>
      <w:szCs w:val="20"/>
      <w:lang w:eastAsia="de-DE"/>
    </w:rPr>
  </w:style>
  <w:style w:type="character" w:styleId="Hyperlink">
    <w:name w:val="Hyperlink"/>
    <w:basedOn w:val="DefaultParagraphFont"/>
    <w:uiPriority w:val="99"/>
    <w:rsid w:val="00E05D08"/>
    <w:rPr>
      <w:rFonts w:ascii="Arial" w:hAnsi="Arial"/>
      <w:color w:val="F07E31"/>
      <w:sz w:val="16"/>
      <w:u w:val="single"/>
      <w:lang w:val="lt-LT"/>
    </w:rPr>
  </w:style>
  <w:style w:type="paragraph" w:customStyle="1" w:styleId="HStandard">
    <w:name w:val="H_Standard"/>
    <w:rsid w:val="000E1D4B"/>
    <w:pPr>
      <w:spacing w:after="120" w:line="280" w:lineRule="atLeast"/>
      <w:jc w:val="both"/>
    </w:pPr>
    <w:rPr>
      <w:rFonts w:ascii="Arial" w:eastAsia="Times New Roman" w:hAnsi="Arial" w:cs="Times New Roman"/>
      <w:color w:val="373737"/>
      <w:sz w:val="20"/>
      <w:szCs w:val="20"/>
      <w:lang w:eastAsia="de-DE"/>
    </w:rPr>
  </w:style>
  <w:style w:type="paragraph" w:styleId="BalloonText">
    <w:name w:val="Balloon Text"/>
    <w:basedOn w:val="Normal"/>
    <w:link w:val="BalloonTextChar"/>
    <w:uiPriority w:val="99"/>
    <w:semiHidden/>
    <w:unhideWhenUsed/>
    <w:rsid w:val="00E05D08"/>
    <w:pPr>
      <w:spacing w:after="0" w:line="240" w:lineRule="auto"/>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semiHidden/>
    <w:rsid w:val="00E05D08"/>
    <w:rPr>
      <w:rFonts w:ascii="Tahoma" w:eastAsia="Times New Roman" w:hAnsi="Tahoma" w:cs="Tahoma"/>
      <w:sz w:val="16"/>
      <w:szCs w:val="16"/>
      <w:lang w:eastAsia="de-DE"/>
    </w:rPr>
  </w:style>
  <w:style w:type="table" w:styleId="TableGrid">
    <w:name w:val="Table Grid"/>
    <w:basedOn w:val="TableNormal"/>
    <w:uiPriority w:val="39"/>
    <w:rsid w:val="00E05D0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E05D08"/>
    <w:pPr>
      <w:numPr>
        <w:numId w:val="7"/>
      </w:numPr>
      <w:spacing w:before="200" w:after="140" w:line="240" w:lineRule="auto"/>
    </w:pPr>
    <w:rPr>
      <w:rFonts w:ascii="Arial" w:eastAsia="Times New Roman" w:hAnsi="Arial" w:cs="Times New Roman"/>
      <w:b/>
      <w:color w:val="373737"/>
      <w:sz w:val="16"/>
      <w:szCs w:val="20"/>
      <w:lang w:eastAsia="de-DE"/>
    </w:rPr>
  </w:style>
  <w:style w:type="paragraph" w:customStyle="1" w:styleId="HHeadingfigures">
    <w:name w:val="H_Heading_figures"/>
    <w:basedOn w:val="HHeadingtables"/>
    <w:next w:val="HStandard"/>
    <w:qFormat/>
    <w:rsid w:val="00E05D08"/>
    <w:pPr>
      <w:numPr>
        <w:numId w:val="8"/>
      </w:numPr>
      <w:tabs>
        <w:tab w:val="num" w:pos="964"/>
      </w:tabs>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szCs w:val="20"/>
      <w:lang w:eastAsia="de-DE"/>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spacing w:after="0" w:line="240" w:lineRule="auto"/>
      <w:ind w:left="363" w:hanging="284"/>
      <w:jc w:val="both"/>
    </w:pPr>
    <w:rPr>
      <w:rFonts w:ascii="Arial" w:eastAsia="Times New Roman" w:hAnsi="Arial" w:cs="Times New Roman"/>
      <w:color w:val="373737"/>
      <w:sz w:val="20"/>
      <w:szCs w:val="20"/>
      <w:lang w:eastAsia="de-DE"/>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lang w:eastAsia="de-DE"/>
    </w:rPr>
  </w:style>
  <w:style w:type="character" w:styleId="SubtleReference">
    <w:name w:val="Subtle Reference"/>
    <w:uiPriority w:val="31"/>
    <w:qFormat/>
    <w:rsid w:val="00C37C7A"/>
    <w:rPr>
      <w:rFonts w:eastAsia="Times New Roman" w:cs="Times New Roman"/>
      <w:szCs w:val="20"/>
      <w:lang w:eastAsia="de-DE"/>
    </w:rPr>
  </w:style>
  <w:style w:type="table" w:customStyle="1" w:styleId="TableGrid1">
    <w:name w:val="Table Grid1"/>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rFonts w:eastAsia="Times New Roman" w:cs="Times New Roman"/>
      <w:b/>
      <w:bCs/>
      <w:szCs w:val="20"/>
      <w:lang w:eastAsia="de-DE"/>
    </w:rPr>
  </w:style>
  <w:style w:type="character" w:customStyle="1" w:styleId="CommentSubjectChar">
    <w:name w:val="Comment Subject Char"/>
    <w:basedOn w:val="DefaultParagraphFont"/>
    <w:link w:val="CommentSubject"/>
    <w:uiPriority w:val="99"/>
    <w:semiHidden/>
    <w:rsid w:val="00C37C7A"/>
    <w:rPr>
      <w:rFonts w:ascii="Arial" w:eastAsia="Times New Roman" w:hAnsi="Arial" w:cs="Times New Roman"/>
      <w:b/>
      <w:bCs/>
      <w:sz w:val="20"/>
      <w:szCs w:val="20"/>
      <w:lang w:eastAsia="de-DE"/>
    </w:rPr>
  </w:style>
  <w:style w:type="paragraph" w:customStyle="1" w:styleId="Normal12PTcouleurgris">
    <w:name w:val="Normal + 12PT couleur gris"/>
    <w:basedOn w:val="Normal"/>
    <w:qFormat/>
    <w:rsid w:val="00E05D08"/>
    <w:pPr>
      <w:spacing w:after="0" w:line="280" w:lineRule="atLeast"/>
    </w:pPr>
    <w:rPr>
      <w:rFonts w:eastAsia="Times New Roman" w:cs="Arial"/>
      <w:szCs w:val="18"/>
      <w:lang w:eastAsia="de-DE"/>
    </w:rPr>
  </w:style>
  <w:style w:type="numbering" w:customStyle="1" w:styleId="MaListe">
    <w:name w:val="MaListe"/>
    <w:uiPriority w:val="99"/>
    <w:rsid w:val="00E05D08"/>
    <w:pPr>
      <w:numPr>
        <w:numId w:val="15"/>
      </w:numPr>
    </w:pPr>
  </w:style>
  <w:style w:type="character" w:styleId="HTMLCite">
    <w:name w:val="HTML Cite"/>
    <w:uiPriority w:val="99"/>
    <w:semiHidden/>
    <w:rsid w:val="00E05D08"/>
    <w:rPr>
      <w:i/>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lang w:eastAsia="de-DE"/>
    </w:rPr>
  </w:style>
  <w:style w:type="character" w:customStyle="1" w:styleId="SubtitleChar">
    <w:name w:val="Subtitle Char"/>
    <w:basedOn w:val="DefaultParagraphFont"/>
    <w:link w:val="Subtitle"/>
    <w:uiPriority w:val="99"/>
    <w:rsid w:val="00E05D08"/>
    <w:rPr>
      <w:rFonts w:ascii="Helvetica" w:eastAsia="Times New Roman" w:hAnsi="Helvetica" w:cs="Times New Roman"/>
      <w:b/>
      <w:snapToGrid w:val="0"/>
      <w:color w:val="9B3930"/>
      <w:sz w:val="16"/>
      <w:szCs w:val="16"/>
      <w:lang w:eastAsia="de-DE"/>
    </w:rPr>
  </w:style>
  <w:style w:type="character" w:styleId="Emphasis">
    <w:name w:val="Emphasis"/>
    <w:uiPriority w:val="20"/>
    <w:qFormat/>
    <w:rsid w:val="00E05D08"/>
    <w:rPr>
      <w:i/>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eastAsia="de-DE"/>
    </w:rPr>
  </w:style>
  <w:style w:type="character" w:styleId="FollowedHyperlink">
    <w:name w:val="FollowedHyperlink"/>
    <w:uiPriority w:val="99"/>
    <w:semiHidden/>
    <w:rsid w:val="00E05D08"/>
    <w:rPr>
      <w:rFonts w:cs="Times New Roman"/>
      <w:color w:val="800080"/>
      <w:u w:val="single"/>
    </w:rPr>
  </w:style>
  <w:style w:type="paragraph" w:customStyle="1" w:styleId="Style">
    <w:name w:val="Style"/>
    <w:uiPriority w:val="99"/>
    <w:rsid w:val="00E05D08"/>
    <w:pPr>
      <w:spacing w:after="0" w:line="240" w:lineRule="auto"/>
    </w:pPr>
    <w:rPr>
      <w:rFonts w:ascii="Calibri" w:eastAsia="Times New Roman" w:hAnsi="Calibri" w:cs="Times New Roman"/>
      <w:sz w:val="24"/>
      <w:szCs w:val="24"/>
      <w:lang w:eastAsia="da-DK"/>
    </w:rPr>
  </w:style>
  <w:style w:type="table" w:customStyle="1" w:styleId="Tabellenraster11">
    <w:name w:val="Tabellenraster11"/>
    <w:uiPriority w:val="99"/>
    <w:rsid w:val="00E05D0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eastAsia="Times New Roman" w:hAnsi="Helvetica" w:cs="Times New Roman"/>
      <w:i/>
      <w:iCs/>
      <w:snapToGrid w:val="0"/>
      <w:color w:val="000000"/>
      <w:lang w:eastAsia="de-DE"/>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de-DE"/>
    </w:rPr>
  </w:style>
  <w:style w:type="numbering" w:styleId="111111">
    <w:name w:val="Outline List 2"/>
    <w:basedOn w:val="NoList"/>
    <w:uiPriority w:val="99"/>
    <w:rsid w:val="00E05D08"/>
    <w:pPr>
      <w:numPr>
        <w:numId w:val="30"/>
      </w:numPr>
    </w:pPr>
  </w:style>
  <w:style w:type="paragraph" w:customStyle="1" w:styleId="Revision1">
    <w:name w:val="Revision1"/>
    <w:hidden/>
    <w:uiPriority w:val="99"/>
    <w:semiHidden/>
    <w:rsid w:val="00E05D08"/>
    <w:pPr>
      <w:spacing w:after="0" w:line="240" w:lineRule="auto"/>
    </w:pPr>
    <w:rPr>
      <w:rFonts w:ascii="Arial" w:eastAsia="Times New Roman" w:hAnsi="Arial" w:cs="Times New Roman"/>
      <w:sz w:val="20"/>
      <w:lang w:eastAsia="de-DE"/>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lang w:eastAsia="de-AT"/>
    </w:rPr>
  </w:style>
  <w:style w:type="paragraph" w:styleId="Revision">
    <w:name w:val="Revision"/>
    <w:hidden/>
    <w:uiPriority w:val="99"/>
    <w:semiHidden/>
    <w:rsid w:val="00E05D08"/>
    <w:pPr>
      <w:spacing w:after="0" w:line="240" w:lineRule="auto"/>
    </w:pPr>
    <w:rPr>
      <w:rFonts w:ascii="Arial" w:eastAsia="Times New Roman" w:hAnsi="Arial" w:cs="Times New Roman"/>
      <w:sz w:val="20"/>
      <w:lang w:eastAsia="de-DE"/>
    </w:rPr>
  </w:style>
  <w:style w:type="paragraph" w:customStyle="1" w:styleId="Red2Red">
    <w:name w:val="Red2Red"/>
    <w:basedOn w:val="Normal"/>
    <w:link w:val="Red2RedCar"/>
    <w:uiPriority w:val="99"/>
    <w:qFormat/>
    <w:rsid w:val="00E05D08"/>
    <w:pPr>
      <w:spacing w:before="60" w:after="60" w:line="288" w:lineRule="auto"/>
    </w:pPr>
    <w:rPr>
      <w:rFonts w:ascii="Helvetica" w:eastAsia="Times New Roman" w:hAnsi="Helvetica" w:cs="Times New Roman"/>
      <w:sz w:val="32"/>
      <w:szCs w:val="24"/>
      <w:lang w:eastAsia="es-ES"/>
    </w:rPr>
  </w:style>
  <w:style w:type="character" w:customStyle="1" w:styleId="Red2RedCar">
    <w:name w:val="Red2Red Car"/>
    <w:basedOn w:val="DefaultParagraphFont"/>
    <w:link w:val="Red2Red"/>
    <w:uiPriority w:val="99"/>
    <w:rsid w:val="00E05D08"/>
    <w:rPr>
      <w:rFonts w:ascii="Helvetica" w:eastAsia="Times New Roman" w:hAnsi="Helvetica" w:cs="Times New Roman"/>
      <w:sz w:val="32"/>
      <w:szCs w:val="24"/>
      <w:lang w:val="lt-LT" w:eastAsia="es-ES"/>
    </w:rPr>
  </w:style>
  <w:style w:type="table" w:customStyle="1" w:styleId="MediumShading2-Accent31">
    <w:name w:val="Medium Shading 2 - Accent 31"/>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eastAsia="Times New Roman" w:hAnsi="Helvetica" w:cs="Arial"/>
      <w:bCs/>
      <w:smallCaps/>
      <w:color w:val="DF6532"/>
      <w:sz w:val="44"/>
      <w:szCs w:val="44"/>
      <w:lang w:eastAsia="de-DE"/>
    </w:rPr>
  </w:style>
  <w:style w:type="paragraph" w:customStyle="1" w:styleId="H-Table">
    <w:name w:val="H-Table"/>
    <w:next w:val="Normal"/>
    <w:uiPriority w:val="99"/>
    <w:qFormat/>
    <w:rsid w:val="00E05D08"/>
    <w:pPr>
      <w:numPr>
        <w:numId w:val="37"/>
      </w:numPr>
      <w:spacing w:after="0" w:line="240" w:lineRule="auto"/>
      <w:ind w:left="510" w:hanging="510"/>
    </w:pPr>
    <w:rPr>
      <w:rFonts w:ascii="Helvetica" w:eastAsia="Times New Roman" w:hAnsi="Helvetica" w:cs="Times New Roman"/>
      <w:b/>
      <w:bCs/>
      <w:color w:val="6F6F6F"/>
      <w:sz w:val="16"/>
      <w:szCs w:val="20"/>
      <w:lang w:eastAsia="de-DE"/>
    </w:rPr>
  </w:style>
  <w:style w:type="table" w:customStyle="1" w:styleId="Grilledutableau1">
    <w:name w:val="Grille du tableau1"/>
    <w:basedOn w:val="TableNormal"/>
    <w:next w:val="TableGrid"/>
    <w:uiPriority w:val="59"/>
    <w:rsid w:val="00E0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basedOn w:val="DefaultParagraphFont"/>
    <w:uiPriority w:val="99"/>
    <w:semiHidden/>
    <w:unhideWhenUsed/>
    <w:rsid w:val="00E05D08"/>
    <w:rPr>
      <w:color w:val="2B579A"/>
      <w:shd w:val="clear" w:color="auto" w:fill="E6E6E6"/>
    </w:rPr>
  </w:style>
  <w:style w:type="character" w:customStyle="1" w:styleId="Erwhnung2">
    <w:name w:val="Erwähnung2"/>
    <w:basedOn w:val="DefaultParagraphFont"/>
    <w:uiPriority w:val="99"/>
    <w:semiHidden/>
    <w:unhideWhenUsed/>
    <w:rsid w:val="00E05D08"/>
    <w:rPr>
      <w:color w:val="2B579A"/>
      <w:shd w:val="clear" w:color="auto" w:fill="E6E6E6"/>
    </w:rPr>
  </w:style>
  <w:style w:type="table" w:customStyle="1" w:styleId="TableGrid2">
    <w:name w:val="Table Grid2"/>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after="0" w:line="240" w:lineRule="auto"/>
    </w:pPr>
    <w:rPr>
      <w:color w:val="F07E31"/>
      <w:sz w:val="18"/>
    </w:rPr>
  </w:style>
  <w:style w:type="character" w:customStyle="1" w:styleId="HeaderChar">
    <w:name w:val="Header Char"/>
    <w:basedOn w:val="DefaultParagraphFont"/>
    <w:link w:val="Header"/>
    <w:uiPriority w:val="99"/>
    <w:rsid w:val="009837FF"/>
    <w:rPr>
      <w:rFonts w:ascii="Arial" w:hAnsi="Arial"/>
      <w:color w:val="F07E31"/>
      <w:sz w:val="1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unhideWhenUsed/>
    <w:rsid w:val="00E05D08"/>
    <w:rPr>
      <w:vertAlign w:val="superscript"/>
    </w:rPr>
  </w:style>
  <w:style w:type="table" w:styleId="MediumShading2-Accent3">
    <w:name w:val="Medium Shading 2 Accent 3"/>
    <w:basedOn w:val="TableNormal"/>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NoList"/>
    <w:next w:val="111111"/>
    <w:uiPriority w:val="99"/>
    <w:rsid w:val="00E05D08"/>
    <w:pPr>
      <w:numPr>
        <w:numId w:val="23"/>
      </w:numPr>
    </w:pPr>
  </w:style>
  <w:style w:type="table" w:customStyle="1" w:styleId="MediumShading2-Accent32">
    <w:name w:val="Medium Shading 2 - Accent 32"/>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pPr>
      <w:spacing w:after="0" w:line="240" w:lineRule="auto"/>
    </w:pPr>
    <w:rPr>
      <w:rFonts w:ascii="Times New Roman" w:eastAsia="Times New Roman" w:hAnsi="Times New Roman" w:cs="Times New Roman"/>
      <w:sz w:val="20"/>
      <w:szCs w:val="20"/>
      <w:lang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UnresolvedMention1">
    <w:name w:val="Unresolved Mention1"/>
    <w:basedOn w:val="DefaultParagraphFont"/>
    <w:uiPriority w:val="99"/>
    <w:semiHidden/>
    <w:unhideWhenUsed/>
    <w:rsid w:val="00E05D08"/>
    <w:rPr>
      <w:color w:val="808080"/>
      <w:shd w:val="clear" w:color="auto" w:fill="E6E6E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color w:val="373737"/>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H-Standard">
    <w:name w:val="H-Standard"/>
    <w:basedOn w:val="Normal12PTcouleurgris"/>
    <w:qFormat/>
    <w:rsid w:val="00863DB0"/>
    <w:pPr>
      <w:spacing w:after="120"/>
    </w:pPr>
    <w:rPr>
      <w:rFonts w:eastAsia="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s://www.cambridge.org/core/journals/ps-political-science-and-politics/article/understanding-process-tracing/183A057AD6A36783E678CB37440346D1" TargetMode="External"/><Relationship Id="rId21" Type="http://schemas.openxmlformats.org/officeDocument/2006/relationships/footer" Target="footer5.xml"/><Relationship Id="rId42" Type="http://schemas.openxmlformats.org/officeDocument/2006/relationships/image" Target="media/image15.jpg"/><Relationship Id="rId47" Type="http://schemas.openxmlformats.org/officeDocument/2006/relationships/hyperlink" Target="https://enrd.ec.europa.eu/evaluation/publications/guidelines-assessment-rdp-results-how-prepare-reporting-evaluation-2017_en" TargetMode="External"/><Relationship Id="rId63" Type="http://schemas.openxmlformats.org/officeDocument/2006/relationships/hyperlink" Target="https://enrd.ec.europa.eu/evaluation/publications/guidelines-evaluation-national-rural-networks-2014-2020_en" TargetMode="External"/><Relationship Id="rId68" Type="http://schemas.openxmlformats.org/officeDocument/2006/relationships/hyperlink" Target="https://enrd.ec.europa.eu/sites/enrd/files/twg-02-nrn-july2016.pdf" TargetMode="External"/><Relationship Id="rId84" Type="http://schemas.openxmlformats.org/officeDocument/2006/relationships/hyperlink" Target="http://www.men-d.de/uploads/media/MEN-D_Jahresveranstaltung_2017.pdf" TargetMode="External"/><Relationship Id="rId89" Type="http://schemas.openxmlformats.org/officeDocument/2006/relationships/hyperlink" Target="http://ec.europa.eu/eurostat/statistics-explained/index.php/Smarter,_greener,_more_inclusive_-_indicators_to_support_the_Europe_2020_strategy" TargetMode="External"/><Relationship Id="rId112" Type="http://schemas.openxmlformats.org/officeDocument/2006/relationships/hyperlink" Target="http://journals.sagepub.com/doi/abs/10.1177/1356389012451663" TargetMode="External"/><Relationship Id="rId133" Type="http://schemas.openxmlformats.org/officeDocument/2006/relationships/hyperlink" Target="http://enrd.ec.europa.eu/enrd-static/app_templates/enrd_assets/pdf/guidebook/nrn_handbook_webversion.pdf" TargetMode="External"/><Relationship Id="rId16" Type="http://schemas.openxmlformats.org/officeDocument/2006/relationships/header" Target="header3.xml"/><Relationship Id="rId107" Type="http://schemas.openxmlformats.org/officeDocument/2006/relationships/hyperlink" Target="https://www.gao.gov/products/GAO/PEMD-10.1.9" TargetMode="External"/><Relationship Id="rId11" Type="http://schemas.openxmlformats.org/officeDocument/2006/relationships/image" Target="media/image2.jpeg"/><Relationship Id="rId32" Type="http://schemas.openxmlformats.org/officeDocument/2006/relationships/image" Target="media/image13.PNG"/><Relationship Id="rId37" Type="http://schemas.openxmlformats.org/officeDocument/2006/relationships/footer" Target="footer8.xml"/><Relationship Id="rId53" Type="http://schemas.openxmlformats.org/officeDocument/2006/relationships/hyperlink" Target="https://enrd.ec.europa.eu/evaluation/publications/guidelines-assessment-rdp-results-how-prepare-reporting-evaluation-2017_en" TargetMode="External"/><Relationship Id="rId58" Type="http://schemas.openxmlformats.org/officeDocument/2006/relationships/hyperlink" Target="https://enrd.ec.europa.eu/evaluation/publications/guidelines-assessment-rdp-results-how-prepare-reporting-evaluation-2017_en" TargetMode="External"/><Relationship Id="rId74" Type="http://schemas.openxmlformats.org/officeDocument/2006/relationships/hyperlink" Target="http://enrd.ec.europa.eu/enrd-static/app_templates/enrd_assets/pdf/guidebook/nrn_handbook_webversion.pdf" TargetMode="External"/><Relationship Id="rId79" Type="http://schemas.openxmlformats.org/officeDocument/2006/relationships/hyperlink" Target="https://enrd.ec.europa.eu/sites/enrd/files/uploaded-files/wp_evaluation_questions_2015.pdf" TargetMode="External"/><Relationship Id="rId102" Type="http://schemas.openxmlformats.org/officeDocument/2006/relationships/hyperlink" Target="https://enrd.ec.europa.eu/sites/enrd/files/uploaded-files/wp_evaluation_questions_2015.pdf" TargetMode="External"/><Relationship Id="rId123" Type="http://schemas.openxmlformats.org/officeDocument/2006/relationships/hyperlink" Target="http://journals.sagepub.com/doi/abs/10.1177/1356389012451663" TargetMode="External"/><Relationship Id="rId128" Type="http://schemas.openxmlformats.org/officeDocument/2006/relationships/hyperlink" Target="https://ec.europa.eu/research/innovation-union/pdf/innovation-union-communication_en.pdf" TargetMode="External"/><Relationship Id="rId5" Type="http://schemas.openxmlformats.org/officeDocument/2006/relationships/webSettings" Target="webSettings.xml"/><Relationship Id="rId90" Type="http://schemas.openxmlformats.org/officeDocument/2006/relationships/hyperlink" Target="http://www.men-d.de/uploads/media/MEN-D_Jahresveranstaltung_2017.pdf" TargetMode="External"/><Relationship Id="rId95" Type="http://schemas.openxmlformats.org/officeDocument/2006/relationships/header" Target="header9.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6.xml"/><Relationship Id="rId43" Type="http://schemas.openxmlformats.org/officeDocument/2006/relationships/hyperlink" Target="https://enrd.ec.europa.eu/evaluation/publications/guidelines-assessment-rdp-results-how-prepare-reporting-evaluation-2017_en" TargetMode="External"/><Relationship Id="rId48" Type="http://schemas.openxmlformats.org/officeDocument/2006/relationships/hyperlink" Target="https://enrd.ec.europa.eu/evaluation/publications/guidelines-assessment-rdp-results-how-prepare-reporting-evaluation-2017_en" TargetMode="External"/><Relationship Id="rId56" Type="http://schemas.openxmlformats.org/officeDocument/2006/relationships/hyperlink" Target="https://ec.europa.eu/eip/agriculture/sites/agri-eip/files/16_measure_fiche_art_35_co-operation.pdf" TargetMode="External"/><Relationship Id="rId64" Type="http://schemas.openxmlformats.org/officeDocument/2006/relationships/hyperlink" Target="https://enrd.ec.europa.eu/evaluation/publications/guidelines-evaluation-national-rural-networks-2014-2020_en" TargetMode="External"/><Relationship Id="rId69" Type="http://schemas.openxmlformats.org/officeDocument/2006/relationships/hyperlink" Target="https://ec.europa.eu/eip/agriculture/en/publications/guidelines-programming-innovation-and" TargetMode="External"/><Relationship Id="rId77" Type="http://schemas.openxmlformats.org/officeDocument/2006/relationships/hyperlink" Target="http://enrd.ec.europa.eu/enrd-static/evaluation/good-practices-workshops/national-rural-networks/en/national-rural-networks_en.html" TargetMode="External"/><Relationship Id="rId100" Type="http://schemas.openxmlformats.org/officeDocument/2006/relationships/hyperlink" Target="http://www.hnvlink.eu/" TargetMode="External"/><Relationship Id="rId105" Type="http://schemas.openxmlformats.org/officeDocument/2006/relationships/hyperlink" Target="https://www.cambridge.org/core/journals/ps-political-science-and-politics/article/understanding-process-tracing/183A057AD6A36783E678CB37440346D1" TargetMode="External"/><Relationship Id="rId113" Type="http://schemas.openxmlformats.org/officeDocument/2006/relationships/hyperlink" Target="http://journals.sagepub.com/doi/abs/10.1177/1356389012451663" TargetMode="External"/><Relationship Id="rId118" Type="http://schemas.openxmlformats.org/officeDocument/2006/relationships/hyperlink" Target="http://ageconsearch.umn.edu/bitstream/52515/2/ILAC_Brief05_Histories.pdf" TargetMode="External"/><Relationship Id="rId126" Type="http://schemas.openxmlformats.org/officeDocument/2006/relationships/hyperlink" Target="https://www.ncbi.nlm.nih.gov/pubmed/16053581" TargetMode="External"/><Relationship Id="rId134" Type="http://schemas.openxmlformats.org/officeDocument/2006/relationships/hyperlink" Target="https://ec.europa.eu/eip/agriculture/en/content/innovation-support-services" TargetMode="Externa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image" Target="media/image16.png"/><Relationship Id="rId72" Type="http://schemas.openxmlformats.org/officeDocument/2006/relationships/hyperlink" Target="https://enrd.ec.europa.eu/evaluation/publications/guidelines-assessment-rdp-results-how-prepare-reporting-evaluation-2017_en" TargetMode="External"/><Relationship Id="rId80" Type="http://schemas.openxmlformats.org/officeDocument/2006/relationships/header" Target="header7.xml"/><Relationship Id="rId85" Type="http://schemas.openxmlformats.org/officeDocument/2006/relationships/hyperlink" Target="http://www.men-d.de/index.php?id=81&amp;tx_ttnews%5btt_news%5d=150&amp;tx_ttnews%5bbackPid%5d=85&amp;cHash=41ecd4ea5c" TargetMode="External"/><Relationship Id="rId93" Type="http://schemas.openxmlformats.org/officeDocument/2006/relationships/image" Target="media/image18.png"/><Relationship Id="rId98" Type="http://schemas.openxmlformats.org/officeDocument/2006/relationships/hyperlink" Target="http://www.hnvlink.eu/" TargetMode="External"/><Relationship Id="rId121" Type="http://schemas.openxmlformats.org/officeDocument/2006/relationships/hyperlink" Target="http://www.tandfonline.com/doi/abs/10.1080/135467896394447"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enrd.ec.europa.eu/sites/enrd/files/uploaded-files/wp_evaluation_questions_2015.pdf" TargetMode="External"/><Relationship Id="rId38" Type="http://schemas.openxmlformats.org/officeDocument/2006/relationships/footer" Target="footer9.xml"/><Relationship Id="rId46" Type="http://schemas.openxmlformats.org/officeDocument/2006/relationships/hyperlink" Target="http://enrd.ec.europa.eu/news-events/events/enrd-workshop-measure-16-cooperation_en" TargetMode="External"/><Relationship Id="rId59" Type="http://schemas.openxmlformats.org/officeDocument/2006/relationships/hyperlink" Target="https://enrd.ec.europa.eu/evaluation/publications/guidelines-assessment-rdp-results-how-prepare-reporting-evaluation-2017_en" TargetMode="External"/><Relationship Id="rId67" Type="http://schemas.openxmlformats.org/officeDocument/2006/relationships/hyperlink" Target="http://enrd.ec.europa.eu/enrd-static/app_templates/enrd_assets/pdf/guidebook/nrn_handbook_webversion.pdf" TargetMode="External"/><Relationship Id="rId103" Type="http://schemas.openxmlformats.org/officeDocument/2006/relationships/header" Target="header10.xml"/><Relationship Id="rId108" Type="http://schemas.openxmlformats.org/officeDocument/2006/relationships/hyperlink" Target="https://www.gao.gov/products/GAO/PEMD-10.1.9" TargetMode="External"/><Relationship Id="rId116" Type="http://schemas.openxmlformats.org/officeDocument/2006/relationships/hyperlink" Target="http://asq.org/quality-progress/2007/07/statistics/likert-scales-and-data-analyses.html" TargetMode="External"/><Relationship Id="rId124" Type="http://schemas.openxmlformats.org/officeDocument/2006/relationships/hyperlink" Target="http://journals.sagepub.com/doi/abs/10.1177/1356389012451663" TargetMode="External"/><Relationship Id="rId129" Type="http://schemas.openxmlformats.org/officeDocument/2006/relationships/hyperlink" Target="https://ec.europa.eu/eip/agriculture/sites/agri-eip/files/communication_on_eip_-_en.pdf" TargetMode="External"/><Relationship Id="rId13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yperlink" Target="https://enrd.ec.europa.eu/evaluation/publications/guidelines-assessment-rdp-results-how-prepare-reporting-evaluation-2017_en" TargetMode="External"/><Relationship Id="rId54" Type="http://schemas.openxmlformats.org/officeDocument/2006/relationships/hyperlink" Target="https://enrd.ec.europa.eu/evaluation/publications/guidelines-assessment-rdp-results-how-prepare-reporting-evaluation-2017_en" TargetMode="External"/><Relationship Id="rId62" Type="http://schemas.openxmlformats.org/officeDocument/2006/relationships/image" Target="media/image17.png"/><Relationship Id="rId70" Type="http://schemas.openxmlformats.org/officeDocument/2006/relationships/hyperlink" Target="http://enrd.ec.europa.eu/enrd-static/evaluation/good-practices-workshops/national-rural-networks/en/national-rural-networks_en.html" TargetMode="External"/><Relationship Id="rId75" Type="http://schemas.openxmlformats.org/officeDocument/2006/relationships/hyperlink" Target="https://enrd.ec.europa.eu/sites/enrd/files/twg-02-nrn-july2016.pdf" TargetMode="External"/><Relationship Id="rId83" Type="http://schemas.openxmlformats.org/officeDocument/2006/relationships/hyperlink" Target="http://ec.europa.eu/eurostat/statistics-explained/index.php/Smarter,_greener,_more_inclusive_-_indicators_to_support_the_Europe_2020_strategy" TargetMode="External"/><Relationship Id="rId88" Type="http://schemas.openxmlformats.org/officeDocument/2006/relationships/hyperlink" Target="http://ec.europa.eu/eurostat/statistics-explained/index.php/Smarter,_greener,_more_inclusive_-_indicators_to_support_the_Europe_2020_strategy" TargetMode="External"/><Relationship Id="rId91" Type="http://schemas.openxmlformats.org/officeDocument/2006/relationships/hyperlink" Target="http://www.men-d.de/index.php?id=81&amp;tx_ttnews%5btt_news%5d=150&amp;tx_ttnews%5bbackPid%5d=85&amp;cHash=41ecd4ea5c" TargetMode="External"/><Relationship Id="rId96" Type="http://schemas.openxmlformats.org/officeDocument/2006/relationships/hyperlink" Target="https://enrd.ec.europa.eu/sites/enrd/files/uploaded-files/wp_evaluation_questions_2015.pdf" TargetMode="External"/><Relationship Id="rId111" Type="http://schemas.openxmlformats.org/officeDocument/2006/relationships/hyperlink" Target="http://journals.sagepub.com/doi/abs/10.1177/1356389012451663" TargetMode="External"/><Relationship Id="rId132" Type="http://schemas.openxmlformats.org/officeDocument/2006/relationships/hyperlink" Target="http://ec.europa.eu/eip/agriculture/sites/agri-eip/files/16_measure_fiche_art_35_co-operatio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png"/><Relationship Id="rId36" Type="http://schemas.openxmlformats.org/officeDocument/2006/relationships/footer" Target="footer7.xml"/><Relationship Id="rId49" Type="http://schemas.openxmlformats.org/officeDocument/2006/relationships/hyperlink" Target="https://ec.europa.eu/eip/agriculture/sites/agri-eip/files/16_measure_fiche_art_35_co-operation.pdf" TargetMode="External"/><Relationship Id="rId57" Type="http://schemas.openxmlformats.org/officeDocument/2006/relationships/hyperlink" Target="http://enrd.ec.europa.eu/news-events/events/enrd-workshop-measure-16-cooperation_en" TargetMode="External"/><Relationship Id="rId106" Type="http://schemas.openxmlformats.org/officeDocument/2006/relationships/hyperlink" Target="http://ageconsearch.umn.edu/bitstream/52515/2/ILAC_Brief05_Histories.pdf" TargetMode="External"/><Relationship Id="rId114" Type="http://schemas.openxmlformats.org/officeDocument/2006/relationships/hyperlink" Target="https://www.ncbi.nlm.nih.gov/pubmed/16053581" TargetMode="External"/><Relationship Id="rId119" Type="http://schemas.openxmlformats.org/officeDocument/2006/relationships/hyperlink" Target="https://www.gao.gov/products/GAO/PEMD-10.1.9" TargetMode="External"/><Relationship Id="rId127" Type="http://schemas.openxmlformats.org/officeDocument/2006/relationships/hyperlink" Target="http://betterevaluation.org/plan/approach/outcome_harvesting" TargetMode="External"/><Relationship Id="rId10" Type="http://schemas.openxmlformats.org/officeDocument/2006/relationships/image" Target="media/image1.jpg"/><Relationship Id="rId31" Type="http://schemas.openxmlformats.org/officeDocument/2006/relationships/image" Target="media/image12.png"/><Relationship Id="rId44" Type="http://schemas.openxmlformats.org/officeDocument/2006/relationships/hyperlink" Target="https://enrd.ec.europa.eu/evaluation/publications/guidelines-assessment-rdp-results-how-prepare-reporting-evaluation-2017_en" TargetMode="External"/><Relationship Id="rId52" Type="http://schemas.openxmlformats.org/officeDocument/2006/relationships/hyperlink" Target="https://enrd.ec.europa.eu/evaluation/publications/guidelines-assessment-rdp-results-how-prepare-reporting-evaluation-2017_en" TargetMode="External"/><Relationship Id="rId60" Type="http://schemas.openxmlformats.org/officeDocument/2006/relationships/hyperlink" Target="https://ec.europa.eu/eip/agriculture/sites/agri-eip/files/16_measure_fiche_art_35_co-operation.pdf" TargetMode="External"/><Relationship Id="rId65" Type="http://schemas.openxmlformats.org/officeDocument/2006/relationships/hyperlink" Target="https://enrd.ec.europa.eu/evaluation/publications/guidelines-assessment-rdp-results-how-prepare-reporting-evaluation-2017_en" TargetMode="External"/><Relationship Id="rId73" Type="http://schemas.openxmlformats.org/officeDocument/2006/relationships/hyperlink" Target="https://enrd.ec.europa.eu/evaluation/publications/guidelines-assessment-rdp-results-how-prepare-reporting-evaluation-2017_en" TargetMode="External"/><Relationship Id="rId78" Type="http://schemas.openxmlformats.org/officeDocument/2006/relationships/hyperlink" Target="http://enrd.ec.europa.eu/enrd-static/evaluation/good-practices-workshops/national-rural-networks/en/national-rural-networks_en.html" TargetMode="External"/><Relationship Id="rId81" Type="http://schemas.openxmlformats.org/officeDocument/2006/relationships/hyperlink" Target="http://eur-lex.europa.eu/LexUriServ/LexUriServ.do?uri=COM:2010:2020:FIN:EN:PDF" TargetMode="External"/><Relationship Id="rId86" Type="http://schemas.openxmlformats.org/officeDocument/2006/relationships/hyperlink" Target="http://www.men-d.de/index.php?id=81&amp;tx_ttnews%5btt_news%5d=195&amp;tx_ttnews%5bbackPid%5d=85&amp;cHash=08539b2ad7" TargetMode="External"/><Relationship Id="rId94" Type="http://schemas.openxmlformats.org/officeDocument/2006/relationships/header" Target="header8.xml"/><Relationship Id="rId99" Type="http://schemas.openxmlformats.org/officeDocument/2006/relationships/hyperlink" Target="http://www.hnvlink.eu/download/D1.3BAcomplete.pdf" TargetMode="External"/><Relationship Id="rId101" Type="http://schemas.openxmlformats.org/officeDocument/2006/relationships/hyperlink" Target="http://www.hnvlink.eu/download/D1.3BAcomplete.pdf" TargetMode="External"/><Relationship Id="rId122" Type="http://schemas.openxmlformats.org/officeDocument/2006/relationships/hyperlink" Target="http://www.tandfonline.com/doi/abs/10.1080/135467896394447" TargetMode="External"/><Relationship Id="rId130" Type="http://schemas.openxmlformats.org/officeDocument/2006/relationships/hyperlink" Target="http://ec.europa.eu/eip/agriculture/sites/agri-eip/files/eip-guidelines-july-2014_en.pdf" TargetMode="External"/><Relationship Id="rId135"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4.png"/><Relationship Id="rId109" Type="http://schemas.openxmlformats.org/officeDocument/2006/relationships/hyperlink" Target="http://www.tandfonline.com/doi/abs/10.1080/135467896394447" TargetMode="External"/><Relationship Id="rId34" Type="http://schemas.openxmlformats.org/officeDocument/2006/relationships/hyperlink" Target="https://enrd.ec.europa.eu/evaluation/publications/guidelines-assessment-rdp-results-how-prepare-reporting-evaluation-2017_en" TargetMode="External"/><Relationship Id="rId50" Type="http://schemas.openxmlformats.org/officeDocument/2006/relationships/hyperlink" Target="http://enrd.ec.europa.eu/news-events/events/enrd-workshop-measure-16-cooperation_en" TargetMode="External"/><Relationship Id="rId55" Type="http://schemas.openxmlformats.org/officeDocument/2006/relationships/hyperlink" Target="https://enrd.ec.europa.eu/evaluation/publications/guidelines-assessment-rdp-results-how-prepare-reporting-evaluation-2017_en" TargetMode="External"/><Relationship Id="rId76" Type="http://schemas.openxmlformats.org/officeDocument/2006/relationships/hyperlink" Target="https://ec.europa.eu/eip/agriculture/en/publications/guidelines-programming-innovation-and" TargetMode="External"/><Relationship Id="rId97" Type="http://schemas.openxmlformats.org/officeDocument/2006/relationships/hyperlink" Target="https://enrd.ec.europa.eu/sites/enrd/files/uploaded-files/wp_evaluation_questions_2015.pdf" TargetMode="External"/><Relationship Id="rId104" Type="http://schemas.openxmlformats.org/officeDocument/2006/relationships/hyperlink" Target="http://asq.org/quality-progress/2007/07/statistics/likert-scales-and-data-analyses.html" TargetMode="External"/><Relationship Id="rId120" Type="http://schemas.openxmlformats.org/officeDocument/2006/relationships/hyperlink" Target="https://www.gao.gov/products/GAO/PEMD-10.1.9" TargetMode="External"/><Relationship Id="rId125" Type="http://schemas.openxmlformats.org/officeDocument/2006/relationships/hyperlink" Target="http://journals.sagepub.com/doi/abs/10.1177/1356389012451663" TargetMode="External"/><Relationship Id="rId7" Type="http://schemas.openxmlformats.org/officeDocument/2006/relationships/endnotes" Target="endnotes.xml"/><Relationship Id="rId71" Type="http://schemas.openxmlformats.org/officeDocument/2006/relationships/hyperlink" Target="http://enrd.ec.europa.eu/enrd-static/evaluation/good-practices-workshops/national-rural-networks/en/national-rural-networks_en.html" TargetMode="External"/><Relationship Id="rId92" Type="http://schemas.openxmlformats.org/officeDocument/2006/relationships/hyperlink" Target="http://www.men-d.de/index.php?id=81&amp;tx_ttnews%5btt_news%5d=195&amp;tx_ttnews%5bbackPid%5d=85&amp;cHash=08539b2ad7"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emf"/><Relationship Id="rId40" Type="http://schemas.openxmlformats.org/officeDocument/2006/relationships/hyperlink" Target="https://enrd.ec.europa.eu/evaluation/publications/guidelines-assessment-rdp-results-how-prepare-reporting-evaluation-2017_en" TargetMode="External"/><Relationship Id="rId45" Type="http://schemas.openxmlformats.org/officeDocument/2006/relationships/hyperlink" Target="https://ec.europa.eu/eip/agriculture/sites/agri-eip/files/16_measure_fiche_art_35_co-operation.pdf" TargetMode="External"/><Relationship Id="rId66" Type="http://schemas.openxmlformats.org/officeDocument/2006/relationships/hyperlink" Target="https://enrd.ec.europa.eu/evaluation/publications/guidelines-assessment-rdp-results-how-prepare-reporting-evaluation-2017_en" TargetMode="External"/><Relationship Id="rId87" Type="http://schemas.openxmlformats.org/officeDocument/2006/relationships/hyperlink" Target="http://eur-lex.europa.eu/LexUriServ/LexUriServ.do?uri=COM:2010:2020:FIN:EN:PDF" TargetMode="External"/><Relationship Id="rId110" Type="http://schemas.openxmlformats.org/officeDocument/2006/relationships/hyperlink" Target="http://www.tandfonline.com/doi/abs/10.1080/135467896394447" TargetMode="External"/><Relationship Id="rId115" Type="http://schemas.openxmlformats.org/officeDocument/2006/relationships/hyperlink" Target="http://betterevaluation.org/plan/approach/outcome_harvesting" TargetMode="External"/><Relationship Id="rId131" Type="http://schemas.openxmlformats.org/officeDocument/2006/relationships/hyperlink" Target="https://ec.europa.eu/eip/agriculture/en/content/innovation-support-services" TargetMode="External"/><Relationship Id="rId136" Type="http://schemas.openxmlformats.org/officeDocument/2006/relationships/fontTable" Target="fontTable.xml"/><Relationship Id="rId61" Type="http://schemas.openxmlformats.org/officeDocument/2006/relationships/hyperlink" Target="http://enrd.ec.europa.eu/news-events/events/enrd-workshop-measure-16-cooperation_en" TargetMode="External"/><Relationship Id="rId82" Type="http://schemas.openxmlformats.org/officeDocument/2006/relationships/hyperlink" Target="http://ec.europa.eu/eurostat/statistics-explained/index.php/Smarter,_greener,_more_inclusive_-_indicators_to_support_the_Europe_2020_strategy" TargetMode="External"/><Relationship Id="rId19"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europe-2020-in-a-nutshell/targets/index_en.htm" TargetMode="External"/><Relationship Id="rId13" Type="http://schemas.openxmlformats.org/officeDocument/2006/relationships/hyperlink" Target="https://enrd.ec.europa.eu/evaluation/publications/working-document-common-evaluation-questions-rural-development-programmes_en"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eur-lex.europa.eu/legal-content/en/ALL/?uri=CELEX:52010DC2020"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hyperlink" Target="http://www.betterevaluation.org/en/resources/tools/innovation_history/innovation_timeline" TargetMode="External"/><Relationship Id="rId7" Type="http://schemas.openxmlformats.org/officeDocument/2006/relationships/hyperlink" Target="http://ec.europa.eu/europe2020/europe-2020-in-a-nutshell/flagship-initiatives/index_en.htm"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www.reterurale.it/flex/cm/pages/ServeBLOB.php/L/IT/IDPagina/16281" TargetMode="External"/><Relationship Id="rId33" Type="http://schemas.openxmlformats.org/officeDocument/2006/relationships/hyperlink" Target="http://www.betterevaluation.org/en/evaluation-options/processtracing"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www.oecd.org/publications/frascati-manual-2015-9789264239012-en.htm"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hyperlink" Target="https://enrd.ec.europa.eu/evaluation/publications/guidelines-evaluation-national-rural-networks-2014-2020_en" TargetMode="External"/><Relationship Id="rId32" Type="http://schemas.openxmlformats.org/officeDocument/2006/relationships/hyperlink" Target="http://www.analytictech.com/networks/whatis.htm"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ec.europa.eu/europe2020/targets/eu-targets/index_lt.htm" TargetMode="External"/><Relationship Id="rId23" Type="http://schemas.openxmlformats.org/officeDocument/2006/relationships/hyperlink" Target="https://enrd.ec.europa.eu/evaluation/publications/guidelines-evaluation-national-rural-networks-2014-2020_en" TargetMode="External"/><Relationship Id="rId28" Type="http://schemas.openxmlformats.org/officeDocument/2006/relationships/hyperlink" Target="http://ec.europa.eu/eurostat/statistics-explained/index.php/R_&amp;_D_expenditure" TargetMode="External"/><Relationship Id="rId10" Type="http://schemas.openxmlformats.org/officeDocument/2006/relationships/hyperlink" Target="https://enrd.ec.europa.eu/evaluation/publications/guidelines-assessment-rdp-results-how-prepare-reporting-evaluation-2017_en"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enrd.ec.europa.eu/evaluation/publications/working-document-common-evaluation-questions-rural-development-programmes_en" TargetMode="External"/><Relationship Id="rId4" Type="http://schemas.openxmlformats.org/officeDocument/2006/relationships/hyperlink" Target="http://www.gppq.fct.pt/h2020/_docs/brochuras/bioeco/agricultural-knowledge-innovation-systems-towards-2020_en.pdf"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enrd.ec.europa.eu/evaluation/publications/working-document-common-evaluation-questions-rural-development-programmes_en" TargetMode="External"/><Relationship Id="rId27" Type="http://schemas.openxmlformats.org/officeDocument/2006/relationships/hyperlink" Target="http://ec.europa.eu/europe2020/targets/eu-targets/index_lt.htm" TargetMode="External"/><Relationship Id="rId30" Type="http://schemas.openxmlformats.org/officeDocument/2006/relationships/hyperlink" Target="http://ec.europa.eu/eurostat/statistics-explained/index.php/Glossary:Gross_domestic_expenditure_on_R_&amp;_D_(GERD)" TargetMode="External"/><Relationship Id="rId35" Type="http://schemas.openxmlformats.org/officeDocument/2006/relationships/hyperlink" Target="http://www.socialresearchmethods.net/kb/scallik.php"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44C80-B51D-45DF-A98C-6ED5EFBD6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81</Pages>
  <Words>21313</Words>
  <Characters>121487</Characters>
  <Application>Microsoft Office Word</Application>
  <DocSecurity>0</DocSecurity>
  <Lines>1012</Lines>
  <Paragraphs>285</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142515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Myles Stiffler</dc:creator>
  <cp:lastModifiedBy>Valerie Dumont</cp:lastModifiedBy>
  <cp:revision>4</cp:revision>
  <cp:lastPrinted>2018-01-12T09:16:00Z</cp:lastPrinted>
  <dcterms:created xsi:type="dcterms:W3CDTF">2018-03-20T10:39:00Z</dcterms:created>
  <dcterms:modified xsi:type="dcterms:W3CDTF">2018-03-20T10:46:00Z</dcterms:modified>
</cp:coreProperties>
</file>