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1856" behindDoc="1" locked="0" layoutInCell="1" allowOverlap="1" wp14:anchorId="6C8EB33A" wp14:editId="397EA611">
                <wp:simplePos x="0" y="0"/>
                <wp:positionH relativeFrom="page">
                  <wp:posOffset>850265</wp:posOffset>
                </wp:positionH>
                <wp:positionV relativeFrom="page">
                  <wp:posOffset>5024755</wp:posOffset>
                </wp:positionV>
                <wp:extent cx="6034405" cy="3990975"/>
                <wp:effectExtent l="0" t="0" r="4445" b="9525"/>
                <wp:wrapTight wrapText="bothSides">
                  <wp:wrapPolygon edited="0">
                    <wp:start x="0" y="0"/>
                    <wp:lineTo x="0" y="21548"/>
                    <wp:lineTo x="21548" y="21548"/>
                    <wp:lineTo x="2154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399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9CB" w:rsidRPr="00DD6E53" w:rsidRDefault="005139CB" w:rsidP="00E05D08">
                            <w:pPr>
                              <w:pStyle w:val="HTitle1"/>
                            </w:pPr>
                            <w:r>
                              <w:t xml:space="preserve">Iránymutatás </w:t>
                            </w:r>
                          </w:p>
                          <w:p w:rsidR="005139CB" w:rsidRPr="00DD6E53" w:rsidRDefault="005139CB" w:rsidP="00C947BA">
                            <w:pPr>
                              <w:pStyle w:val="HTitle2"/>
                              <w:jc w:val="left"/>
                            </w:pPr>
                            <w:bookmarkStart w:id="1" w:name="_Hlk501355929"/>
                            <w:r>
                              <w:t xml:space="preserve">A 2014–2020-as időszakra vonatkozó vidékfejlesztési programok </w:t>
                            </w:r>
                            <w:r>
                              <w:br/>
                              <w:t>keretében végrehajtott innováció értékelése</w:t>
                            </w:r>
                            <w:bookmarkEnd w:id="1"/>
                            <w:r>
                              <w:t xml:space="preserve"> </w:t>
                            </w:r>
                          </w:p>
                          <w:p w:rsidR="005139CB" w:rsidRPr="00DD6E53" w:rsidRDefault="005139CB" w:rsidP="00E05D08">
                            <w:pPr>
                              <w:rPr>
                                <w:color w:val="6F6F6F"/>
                                <w:sz w:val="28"/>
                                <w:szCs w:val="28"/>
                              </w:rPr>
                            </w:pPr>
                          </w:p>
                          <w:p w:rsidR="005139CB" w:rsidRDefault="005139CB" w:rsidP="00E05D08">
                            <w:pPr>
                              <w:pStyle w:val="HTitle3"/>
                            </w:pPr>
                            <w:r>
                              <w:t xml:space="preserve">2017. december </w:t>
                            </w:r>
                          </w:p>
                          <w:p w:rsidR="005139CB" w:rsidRDefault="005139CB" w:rsidP="00E05D08">
                            <w:pPr>
                              <w:pStyle w:val="HTitle3"/>
                            </w:pPr>
                          </w:p>
                          <w:p w:rsidR="005139CB" w:rsidRDefault="005139CB" w:rsidP="00E05D08">
                            <w:pPr>
                              <w:pStyle w:val="HTitle3"/>
                            </w:pPr>
                          </w:p>
                          <w:p w:rsidR="005139CB" w:rsidRDefault="005139CB" w:rsidP="00E05D08">
                            <w:pPr>
                              <w:pStyle w:val="HTitle3"/>
                            </w:pPr>
                          </w:p>
                          <w:p w:rsidR="005139CB" w:rsidRPr="00763ECB" w:rsidRDefault="005139CB" w:rsidP="00912430">
                            <w:pPr>
                              <w:rPr>
                                <w:color w:val="auto"/>
                                <w:sz w:val="18"/>
                                <w:szCs w:val="18"/>
                              </w:rPr>
                            </w:pPr>
                            <w:r w:rsidRPr="00763ECB">
                              <w:rPr>
                                <w:i/>
                                <w:sz w:val="18"/>
                                <w:szCs w:val="18"/>
                              </w:rPr>
                              <w:t xml:space="preserve">Ez a dokumentum az „Iránymutatás: A 2014–2020-as időszakra vonatkozó vidékfejlesztési programok keretében végrehajtott innováció értékelése” című dokumentum 2017. decemberi változatának fordítását tartalmazza. E fordítás célja, hogy az iránymutatást hasznosabbá és elérhetőbbé tegye valamennyi érdekelt fél számára. Megjegyzendő, hogy az angol változat használandó végleges referenciaszövegként. Az angol változat </w:t>
                            </w:r>
                            <w:hyperlink r:id="rId8" w:tgtFrame="_blank" w:history="1">
                              <w:r w:rsidRPr="00763ECB">
                                <w:rPr>
                                  <w:rStyle w:val="Hyperlink"/>
                                  <w:i/>
                                  <w:sz w:val="18"/>
                                  <w:szCs w:val="18"/>
                                </w:rPr>
                                <w:t>ezen a linken</w:t>
                              </w:r>
                            </w:hyperlink>
                            <w:r w:rsidRPr="00763ECB">
                              <w:rPr>
                                <w:rStyle w:val="Hyperlink"/>
                                <w:color w:val="auto"/>
                                <w:sz w:val="18"/>
                                <w:szCs w:val="18"/>
                                <w:u w:val="none"/>
                              </w:rPr>
                              <w:t xml:space="preserve"> érhető 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66.95pt;margin-top:395.65pt;width:475.15pt;height:314.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2TrwIAAKo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" filled="f" stroked="f">
                <v:textbox inset="0,0,0,0">
                  <w:txbxContent>
                    <w:p w:rsidR="005139CB" w:rsidRPr="00DD6E53" w:rsidRDefault="005139CB" w:rsidP="00E05D08">
                      <w:pPr>
                        <w:pStyle w:val="HTitle1"/>
                      </w:pPr>
                      <w:r>
                        <w:t xml:space="preserve">Iránymutatás </w:t>
                      </w:r>
                    </w:p>
                    <w:p w:rsidR="005139CB" w:rsidRPr="00DD6E53" w:rsidRDefault="005139CB" w:rsidP="00C947BA">
                      <w:pPr>
                        <w:pStyle w:val="HTitle2"/>
                        <w:jc w:val="left"/>
                      </w:pPr>
                      <w:bookmarkStart w:id="2" w:name="_Hlk501355929"/>
                      <w:r>
                        <w:t xml:space="preserve">A 2014–2020-as időszakra vonatkozó vidékfejlesztési programok </w:t>
                      </w:r>
                      <w:r>
                        <w:br/>
                        <w:t>keretében végrehajtott innováció értékelése</w:t>
                      </w:r>
                      <w:bookmarkEnd w:id="2"/>
                      <w:r>
                        <w:t xml:space="preserve"> </w:t>
                      </w:r>
                    </w:p>
                    <w:p w:rsidR="005139CB" w:rsidRPr="00DD6E53" w:rsidRDefault="005139CB" w:rsidP="00E05D08">
                      <w:pPr>
                        <w:rPr>
                          <w:color w:val="6F6F6F"/>
                          <w:sz w:val="28"/>
                          <w:szCs w:val="28"/>
                        </w:rPr>
                      </w:pPr>
                    </w:p>
                    <w:p w:rsidR="005139CB" w:rsidRDefault="005139CB" w:rsidP="00E05D08">
                      <w:pPr>
                        <w:pStyle w:val="HTitle3"/>
                      </w:pPr>
                      <w:r>
                        <w:t xml:space="preserve">2017. december </w:t>
                      </w:r>
                    </w:p>
                    <w:p w:rsidR="005139CB" w:rsidRDefault="005139CB" w:rsidP="00E05D08">
                      <w:pPr>
                        <w:pStyle w:val="HTitle3"/>
                      </w:pPr>
                    </w:p>
                    <w:p w:rsidR="005139CB" w:rsidRDefault="005139CB" w:rsidP="00E05D08">
                      <w:pPr>
                        <w:pStyle w:val="HTitle3"/>
                      </w:pPr>
                    </w:p>
                    <w:p w:rsidR="005139CB" w:rsidRDefault="005139CB" w:rsidP="00E05D08">
                      <w:pPr>
                        <w:pStyle w:val="HTitle3"/>
                      </w:pPr>
                    </w:p>
                    <w:p w:rsidR="005139CB" w:rsidRPr="00763ECB" w:rsidRDefault="005139CB" w:rsidP="00912430">
                      <w:pPr>
                        <w:rPr>
                          <w:color w:val="auto"/>
                          <w:sz w:val="18"/>
                          <w:szCs w:val="18"/>
                        </w:rPr>
                      </w:pPr>
                      <w:r w:rsidRPr="00763ECB">
                        <w:rPr>
                          <w:i/>
                          <w:sz w:val="18"/>
                          <w:szCs w:val="18"/>
                        </w:rPr>
                        <w:t xml:space="preserve">Ez a dokumentum az „Iránymutatás: A 2014–2020-as időszakra vonatkozó vidékfejlesztési programok keretében végrehajtott innováció értékelése” című dokumentum 2017. decemberi változatának fordítását tartalmazza. E fordítás célja, hogy az iránymutatást hasznosabbá és elérhetőbbé tegye valamennyi érdekelt fél számára. Megjegyzendő, hogy az angol változat használandó végleges referenciaszövegként. Az angol változat </w:t>
                      </w:r>
                      <w:hyperlink r:id="rId9" w:tgtFrame="_blank" w:history="1">
                        <w:r w:rsidRPr="00763ECB">
                          <w:rPr>
                            <w:rStyle w:val="Hyperlink"/>
                            <w:i/>
                            <w:sz w:val="18"/>
                            <w:szCs w:val="18"/>
                          </w:rPr>
                          <w:t>ezen a linken</w:t>
                        </w:r>
                      </w:hyperlink>
                      <w:r w:rsidRPr="00763ECB">
                        <w:rPr>
                          <w:rStyle w:val="Hyperlink"/>
                          <w:color w:val="auto"/>
                          <w:sz w:val="18"/>
                          <w:szCs w:val="18"/>
                          <w:u w:val="none"/>
                        </w:rPr>
                        <w:t xml:space="preserve"> érhető el.</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2880"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139CB" w:rsidRPr="007F1B7F" w:rsidRDefault="005139CB" w:rsidP="00E05D08">
                            <w:pPr>
                              <w:pStyle w:val="Normal12PTcouleurgris"/>
                              <w:rPr>
                                <w:sz w:val="18"/>
                              </w:rPr>
                            </w:pPr>
                            <w:r>
                              <w:rPr>
                                <w:sz w:val="18"/>
                              </w:rPr>
                              <w:t>Szerzői jogi nyilatkozat</w:t>
                            </w:r>
                          </w:p>
                          <w:p w:rsidR="005139CB" w:rsidRPr="007F1B7F" w:rsidRDefault="005139CB" w:rsidP="00E05D08">
                            <w:pPr>
                              <w:pStyle w:val="Normal12PTcouleurgris"/>
                              <w:rPr>
                                <w:sz w:val="18"/>
                              </w:rPr>
                            </w:pPr>
                            <w:r>
                              <w:rPr>
                                <w:sz w:val="18"/>
                              </w:rPr>
                              <w:t>© Európai Unió, 2017</w:t>
                            </w:r>
                          </w:p>
                          <w:p w:rsidR="005139CB" w:rsidRPr="007F1B7F" w:rsidRDefault="005139CB" w:rsidP="00E05D08">
                            <w:pPr>
                              <w:pStyle w:val="Normal12PTcouleurgris"/>
                              <w:rPr>
                                <w:sz w:val="18"/>
                              </w:rPr>
                            </w:pPr>
                            <w:r>
                              <w:rPr>
                                <w:sz w:val="18"/>
                              </w:rPr>
                              <w:t>A sokszorosítás a forrás megnevezésével engedélyezett.</w:t>
                            </w:r>
                          </w:p>
                          <w:p w:rsidR="005139CB" w:rsidRPr="0002668A" w:rsidRDefault="005139CB" w:rsidP="00E05D08">
                            <w:pPr>
                              <w:pStyle w:val="Normal12PTcouleurgris"/>
                              <w:rPr>
                                <w:sz w:val="18"/>
                              </w:rPr>
                            </w:pPr>
                            <w:r>
                              <w:rPr>
                                <w:bCs/>
                                <w:sz w:val="18"/>
                                <w:u w:val="single"/>
                              </w:rPr>
                              <w:t>Ajánlott hivatkozás</w:t>
                            </w:r>
                            <w:r>
                              <w:rPr>
                                <w:bCs/>
                                <w:sz w:val="18"/>
                              </w:rPr>
                              <w:t>:</w:t>
                            </w:r>
                            <w:r>
                              <w:rPr>
                                <w:sz w:val="18"/>
                              </w:rPr>
                              <w:t xml:space="preserve"> </w:t>
                            </w:r>
                          </w:p>
                          <w:p w:rsidR="005139CB" w:rsidRPr="0002668A" w:rsidRDefault="005139CB" w:rsidP="00E05D08">
                            <w:pPr>
                              <w:pStyle w:val="Normal12PTcouleurgris"/>
                              <w:rPr>
                                <w:sz w:val="18"/>
                              </w:rPr>
                            </w:pPr>
                            <w:r>
                              <w:rPr>
                                <w:sz w:val="18"/>
                              </w:rPr>
                              <w:t>Európai Bizottság, Mezőgazdasági és Vidékfejlesztési Főigazgatóság, C.4. egység (2017): Iránymutatás. A 2014–2020-as időszakra vonatkozó vidékfejlesztési programok keretében végrehajtott innováció értékelése</w:t>
                            </w:r>
                          </w:p>
                          <w:p w:rsidR="005139CB" w:rsidRPr="0002668A" w:rsidRDefault="005139CB" w:rsidP="00E05D08">
                            <w:pPr>
                              <w:pStyle w:val="Normal12PTcouleurgris"/>
                              <w:rPr>
                                <w:bCs/>
                                <w:sz w:val="18"/>
                                <w:u w:val="single"/>
                              </w:rPr>
                            </w:pPr>
                            <w:r>
                              <w:rPr>
                                <w:bCs/>
                                <w:sz w:val="18"/>
                                <w:u w:val="single"/>
                              </w:rPr>
                              <w:t>Felelősségkizáró nyilatkozat:</w:t>
                            </w:r>
                          </w:p>
                          <w:p w:rsidR="005139CB" w:rsidRPr="0002668A" w:rsidRDefault="005139CB" w:rsidP="00E05D08">
                            <w:pPr>
                              <w:pStyle w:val="Normal12PTcouleurgris"/>
                              <w:rPr>
                                <w:sz w:val="18"/>
                              </w:rPr>
                            </w:pPr>
                            <w:r>
                              <w:rPr>
                                <w:sz w:val="18"/>
                              </w:rPr>
                              <w:t>Az e jelentésben közzétett információk és nézetek a szerző(k) véleményét tükrözik, és nem feltétlenül egyeznek meg a Bizottság hivatalos álláspontjával. A Bizottság nem vállal garanciát a jelentésben szereplő információk pontosságáért. Sem a Bizottság, sem pedig a Bizottság nevében eljáró személyek nem vonhatók felelősségre az itt közreadott információk bármilyen jellegű felhasználásáért.</w:t>
                            </w:r>
                          </w:p>
                          <w:p w:rsidR="005139CB" w:rsidRPr="000B1DDA" w:rsidRDefault="005139CB" w:rsidP="00E05D08">
                            <w:pPr>
                              <w:pStyle w:val="Normal12PTcouleurgris"/>
                            </w:pPr>
                          </w:p>
                          <w:p w:rsidR="005139CB" w:rsidRPr="004D4D87" w:rsidRDefault="005139CB" w:rsidP="00E05D08">
                            <w:pPr>
                              <w:pStyle w:val="Normal12PTcouleurgris"/>
                            </w:pPr>
                            <w:r>
                              <w:rPr>
                                <w:noProof/>
                                <w:lang w:val="en-GB" w:eastAsia="en-GB"/>
                              </w:rPr>
                              <w:drawing>
                                <wp:inline distT="0" distB="0" distL="0" distR="0" wp14:anchorId="528FF855" wp14:editId="7836C99D">
                                  <wp:extent cx="1676400" cy="792474"/>
                                  <wp:effectExtent l="0" t="0" r="0" b="8255"/>
                                  <wp:docPr id="85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857"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39CB" w:rsidRPr="00E05D08" w:rsidRDefault="005139CB" w:rsidP="00E05D08">
                            <w:pPr>
                              <w:pStyle w:val="Normal12PTcouleurgris"/>
                              <w:rPr>
                                <w:color w:val="BFBFBF"/>
                              </w:rPr>
                            </w:pPr>
                          </w:p>
                          <w:p w:rsidR="005139CB" w:rsidRPr="007F1B7F" w:rsidRDefault="005139CB" w:rsidP="00E05D08">
                            <w:pPr>
                              <w:pStyle w:val="Normal12PTcouleurgris"/>
                              <w:rPr>
                                <w:sz w:val="18"/>
                              </w:rPr>
                            </w:pPr>
                            <w:r>
                              <w:rPr>
                                <w:sz w:val="18"/>
                              </w:rPr>
                              <w:t>Az Európai Vidékfejlesztési Hálózaton (EVH) belül az értékelési támogató szolgálat felel az értékelési feladatokért azáltal, hogy az Európai Bizottság Mezőgazdasági és Vidékfejlesztési Főigazgatósága „Nyomon követés és értékelés” elnevezésű C.4. egységének hatáskörébe és irányítása alá eső VFP-k és szakpolitikák értékeléséhez iránymutatást nyújt. Az uniós vidékfejlesztési politika értékelésének javítása érdekében az értékelési támogató szolgálat megfelelő módszertanok, valamint eszközök kidolgozásával és közzétételével, helyes gyakorlatok összegyűjtésével és továbbadásával, kapacitásépítéssel, továbbá az értékeléshez kapcsolódó témákban a hálózat tagjaival folytatott párbeszéddel támogatja az értékelésben érdekelt feleket, különösen a Mezőgazdasági és Vidékfejlesztési Főigazgatóságot, a nemzeti hatóságokat, a VFP-k irányító hatóságait és értékelőit.</w:t>
                            </w:r>
                          </w:p>
                          <w:p w:rsidR="005139CB" w:rsidRPr="007F1B7F" w:rsidRDefault="005139CB" w:rsidP="00E05D08">
                            <w:pPr>
                              <w:pStyle w:val="Normal12PTcouleurgris"/>
                              <w:rPr>
                                <w:sz w:val="18"/>
                              </w:rPr>
                            </w:pPr>
                            <w:r>
                              <w:rPr>
                                <w:sz w:val="18"/>
                              </w:rPr>
                              <w:t>Az európai vidékfejlesztési értékelési támogató szolgálat tevékenységeire vonatkozó további információk az interneten, az Europa szerveren (http://enrd.ec.europa.eu) találhatók.</w:t>
                            </w:r>
                          </w:p>
                          <w:p w:rsidR="005139CB" w:rsidRPr="00811EF1" w:rsidRDefault="005139CB"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5139CB" w:rsidRPr="007F1B7F" w:rsidRDefault="005139CB" w:rsidP="00E05D08">
                      <w:pPr>
                        <w:pStyle w:val="Normal12PTcouleurgris"/>
                        <w:rPr>
                          <w:sz w:val="18"/>
                        </w:rPr>
                      </w:pPr>
                      <w:r>
                        <w:rPr>
                          <w:sz w:val="18"/>
                        </w:rPr>
                        <w:t>Szerzői jogi nyilatkozat</w:t>
                      </w:r>
                    </w:p>
                    <w:p w:rsidR="005139CB" w:rsidRPr="007F1B7F" w:rsidRDefault="005139CB" w:rsidP="00E05D08">
                      <w:pPr>
                        <w:pStyle w:val="Normal12PTcouleurgris"/>
                        <w:rPr>
                          <w:sz w:val="18"/>
                        </w:rPr>
                      </w:pPr>
                      <w:r>
                        <w:rPr>
                          <w:sz w:val="18"/>
                        </w:rPr>
                        <w:t>© Európai Unió, 2017</w:t>
                      </w:r>
                    </w:p>
                    <w:p w:rsidR="005139CB" w:rsidRPr="007F1B7F" w:rsidRDefault="005139CB" w:rsidP="00E05D08">
                      <w:pPr>
                        <w:pStyle w:val="Normal12PTcouleurgris"/>
                        <w:rPr>
                          <w:sz w:val="18"/>
                        </w:rPr>
                      </w:pPr>
                      <w:r>
                        <w:rPr>
                          <w:sz w:val="18"/>
                        </w:rPr>
                        <w:t>A sokszorosítás a forrás megnevezésével engedélyezett.</w:t>
                      </w:r>
                    </w:p>
                    <w:p w:rsidR="005139CB" w:rsidRPr="0002668A" w:rsidRDefault="005139CB" w:rsidP="00E05D08">
                      <w:pPr>
                        <w:pStyle w:val="Normal12PTcouleurgris"/>
                        <w:rPr>
                          <w:sz w:val="18"/>
                        </w:rPr>
                      </w:pPr>
                      <w:r>
                        <w:rPr>
                          <w:bCs/>
                          <w:sz w:val="18"/>
                          <w:u w:val="single"/>
                        </w:rPr>
                        <w:t>Ajánlott hivatkozás</w:t>
                      </w:r>
                      <w:r>
                        <w:rPr>
                          <w:bCs/>
                          <w:sz w:val="18"/>
                        </w:rPr>
                        <w:t>:</w:t>
                      </w:r>
                      <w:r>
                        <w:rPr>
                          <w:sz w:val="18"/>
                        </w:rPr>
                        <w:t xml:space="preserve"> </w:t>
                      </w:r>
                    </w:p>
                    <w:p w:rsidR="005139CB" w:rsidRPr="0002668A" w:rsidRDefault="005139CB" w:rsidP="00E05D08">
                      <w:pPr>
                        <w:pStyle w:val="Normal12PTcouleurgris"/>
                        <w:rPr>
                          <w:sz w:val="18"/>
                        </w:rPr>
                      </w:pPr>
                      <w:r>
                        <w:rPr>
                          <w:sz w:val="18"/>
                        </w:rPr>
                        <w:t>Európai Bizottság, Mezőgazdasági és Vidékfejlesztési Főigazgatóság, C.4. egység (2017): Iránymutatás. A 2014–2020-as időszakra vonatkozó vidékfejlesztési programok keretében végrehajtott innováció értékelése</w:t>
                      </w:r>
                    </w:p>
                    <w:p w:rsidR="005139CB" w:rsidRPr="0002668A" w:rsidRDefault="005139CB" w:rsidP="00E05D08">
                      <w:pPr>
                        <w:pStyle w:val="Normal12PTcouleurgris"/>
                        <w:rPr>
                          <w:bCs/>
                          <w:sz w:val="18"/>
                          <w:u w:val="single"/>
                        </w:rPr>
                      </w:pPr>
                      <w:r>
                        <w:rPr>
                          <w:bCs/>
                          <w:sz w:val="18"/>
                          <w:u w:val="single"/>
                        </w:rPr>
                        <w:t>Felelősségkizáró nyilatkozat:</w:t>
                      </w:r>
                    </w:p>
                    <w:p w:rsidR="005139CB" w:rsidRPr="0002668A" w:rsidRDefault="005139CB" w:rsidP="00E05D08">
                      <w:pPr>
                        <w:pStyle w:val="Normal12PTcouleurgris"/>
                        <w:rPr>
                          <w:sz w:val="18"/>
                        </w:rPr>
                      </w:pPr>
                      <w:r>
                        <w:rPr>
                          <w:sz w:val="18"/>
                        </w:rPr>
                        <w:t>Az e jelentésben közzétett információk és nézetek a szerző(k) véleményét tükrözik, és nem feltétlenül egyeznek meg a Bizottság hivatalos álláspontjával. A Bizottság nem vállal garanciát a jelentésben szereplő információk pontosságáért. Sem a Bizottság, sem pedig a Bizottság nevében eljáró személyek nem vonhatók felelősségre az itt közreadott információk bármilyen jellegű felhasználásáért.</w:t>
                      </w:r>
                    </w:p>
                    <w:p w:rsidR="005139CB" w:rsidRPr="000B1DDA" w:rsidRDefault="005139CB" w:rsidP="00E05D08">
                      <w:pPr>
                        <w:pStyle w:val="Normal12PTcouleurgris"/>
                      </w:pPr>
                    </w:p>
                    <w:p w:rsidR="005139CB" w:rsidRPr="004D4D87" w:rsidRDefault="005139CB" w:rsidP="00E05D08">
                      <w:pPr>
                        <w:pStyle w:val="Normal12PTcouleurgris"/>
                      </w:pPr>
                      <w:r>
                        <w:rPr>
                          <w:noProof/>
                          <w:lang w:val="en-GB" w:eastAsia="en-GB"/>
                        </w:rPr>
                        <w:drawing>
                          <wp:inline distT="0" distB="0" distL="0" distR="0" wp14:anchorId="528FF855" wp14:editId="7836C99D">
                            <wp:extent cx="1676400" cy="792474"/>
                            <wp:effectExtent l="0" t="0" r="0" b="8255"/>
                            <wp:docPr id="85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857"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39CB" w:rsidRPr="00E05D08" w:rsidRDefault="005139CB" w:rsidP="00E05D08">
                      <w:pPr>
                        <w:pStyle w:val="Normal12PTcouleurgris"/>
                        <w:rPr>
                          <w:color w:val="BFBFBF"/>
                        </w:rPr>
                      </w:pPr>
                    </w:p>
                    <w:p w:rsidR="005139CB" w:rsidRPr="007F1B7F" w:rsidRDefault="005139CB" w:rsidP="00E05D08">
                      <w:pPr>
                        <w:pStyle w:val="Normal12PTcouleurgris"/>
                        <w:rPr>
                          <w:sz w:val="18"/>
                        </w:rPr>
                      </w:pPr>
                      <w:r>
                        <w:rPr>
                          <w:sz w:val="18"/>
                        </w:rPr>
                        <w:t>Az Európai Vidékfejlesztési Hálózaton (EVH) belül az értékelési támogató szolgálat felel az értékelési feladatokért azáltal, hogy az Európai Bizottság Mezőgazdasági és Vidékfejlesztési Főigazgatósága „Nyomon követés és értékelés” elnevezésű C.4. egységének hatáskörébe és irányítása alá eső VFP-k és szakpolitikák értékeléséhez iránymutatást nyújt. Az uniós vidékfejlesztési politika értékelésének javítása érdekében az értékelési támogató szolgálat megfelelő módszertanok, valamint eszközök kidolgozásával és közzétételével, helyes gyakorlatok összegyűjtésével és továbbadásával, kapacitásépítéssel, továbbá az értékeléshez kapcsolódó témákban a hálózat tagjaival folytatott párbeszéddel támogatja az értékelésben érdekelt feleket, különösen a Mezőgazdasági és Vidékfejlesztési Főigazgatóságot, a nemzeti hatóságokat, a VFP-k irányító hatóságait és értékelőit.</w:t>
                      </w:r>
                    </w:p>
                    <w:p w:rsidR="005139CB" w:rsidRPr="007F1B7F" w:rsidRDefault="005139CB" w:rsidP="00E05D08">
                      <w:pPr>
                        <w:pStyle w:val="Normal12PTcouleurgris"/>
                        <w:rPr>
                          <w:sz w:val="18"/>
                        </w:rPr>
                      </w:pPr>
                      <w:r>
                        <w:rPr>
                          <w:sz w:val="18"/>
                        </w:rPr>
                        <w:t>Az európai vidékfejlesztési értékelési támogató szolgálat tevékenységeire vonatkozó további információk az interneten, az Europa szerveren (http://enrd.ec.europa.eu) találhatók.</w:t>
                      </w:r>
                    </w:p>
                    <w:p w:rsidR="005139CB" w:rsidRPr="00811EF1" w:rsidRDefault="005139CB"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44928"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9CB" w:rsidRPr="002D3552" w:rsidRDefault="005139CB" w:rsidP="00E05D08">
                            <w:pPr>
                              <w:pStyle w:val="HTitle1"/>
                            </w:pPr>
                            <w:r>
                              <w:t xml:space="preserve">Iránymutatás </w:t>
                            </w:r>
                          </w:p>
                          <w:p w:rsidR="005139CB" w:rsidRPr="00DD6E53" w:rsidRDefault="005139CB" w:rsidP="00C947BA">
                            <w:pPr>
                              <w:pStyle w:val="HTitle2"/>
                              <w:jc w:val="left"/>
                            </w:pPr>
                            <w:r>
                              <w:t xml:space="preserve">A 2014–2020-as időszakra vonatkozó vidékfejlesztési programok </w:t>
                            </w:r>
                            <w:r>
                              <w:br/>
                              <w:t xml:space="preserve">keretében végrehajtott innováció értékelése </w:t>
                            </w:r>
                          </w:p>
                          <w:p w:rsidR="005139CB" w:rsidRPr="00DD6E53" w:rsidRDefault="005139CB" w:rsidP="00E05D08">
                            <w:pPr>
                              <w:rPr>
                                <w:color w:val="6F6F6F"/>
                                <w:sz w:val="28"/>
                                <w:szCs w:val="28"/>
                              </w:rPr>
                            </w:pPr>
                          </w:p>
                          <w:p w:rsidR="005139CB" w:rsidRDefault="005139CB" w:rsidP="00E05D08">
                            <w:pPr>
                              <w:pStyle w:val="HTitle3"/>
                            </w:pPr>
                            <w:r>
                              <w:t xml:space="preserve">2017. december </w:t>
                            </w:r>
                          </w:p>
                          <w:p w:rsidR="005139CB" w:rsidRPr="00BE49CF" w:rsidRDefault="005139CB"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5139CB" w:rsidRPr="002D3552" w:rsidRDefault="005139CB" w:rsidP="00E05D08">
                      <w:pPr>
                        <w:pStyle w:val="HTitle1"/>
                      </w:pPr>
                      <w:r>
                        <w:t xml:space="preserve">Iránymutatás </w:t>
                      </w:r>
                    </w:p>
                    <w:p w:rsidR="005139CB" w:rsidRPr="00DD6E53" w:rsidRDefault="005139CB" w:rsidP="00C947BA">
                      <w:pPr>
                        <w:pStyle w:val="HTitle2"/>
                        <w:jc w:val="left"/>
                      </w:pPr>
                      <w:r>
                        <w:t xml:space="preserve">A 2014–2020-as időszakra vonatkozó vidékfejlesztési programok </w:t>
                      </w:r>
                      <w:r>
                        <w:br/>
                        <w:t xml:space="preserve">keretében végrehajtott innováció értékelése </w:t>
                      </w:r>
                    </w:p>
                    <w:p w:rsidR="005139CB" w:rsidRPr="00DD6E53" w:rsidRDefault="005139CB" w:rsidP="00E05D08">
                      <w:pPr>
                        <w:rPr>
                          <w:color w:val="6F6F6F"/>
                          <w:sz w:val="28"/>
                          <w:szCs w:val="28"/>
                        </w:rPr>
                      </w:pPr>
                    </w:p>
                    <w:p w:rsidR="005139CB" w:rsidRDefault="005139CB" w:rsidP="00E05D08">
                      <w:pPr>
                        <w:pStyle w:val="HTitle3"/>
                      </w:pPr>
                      <w:r>
                        <w:t xml:space="preserve">2017. december </w:t>
                      </w:r>
                    </w:p>
                    <w:p w:rsidR="005139CB" w:rsidRPr="00BE49CF" w:rsidRDefault="005139CB"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Tartalomjegyzék</w:t>
      </w:r>
    </w:p>
    <w:p w:rsidR="004D000A"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982255" w:history="1">
        <w:r w:rsidR="004D000A" w:rsidRPr="00DE0604">
          <w:rPr>
            <w:rStyle w:val="Hyperlink"/>
            <w:noProof/>
          </w:rPr>
          <w:t>1.</w:t>
        </w:r>
        <w:r w:rsidR="004D000A">
          <w:rPr>
            <w:rFonts w:asciiTheme="minorHAnsi" w:eastAsiaTheme="minorEastAsia" w:hAnsiTheme="minorHAnsi"/>
            <w:b w:val="0"/>
            <w:caps w:val="0"/>
            <w:noProof/>
            <w:color w:val="auto"/>
            <w:sz w:val="22"/>
            <w:lang w:val="en-GB" w:eastAsia="en-GB"/>
          </w:rPr>
          <w:tab/>
        </w:r>
        <w:r w:rsidR="004D000A" w:rsidRPr="00DE0604">
          <w:rPr>
            <w:rStyle w:val="Hyperlink"/>
            <w:noProof/>
          </w:rPr>
          <w:t>FOGALMI KERET</w:t>
        </w:r>
        <w:r w:rsidR="004D000A">
          <w:rPr>
            <w:noProof/>
            <w:webHidden/>
          </w:rPr>
          <w:tab/>
        </w:r>
        <w:r w:rsidR="004D000A">
          <w:rPr>
            <w:noProof/>
            <w:webHidden/>
          </w:rPr>
          <w:fldChar w:fldCharType="begin"/>
        </w:r>
        <w:r w:rsidR="004D000A">
          <w:rPr>
            <w:noProof/>
            <w:webHidden/>
          </w:rPr>
          <w:instrText xml:space="preserve"> PAGEREF _Toc508982255 \h </w:instrText>
        </w:r>
        <w:r w:rsidR="004D000A">
          <w:rPr>
            <w:noProof/>
            <w:webHidden/>
          </w:rPr>
        </w:r>
        <w:r w:rsidR="004D000A">
          <w:rPr>
            <w:noProof/>
            <w:webHidden/>
          </w:rPr>
          <w:fldChar w:fldCharType="separate"/>
        </w:r>
        <w:r w:rsidR="00E446F7">
          <w:rPr>
            <w:noProof/>
            <w:webHidden/>
          </w:rPr>
          <w:t>4</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56" w:history="1">
        <w:r w:rsidR="004D000A" w:rsidRPr="00DE0604">
          <w:rPr>
            <w:rStyle w:val="Hyperlink"/>
            <w:noProof/>
          </w:rPr>
          <w:t>1.1.</w:t>
        </w:r>
        <w:r w:rsidR="004D000A">
          <w:rPr>
            <w:rFonts w:asciiTheme="minorHAnsi" w:eastAsiaTheme="minorEastAsia" w:hAnsiTheme="minorHAnsi"/>
            <w:noProof/>
            <w:color w:val="auto"/>
            <w:sz w:val="22"/>
            <w:lang w:val="en-GB" w:eastAsia="en-GB"/>
          </w:rPr>
          <w:tab/>
        </w:r>
        <w:r w:rsidR="004D000A" w:rsidRPr="00DE0604">
          <w:rPr>
            <w:rStyle w:val="Hyperlink"/>
            <w:noProof/>
          </w:rPr>
          <w:t>Innováció és vidékfejlesztés</w:t>
        </w:r>
        <w:r w:rsidR="004D000A">
          <w:rPr>
            <w:noProof/>
            <w:webHidden/>
          </w:rPr>
          <w:tab/>
        </w:r>
        <w:r w:rsidR="004D000A">
          <w:rPr>
            <w:noProof/>
            <w:webHidden/>
          </w:rPr>
          <w:fldChar w:fldCharType="begin"/>
        </w:r>
        <w:r w:rsidR="004D000A">
          <w:rPr>
            <w:noProof/>
            <w:webHidden/>
          </w:rPr>
          <w:instrText xml:space="preserve"> PAGEREF _Toc508982256 \h </w:instrText>
        </w:r>
        <w:r w:rsidR="004D000A">
          <w:rPr>
            <w:noProof/>
            <w:webHidden/>
          </w:rPr>
        </w:r>
        <w:r w:rsidR="004D000A">
          <w:rPr>
            <w:noProof/>
            <w:webHidden/>
          </w:rPr>
          <w:fldChar w:fldCharType="separate"/>
        </w:r>
        <w:r w:rsidR="00E446F7">
          <w:rPr>
            <w:noProof/>
            <w:webHidden/>
          </w:rPr>
          <w:t>4</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57" w:history="1">
        <w:r w:rsidR="004D000A" w:rsidRPr="00DE0604">
          <w:rPr>
            <w:rStyle w:val="Hyperlink"/>
            <w:noProof/>
          </w:rPr>
          <w:t>1.2.</w:t>
        </w:r>
        <w:r w:rsidR="004D000A">
          <w:rPr>
            <w:rFonts w:asciiTheme="minorHAnsi" w:eastAsiaTheme="minorEastAsia" w:hAnsiTheme="minorHAnsi"/>
            <w:noProof/>
            <w:color w:val="auto"/>
            <w:sz w:val="22"/>
            <w:lang w:val="en-GB" w:eastAsia="en-GB"/>
          </w:rPr>
          <w:tab/>
        </w:r>
        <w:r w:rsidR="004D000A" w:rsidRPr="00DE0604">
          <w:rPr>
            <w:rStyle w:val="Hyperlink"/>
            <w:noProof/>
          </w:rPr>
          <w:t>Az uniós szakpolitikai keret</w:t>
        </w:r>
        <w:r w:rsidR="004D000A">
          <w:rPr>
            <w:noProof/>
            <w:webHidden/>
          </w:rPr>
          <w:tab/>
        </w:r>
        <w:r w:rsidR="004D000A">
          <w:rPr>
            <w:noProof/>
            <w:webHidden/>
          </w:rPr>
          <w:fldChar w:fldCharType="begin"/>
        </w:r>
        <w:r w:rsidR="004D000A">
          <w:rPr>
            <w:noProof/>
            <w:webHidden/>
          </w:rPr>
          <w:instrText xml:space="preserve"> PAGEREF _Toc508982257 \h </w:instrText>
        </w:r>
        <w:r w:rsidR="004D000A">
          <w:rPr>
            <w:noProof/>
            <w:webHidden/>
          </w:rPr>
        </w:r>
        <w:r w:rsidR="004D000A">
          <w:rPr>
            <w:noProof/>
            <w:webHidden/>
          </w:rPr>
          <w:fldChar w:fldCharType="separate"/>
        </w:r>
        <w:r w:rsidR="00E446F7">
          <w:rPr>
            <w:noProof/>
            <w:webHidden/>
          </w:rPr>
          <w:t>12</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58" w:history="1">
        <w:r w:rsidR="004D000A" w:rsidRPr="00DE0604">
          <w:rPr>
            <w:rStyle w:val="Hyperlink"/>
            <w:noProof/>
          </w:rPr>
          <w:t>1.2.1.</w:t>
        </w:r>
        <w:r w:rsidR="004D000A">
          <w:rPr>
            <w:rFonts w:asciiTheme="minorHAnsi" w:eastAsiaTheme="minorEastAsia" w:hAnsiTheme="minorHAnsi"/>
            <w:noProof/>
            <w:color w:val="auto"/>
            <w:sz w:val="22"/>
            <w:lang w:val="en-GB" w:eastAsia="en-GB"/>
          </w:rPr>
          <w:tab/>
        </w:r>
        <w:r w:rsidR="004D000A" w:rsidRPr="00DE0604">
          <w:rPr>
            <w:rStyle w:val="Hyperlink"/>
            <w:noProof/>
          </w:rPr>
          <w:t>Az innováció szakpolitikai kerete az uniós és a vidékfejlesztési politikában</w:t>
        </w:r>
        <w:r w:rsidR="004D000A">
          <w:rPr>
            <w:noProof/>
            <w:webHidden/>
          </w:rPr>
          <w:tab/>
        </w:r>
        <w:r w:rsidR="004D000A">
          <w:rPr>
            <w:noProof/>
            <w:webHidden/>
          </w:rPr>
          <w:fldChar w:fldCharType="begin"/>
        </w:r>
        <w:r w:rsidR="004D000A">
          <w:rPr>
            <w:noProof/>
            <w:webHidden/>
          </w:rPr>
          <w:instrText xml:space="preserve"> PAGEREF _Toc508982258 \h </w:instrText>
        </w:r>
        <w:r w:rsidR="004D000A">
          <w:rPr>
            <w:noProof/>
            <w:webHidden/>
          </w:rPr>
        </w:r>
        <w:r w:rsidR="004D000A">
          <w:rPr>
            <w:noProof/>
            <w:webHidden/>
          </w:rPr>
          <w:fldChar w:fldCharType="separate"/>
        </w:r>
        <w:r w:rsidR="00E446F7">
          <w:rPr>
            <w:noProof/>
            <w:webHidden/>
          </w:rPr>
          <w:t>12</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59" w:history="1">
        <w:r w:rsidR="004D000A" w:rsidRPr="00DE0604">
          <w:rPr>
            <w:rStyle w:val="Hyperlink"/>
            <w:noProof/>
          </w:rPr>
          <w:t>1.2.2.</w:t>
        </w:r>
        <w:r w:rsidR="004D000A">
          <w:rPr>
            <w:rFonts w:asciiTheme="minorHAnsi" w:eastAsiaTheme="minorEastAsia" w:hAnsiTheme="minorHAnsi"/>
            <w:noProof/>
            <w:color w:val="auto"/>
            <w:sz w:val="22"/>
            <w:lang w:val="en-GB" w:eastAsia="en-GB"/>
          </w:rPr>
          <w:tab/>
        </w:r>
        <w:r w:rsidR="004D000A" w:rsidRPr="00DE0604">
          <w:rPr>
            <w:rStyle w:val="Hyperlink"/>
            <w:noProof/>
          </w:rPr>
          <w:t>Az innovációhoz kapcsolódó közös értékelési elemek</w:t>
        </w:r>
        <w:r w:rsidR="004D000A">
          <w:rPr>
            <w:noProof/>
            <w:webHidden/>
          </w:rPr>
          <w:tab/>
        </w:r>
        <w:r w:rsidR="004D000A">
          <w:rPr>
            <w:noProof/>
            <w:webHidden/>
          </w:rPr>
          <w:fldChar w:fldCharType="begin"/>
        </w:r>
        <w:r w:rsidR="004D000A">
          <w:rPr>
            <w:noProof/>
            <w:webHidden/>
          </w:rPr>
          <w:instrText xml:space="preserve"> PAGEREF _Toc508982259 \h </w:instrText>
        </w:r>
        <w:r w:rsidR="004D000A">
          <w:rPr>
            <w:noProof/>
            <w:webHidden/>
          </w:rPr>
        </w:r>
        <w:r w:rsidR="004D000A">
          <w:rPr>
            <w:noProof/>
            <w:webHidden/>
          </w:rPr>
          <w:fldChar w:fldCharType="separate"/>
        </w:r>
        <w:r w:rsidR="00E446F7">
          <w:rPr>
            <w:noProof/>
            <w:webHidden/>
          </w:rPr>
          <w:t>16</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60" w:history="1">
        <w:r w:rsidR="004D000A" w:rsidRPr="00DE0604">
          <w:rPr>
            <w:rStyle w:val="Hyperlink"/>
            <w:noProof/>
          </w:rPr>
          <w:t>1.3.</w:t>
        </w:r>
        <w:r w:rsidR="004D000A">
          <w:rPr>
            <w:rFonts w:asciiTheme="minorHAnsi" w:eastAsiaTheme="minorEastAsia" w:hAnsiTheme="minorHAnsi"/>
            <w:noProof/>
            <w:color w:val="auto"/>
            <w:sz w:val="22"/>
            <w:lang w:val="en-GB" w:eastAsia="en-GB"/>
          </w:rPr>
          <w:tab/>
        </w:r>
        <w:r w:rsidR="004D000A" w:rsidRPr="00DE0604">
          <w:rPr>
            <w:rStyle w:val="Hyperlink"/>
            <w:noProof/>
          </w:rPr>
          <w:t>Az innováció értékelésének kihívásai</w:t>
        </w:r>
        <w:r w:rsidR="004D000A">
          <w:rPr>
            <w:noProof/>
            <w:webHidden/>
          </w:rPr>
          <w:tab/>
        </w:r>
        <w:r w:rsidR="004D000A">
          <w:rPr>
            <w:noProof/>
            <w:webHidden/>
          </w:rPr>
          <w:fldChar w:fldCharType="begin"/>
        </w:r>
        <w:r w:rsidR="004D000A">
          <w:rPr>
            <w:noProof/>
            <w:webHidden/>
          </w:rPr>
          <w:instrText xml:space="preserve"> PAGEREF _Toc508982260 \h </w:instrText>
        </w:r>
        <w:r w:rsidR="004D000A">
          <w:rPr>
            <w:noProof/>
            <w:webHidden/>
          </w:rPr>
        </w:r>
        <w:r w:rsidR="004D000A">
          <w:rPr>
            <w:noProof/>
            <w:webHidden/>
          </w:rPr>
          <w:fldChar w:fldCharType="separate"/>
        </w:r>
        <w:r w:rsidR="00E446F7">
          <w:rPr>
            <w:noProof/>
            <w:webHidden/>
          </w:rPr>
          <w:t>18</w:t>
        </w:r>
        <w:r w:rsidR="004D000A">
          <w:rPr>
            <w:noProof/>
            <w:webHidden/>
          </w:rPr>
          <w:fldChar w:fldCharType="end"/>
        </w:r>
      </w:hyperlink>
    </w:p>
    <w:p w:rsidR="004D000A" w:rsidRDefault="005139CB">
      <w:pPr>
        <w:pStyle w:val="TOC1"/>
        <w:tabs>
          <w:tab w:val="right" w:leader="dot" w:pos="9040"/>
        </w:tabs>
        <w:rPr>
          <w:rFonts w:asciiTheme="minorHAnsi" w:eastAsiaTheme="minorEastAsia" w:hAnsiTheme="minorHAnsi"/>
          <w:b w:val="0"/>
          <w:caps w:val="0"/>
          <w:noProof/>
          <w:color w:val="auto"/>
          <w:sz w:val="22"/>
          <w:lang w:val="en-GB" w:eastAsia="en-GB"/>
        </w:rPr>
      </w:pPr>
      <w:hyperlink w:anchor="_Toc508982261" w:history="1">
        <w:r w:rsidR="004D000A" w:rsidRPr="00DE0604">
          <w:rPr>
            <w:rStyle w:val="Hyperlink"/>
            <w:noProof/>
          </w:rPr>
          <w:t>2.</w:t>
        </w:r>
        <w:r w:rsidR="004D000A">
          <w:rPr>
            <w:rFonts w:asciiTheme="minorHAnsi" w:eastAsiaTheme="minorEastAsia" w:hAnsiTheme="minorHAnsi"/>
            <w:b w:val="0"/>
            <w:caps w:val="0"/>
            <w:noProof/>
            <w:color w:val="auto"/>
            <w:sz w:val="22"/>
            <w:lang w:val="en-GB" w:eastAsia="en-GB"/>
          </w:rPr>
          <w:tab/>
        </w:r>
        <w:r w:rsidR="004D000A" w:rsidRPr="00DE0604">
          <w:rPr>
            <w:rStyle w:val="Hyperlink"/>
            <w:noProof/>
          </w:rPr>
          <w:t>Hogyan kell értékelni a VFP-k keretében végrehajtott innovációt?</w:t>
        </w:r>
        <w:r w:rsidR="004D000A">
          <w:rPr>
            <w:noProof/>
            <w:webHidden/>
          </w:rPr>
          <w:tab/>
        </w:r>
        <w:r w:rsidR="004D000A">
          <w:rPr>
            <w:noProof/>
            <w:webHidden/>
          </w:rPr>
          <w:fldChar w:fldCharType="begin"/>
        </w:r>
        <w:r w:rsidR="004D000A">
          <w:rPr>
            <w:noProof/>
            <w:webHidden/>
          </w:rPr>
          <w:instrText xml:space="preserve"> PAGEREF _Toc508982261 \h </w:instrText>
        </w:r>
        <w:r w:rsidR="004D000A">
          <w:rPr>
            <w:noProof/>
            <w:webHidden/>
          </w:rPr>
        </w:r>
        <w:r w:rsidR="004D000A">
          <w:rPr>
            <w:noProof/>
            <w:webHidden/>
          </w:rPr>
          <w:fldChar w:fldCharType="separate"/>
        </w:r>
        <w:r w:rsidR="00E446F7">
          <w:rPr>
            <w:noProof/>
            <w:webHidden/>
          </w:rPr>
          <w:t>20</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62" w:history="1">
        <w:r w:rsidR="004D000A" w:rsidRPr="00DE0604">
          <w:rPr>
            <w:rStyle w:val="Hyperlink"/>
            <w:noProof/>
          </w:rPr>
          <w:t>2.1.</w:t>
        </w:r>
        <w:r w:rsidR="004D000A">
          <w:rPr>
            <w:rFonts w:asciiTheme="minorHAnsi" w:eastAsiaTheme="minorEastAsia" w:hAnsiTheme="minorHAnsi"/>
            <w:noProof/>
            <w:color w:val="auto"/>
            <w:sz w:val="22"/>
            <w:lang w:val="en-GB" w:eastAsia="en-GB"/>
          </w:rPr>
          <w:tab/>
        </w:r>
        <w:r w:rsidR="004D000A" w:rsidRPr="00DE0604">
          <w:rPr>
            <w:rStyle w:val="Hyperlink"/>
            <w:noProof/>
          </w:rPr>
          <w:t>A 2014–2020-as időszakra vonatkozó VFP-k keretében végrehajtott innováció értékelésének javasolt megközelítése (áttekintés)</w:t>
        </w:r>
        <w:r w:rsidR="004D000A">
          <w:rPr>
            <w:noProof/>
            <w:webHidden/>
          </w:rPr>
          <w:tab/>
        </w:r>
        <w:r w:rsidR="004D000A">
          <w:rPr>
            <w:noProof/>
            <w:webHidden/>
          </w:rPr>
          <w:fldChar w:fldCharType="begin"/>
        </w:r>
        <w:r w:rsidR="004D000A">
          <w:rPr>
            <w:noProof/>
            <w:webHidden/>
          </w:rPr>
          <w:instrText xml:space="preserve"> PAGEREF _Toc508982262 \h </w:instrText>
        </w:r>
        <w:r w:rsidR="004D000A">
          <w:rPr>
            <w:noProof/>
            <w:webHidden/>
          </w:rPr>
        </w:r>
        <w:r w:rsidR="004D000A">
          <w:rPr>
            <w:noProof/>
            <w:webHidden/>
          </w:rPr>
          <w:fldChar w:fldCharType="separate"/>
        </w:r>
        <w:r w:rsidR="00E446F7">
          <w:rPr>
            <w:noProof/>
            <w:webHidden/>
          </w:rPr>
          <w:t>20</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63" w:history="1">
        <w:r w:rsidR="004D000A" w:rsidRPr="00DE0604">
          <w:rPr>
            <w:rStyle w:val="Hyperlink"/>
            <w:noProof/>
          </w:rPr>
          <w:t>2.2.</w:t>
        </w:r>
        <w:r w:rsidR="004D000A">
          <w:rPr>
            <w:rFonts w:asciiTheme="minorHAnsi" w:eastAsiaTheme="minorEastAsia" w:hAnsiTheme="minorHAnsi"/>
            <w:noProof/>
            <w:color w:val="auto"/>
            <w:sz w:val="22"/>
            <w:lang w:val="en-GB" w:eastAsia="en-GB"/>
          </w:rPr>
          <w:tab/>
        </w:r>
        <w:r w:rsidR="004D000A" w:rsidRPr="00DE0604">
          <w:rPr>
            <w:rStyle w:val="Hyperlink"/>
            <w:noProof/>
          </w:rPr>
          <w:t>A VFP szerinti intézkedések/alintézkedések innovációs potenciáljának vizsgálata (ajánlott)</w:t>
        </w:r>
        <w:r w:rsidR="004D000A">
          <w:rPr>
            <w:noProof/>
            <w:webHidden/>
          </w:rPr>
          <w:tab/>
        </w:r>
        <w:r w:rsidR="004D000A">
          <w:rPr>
            <w:noProof/>
            <w:webHidden/>
          </w:rPr>
          <w:fldChar w:fldCharType="begin"/>
        </w:r>
        <w:r w:rsidR="004D000A">
          <w:rPr>
            <w:noProof/>
            <w:webHidden/>
          </w:rPr>
          <w:instrText xml:space="preserve"> PAGEREF _Toc508982263 \h </w:instrText>
        </w:r>
        <w:r w:rsidR="004D000A">
          <w:rPr>
            <w:noProof/>
            <w:webHidden/>
          </w:rPr>
        </w:r>
        <w:r w:rsidR="004D000A">
          <w:rPr>
            <w:noProof/>
            <w:webHidden/>
          </w:rPr>
          <w:fldChar w:fldCharType="separate"/>
        </w:r>
        <w:r w:rsidR="00E446F7">
          <w:rPr>
            <w:noProof/>
            <w:webHidden/>
          </w:rPr>
          <w:t>24</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64" w:history="1">
        <w:r w:rsidR="004D000A" w:rsidRPr="00DE0604">
          <w:rPr>
            <w:rStyle w:val="Hyperlink"/>
            <w:noProof/>
          </w:rPr>
          <w:t>2.3.</w:t>
        </w:r>
        <w:r w:rsidR="004D000A">
          <w:rPr>
            <w:rFonts w:asciiTheme="minorHAnsi" w:eastAsiaTheme="minorEastAsia" w:hAnsiTheme="minorHAnsi"/>
            <w:noProof/>
            <w:color w:val="auto"/>
            <w:sz w:val="22"/>
            <w:lang w:val="en-GB" w:eastAsia="en-GB"/>
          </w:rPr>
          <w:tab/>
        </w:r>
        <w:r w:rsidR="004D000A" w:rsidRPr="00DE0604">
          <w:rPr>
            <w:rStyle w:val="Hyperlink"/>
            <w:noProof/>
          </w:rPr>
          <w:t>Az innovációhoz kapcsolódó közös értékelési elemek kiegészítése (ajánlott)</w:t>
        </w:r>
        <w:r w:rsidR="004D000A">
          <w:rPr>
            <w:noProof/>
            <w:webHidden/>
          </w:rPr>
          <w:tab/>
        </w:r>
        <w:r w:rsidR="004D000A">
          <w:rPr>
            <w:noProof/>
            <w:webHidden/>
          </w:rPr>
          <w:fldChar w:fldCharType="begin"/>
        </w:r>
        <w:r w:rsidR="004D000A">
          <w:rPr>
            <w:noProof/>
            <w:webHidden/>
          </w:rPr>
          <w:instrText xml:space="preserve"> PAGEREF _Toc508982264 \h </w:instrText>
        </w:r>
        <w:r w:rsidR="004D000A">
          <w:rPr>
            <w:noProof/>
            <w:webHidden/>
          </w:rPr>
        </w:r>
        <w:r w:rsidR="004D000A">
          <w:rPr>
            <w:noProof/>
            <w:webHidden/>
          </w:rPr>
          <w:fldChar w:fldCharType="separate"/>
        </w:r>
        <w:r w:rsidR="00E446F7">
          <w:rPr>
            <w:noProof/>
            <w:webHidden/>
          </w:rPr>
          <w:t>27</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65" w:history="1">
        <w:r w:rsidR="004D000A" w:rsidRPr="00DE0604">
          <w:rPr>
            <w:rStyle w:val="Hyperlink"/>
            <w:noProof/>
            <w:snapToGrid w:val="0"/>
          </w:rPr>
          <w:t>2.4.</w:t>
        </w:r>
        <w:r w:rsidR="004D000A">
          <w:rPr>
            <w:rFonts w:asciiTheme="minorHAnsi" w:eastAsiaTheme="minorEastAsia" w:hAnsiTheme="minorHAnsi"/>
            <w:noProof/>
            <w:color w:val="auto"/>
            <w:sz w:val="22"/>
            <w:lang w:val="en-GB" w:eastAsia="en-GB"/>
          </w:rPr>
          <w:tab/>
        </w:r>
        <w:r w:rsidR="004D000A" w:rsidRPr="00DE0604">
          <w:rPr>
            <w:rStyle w:val="Hyperlink"/>
            <w:noProof/>
          </w:rPr>
          <w:t>A releváns közös értékelési kérdések megválaszolása (kötelező)</w:t>
        </w:r>
        <w:r w:rsidR="004D000A">
          <w:rPr>
            <w:noProof/>
            <w:webHidden/>
          </w:rPr>
          <w:tab/>
        </w:r>
        <w:r w:rsidR="004D000A">
          <w:rPr>
            <w:noProof/>
            <w:webHidden/>
          </w:rPr>
          <w:fldChar w:fldCharType="begin"/>
        </w:r>
        <w:r w:rsidR="004D000A">
          <w:rPr>
            <w:noProof/>
            <w:webHidden/>
          </w:rPr>
          <w:instrText xml:space="preserve"> PAGEREF _Toc508982265 \h </w:instrText>
        </w:r>
        <w:r w:rsidR="004D000A">
          <w:rPr>
            <w:noProof/>
            <w:webHidden/>
          </w:rPr>
        </w:r>
        <w:r w:rsidR="004D000A">
          <w:rPr>
            <w:noProof/>
            <w:webHidden/>
          </w:rPr>
          <w:fldChar w:fldCharType="separate"/>
        </w:r>
        <w:r w:rsidR="00E446F7">
          <w:rPr>
            <w:noProof/>
            <w:webHidden/>
          </w:rPr>
          <w:t>28</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66" w:history="1">
        <w:r w:rsidR="004D000A" w:rsidRPr="00DE0604">
          <w:rPr>
            <w:rStyle w:val="Hyperlink"/>
            <w:noProof/>
          </w:rPr>
          <w:t>2.4.1.</w:t>
        </w:r>
        <w:r w:rsidR="004D000A">
          <w:rPr>
            <w:rFonts w:asciiTheme="minorHAnsi" w:eastAsiaTheme="minorEastAsia" w:hAnsiTheme="minorHAnsi"/>
            <w:noProof/>
            <w:color w:val="auto"/>
            <w:sz w:val="22"/>
            <w:lang w:val="en-GB" w:eastAsia="en-GB"/>
          </w:rPr>
          <w:tab/>
        </w:r>
        <w:r w:rsidR="004D000A" w:rsidRPr="00DE0604">
          <w:rPr>
            <w:rStyle w:val="Hyperlink"/>
            <w:noProof/>
          </w:rPr>
          <w:t>1. sz. közös értékelési kérdés: „A vidékfejlesztési program keretében végrehajtott beavatkozások milyen mértékben mozdították elő a vidéki térségekben az innovációt, az együttműködést és a tudásalap fejlesztését?”</w:t>
        </w:r>
        <w:r w:rsidR="004D000A">
          <w:rPr>
            <w:noProof/>
            <w:webHidden/>
          </w:rPr>
          <w:tab/>
        </w:r>
        <w:r w:rsidR="004D000A">
          <w:rPr>
            <w:noProof/>
            <w:webHidden/>
          </w:rPr>
          <w:fldChar w:fldCharType="begin"/>
        </w:r>
        <w:r w:rsidR="004D000A">
          <w:rPr>
            <w:noProof/>
            <w:webHidden/>
          </w:rPr>
          <w:instrText xml:space="preserve"> PAGEREF _Toc508982266 \h </w:instrText>
        </w:r>
        <w:r w:rsidR="004D000A">
          <w:rPr>
            <w:noProof/>
            <w:webHidden/>
          </w:rPr>
        </w:r>
        <w:r w:rsidR="004D000A">
          <w:rPr>
            <w:noProof/>
            <w:webHidden/>
          </w:rPr>
          <w:fldChar w:fldCharType="separate"/>
        </w:r>
        <w:r w:rsidR="00E446F7">
          <w:rPr>
            <w:noProof/>
            <w:webHidden/>
          </w:rPr>
          <w:t>29</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67" w:history="1">
        <w:r w:rsidR="004D000A" w:rsidRPr="00DE0604">
          <w:rPr>
            <w:rStyle w:val="Hyperlink"/>
            <w:noProof/>
          </w:rPr>
          <w:t>2.4.2.</w:t>
        </w:r>
        <w:r w:rsidR="004D000A">
          <w:rPr>
            <w:rFonts w:asciiTheme="minorHAnsi" w:eastAsiaTheme="minorEastAsia" w:hAnsiTheme="minorHAnsi"/>
            <w:noProof/>
            <w:color w:val="auto"/>
            <w:sz w:val="22"/>
            <w:lang w:val="en-GB" w:eastAsia="en-GB"/>
          </w:rPr>
          <w:tab/>
        </w:r>
        <w:r w:rsidR="004D000A" w:rsidRPr="00DE0604">
          <w:rPr>
            <w:rStyle w:val="Hyperlink"/>
            <w:noProof/>
          </w:rPr>
          <w:t>2. sz. közös értékelési kérdés: „A vidékfejlesztési program keretében végrehajtott intézkedések milyen mértékben mozdították elő – többek között a környezetgazdálkodás és a környezeti teljesítmény javítása érdekében – a mezőgazdaság, az élelmiszer-termelés és az erdőgazdálkodás, valamint a kutatás és innováció közötti kapcsolatok erősítését?”</w:t>
        </w:r>
        <w:r w:rsidR="004D000A">
          <w:rPr>
            <w:noProof/>
            <w:webHidden/>
          </w:rPr>
          <w:tab/>
        </w:r>
        <w:r w:rsidR="004D000A">
          <w:rPr>
            <w:noProof/>
            <w:webHidden/>
          </w:rPr>
          <w:fldChar w:fldCharType="begin"/>
        </w:r>
        <w:r w:rsidR="004D000A">
          <w:rPr>
            <w:noProof/>
            <w:webHidden/>
          </w:rPr>
          <w:instrText xml:space="preserve"> PAGEREF _Toc508982267 \h </w:instrText>
        </w:r>
        <w:r w:rsidR="004D000A">
          <w:rPr>
            <w:noProof/>
            <w:webHidden/>
          </w:rPr>
        </w:r>
        <w:r w:rsidR="004D000A">
          <w:rPr>
            <w:noProof/>
            <w:webHidden/>
          </w:rPr>
          <w:fldChar w:fldCharType="separate"/>
        </w:r>
        <w:r w:rsidR="00E446F7">
          <w:rPr>
            <w:noProof/>
            <w:webHidden/>
          </w:rPr>
          <w:t>40</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68" w:history="1">
        <w:r w:rsidR="004D000A" w:rsidRPr="00DE0604">
          <w:rPr>
            <w:rStyle w:val="Hyperlink"/>
            <w:noProof/>
          </w:rPr>
          <w:t>2.4.3.</w:t>
        </w:r>
        <w:r w:rsidR="004D000A">
          <w:rPr>
            <w:rFonts w:asciiTheme="minorHAnsi" w:eastAsiaTheme="minorEastAsia" w:hAnsiTheme="minorHAnsi"/>
            <w:noProof/>
            <w:color w:val="auto"/>
            <w:sz w:val="22"/>
            <w:lang w:val="en-GB" w:eastAsia="en-GB"/>
          </w:rPr>
          <w:tab/>
        </w:r>
        <w:r w:rsidR="004D000A" w:rsidRPr="00DE0604">
          <w:rPr>
            <w:rStyle w:val="Hyperlink"/>
            <w:noProof/>
          </w:rPr>
          <w:t>21. sz. közös értékelési kérdés: „Milyen mértékben járult hozzá a nemzeti vidékfejlesztési hálózat az 1305/2013/EU rendelet 54. cikkének (2) bekezdésében meghatározott célkitűzések eléréséhez?”</w:t>
        </w:r>
        <w:r w:rsidR="004D000A">
          <w:rPr>
            <w:noProof/>
            <w:webHidden/>
          </w:rPr>
          <w:tab/>
        </w:r>
        <w:r w:rsidR="004D000A">
          <w:rPr>
            <w:noProof/>
            <w:webHidden/>
          </w:rPr>
          <w:fldChar w:fldCharType="begin"/>
        </w:r>
        <w:r w:rsidR="004D000A">
          <w:rPr>
            <w:noProof/>
            <w:webHidden/>
          </w:rPr>
          <w:instrText xml:space="preserve"> PAGEREF _Toc508982268 \h </w:instrText>
        </w:r>
        <w:r w:rsidR="004D000A">
          <w:rPr>
            <w:noProof/>
            <w:webHidden/>
          </w:rPr>
        </w:r>
        <w:r w:rsidR="004D000A">
          <w:rPr>
            <w:noProof/>
            <w:webHidden/>
          </w:rPr>
          <w:fldChar w:fldCharType="separate"/>
        </w:r>
        <w:r w:rsidR="00E446F7">
          <w:rPr>
            <w:noProof/>
            <w:webHidden/>
          </w:rPr>
          <w:t>49</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69" w:history="1">
        <w:r w:rsidR="004D000A" w:rsidRPr="00DE0604">
          <w:rPr>
            <w:rStyle w:val="Hyperlink"/>
            <w:noProof/>
          </w:rPr>
          <w:t>2.4.4.</w:t>
        </w:r>
        <w:r w:rsidR="004D000A">
          <w:rPr>
            <w:rFonts w:asciiTheme="minorHAnsi" w:eastAsiaTheme="minorEastAsia" w:hAnsiTheme="minorHAnsi"/>
            <w:noProof/>
            <w:color w:val="auto"/>
            <w:sz w:val="22"/>
            <w:lang w:val="en-GB" w:eastAsia="en-GB"/>
          </w:rPr>
          <w:tab/>
        </w:r>
        <w:r w:rsidR="004D000A" w:rsidRPr="00DE0604">
          <w:rPr>
            <w:rStyle w:val="Hyperlink"/>
            <w:noProof/>
          </w:rPr>
          <w:t>23. sz. közös értékelési kérdés: „A vidékfejlesztési program milyen mértékben járult hozzá az Európa 2020 stratégia azon kiemelt céljának teljesítéséhez, amely az uniós GDP 3%-ának a kutatás-fejlesztés és az innováció terén való beruházására vonatkozik?”</w:t>
        </w:r>
        <w:r w:rsidR="004D000A">
          <w:rPr>
            <w:noProof/>
            <w:webHidden/>
          </w:rPr>
          <w:tab/>
        </w:r>
        <w:r w:rsidR="004D000A">
          <w:rPr>
            <w:noProof/>
            <w:webHidden/>
          </w:rPr>
          <w:fldChar w:fldCharType="begin"/>
        </w:r>
        <w:r w:rsidR="004D000A">
          <w:rPr>
            <w:noProof/>
            <w:webHidden/>
          </w:rPr>
          <w:instrText xml:space="preserve"> PAGEREF _Toc508982269 \h </w:instrText>
        </w:r>
        <w:r w:rsidR="004D000A">
          <w:rPr>
            <w:noProof/>
            <w:webHidden/>
          </w:rPr>
        </w:r>
        <w:r w:rsidR="004D000A">
          <w:rPr>
            <w:noProof/>
            <w:webHidden/>
          </w:rPr>
          <w:fldChar w:fldCharType="separate"/>
        </w:r>
        <w:r w:rsidR="00E446F7">
          <w:rPr>
            <w:noProof/>
            <w:webHidden/>
          </w:rPr>
          <w:t>65</w:t>
        </w:r>
        <w:r w:rsidR="004D000A">
          <w:rPr>
            <w:noProof/>
            <w:webHidden/>
          </w:rPr>
          <w:fldChar w:fldCharType="end"/>
        </w:r>
      </w:hyperlink>
    </w:p>
    <w:p w:rsidR="004D000A" w:rsidRDefault="005139CB">
      <w:pPr>
        <w:pStyle w:val="TOC3"/>
        <w:tabs>
          <w:tab w:val="right" w:leader="dot" w:pos="9040"/>
        </w:tabs>
        <w:rPr>
          <w:rFonts w:asciiTheme="minorHAnsi" w:eastAsiaTheme="minorEastAsia" w:hAnsiTheme="minorHAnsi"/>
          <w:noProof/>
          <w:color w:val="auto"/>
          <w:sz w:val="22"/>
          <w:lang w:val="en-GB" w:eastAsia="en-GB"/>
        </w:rPr>
      </w:pPr>
      <w:hyperlink w:anchor="_Toc508982270" w:history="1">
        <w:r w:rsidR="004D000A" w:rsidRPr="00DE0604">
          <w:rPr>
            <w:rStyle w:val="Hyperlink"/>
            <w:noProof/>
          </w:rPr>
          <w:t>2.4.5.</w:t>
        </w:r>
        <w:r w:rsidR="004D000A">
          <w:rPr>
            <w:rFonts w:asciiTheme="minorHAnsi" w:eastAsiaTheme="minorEastAsia" w:hAnsiTheme="minorHAnsi"/>
            <w:noProof/>
            <w:color w:val="auto"/>
            <w:sz w:val="22"/>
            <w:lang w:val="en-GB" w:eastAsia="en-GB"/>
          </w:rPr>
          <w:tab/>
        </w:r>
        <w:r w:rsidR="004D000A" w:rsidRPr="00DE0604">
          <w:rPr>
            <w:rStyle w:val="Hyperlink"/>
            <w:noProof/>
          </w:rPr>
          <w:t>30. sz. közös értékelési kérdés: „A vidékfejlesztési program keretében végrehajtott beavatkozások milyen mértékben járultak hozzá az innováció ösztönzéséhez?”</w:t>
        </w:r>
        <w:r w:rsidR="004D000A">
          <w:rPr>
            <w:noProof/>
            <w:webHidden/>
          </w:rPr>
          <w:tab/>
        </w:r>
        <w:r w:rsidR="004D000A">
          <w:rPr>
            <w:noProof/>
            <w:webHidden/>
          </w:rPr>
          <w:fldChar w:fldCharType="begin"/>
        </w:r>
        <w:r w:rsidR="004D000A">
          <w:rPr>
            <w:noProof/>
            <w:webHidden/>
          </w:rPr>
          <w:instrText xml:space="preserve"> PAGEREF _Toc508982270 \h </w:instrText>
        </w:r>
        <w:r w:rsidR="004D000A">
          <w:rPr>
            <w:noProof/>
            <w:webHidden/>
          </w:rPr>
        </w:r>
        <w:r w:rsidR="004D000A">
          <w:rPr>
            <w:noProof/>
            <w:webHidden/>
          </w:rPr>
          <w:fldChar w:fldCharType="separate"/>
        </w:r>
        <w:r w:rsidR="00E446F7">
          <w:rPr>
            <w:noProof/>
            <w:webHidden/>
          </w:rPr>
          <w:t>74</w:t>
        </w:r>
        <w:r w:rsidR="004D000A">
          <w:rPr>
            <w:noProof/>
            <w:webHidden/>
          </w:rPr>
          <w:fldChar w:fldCharType="end"/>
        </w:r>
      </w:hyperlink>
    </w:p>
    <w:p w:rsidR="004D000A" w:rsidRDefault="005139CB">
      <w:pPr>
        <w:pStyle w:val="TOC1"/>
        <w:tabs>
          <w:tab w:val="right" w:leader="dot" w:pos="9040"/>
        </w:tabs>
        <w:rPr>
          <w:rFonts w:asciiTheme="minorHAnsi" w:eastAsiaTheme="minorEastAsia" w:hAnsiTheme="minorHAnsi"/>
          <w:b w:val="0"/>
          <w:caps w:val="0"/>
          <w:noProof/>
          <w:color w:val="auto"/>
          <w:sz w:val="22"/>
          <w:lang w:val="en-GB" w:eastAsia="en-GB"/>
        </w:rPr>
      </w:pPr>
      <w:hyperlink w:anchor="_Toc508982271" w:history="1">
        <w:r w:rsidR="004D000A" w:rsidRPr="00DE0604">
          <w:rPr>
            <w:rStyle w:val="Hyperlink"/>
            <w:noProof/>
          </w:rPr>
          <w:t>3.</w:t>
        </w:r>
        <w:r w:rsidR="004D000A">
          <w:rPr>
            <w:rFonts w:asciiTheme="minorHAnsi" w:eastAsiaTheme="minorEastAsia" w:hAnsiTheme="minorHAnsi"/>
            <w:b w:val="0"/>
            <w:caps w:val="0"/>
            <w:noProof/>
            <w:color w:val="auto"/>
            <w:sz w:val="22"/>
            <w:lang w:val="en-GB" w:eastAsia="en-GB"/>
          </w:rPr>
          <w:tab/>
        </w:r>
        <w:r w:rsidR="004D000A" w:rsidRPr="00DE0604">
          <w:rPr>
            <w:rStyle w:val="Hyperlink"/>
            <w:noProof/>
          </w:rPr>
          <w:t>MELLÉKLETEK</w:t>
        </w:r>
        <w:r w:rsidR="004D000A">
          <w:rPr>
            <w:noProof/>
            <w:webHidden/>
          </w:rPr>
          <w:tab/>
        </w:r>
        <w:r w:rsidR="004D000A">
          <w:rPr>
            <w:noProof/>
            <w:webHidden/>
          </w:rPr>
          <w:fldChar w:fldCharType="begin"/>
        </w:r>
        <w:r w:rsidR="004D000A">
          <w:rPr>
            <w:noProof/>
            <w:webHidden/>
          </w:rPr>
          <w:instrText xml:space="preserve"> PAGEREF _Toc508982271 \h </w:instrText>
        </w:r>
        <w:r w:rsidR="004D000A">
          <w:rPr>
            <w:noProof/>
            <w:webHidden/>
          </w:rPr>
        </w:r>
        <w:r w:rsidR="004D000A">
          <w:rPr>
            <w:noProof/>
            <w:webHidden/>
          </w:rPr>
          <w:fldChar w:fldCharType="separate"/>
        </w:r>
        <w:r w:rsidR="00E446F7">
          <w:rPr>
            <w:noProof/>
            <w:webHidden/>
          </w:rPr>
          <w:t>87</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2" w:history="1">
        <w:r w:rsidR="004D000A" w:rsidRPr="00DE0604">
          <w:rPr>
            <w:rStyle w:val="Hyperlink"/>
            <w:noProof/>
          </w:rPr>
          <w:t>3.1.</w:t>
        </w:r>
        <w:r w:rsidR="004D000A">
          <w:rPr>
            <w:rFonts w:asciiTheme="minorHAnsi" w:eastAsiaTheme="minorEastAsia" w:hAnsiTheme="minorHAnsi"/>
            <w:noProof/>
            <w:color w:val="auto"/>
            <w:sz w:val="22"/>
            <w:lang w:val="en-GB" w:eastAsia="en-GB"/>
          </w:rPr>
          <w:tab/>
        </w:r>
        <w:r w:rsidR="004D000A" w:rsidRPr="00DE0604">
          <w:rPr>
            <w:rStyle w:val="Hyperlink"/>
            <w:noProof/>
          </w:rPr>
          <w:t>Glosszárium</w:t>
        </w:r>
        <w:r w:rsidR="004D000A">
          <w:rPr>
            <w:noProof/>
            <w:webHidden/>
          </w:rPr>
          <w:tab/>
        </w:r>
        <w:r w:rsidR="004D000A">
          <w:rPr>
            <w:noProof/>
            <w:webHidden/>
          </w:rPr>
          <w:fldChar w:fldCharType="begin"/>
        </w:r>
        <w:r w:rsidR="004D000A">
          <w:rPr>
            <w:noProof/>
            <w:webHidden/>
          </w:rPr>
          <w:instrText xml:space="preserve"> PAGEREF _Toc508982272 \h </w:instrText>
        </w:r>
        <w:r w:rsidR="004D000A">
          <w:rPr>
            <w:noProof/>
            <w:webHidden/>
          </w:rPr>
        </w:r>
        <w:r w:rsidR="004D000A">
          <w:rPr>
            <w:noProof/>
            <w:webHidden/>
          </w:rPr>
          <w:fldChar w:fldCharType="separate"/>
        </w:r>
        <w:r w:rsidR="00E446F7">
          <w:rPr>
            <w:noProof/>
            <w:webHidden/>
          </w:rPr>
          <w:t>87</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3" w:history="1">
        <w:r w:rsidR="004D000A" w:rsidRPr="00DE0604">
          <w:rPr>
            <w:rStyle w:val="Hyperlink"/>
            <w:noProof/>
          </w:rPr>
          <w:t>3.2.</w:t>
        </w:r>
        <w:r w:rsidR="004D000A">
          <w:rPr>
            <w:rFonts w:asciiTheme="minorHAnsi" w:eastAsiaTheme="minorEastAsia" w:hAnsiTheme="minorHAnsi"/>
            <w:noProof/>
            <w:color w:val="auto"/>
            <w:sz w:val="22"/>
            <w:lang w:val="en-GB" w:eastAsia="en-GB"/>
          </w:rPr>
          <w:tab/>
        </w:r>
        <w:r w:rsidR="004D000A" w:rsidRPr="00DE0604">
          <w:rPr>
            <w:rStyle w:val="Hyperlink"/>
            <w:noProof/>
          </w:rPr>
          <w:t>A VFP innovációs potenciáljának meghatározása lépésről lépésre</w:t>
        </w:r>
        <w:r w:rsidR="004D000A">
          <w:rPr>
            <w:noProof/>
            <w:webHidden/>
          </w:rPr>
          <w:tab/>
        </w:r>
        <w:r w:rsidR="004D000A">
          <w:rPr>
            <w:noProof/>
            <w:webHidden/>
          </w:rPr>
          <w:fldChar w:fldCharType="begin"/>
        </w:r>
        <w:r w:rsidR="004D000A">
          <w:rPr>
            <w:noProof/>
            <w:webHidden/>
          </w:rPr>
          <w:instrText xml:space="preserve"> PAGEREF _Toc508982273 \h </w:instrText>
        </w:r>
        <w:r w:rsidR="004D000A">
          <w:rPr>
            <w:noProof/>
            <w:webHidden/>
          </w:rPr>
        </w:r>
        <w:r w:rsidR="004D000A">
          <w:rPr>
            <w:noProof/>
            <w:webHidden/>
          </w:rPr>
          <w:fldChar w:fldCharType="separate"/>
        </w:r>
        <w:r w:rsidR="00E446F7">
          <w:rPr>
            <w:noProof/>
            <w:webHidden/>
          </w:rPr>
          <w:t>90</w:t>
        </w:r>
        <w:r w:rsidR="004D000A">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Táblázatok és ábrák</w:t>
      </w:r>
    </w:p>
    <w:p w:rsidR="004D000A" w:rsidRDefault="00E05D08">
      <w:pPr>
        <w:pStyle w:val="TOC2"/>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982274" w:history="1">
        <w:r w:rsidR="004D000A" w:rsidRPr="007964AB">
          <w:rPr>
            <w:rStyle w:val="Hyperlink"/>
            <w:noProof/>
            <w14:scene3d>
              <w14:camera w14:prst="orthographicFront"/>
              <w14:lightRig w14:rig="threePt" w14:dir="t">
                <w14:rot w14:lat="0" w14:lon="0" w14:rev="0"/>
              </w14:lightRig>
            </w14:scene3d>
          </w:rPr>
          <w:t>1. táblázat</w:t>
        </w:r>
        <w:r w:rsidR="004D000A">
          <w:rPr>
            <w:rFonts w:asciiTheme="minorHAnsi" w:eastAsiaTheme="minorEastAsia" w:hAnsiTheme="minorHAnsi"/>
            <w:noProof/>
            <w:color w:val="auto"/>
            <w:sz w:val="22"/>
            <w:lang w:val="en-GB" w:eastAsia="en-GB"/>
          </w:rPr>
          <w:tab/>
        </w:r>
        <w:r w:rsidR="004D000A" w:rsidRPr="007964AB">
          <w:rPr>
            <w:rStyle w:val="Hyperlink"/>
            <w:noProof/>
          </w:rPr>
          <w:t>Az 1. sz. közös értékelési kérdéshez kapcsolódó értékelési elemek és információforrások</w:t>
        </w:r>
        <w:r w:rsidR="004D000A">
          <w:rPr>
            <w:noProof/>
            <w:webHidden/>
          </w:rPr>
          <w:tab/>
        </w:r>
        <w:r w:rsidR="004D000A">
          <w:rPr>
            <w:noProof/>
            <w:webHidden/>
          </w:rPr>
          <w:fldChar w:fldCharType="begin"/>
        </w:r>
        <w:r w:rsidR="004D000A">
          <w:rPr>
            <w:noProof/>
            <w:webHidden/>
          </w:rPr>
          <w:instrText xml:space="preserve"> PAGEREF _Toc508982274 \h </w:instrText>
        </w:r>
        <w:r w:rsidR="004D000A">
          <w:rPr>
            <w:noProof/>
            <w:webHidden/>
          </w:rPr>
        </w:r>
        <w:r w:rsidR="004D000A">
          <w:rPr>
            <w:noProof/>
            <w:webHidden/>
          </w:rPr>
          <w:fldChar w:fldCharType="separate"/>
        </w:r>
        <w:r w:rsidR="00E446F7">
          <w:rPr>
            <w:noProof/>
            <w:webHidden/>
          </w:rPr>
          <w:t>33</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5" w:history="1">
        <w:r w:rsidR="004D000A" w:rsidRPr="007964AB">
          <w:rPr>
            <w:rStyle w:val="Hyperlink"/>
            <w:noProof/>
            <w14:scene3d>
              <w14:camera w14:prst="orthographicFront"/>
              <w14:lightRig w14:rig="threePt" w14:dir="t">
                <w14:rot w14:lat="0" w14:lon="0" w14:rev="0"/>
              </w14:lightRig>
            </w14:scene3d>
          </w:rPr>
          <w:t>2. táblázat</w:t>
        </w:r>
        <w:r w:rsidR="004D000A">
          <w:rPr>
            <w:rFonts w:asciiTheme="minorHAnsi" w:eastAsiaTheme="minorEastAsia" w:hAnsiTheme="minorHAnsi"/>
            <w:noProof/>
            <w:color w:val="auto"/>
            <w:sz w:val="22"/>
            <w:lang w:val="en-GB" w:eastAsia="en-GB"/>
          </w:rPr>
          <w:tab/>
        </w:r>
        <w:r w:rsidR="004D000A" w:rsidRPr="007964AB">
          <w:rPr>
            <w:rStyle w:val="Hyperlink"/>
            <w:noProof/>
          </w:rPr>
          <w:t>Az 1. sz. közös értékelési kérdéshez ajánlott módszerek</w:t>
        </w:r>
        <w:r w:rsidR="004D000A">
          <w:rPr>
            <w:noProof/>
            <w:webHidden/>
          </w:rPr>
          <w:tab/>
        </w:r>
        <w:r w:rsidR="004D000A">
          <w:rPr>
            <w:noProof/>
            <w:webHidden/>
          </w:rPr>
          <w:fldChar w:fldCharType="begin"/>
        </w:r>
        <w:r w:rsidR="004D000A">
          <w:rPr>
            <w:noProof/>
            <w:webHidden/>
          </w:rPr>
          <w:instrText xml:space="preserve"> PAGEREF _Toc508982275 \h </w:instrText>
        </w:r>
        <w:r w:rsidR="004D000A">
          <w:rPr>
            <w:noProof/>
            <w:webHidden/>
          </w:rPr>
        </w:r>
        <w:r w:rsidR="004D000A">
          <w:rPr>
            <w:noProof/>
            <w:webHidden/>
          </w:rPr>
          <w:fldChar w:fldCharType="separate"/>
        </w:r>
        <w:r w:rsidR="00E446F7">
          <w:rPr>
            <w:noProof/>
            <w:webHidden/>
          </w:rPr>
          <w:t>36</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6" w:history="1">
        <w:r w:rsidR="004D000A" w:rsidRPr="007964AB">
          <w:rPr>
            <w:rStyle w:val="Hyperlink"/>
            <w:noProof/>
            <w14:scene3d>
              <w14:camera w14:prst="orthographicFront"/>
              <w14:lightRig w14:rig="threePt" w14:dir="t">
                <w14:rot w14:lat="0" w14:lon="0" w14:rev="0"/>
              </w14:lightRig>
            </w14:scene3d>
          </w:rPr>
          <w:t>3. táblázat</w:t>
        </w:r>
        <w:r w:rsidR="004D000A">
          <w:rPr>
            <w:rFonts w:asciiTheme="minorHAnsi" w:eastAsiaTheme="minorEastAsia" w:hAnsiTheme="minorHAnsi"/>
            <w:noProof/>
            <w:color w:val="auto"/>
            <w:sz w:val="22"/>
            <w:lang w:val="en-GB" w:eastAsia="en-GB"/>
          </w:rPr>
          <w:tab/>
        </w:r>
        <w:r w:rsidR="004D000A" w:rsidRPr="007964AB">
          <w:rPr>
            <w:rStyle w:val="Hyperlink"/>
            <w:noProof/>
          </w:rPr>
          <w:t>Elbírálási kritériumok, mutatók, adatszükségletek és adatforrások</w:t>
        </w:r>
        <w:r w:rsidR="004D000A">
          <w:rPr>
            <w:noProof/>
            <w:webHidden/>
          </w:rPr>
          <w:tab/>
        </w:r>
        <w:r w:rsidR="004D000A">
          <w:rPr>
            <w:noProof/>
            <w:webHidden/>
          </w:rPr>
          <w:fldChar w:fldCharType="begin"/>
        </w:r>
        <w:r w:rsidR="004D000A">
          <w:rPr>
            <w:noProof/>
            <w:webHidden/>
          </w:rPr>
          <w:instrText xml:space="preserve"> PAGEREF _Toc508982276 \h </w:instrText>
        </w:r>
        <w:r w:rsidR="004D000A">
          <w:rPr>
            <w:noProof/>
            <w:webHidden/>
          </w:rPr>
        </w:r>
        <w:r w:rsidR="004D000A">
          <w:rPr>
            <w:noProof/>
            <w:webHidden/>
          </w:rPr>
          <w:fldChar w:fldCharType="separate"/>
        </w:r>
        <w:r w:rsidR="00E446F7">
          <w:rPr>
            <w:noProof/>
            <w:webHidden/>
          </w:rPr>
          <w:t>44</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7" w:history="1">
        <w:r w:rsidR="004D000A" w:rsidRPr="007964AB">
          <w:rPr>
            <w:rStyle w:val="Hyperlink"/>
            <w:noProof/>
            <w14:scene3d>
              <w14:camera w14:prst="orthographicFront"/>
              <w14:lightRig w14:rig="threePt" w14:dir="t">
                <w14:rot w14:lat="0" w14:lon="0" w14:rev="0"/>
              </w14:lightRig>
            </w14:scene3d>
          </w:rPr>
          <w:t>4. táblázat</w:t>
        </w:r>
        <w:r w:rsidR="004D000A">
          <w:rPr>
            <w:rFonts w:asciiTheme="minorHAnsi" w:eastAsiaTheme="minorEastAsia" w:hAnsiTheme="minorHAnsi"/>
            <w:noProof/>
            <w:color w:val="auto"/>
            <w:sz w:val="22"/>
            <w:lang w:val="en-GB" w:eastAsia="en-GB"/>
          </w:rPr>
          <w:tab/>
        </w:r>
        <w:r w:rsidR="004D000A" w:rsidRPr="007964AB">
          <w:rPr>
            <w:rStyle w:val="Hyperlink"/>
            <w:noProof/>
          </w:rPr>
          <w:t>A 2. sz. közös értékelési kérdéshez ajánlott módszerek</w:t>
        </w:r>
        <w:r w:rsidR="004D000A">
          <w:rPr>
            <w:noProof/>
            <w:webHidden/>
          </w:rPr>
          <w:tab/>
        </w:r>
        <w:r w:rsidR="004D000A">
          <w:rPr>
            <w:noProof/>
            <w:webHidden/>
          </w:rPr>
          <w:fldChar w:fldCharType="begin"/>
        </w:r>
        <w:r w:rsidR="004D000A">
          <w:rPr>
            <w:noProof/>
            <w:webHidden/>
          </w:rPr>
          <w:instrText xml:space="preserve"> PAGEREF _Toc508982277 \h </w:instrText>
        </w:r>
        <w:r w:rsidR="004D000A">
          <w:rPr>
            <w:noProof/>
            <w:webHidden/>
          </w:rPr>
        </w:r>
        <w:r w:rsidR="004D000A">
          <w:rPr>
            <w:noProof/>
            <w:webHidden/>
          </w:rPr>
          <w:fldChar w:fldCharType="separate"/>
        </w:r>
        <w:r w:rsidR="00E446F7">
          <w:rPr>
            <w:noProof/>
            <w:webHidden/>
          </w:rPr>
          <w:t>46</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8" w:history="1">
        <w:r w:rsidR="004D000A" w:rsidRPr="007964AB">
          <w:rPr>
            <w:rStyle w:val="Hyperlink"/>
            <w:noProof/>
            <w14:scene3d>
              <w14:camera w14:prst="orthographicFront"/>
              <w14:lightRig w14:rig="threePt" w14:dir="t">
                <w14:rot w14:lat="0" w14:lon="0" w14:rev="0"/>
              </w14:lightRig>
            </w14:scene3d>
          </w:rPr>
          <w:t>5. táblázat</w:t>
        </w:r>
        <w:r w:rsidR="004D000A">
          <w:rPr>
            <w:rFonts w:asciiTheme="minorHAnsi" w:eastAsiaTheme="minorEastAsia" w:hAnsiTheme="minorHAnsi"/>
            <w:noProof/>
            <w:color w:val="auto"/>
            <w:sz w:val="22"/>
            <w:lang w:val="en-GB" w:eastAsia="en-GB"/>
          </w:rPr>
          <w:tab/>
        </w:r>
        <w:r w:rsidR="004D000A" w:rsidRPr="007964AB">
          <w:rPr>
            <w:rStyle w:val="Hyperlink"/>
            <w:noProof/>
          </w:rPr>
          <w:t>A 21. sz. közös értékelési kérdés megválaszolásához szükséges kiegészítő elbírálási kritériumok, mutatók és adatok</w:t>
        </w:r>
        <w:r w:rsidR="004D000A">
          <w:rPr>
            <w:noProof/>
            <w:webHidden/>
          </w:rPr>
          <w:tab/>
        </w:r>
        <w:r w:rsidR="004D000A">
          <w:rPr>
            <w:noProof/>
            <w:webHidden/>
          </w:rPr>
          <w:fldChar w:fldCharType="begin"/>
        </w:r>
        <w:r w:rsidR="004D000A">
          <w:rPr>
            <w:noProof/>
            <w:webHidden/>
          </w:rPr>
          <w:instrText xml:space="preserve"> PAGEREF _Toc508982278 \h </w:instrText>
        </w:r>
        <w:r w:rsidR="004D000A">
          <w:rPr>
            <w:noProof/>
            <w:webHidden/>
          </w:rPr>
        </w:r>
        <w:r w:rsidR="004D000A">
          <w:rPr>
            <w:noProof/>
            <w:webHidden/>
          </w:rPr>
          <w:fldChar w:fldCharType="separate"/>
        </w:r>
        <w:r w:rsidR="00E446F7">
          <w:rPr>
            <w:noProof/>
            <w:webHidden/>
          </w:rPr>
          <w:t>56</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79" w:history="1">
        <w:r w:rsidR="004D000A" w:rsidRPr="007964AB">
          <w:rPr>
            <w:rStyle w:val="Hyperlink"/>
            <w:noProof/>
            <w14:scene3d>
              <w14:camera w14:prst="orthographicFront"/>
              <w14:lightRig w14:rig="threePt" w14:dir="t">
                <w14:rot w14:lat="0" w14:lon="0" w14:rev="0"/>
              </w14:lightRig>
            </w14:scene3d>
          </w:rPr>
          <w:t>6. táblázat</w:t>
        </w:r>
        <w:r w:rsidR="004D000A">
          <w:rPr>
            <w:rFonts w:asciiTheme="minorHAnsi" w:eastAsiaTheme="minorEastAsia" w:hAnsiTheme="minorHAnsi"/>
            <w:noProof/>
            <w:color w:val="auto"/>
            <w:sz w:val="22"/>
            <w:lang w:val="en-GB" w:eastAsia="en-GB"/>
          </w:rPr>
          <w:tab/>
        </w:r>
        <w:r w:rsidR="004D000A" w:rsidRPr="007964AB">
          <w:rPr>
            <w:rStyle w:val="Hyperlink"/>
            <w:noProof/>
          </w:rPr>
          <w:t>A 21. sz. közös értékelési kérdéshez ajánlott módszerek</w:t>
        </w:r>
        <w:r w:rsidR="004D000A">
          <w:rPr>
            <w:noProof/>
            <w:webHidden/>
          </w:rPr>
          <w:tab/>
        </w:r>
        <w:r w:rsidR="004D000A">
          <w:rPr>
            <w:noProof/>
            <w:webHidden/>
          </w:rPr>
          <w:fldChar w:fldCharType="begin"/>
        </w:r>
        <w:r w:rsidR="004D000A">
          <w:rPr>
            <w:noProof/>
            <w:webHidden/>
          </w:rPr>
          <w:instrText xml:space="preserve"> PAGEREF _Toc508982279 \h </w:instrText>
        </w:r>
        <w:r w:rsidR="004D000A">
          <w:rPr>
            <w:noProof/>
            <w:webHidden/>
          </w:rPr>
        </w:r>
        <w:r w:rsidR="004D000A">
          <w:rPr>
            <w:noProof/>
            <w:webHidden/>
          </w:rPr>
          <w:fldChar w:fldCharType="separate"/>
        </w:r>
        <w:r w:rsidR="00E446F7">
          <w:rPr>
            <w:noProof/>
            <w:webHidden/>
          </w:rPr>
          <w:t>62</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80" w:history="1">
        <w:r w:rsidR="004D000A" w:rsidRPr="007964AB">
          <w:rPr>
            <w:rStyle w:val="Hyperlink"/>
            <w:noProof/>
            <w14:scene3d>
              <w14:camera w14:prst="orthographicFront"/>
              <w14:lightRig w14:rig="threePt" w14:dir="t">
                <w14:rot w14:lat="0" w14:lon="0" w14:rev="0"/>
              </w14:lightRig>
            </w14:scene3d>
          </w:rPr>
          <w:t>7. táblázat</w:t>
        </w:r>
        <w:r w:rsidR="004D000A">
          <w:rPr>
            <w:rFonts w:asciiTheme="minorHAnsi" w:eastAsiaTheme="minorEastAsia" w:hAnsiTheme="minorHAnsi"/>
            <w:noProof/>
            <w:color w:val="auto"/>
            <w:sz w:val="22"/>
            <w:lang w:val="en-GB" w:eastAsia="en-GB"/>
          </w:rPr>
          <w:tab/>
        </w:r>
        <w:r w:rsidR="004D000A" w:rsidRPr="007964AB">
          <w:rPr>
            <w:rStyle w:val="Hyperlink"/>
            <w:noProof/>
          </w:rPr>
          <w:t>A 23. sz. közös értékelési kérdés megválaszolásához szükséges elbírálási kritériumok, mutatók és adatok</w:t>
        </w:r>
        <w:r w:rsidR="004D000A">
          <w:rPr>
            <w:noProof/>
            <w:webHidden/>
          </w:rPr>
          <w:tab/>
        </w:r>
        <w:r w:rsidR="004D000A">
          <w:rPr>
            <w:noProof/>
            <w:webHidden/>
          </w:rPr>
          <w:fldChar w:fldCharType="begin"/>
        </w:r>
        <w:r w:rsidR="004D000A">
          <w:rPr>
            <w:noProof/>
            <w:webHidden/>
          </w:rPr>
          <w:instrText xml:space="preserve"> PAGEREF _Toc508982280 \h </w:instrText>
        </w:r>
        <w:r w:rsidR="004D000A">
          <w:rPr>
            <w:noProof/>
            <w:webHidden/>
          </w:rPr>
        </w:r>
        <w:r w:rsidR="004D000A">
          <w:rPr>
            <w:noProof/>
            <w:webHidden/>
          </w:rPr>
          <w:fldChar w:fldCharType="separate"/>
        </w:r>
        <w:r w:rsidR="00E446F7">
          <w:rPr>
            <w:noProof/>
            <w:webHidden/>
          </w:rPr>
          <w:t>69</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81" w:history="1">
        <w:r w:rsidR="004D000A" w:rsidRPr="007964AB">
          <w:rPr>
            <w:rStyle w:val="Hyperlink"/>
            <w:noProof/>
            <w14:scene3d>
              <w14:camera w14:prst="orthographicFront"/>
              <w14:lightRig w14:rig="threePt" w14:dir="t">
                <w14:rot w14:lat="0" w14:lon="0" w14:rev="0"/>
              </w14:lightRig>
            </w14:scene3d>
          </w:rPr>
          <w:t>8. táblázat</w:t>
        </w:r>
        <w:r w:rsidR="004D000A">
          <w:rPr>
            <w:rFonts w:asciiTheme="minorHAnsi" w:eastAsiaTheme="minorEastAsia" w:hAnsiTheme="minorHAnsi"/>
            <w:noProof/>
            <w:color w:val="auto"/>
            <w:sz w:val="22"/>
            <w:lang w:val="en-GB" w:eastAsia="en-GB"/>
          </w:rPr>
          <w:tab/>
        </w:r>
        <w:r w:rsidR="004D000A" w:rsidRPr="007964AB">
          <w:rPr>
            <w:rStyle w:val="Hyperlink"/>
            <w:noProof/>
          </w:rPr>
          <w:t>A közös és a kiegészítő mutatók tervezett és tényleges értékeire vonatkozó példa</w:t>
        </w:r>
        <w:r w:rsidR="004D000A">
          <w:rPr>
            <w:noProof/>
            <w:webHidden/>
          </w:rPr>
          <w:tab/>
        </w:r>
        <w:r w:rsidR="004D000A">
          <w:rPr>
            <w:noProof/>
            <w:webHidden/>
          </w:rPr>
          <w:fldChar w:fldCharType="begin"/>
        </w:r>
        <w:r w:rsidR="004D000A">
          <w:rPr>
            <w:noProof/>
            <w:webHidden/>
          </w:rPr>
          <w:instrText xml:space="preserve"> PAGEREF _Toc508982281 \h </w:instrText>
        </w:r>
        <w:r w:rsidR="004D000A">
          <w:rPr>
            <w:noProof/>
            <w:webHidden/>
          </w:rPr>
        </w:r>
        <w:r w:rsidR="004D000A">
          <w:rPr>
            <w:noProof/>
            <w:webHidden/>
          </w:rPr>
          <w:fldChar w:fldCharType="separate"/>
        </w:r>
        <w:r w:rsidR="00E446F7">
          <w:rPr>
            <w:noProof/>
            <w:webHidden/>
          </w:rPr>
          <w:t>72</w:t>
        </w:r>
        <w:r w:rsidR="004D000A">
          <w:rPr>
            <w:noProof/>
            <w:webHidden/>
          </w:rPr>
          <w:fldChar w:fldCharType="end"/>
        </w:r>
      </w:hyperlink>
    </w:p>
    <w:p w:rsidR="004D000A" w:rsidRDefault="005139CB">
      <w:pPr>
        <w:pStyle w:val="TOC2"/>
        <w:rPr>
          <w:rFonts w:asciiTheme="minorHAnsi" w:eastAsiaTheme="minorEastAsia" w:hAnsiTheme="minorHAnsi"/>
          <w:noProof/>
          <w:color w:val="auto"/>
          <w:sz w:val="22"/>
          <w:lang w:val="en-GB" w:eastAsia="en-GB"/>
        </w:rPr>
      </w:pPr>
      <w:hyperlink w:anchor="_Toc508982282" w:history="1">
        <w:r w:rsidR="004D000A" w:rsidRPr="007964AB">
          <w:rPr>
            <w:rStyle w:val="Hyperlink"/>
            <w:noProof/>
            <w14:scene3d>
              <w14:camera w14:prst="orthographicFront"/>
              <w14:lightRig w14:rig="threePt" w14:dir="t">
                <w14:rot w14:lat="0" w14:lon="0" w14:rev="0"/>
              </w14:lightRig>
            </w14:scene3d>
          </w:rPr>
          <w:t>9. táblázat</w:t>
        </w:r>
        <w:r w:rsidR="004D000A">
          <w:rPr>
            <w:rFonts w:asciiTheme="minorHAnsi" w:eastAsiaTheme="minorEastAsia" w:hAnsiTheme="minorHAnsi"/>
            <w:noProof/>
            <w:color w:val="auto"/>
            <w:sz w:val="22"/>
            <w:lang w:val="en-GB" w:eastAsia="en-GB"/>
          </w:rPr>
          <w:tab/>
        </w:r>
        <w:r w:rsidR="004D000A" w:rsidRPr="007964AB">
          <w:rPr>
            <w:rStyle w:val="Hyperlink"/>
            <w:noProof/>
          </w:rPr>
          <w:t>A 30. sz. közös értékelési kérdéshez kapcsolódó értékelési elemek</w:t>
        </w:r>
        <w:r w:rsidR="004D000A">
          <w:rPr>
            <w:noProof/>
            <w:webHidden/>
          </w:rPr>
          <w:tab/>
        </w:r>
        <w:r w:rsidR="004D000A">
          <w:rPr>
            <w:noProof/>
            <w:webHidden/>
          </w:rPr>
          <w:fldChar w:fldCharType="begin"/>
        </w:r>
        <w:r w:rsidR="004D000A">
          <w:rPr>
            <w:noProof/>
            <w:webHidden/>
          </w:rPr>
          <w:instrText xml:space="preserve"> PAGEREF _Toc508982282 \h </w:instrText>
        </w:r>
        <w:r w:rsidR="004D000A">
          <w:rPr>
            <w:noProof/>
            <w:webHidden/>
          </w:rPr>
        </w:r>
        <w:r w:rsidR="004D000A">
          <w:rPr>
            <w:noProof/>
            <w:webHidden/>
          </w:rPr>
          <w:fldChar w:fldCharType="separate"/>
        </w:r>
        <w:r w:rsidR="00E446F7">
          <w:rPr>
            <w:noProof/>
            <w:webHidden/>
          </w:rPr>
          <w:t>77</w:t>
        </w:r>
        <w:r w:rsidR="004D000A">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4D000A" w:rsidRDefault="002F11D9">
      <w:pPr>
        <w:pStyle w:val="TOC4"/>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982292" w:history="1">
        <w:r w:rsidR="004D000A" w:rsidRPr="00925AD0">
          <w:rPr>
            <w:rStyle w:val="Hyperlink"/>
          </w:rPr>
          <w:t>1. ábra</w:t>
        </w:r>
        <w:r w:rsidR="004D000A">
          <w:rPr>
            <w:rFonts w:asciiTheme="minorHAnsi" w:eastAsiaTheme="minorEastAsia" w:hAnsiTheme="minorHAnsi"/>
            <w:color w:val="auto"/>
            <w:sz w:val="22"/>
            <w:lang w:val="en-GB" w:eastAsia="en-GB"/>
          </w:rPr>
          <w:tab/>
        </w:r>
        <w:r w:rsidR="004D000A" w:rsidRPr="00925AD0">
          <w:rPr>
            <w:rStyle w:val="Hyperlink"/>
          </w:rPr>
          <w:t>Egyszerűsített ábra: a VFP-k hogyan mozdítják elő az innovációt?</w:t>
        </w:r>
        <w:r w:rsidR="004D000A">
          <w:rPr>
            <w:webHidden/>
          </w:rPr>
          <w:tab/>
        </w:r>
        <w:r w:rsidR="004D000A">
          <w:rPr>
            <w:webHidden/>
          </w:rPr>
          <w:fldChar w:fldCharType="begin"/>
        </w:r>
        <w:r w:rsidR="004D000A">
          <w:rPr>
            <w:webHidden/>
          </w:rPr>
          <w:instrText xml:space="preserve"> PAGEREF _Toc508982292 \h </w:instrText>
        </w:r>
        <w:r w:rsidR="004D000A">
          <w:rPr>
            <w:webHidden/>
          </w:rPr>
        </w:r>
        <w:r w:rsidR="004D000A">
          <w:rPr>
            <w:webHidden/>
          </w:rPr>
          <w:fldChar w:fldCharType="separate"/>
        </w:r>
        <w:r w:rsidR="00E446F7">
          <w:rPr>
            <w:webHidden/>
          </w:rPr>
          <w:t>6</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3" w:history="1">
        <w:r w:rsidR="004D000A" w:rsidRPr="00925AD0">
          <w:rPr>
            <w:rStyle w:val="Hyperlink"/>
          </w:rPr>
          <w:t>2. ábra</w:t>
        </w:r>
        <w:r w:rsidR="004D000A">
          <w:rPr>
            <w:rFonts w:asciiTheme="minorHAnsi" w:eastAsiaTheme="minorEastAsia" w:hAnsiTheme="minorHAnsi"/>
            <w:color w:val="auto"/>
            <w:sz w:val="22"/>
            <w:lang w:val="en-GB" w:eastAsia="en-GB"/>
          </w:rPr>
          <w:tab/>
        </w:r>
        <w:r w:rsidR="004D000A" w:rsidRPr="00925AD0">
          <w:rPr>
            <w:rStyle w:val="Hyperlink"/>
          </w:rPr>
          <w:t>Az innováció szakpolitikai kerete az uniós és a vidékfejlesztési politikában</w:t>
        </w:r>
        <w:r w:rsidR="004D000A">
          <w:rPr>
            <w:webHidden/>
          </w:rPr>
          <w:tab/>
        </w:r>
        <w:r w:rsidR="004D000A">
          <w:rPr>
            <w:webHidden/>
          </w:rPr>
          <w:fldChar w:fldCharType="begin"/>
        </w:r>
        <w:r w:rsidR="004D000A">
          <w:rPr>
            <w:webHidden/>
          </w:rPr>
          <w:instrText xml:space="preserve"> PAGEREF _Toc508982293 \h </w:instrText>
        </w:r>
        <w:r w:rsidR="004D000A">
          <w:rPr>
            <w:webHidden/>
          </w:rPr>
        </w:r>
        <w:r w:rsidR="004D000A">
          <w:rPr>
            <w:webHidden/>
          </w:rPr>
          <w:fldChar w:fldCharType="separate"/>
        </w:r>
        <w:r w:rsidR="00E446F7">
          <w:rPr>
            <w:webHidden/>
          </w:rPr>
          <w:t>12</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4" w:history="1">
        <w:r w:rsidR="004D000A" w:rsidRPr="00925AD0">
          <w:rPr>
            <w:rStyle w:val="Hyperlink"/>
          </w:rPr>
          <w:t>3. ábra</w:t>
        </w:r>
        <w:r w:rsidR="004D000A">
          <w:rPr>
            <w:rFonts w:asciiTheme="minorHAnsi" w:eastAsiaTheme="minorEastAsia" w:hAnsiTheme="minorHAnsi"/>
            <w:color w:val="auto"/>
            <w:sz w:val="22"/>
            <w:lang w:val="en-GB" w:eastAsia="en-GB"/>
          </w:rPr>
          <w:tab/>
        </w:r>
        <w:r w:rsidR="004D000A" w:rsidRPr="00925AD0">
          <w:rPr>
            <w:rStyle w:val="Hyperlink"/>
          </w:rPr>
          <w:t>Az innováció értékeléséhez kapcsolódó közös értékelési elemek</w:t>
        </w:r>
        <w:r w:rsidR="004D000A">
          <w:rPr>
            <w:webHidden/>
          </w:rPr>
          <w:tab/>
        </w:r>
        <w:r w:rsidR="004D000A">
          <w:rPr>
            <w:webHidden/>
          </w:rPr>
          <w:fldChar w:fldCharType="begin"/>
        </w:r>
        <w:r w:rsidR="004D000A">
          <w:rPr>
            <w:webHidden/>
          </w:rPr>
          <w:instrText xml:space="preserve"> PAGEREF _Toc508982294 \h </w:instrText>
        </w:r>
        <w:r w:rsidR="004D000A">
          <w:rPr>
            <w:webHidden/>
          </w:rPr>
        </w:r>
        <w:r w:rsidR="004D000A">
          <w:rPr>
            <w:webHidden/>
          </w:rPr>
          <w:fldChar w:fldCharType="separate"/>
        </w:r>
        <w:r w:rsidR="00E446F7">
          <w:rPr>
            <w:webHidden/>
          </w:rPr>
          <w:t>17</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5" w:history="1">
        <w:r w:rsidR="004D000A" w:rsidRPr="00925AD0">
          <w:rPr>
            <w:rStyle w:val="Hyperlink"/>
          </w:rPr>
          <w:t>4. ábra</w:t>
        </w:r>
        <w:r w:rsidR="004D000A">
          <w:rPr>
            <w:rFonts w:asciiTheme="minorHAnsi" w:eastAsiaTheme="minorEastAsia" w:hAnsiTheme="minorHAnsi"/>
            <w:color w:val="auto"/>
            <w:sz w:val="22"/>
            <w:lang w:val="en-GB" w:eastAsia="en-GB"/>
          </w:rPr>
          <w:tab/>
        </w:r>
        <w:r w:rsidR="004D000A" w:rsidRPr="00925AD0">
          <w:rPr>
            <w:rStyle w:val="Hyperlink"/>
          </w:rPr>
          <w:t>A 2014–2020-as időszakra vonatk</w:t>
        </w:r>
        <w:bookmarkStart w:id="3" w:name="_GoBack"/>
        <w:bookmarkEnd w:id="3"/>
        <w:r w:rsidR="004D000A" w:rsidRPr="00925AD0">
          <w:rPr>
            <w:rStyle w:val="Hyperlink"/>
          </w:rPr>
          <w:t>ozó VFP-k értékelésének lebonyolítása</w:t>
        </w:r>
        <w:r w:rsidR="004D000A">
          <w:rPr>
            <w:webHidden/>
          </w:rPr>
          <w:tab/>
        </w:r>
        <w:r w:rsidR="004D000A">
          <w:rPr>
            <w:webHidden/>
          </w:rPr>
          <w:fldChar w:fldCharType="begin"/>
        </w:r>
        <w:r w:rsidR="004D000A">
          <w:rPr>
            <w:webHidden/>
          </w:rPr>
          <w:instrText xml:space="preserve"> PAGEREF _Toc508982295 \h </w:instrText>
        </w:r>
        <w:r w:rsidR="004D000A">
          <w:rPr>
            <w:webHidden/>
          </w:rPr>
        </w:r>
        <w:r w:rsidR="004D000A">
          <w:rPr>
            <w:webHidden/>
          </w:rPr>
          <w:fldChar w:fldCharType="separate"/>
        </w:r>
        <w:r w:rsidR="00E446F7">
          <w:rPr>
            <w:webHidden/>
          </w:rPr>
          <w:t>20</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6" w:history="1">
        <w:r w:rsidR="004D000A" w:rsidRPr="00925AD0">
          <w:rPr>
            <w:rStyle w:val="Hyperlink"/>
          </w:rPr>
          <w:t>5. ábra</w:t>
        </w:r>
        <w:r w:rsidR="004D000A">
          <w:rPr>
            <w:rFonts w:asciiTheme="minorHAnsi" w:eastAsiaTheme="minorEastAsia" w:hAnsiTheme="minorHAnsi"/>
            <w:color w:val="auto"/>
            <w:sz w:val="22"/>
            <w:lang w:val="en-GB" w:eastAsia="en-GB"/>
          </w:rPr>
          <w:tab/>
        </w:r>
        <w:r w:rsidR="004D000A" w:rsidRPr="00925AD0">
          <w:rPr>
            <w:rStyle w:val="Hyperlink"/>
          </w:rPr>
          <w:t>Az innovációval kapcsolatos jelentéstételi követelmények</w:t>
        </w:r>
        <w:r w:rsidR="004D000A">
          <w:rPr>
            <w:webHidden/>
          </w:rPr>
          <w:tab/>
        </w:r>
        <w:r w:rsidR="004D000A">
          <w:rPr>
            <w:webHidden/>
          </w:rPr>
          <w:fldChar w:fldCharType="begin"/>
        </w:r>
        <w:r w:rsidR="004D000A">
          <w:rPr>
            <w:webHidden/>
          </w:rPr>
          <w:instrText xml:space="preserve"> PAGEREF _Toc508982296 \h </w:instrText>
        </w:r>
        <w:r w:rsidR="004D000A">
          <w:rPr>
            <w:webHidden/>
          </w:rPr>
        </w:r>
        <w:r w:rsidR="004D000A">
          <w:rPr>
            <w:webHidden/>
          </w:rPr>
          <w:fldChar w:fldCharType="separate"/>
        </w:r>
        <w:r w:rsidR="00E446F7">
          <w:rPr>
            <w:webHidden/>
          </w:rPr>
          <w:t>21</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7" w:history="1">
        <w:r w:rsidR="004D000A" w:rsidRPr="00925AD0">
          <w:rPr>
            <w:rStyle w:val="Hyperlink"/>
          </w:rPr>
          <w:t>6. ábra</w:t>
        </w:r>
        <w:r w:rsidR="004D000A">
          <w:rPr>
            <w:rFonts w:asciiTheme="minorHAnsi" w:eastAsiaTheme="minorEastAsia" w:hAnsiTheme="minorHAnsi"/>
            <w:color w:val="auto"/>
            <w:sz w:val="22"/>
            <w:lang w:val="en-GB" w:eastAsia="en-GB"/>
          </w:rPr>
          <w:tab/>
        </w:r>
        <w:r w:rsidR="004D000A" w:rsidRPr="00925AD0">
          <w:rPr>
            <w:rStyle w:val="Hyperlink"/>
          </w:rPr>
          <w:t>A VFP-kben előirányzott innováció értékeléséhez alkalmazott megközelítés</w:t>
        </w:r>
        <w:r w:rsidR="004D000A">
          <w:rPr>
            <w:webHidden/>
          </w:rPr>
          <w:tab/>
        </w:r>
        <w:r w:rsidR="004D000A">
          <w:rPr>
            <w:webHidden/>
          </w:rPr>
          <w:fldChar w:fldCharType="begin"/>
        </w:r>
        <w:r w:rsidR="004D000A">
          <w:rPr>
            <w:webHidden/>
          </w:rPr>
          <w:instrText xml:space="preserve"> PAGEREF _Toc508982297 \h </w:instrText>
        </w:r>
        <w:r w:rsidR="004D000A">
          <w:rPr>
            <w:webHidden/>
          </w:rPr>
        </w:r>
        <w:r w:rsidR="004D000A">
          <w:rPr>
            <w:webHidden/>
          </w:rPr>
          <w:fldChar w:fldCharType="separate"/>
        </w:r>
        <w:r w:rsidR="00E446F7">
          <w:rPr>
            <w:webHidden/>
          </w:rPr>
          <w:t>23</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8" w:history="1">
        <w:r w:rsidR="004D000A" w:rsidRPr="00925AD0">
          <w:rPr>
            <w:rStyle w:val="Hyperlink"/>
          </w:rPr>
          <w:t>7. ábra</w:t>
        </w:r>
        <w:r w:rsidR="004D000A">
          <w:rPr>
            <w:rFonts w:asciiTheme="minorHAnsi" w:eastAsiaTheme="minorEastAsia" w:hAnsiTheme="minorHAnsi"/>
            <w:color w:val="auto"/>
            <w:sz w:val="22"/>
            <w:lang w:val="en-GB" w:eastAsia="en-GB"/>
          </w:rPr>
          <w:tab/>
        </w:r>
        <w:r w:rsidR="004D000A" w:rsidRPr="00925AD0">
          <w:rPr>
            <w:rStyle w:val="Hyperlink"/>
          </w:rPr>
          <w:t>A VFP szerinti intézkedések/alintézkedések innovációs potenciáljára irányuló vizsgálat lépései</w:t>
        </w:r>
        <w:r w:rsidR="004D000A">
          <w:rPr>
            <w:webHidden/>
          </w:rPr>
          <w:tab/>
        </w:r>
        <w:r w:rsidR="004D000A">
          <w:rPr>
            <w:webHidden/>
          </w:rPr>
          <w:fldChar w:fldCharType="begin"/>
        </w:r>
        <w:r w:rsidR="004D000A">
          <w:rPr>
            <w:webHidden/>
          </w:rPr>
          <w:instrText xml:space="preserve"> PAGEREF _Toc508982298 \h </w:instrText>
        </w:r>
        <w:r w:rsidR="004D000A">
          <w:rPr>
            <w:webHidden/>
          </w:rPr>
        </w:r>
        <w:r w:rsidR="004D000A">
          <w:rPr>
            <w:webHidden/>
          </w:rPr>
          <w:fldChar w:fldCharType="separate"/>
        </w:r>
        <w:r w:rsidR="00E446F7">
          <w:rPr>
            <w:webHidden/>
          </w:rPr>
          <w:t>24</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299" w:history="1">
        <w:r w:rsidR="004D000A" w:rsidRPr="00925AD0">
          <w:rPr>
            <w:rStyle w:val="Hyperlink"/>
          </w:rPr>
          <w:t>8. ábra</w:t>
        </w:r>
        <w:r w:rsidR="004D000A">
          <w:rPr>
            <w:rFonts w:asciiTheme="minorHAnsi" w:eastAsiaTheme="minorEastAsia" w:hAnsiTheme="minorHAnsi"/>
            <w:color w:val="auto"/>
            <w:sz w:val="22"/>
            <w:lang w:val="en-GB" w:eastAsia="en-GB"/>
          </w:rPr>
          <w:tab/>
        </w:r>
        <w:r w:rsidR="004D000A" w:rsidRPr="00925AD0">
          <w:rPr>
            <w:rStyle w:val="Hyperlink"/>
          </w:rPr>
          <w:t>Az 1. sz. közös értékelési kérdéshez kapcsolódó beavatkozási logikára vonatkozó példa</w:t>
        </w:r>
        <w:r w:rsidR="004D000A">
          <w:rPr>
            <w:webHidden/>
          </w:rPr>
          <w:tab/>
        </w:r>
        <w:r w:rsidR="004D000A">
          <w:rPr>
            <w:webHidden/>
          </w:rPr>
          <w:fldChar w:fldCharType="begin"/>
        </w:r>
        <w:r w:rsidR="004D000A">
          <w:rPr>
            <w:webHidden/>
          </w:rPr>
          <w:instrText xml:space="preserve"> PAGEREF _Toc508982299 \h </w:instrText>
        </w:r>
        <w:r w:rsidR="004D000A">
          <w:rPr>
            <w:webHidden/>
          </w:rPr>
        </w:r>
        <w:r w:rsidR="004D000A">
          <w:rPr>
            <w:webHidden/>
          </w:rPr>
          <w:fldChar w:fldCharType="separate"/>
        </w:r>
        <w:r w:rsidR="00E446F7">
          <w:rPr>
            <w:webHidden/>
          </w:rPr>
          <w:t>32</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300" w:history="1">
        <w:r w:rsidR="004D000A" w:rsidRPr="00925AD0">
          <w:rPr>
            <w:rStyle w:val="Hyperlink"/>
          </w:rPr>
          <w:t>9. ábra</w:t>
        </w:r>
        <w:r w:rsidR="004D000A">
          <w:rPr>
            <w:rFonts w:asciiTheme="minorHAnsi" w:eastAsiaTheme="minorEastAsia" w:hAnsiTheme="minorHAnsi"/>
            <w:color w:val="auto"/>
            <w:sz w:val="22"/>
            <w:lang w:val="en-GB" w:eastAsia="en-GB"/>
          </w:rPr>
          <w:tab/>
        </w:r>
        <w:r w:rsidR="004D000A" w:rsidRPr="00925AD0">
          <w:rPr>
            <w:rStyle w:val="Hyperlink"/>
          </w:rPr>
          <w:t>Az M16 intézkedés egyes alintézkedéseinek innovációs potenciáljára vonatkozó példa</w:t>
        </w:r>
        <w:r w:rsidR="004D000A">
          <w:rPr>
            <w:webHidden/>
          </w:rPr>
          <w:tab/>
        </w:r>
        <w:r w:rsidR="004D000A">
          <w:rPr>
            <w:webHidden/>
          </w:rPr>
          <w:fldChar w:fldCharType="begin"/>
        </w:r>
        <w:r w:rsidR="004D000A">
          <w:rPr>
            <w:webHidden/>
          </w:rPr>
          <w:instrText xml:space="preserve"> PAGEREF _Toc508982300 \h </w:instrText>
        </w:r>
        <w:r w:rsidR="004D000A">
          <w:rPr>
            <w:webHidden/>
          </w:rPr>
        </w:r>
        <w:r w:rsidR="004D000A">
          <w:rPr>
            <w:webHidden/>
          </w:rPr>
          <w:fldChar w:fldCharType="separate"/>
        </w:r>
        <w:r w:rsidR="00E446F7">
          <w:rPr>
            <w:webHidden/>
          </w:rPr>
          <w:t>43</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301" w:history="1">
        <w:r w:rsidR="004D000A" w:rsidRPr="00925AD0">
          <w:rPr>
            <w:rStyle w:val="Hyperlink"/>
          </w:rPr>
          <w:t>10. ábra</w:t>
        </w:r>
        <w:r w:rsidR="004D000A">
          <w:rPr>
            <w:rFonts w:asciiTheme="minorHAnsi" w:eastAsiaTheme="minorEastAsia" w:hAnsiTheme="minorHAnsi"/>
            <w:color w:val="auto"/>
            <w:sz w:val="22"/>
            <w:lang w:val="en-GB" w:eastAsia="en-GB"/>
          </w:rPr>
          <w:tab/>
        </w:r>
        <w:r w:rsidR="004D000A" w:rsidRPr="00925AD0">
          <w:rPr>
            <w:rStyle w:val="Hyperlink"/>
          </w:rPr>
          <w:t>A nemzeti vidékfejlesztési hálózat innovációval kapcsolatos beavatkozási logikája</w:t>
        </w:r>
        <w:r w:rsidR="004D000A">
          <w:rPr>
            <w:webHidden/>
          </w:rPr>
          <w:tab/>
        </w:r>
        <w:r w:rsidR="004D000A">
          <w:rPr>
            <w:webHidden/>
          </w:rPr>
          <w:fldChar w:fldCharType="begin"/>
        </w:r>
        <w:r w:rsidR="004D000A">
          <w:rPr>
            <w:webHidden/>
          </w:rPr>
          <w:instrText xml:space="preserve"> PAGEREF _Toc508982301 \h </w:instrText>
        </w:r>
        <w:r w:rsidR="004D000A">
          <w:rPr>
            <w:webHidden/>
          </w:rPr>
        </w:r>
        <w:r w:rsidR="004D000A">
          <w:rPr>
            <w:webHidden/>
          </w:rPr>
          <w:fldChar w:fldCharType="separate"/>
        </w:r>
        <w:r w:rsidR="00E446F7">
          <w:rPr>
            <w:webHidden/>
          </w:rPr>
          <w:t>54</w:t>
        </w:r>
        <w:r w:rsidR="004D000A">
          <w:rPr>
            <w:webHidden/>
          </w:rPr>
          <w:fldChar w:fldCharType="end"/>
        </w:r>
      </w:hyperlink>
    </w:p>
    <w:p w:rsidR="004D000A" w:rsidRDefault="005139CB">
      <w:pPr>
        <w:pStyle w:val="TOC4"/>
        <w:rPr>
          <w:rFonts w:asciiTheme="minorHAnsi" w:eastAsiaTheme="minorEastAsia" w:hAnsiTheme="minorHAnsi"/>
          <w:color w:val="auto"/>
          <w:sz w:val="22"/>
          <w:lang w:val="en-GB" w:eastAsia="en-GB"/>
        </w:rPr>
      </w:pPr>
      <w:hyperlink w:anchor="_Toc508982302" w:history="1">
        <w:r w:rsidR="004D000A" w:rsidRPr="00925AD0">
          <w:rPr>
            <w:rStyle w:val="Hyperlink"/>
          </w:rPr>
          <w:t>11. ábra</w:t>
        </w:r>
        <w:r w:rsidR="004D000A">
          <w:rPr>
            <w:rFonts w:asciiTheme="minorHAnsi" w:eastAsiaTheme="minorEastAsia" w:hAnsiTheme="minorHAnsi"/>
            <w:color w:val="auto"/>
            <w:sz w:val="22"/>
            <w:lang w:val="en-GB" w:eastAsia="en-GB"/>
          </w:rPr>
          <w:tab/>
        </w:r>
        <w:r w:rsidR="004D000A" w:rsidRPr="00925AD0">
          <w:rPr>
            <w:rStyle w:val="Hyperlink"/>
          </w:rPr>
          <w:t>A 30. sz. közös értékelési kérdéshez kapcsolódó beavatkozási logikára vonatkozó példa</w:t>
        </w:r>
        <w:r w:rsidR="004D000A">
          <w:rPr>
            <w:webHidden/>
          </w:rPr>
          <w:tab/>
        </w:r>
        <w:r w:rsidR="004D000A">
          <w:rPr>
            <w:webHidden/>
          </w:rPr>
          <w:fldChar w:fldCharType="begin"/>
        </w:r>
        <w:r w:rsidR="004D000A">
          <w:rPr>
            <w:webHidden/>
          </w:rPr>
          <w:instrText xml:space="preserve"> PAGEREF _Toc508982302 \h </w:instrText>
        </w:r>
        <w:r w:rsidR="004D000A">
          <w:rPr>
            <w:webHidden/>
          </w:rPr>
        </w:r>
        <w:r w:rsidR="004D000A">
          <w:rPr>
            <w:webHidden/>
          </w:rPr>
          <w:fldChar w:fldCharType="separate"/>
        </w:r>
        <w:r w:rsidR="00E446F7">
          <w:rPr>
            <w:webHidden/>
          </w:rPr>
          <w:t>75</w:t>
        </w:r>
        <w:r w:rsidR="004D000A">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Köszönetnyilvánítás</w:t>
      </w:r>
    </w:p>
    <w:p w:rsidR="00E05D08" w:rsidRPr="00E05D08" w:rsidRDefault="00E05D08" w:rsidP="00E05D08">
      <w:pPr>
        <w:spacing w:after="120" w:line="280" w:lineRule="atLeast"/>
        <w:mirrorIndents/>
        <w:rPr>
          <w:rFonts w:eastAsia="Times New Roman" w:cs="Times New Roman"/>
          <w:i/>
          <w:szCs w:val="20"/>
        </w:rPr>
      </w:pPr>
      <w:r>
        <w:rPr>
          <w:i/>
          <w:szCs w:val="20"/>
        </w:rPr>
        <w:t xml:space="preserve">Az iránymutatást az európai vidékfejlesztési értékelési támogató szolgálat szakembereiből álló munkacsoport (többek között Boru Douthwaite, Marili Parissaki, Andreas Resch, Jela Tvrdonova, Valérie Dumont, Matteo Metta, Myles Stiffler, Hannes Wimmer) dolgozta ki. </w:t>
      </w:r>
    </w:p>
    <w:p w:rsidR="00E05D08" w:rsidRPr="00E05D08" w:rsidRDefault="00E05D08" w:rsidP="00E05D08">
      <w:pPr>
        <w:spacing w:after="120" w:line="280" w:lineRule="atLeast"/>
        <w:mirrorIndents/>
        <w:rPr>
          <w:rFonts w:eastAsia="Times New Roman" w:cs="Times New Roman"/>
          <w:i/>
          <w:szCs w:val="20"/>
        </w:rPr>
      </w:pPr>
      <w:r>
        <w:rPr>
          <w:i/>
          <w:szCs w:val="20"/>
        </w:rPr>
        <w:t xml:space="preserve">Különböző szakértők (Anna Maria Augustyn, Simona Cristiano, Juhász Anikó, Bill Slee) konzultatív szakértőként működtek közre, vagy az értékelési gyakorlatokra vonatkozó tapasztalataikkal járultak hozzá az iránymutatáshoz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A Mezőgazdasági és Vidékfejlesztési Főigazgatóság képviselői gondoskodtak arról, hogy az iránymutatás összhangban legyen az uniós szakpolitikai kerettel.</w:t>
      </w:r>
    </w:p>
    <w:p w:rsidR="00E05D08" w:rsidRPr="00E05D08" w:rsidRDefault="00E05D08" w:rsidP="00E05D08">
      <w:pPr>
        <w:spacing w:after="120" w:line="280" w:lineRule="atLeast"/>
        <w:mirrorIndents/>
        <w:rPr>
          <w:rFonts w:eastAsia="Times New Roman" w:cs="Times New Roman"/>
          <w:i/>
          <w:szCs w:val="20"/>
        </w:rPr>
      </w:pPr>
      <w:r>
        <w:rPr>
          <w:i/>
          <w:szCs w:val="20"/>
        </w:rPr>
        <w:t xml:space="preserve">A tagállamok képviselői a véleményező testület 2017. március 22-i ülésén, valamint a KAP monitoringját és értékelését végző szakértői csoport 2017. május 10-i 11. ülésén tették meg az iránymutatás tervezeteivel kapcsolatos észrevételeiket.  </w:t>
      </w:r>
    </w:p>
    <w:p w:rsidR="00E05D08" w:rsidRPr="00E05D08" w:rsidRDefault="00E05D08" w:rsidP="00E05D08">
      <w:pPr>
        <w:spacing w:after="120" w:line="280" w:lineRule="atLeast"/>
        <w:mirrorIndents/>
        <w:rPr>
          <w:rFonts w:eastAsia="Times New Roman" w:cs="Times New Roman"/>
          <w:i/>
          <w:szCs w:val="20"/>
        </w:rPr>
      </w:pPr>
      <w:r>
        <w:rPr>
          <w:i/>
          <w:szCs w:val="20"/>
        </w:rPr>
        <w:t>Az Európai Vidékfejlesztési Hálózat (EVH) Kapcsolattartó Pontja és az Európai Innovációs Partnerség (EIP) Szolgáltató Pontja is felkérést kapott észrevételei megtételére.</w:t>
      </w:r>
    </w:p>
    <w:p w:rsidR="00E05D08" w:rsidRPr="00E05D08" w:rsidRDefault="00E05D08" w:rsidP="00E05D08">
      <w:pPr>
        <w:spacing w:after="0" w:line="240" w:lineRule="auto"/>
        <w:rPr>
          <w:rFonts w:eastAsia="Times New Roman" w:cs="Times New Roman"/>
          <w:szCs w:val="20"/>
        </w:rPr>
      </w:pPr>
      <w:r>
        <w:br w:type="page"/>
      </w:r>
    </w:p>
    <w:p w:rsidR="00E05D08" w:rsidRPr="00622614" w:rsidRDefault="00E05D08" w:rsidP="00E05D08">
      <w:pPr>
        <w:spacing w:after="120" w:line="280" w:lineRule="atLeast"/>
        <w:mirrorIndents/>
        <w:rPr>
          <w:rFonts w:eastAsia="Times New Roman" w:cs="Arial"/>
          <w:smallCaps/>
          <w:color w:val="F07E31"/>
          <w:sz w:val="36"/>
          <w:szCs w:val="60"/>
          <w:lang w:eastAsia="de-DE"/>
        </w:rPr>
        <w:sectPr w:rsidR="00E05D08" w:rsidRPr="00622614"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BEVEZETÉS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Miért kell értékelni a vidékfejlesztési programok keretében végrehajtott innovációt?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Az innováció a vidékfejlesztési politika három átfogó célkitűzésének</w:t>
      </w:r>
      <w:r>
        <w:rPr>
          <w:rFonts w:eastAsia="Times New Roman" w:cs="Arial"/>
          <w:b/>
          <w:bCs/>
          <w:iCs/>
          <w:color w:val="000000"/>
          <w:szCs w:val="20"/>
          <w:vertAlign w:val="superscript"/>
          <w:lang w:eastAsia="de-DE"/>
        </w:rPr>
        <w:footnoteReference w:id="1"/>
      </w:r>
      <w:r>
        <w:rPr>
          <w:b/>
          <w:bCs/>
          <w:i/>
          <w:iCs/>
          <w:szCs w:val="20"/>
        </w:rPr>
        <w:t xml:space="preserve"> egyike, amelynek teljesítésére a 2014–2020-as időszakra vonatkozó vidékfejlesztési programok (VFP-k) intézkedéseinek és kiemelt területeinek keretében végrehajtott beavatkozások nyújtanak módot</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Az ezen átfogó célkitűzés tekintetében elért eredményekre irányul az innováció értékelése</w:t>
      </w:r>
      <w:r>
        <w:rPr>
          <w:rFonts w:eastAsia="Times New Roman" w:cs="Arial"/>
          <w:bCs/>
          <w:iCs/>
          <w:color w:val="000000"/>
          <w:szCs w:val="20"/>
          <w:vertAlign w:val="superscript"/>
          <w:lang w:eastAsia="de-DE"/>
        </w:rPr>
        <w:footnoteReference w:id="3"/>
      </w:r>
      <w:r>
        <w:t>. Ebben az összefüggésben az Európai Mezőgazdasági Vidékfejlesztési Alapból (EMVA) támogatott innovációk vidékfejlesztési programokhoz és uniós szakpolitikai célkitűzésekhez való hozzájárulását kell értékelni az innovációval kapcsolatos közös értékelési kérdések megválaszolása érdekében.</w:t>
      </w:r>
    </w:p>
    <w:p w:rsidR="00A45935" w:rsidRPr="00E05D08" w:rsidRDefault="00A45935" w:rsidP="00E05D08">
      <w:pPr>
        <w:spacing w:after="120" w:line="280" w:lineRule="atLeast"/>
        <w:mirrorIndents/>
        <w:rPr>
          <w:rFonts w:eastAsia="Times New Roman" w:cs="Times New Roman"/>
          <w:szCs w:val="20"/>
        </w:rPr>
      </w:pPr>
      <w:r>
        <w:t>Az innováció különféle okok miatt értékelendő:</w:t>
      </w:r>
    </w:p>
    <w:p w:rsidR="00A45935" w:rsidRPr="00B05B45" w:rsidRDefault="00A45935" w:rsidP="00D77B96">
      <w:pPr>
        <w:pStyle w:val="Hlistbullet"/>
      </w:pPr>
      <w:r>
        <w:rPr>
          <w:b/>
        </w:rPr>
        <w:t>a vidékfejlesztési beavatkozások elszámoltathatósága</w:t>
      </w:r>
      <w:r>
        <w:t xml:space="preserve">, valamint annak bizonyítása, hogy azok hogyan mozdították elő az innovációt a vidéki térségekben, illetve hogyan járultak hozzá a programok eredményeihez, a vidékfejlesztési politika hatásaihoz és az Európa 2020 stratégia célkitűzéseihez; </w:t>
      </w:r>
    </w:p>
    <w:p w:rsidR="00A45935" w:rsidRPr="00B05B45" w:rsidRDefault="00A45935" w:rsidP="00D77B96">
      <w:pPr>
        <w:pStyle w:val="Hlistbullet"/>
      </w:pPr>
      <w:r>
        <w:rPr>
          <w:b/>
        </w:rPr>
        <w:t>az EMVA-ból innovációra nyújtott támogatás célzottabbá tétele</w:t>
      </w:r>
      <w:r>
        <w:t xml:space="preserve">, a programok legrelevánsabb kedvezményezettjeinek és területeinek, valamint a legalkalmasabb és leginkább támogatható tevékenységek kiválasztásával; </w:t>
      </w:r>
    </w:p>
    <w:p w:rsidR="00A45935" w:rsidRPr="00B05B45" w:rsidRDefault="00A45935" w:rsidP="00D77B96">
      <w:pPr>
        <w:pStyle w:val="Hlistbullet"/>
      </w:pPr>
      <w:r>
        <w:rPr>
          <w:b/>
        </w:rPr>
        <w:t xml:space="preserve">az érdekelt felek </w:t>
      </w:r>
      <w:r>
        <w:t xml:space="preserve">azzal kapcsolatos </w:t>
      </w:r>
      <w:r>
        <w:rPr>
          <w:b/>
        </w:rPr>
        <w:t>közös tanulásának előmozdítása</w:t>
      </w:r>
      <w:r>
        <w:t xml:space="preserve">, hogy hogyan támogathatók és hogyan hajthatók végre innovatív projektek múltbeli tapasztalatokból levont tanulságok felhasználásával és a siker feltételeinek megértésével. </w:t>
      </w:r>
    </w:p>
    <w:p w:rsidR="00A45935" w:rsidRPr="00E05D08" w:rsidRDefault="00785477"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42880" behindDoc="0" locked="0" layoutInCell="1" allowOverlap="1" wp14:anchorId="54229FC9" wp14:editId="4F58D2C9">
                <wp:simplePos x="0" y="0"/>
                <wp:positionH relativeFrom="column">
                  <wp:posOffset>3114675</wp:posOffset>
                </wp:positionH>
                <wp:positionV relativeFrom="paragraph">
                  <wp:posOffset>29210</wp:posOffset>
                </wp:positionV>
                <wp:extent cx="2649855" cy="3295650"/>
                <wp:effectExtent l="0" t="0" r="17145"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295650"/>
                        </a:xfrm>
                        <a:prstGeom prst="round2DiagRect">
                          <a:avLst>
                            <a:gd name="adj1" fmla="val 8733"/>
                            <a:gd name="adj2" fmla="val 0"/>
                          </a:avLst>
                        </a:prstGeom>
                        <a:noFill/>
                        <a:ln w="25400" cap="flat" cmpd="sng" algn="ctr">
                          <a:solidFill>
                            <a:srgbClr val="BE4A35"/>
                          </a:solidFill>
                          <a:prstDash val="solid"/>
                        </a:ln>
                        <a:effectLst/>
                      </wps:spPr>
                      <wps:txbx>
                        <w:txbxContent>
                          <w:p w:rsidR="005139CB" w:rsidRPr="00D74B10" w:rsidRDefault="005139CB" w:rsidP="00E05D08">
                            <w:pPr>
                              <w:pStyle w:val="HBox"/>
                            </w:pPr>
                            <w:r>
                              <w:rPr>
                                <w:noProof/>
                                <w:lang w:val="en-GB" w:eastAsia="en-GB"/>
                              </w:rPr>
                              <w:drawing>
                                <wp:inline distT="0" distB="0" distL="0" distR="0" wp14:anchorId="55E02992" wp14:editId="13A7AA85">
                                  <wp:extent cx="664845" cy="487680"/>
                                  <wp:effectExtent l="0" t="0" r="0" b="7620"/>
                                  <wp:docPr id="85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 dokumentum elsődleges célkitűzése az, hogy más iránymutatásokat kiegészítsen és tanácsot adjon a VFP-értékelésben érdekelt feleknek azzal kapcsolatban, hogy hogyan végezzék el az értékelési tevékenységeket </w:t>
                            </w:r>
                            <w:r>
                              <w:rPr>
                                <w:b/>
                              </w:rPr>
                              <w:t xml:space="preserve">az innovációval kapcsolatos közös értékelési kérdések megválaszolásához. </w:t>
                            </w:r>
                            <w:r>
                              <w:t>Mivel a VFP-k vidéki térségeken belüli innovációra kifejtett hatásai nagy valószínűséggel</w:t>
                            </w:r>
                            <w:r>
                              <w:rPr>
                                <w:b/>
                              </w:rPr>
                              <w:t xml:space="preserve"> hosszú távon </w:t>
                            </w:r>
                            <w:r>
                              <w:t>várhatóak, az iránymutatás különösen azokra az értékelési vonatkozású tevékenységekre helyezi a hangsúlyt, amelyekről a 2019-ben benyújtandó éves végrehajtási jelentés és az utólagos értékelés számol majd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9FC9" id="Rectangle: Diagonal Corners Rounded 90" o:spid="_x0000_s1029" style="position:absolute;left:0;text-align:left;margin-left:245.25pt;margin-top:2.3pt;width:208.65pt;height:2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295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WjoQIAADYFAAAOAAAAZHJzL2Uyb0RvYy54bWysVE1v2zAMvQ/YfxB0X504cd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" adj="-11796480,,5400" path="m231412,l2649855,r,l2649855,3064238v,127805,-103607,231412,-231412,231412l,3295650r,l,231412c,103607,103607,,231412,xe" filled="f" strokecolor="#be4a35" strokeweight="2pt">
                <v:stroke joinstyle="miter"/>
                <v:formulas/>
                <v:path arrowok="t" o:connecttype="custom" o:connectlocs="231412,0;2649855,0;2649855,0;2649855,3064238;2418443,3295650;0,3295650;0,3295650;0,231412;231412,0" o:connectangles="0,0,0,0,0,0,0,0,0" textboxrect="0,0,2649855,3295650"/>
                <v:textbox>
                  <w:txbxContent>
                    <w:p w:rsidR="005139CB" w:rsidRPr="00D74B10" w:rsidRDefault="005139CB" w:rsidP="00E05D08">
                      <w:pPr>
                        <w:pStyle w:val="HBox"/>
                      </w:pPr>
                      <w:r>
                        <w:rPr>
                          <w:noProof/>
                          <w:lang w:val="en-GB" w:eastAsia="en-GB"/>
                        </w:rPr>
                        <w:drawing>
                          <wp:inline distT="0" distB="0" distL="0" distR="0" wp14:anchorId="55E02992" wp14:editId="13A7AA85">
                            <wp:extent cx="664845" cy="487680"/>
                            <wp:effectExtent l="0" t="0" r="0" b="7620"/>
                            <wp:docPr id="85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 dokumentum elsődleges célkitűzése az, hogy más iránymutatásokat kiegészítsen és tanácsot adjon a VFP-értékelésben érdekelt feleknek azzal kapcsolatban, hogy hogyan végezzék el az értékelési tevékenységeket </w:t>
                      </w:r>
                      <w:r>
                        <w:rPr>
                          <w:b/>
                        </w:rPr>
                        <w:t xml:space="preserve">az innovációval kapcsolatos közös értékelési kérdések megválaszolásához. </w:t>
                      </w:r>
                      <w:r>
                        <w:t>Mivel a VFP-k vidéki térségeken belüli innovációra kifejtett hatásai nagy valószínűséggel</w:t>
                      </w:r>
                      <w:r>
                        <w:rPr>
                          <w:b/>
                        </w:rPr>
                        <w:t xml:space="preserve"> hosszú távon </w:t>
                      </w:r>
                      <w:r>
                        <w:t>várhatóak, az iránymutatás különösen azokra az értékelési vonatkozású tevékenységekre helyezi a hangsúlyt, amelyekről a 2019-ben benyújtandó éves végrehajtási jelentés és az utólagos értékelés számol majd be.</w:t>
                      </w:r>
                    </w:p>
                  </w:txbxContent>
                </v:textbox>
                <w10:wrap type="square"/>
              </v:shape>
            </w:pict>
          </mc:Fallback>
        </mc:AlternateContent>
      </w:r>
      <w:r w:rsidR="00D66182">
        <w:rPr>
          <w:b/>
          <w:color w:val="57825E"/>
          <w:szCs w:val="20"/>
        </w:rPr>
        <w:t>Miért szükséges ez az iránymutatás?</w:t>
      </w:r>
    </w:p>
    <w:p w:rsidR="00A45935" w:rsidRPr="00E05D08" w:rsidRDefault="00A45935" w:rsidP="00E05D08">
      <w:pPr>
        <w:spacing w:after="120" w:line="280" w:lineRule="atLeast"/>
        <w:mirrorIndents/>
        <w:rPr>
          <w:rFonts w:eastAsia="Times New Roman" w:cs="Times New Roman"/>
          <w:szCs w:val="20"/>
        </w:rPr>
      </w:pPr>
      <w:r>
        <w:rPr>
          <w:b/>
          <w:szCs w:val="20"/>
        </w:rPr>
        <w:t>Az innováció értékelésének</w:t>
      </w:r>
      <w:r>
        <w:t xml:space="preserve"> a 2014–2020-as programozási időszakban </w:t>
      </w:r>
      <w:r>
        <w:rPr>
          <w:b/>
          <w:szCs w:val="20"/>
        </w:rPr>
        <w:t>megnőtt a jelentősége</w:t>
      </w:r>
      <w:r>
        <w:t xml:space="preserve"> annak köszönhetően, hogy a téma kiemelt helyre került az általános politikai menetrendben. A vidékfejlesztési programok támogathatják az innovációs folyamatokat, különféle kézzelfogható és megfoghatatlan eredményeket hozhatnak a programterületen és az innovációs rendszer egészében. </w:t>
      </w:r>
    </w:p>
    <w:p w:rsidR="00A45935" w:rsidRPr="00E05D08" w:rsidRDefault="00A45935" w:rsidP="00E05D08">
      <w:pPr>
        <w:spacing w:after="120" w:line="280" w:lineRule="atLeast"/>
        <w:mirrorIndents/>
        <w:rPr>
          <w:rFonts w:eastAsia="Times New Roman" w:cs="Times New Roman"/>
          <w:szCs w:val="20"/>
        </w:rPr>
      </w:pPr>
      <w:r>
        <w:rPr>
          <w:b/>
          <w:szCs w:val="20"/>
        </w:rPr>
        <w:t xml:space="preserve">Ezeknek a hatásoknak a rögzítése több módszertani kihívást hordoz </w:t>
      </w:r>
      <w:r>
        <w:t>az értékelés kapcsán:</w:t>
      </w:r>
      <w:r>
        <w:rPr>
          <w:b/>
          <w:szCs w:val="20"/>
        </w:rPr>
        <w:t xml:space="preserve"> </w:t>
      </w:r>
      <w:r>
        <w:t xml:space="preserve">Hogyan határozzuk meg az értékelés tárgyát? A vidéki térségekben zajló innovációs folyamatokhoz hozzájáruló hatások közül melyek vezethetők vissza a VFP-re? Hogyan értékelhető az EMVA-ból nyújtott támogatással létrejött innovációknak a VFP tágabb </w:t>
      </w:r>
      <w:r>
        <w:lastRenderedPageBreak/>
        <w:t>értelemben vett eredményeihez és hatásaihoz való hozzájárulása? Hogyan mérhetők a regionális/nemzeti/uniós szakpolitikai célkitűzések eredményei?</w:t>
      </w:r>
    </w:p>
    <w:p w:rsidR="00055039" w:rsidRDefault="00A45935" w:rsidP="00A6785E">
      <w:r>
        <w:t xml:space="preserve">Az értékelési támogató szolgálatnak </w:t>
      </w:r>
      <w:r>
        <w:rPr>
          <w:b/>
        </w:rPr>
        <w:t xml:space="preserve">a 2014–2020-as időszakra vonatkozó vidékfejlesztési programok keretében végrehajtott innovációk értékelésével foglalkozó 4. tematikus munkacsoportja </w:t>
      </w:r>
      <w:r>
        <w:t xml:space="preserve">a következő célokat tűzte ki: (1) az innováció értékelése terén felmerülő legfontosabb kihívások vizsgálata és kezelése; (2) a területen szerzett meglévő értékelési tapasztalatok felülvizsgálata; (3) gyakorlati megoldások meghatározása és megtervezése a VFP-k keretében végrehajtott innováció értékeléséhez; (4) </w:t>
      </w:r>
      <w:r>
        <w:rPr>
          <w:b/>
        </w:rPr>
        <w:t xml:space="preserve">nem kötelező erejű iránymutatás </w:t>
      </w:r>
      <w:r>
        <w:t xml:space="preserve">kidolgozása az </w:t>
      </w:r>
      <w:r>
        <w:rPr>
          <w:b/>
        </w:rPr>
        <w:t xml:space="preserve">innovációval kapcsolatos közös értékelési kérdések megválaszolásához </w:t>
      </w:r>
      <w:r>
        <w:t xml:space="preserve">a meglévő iránymutatás és közös monitoring- és értékelési rendszer kiegészítésével.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Kik az iránymutatás célcsoportjai?</w:t>
      </w:r>
    </w:p>
    <w:p w:rsidR="00A45935" w:rsidRPr="00E05D08" w:rsidRDefault="00A45935" w:rsidP="00E05D08">
      <w:pPr>
        <w:spacing w:after="120" w:line="280" w:lineRule="atLeast"/>
        <w:mirrorIndents/>
        <w:rPr>
          <w:rFonts w:eastAsia="Times New Roman" w:cs="Times New Roman"/>
          <w:szCs w:val="20"/>
        </w:rPr>
      </w:pPr>
      <w:r>
        <w:rPr>
          <w:i/>
          <w:szCs w:val="20"/>
        </w:rPr>
        <w:t xml:space="preserve">A 2014–2020-as időszakra vonatkozó vidékfejlesztési programok keretében végrehajtott innováció értékeléséről </w:t>
      </w:r>
      <w:r>
        <w:t>szóló iránymutatást a vidékfejlesztésben érdekelt felek különböző csoportjai számára szövegezte a Bizottság:</w:t>
      </w:r>
    </w:p>
    <w:p w:rsidR="00A45935" w:rsidRPr="00E16522" w:rsidRDefault="00A45935" w:rsidP="00D77B96">
      <w:r>
        <w:t xml:space="preserve">Az </w:t>
      </w:r>
      <w:r>
        <w:rPr>
          <w:b/>
        </w:rPr>
        <w:t>irányító hatóságok</w:t>
      </w:r>
      <w:r>
        <w:t xml:space="preserve"> a VFP szintjén végrehajtott innováció értékelésére vonatkozó információkat találnak benne: az innovációval kapcsolatos értékelési kérdések fogalmát, szakpolitikai keretét és annak meghatározását, hogy mire összpontosítanak e kérdések. Gyakorlati útmutatást kapnak annak szemléltetéséhez, hogy hogyan készítsék elő, hogyan irányítsák és hogyan hangolják össze az értékelést, és hogyan mérjék fel az innovációknak a VFP célkitűzéseihez való hozzájárulását. </w:t>
      </w:r>
    </w:p>
    <w:p w:rsidR="00A45935" w:rsidRPr="00C37C7A" w:rsidRDefault="00A45935" w:rsidP="00C37C7A">
      <w:r>
        <w:t xml:space="preserve">Az </w:t>
      </w:r>
      <w:r>
        <w:rPr>
          <w:b/>
        </w:rPr>
        <w:t xml:space="preserve">értékelési szakértők </w:t>
      </w:r>
      <w:r>
        <w:t xml:space="preserve">az innováció értékeléséhez kapcsolódó különféle kihívásokra vonatkozó megoldásokat találnak benne (például azt illetően, hogy hogyan vizsgálják meg a VFP innovációs potenciálját a VFP beavatkozási logikájának meghatározásakor, hogyan elemezzék az innovációknak a VFP keretében meghatározott célkitűzések eléréséhez, illetve a VFP eredményeihez és hatásaihoz való hozzájárulását). Az értékelők arra vonatkozó segítséget is találnak benne, hogy hogyan válasszák ki a legmegfelelőbb értékelési megközelítést és hogyan gyűjtsék össze a bizonyítékokat az értékelési kérdések megválaszolásához. </w:t>
      </w:r>
    </w:p>
    <w:p w:rsidR="00A45935" w:rsidRPr="00E16522" w:rsidRDefault="00A45935" w:rsidP="00AA5817">
      <w:pPr>
        <w:pStyle w:val="HStandard"/>
      </w:pPr>
      <w:r>
        <w:rPr>
          <w:b/>
        </w:rPr>
        <w:t>Más érdekelt felek</w:t>
      </w:r>
      <w:r>
        <w:t xml:space="preserve"> is használhatják az iránymutatást referenciadokumentumként: az </w:t>
      </w:r>
      <w:r>
        <w:rPr>
          <w:b/>
        </w:rPr>
        <w:t xml:space="preserve">Európai Bizottság tisztviselői </w:t>
      </w:r>
      <w:r>
        <w:t xml:space="preserve">(az innováció értékelése tekintetében felmerülő kérdésekhez); az </w:t>
      </w:r>
      <w:r>
        <w:rPr>
          <w:b/>
        </w:rPr>
        <w:t xml:space="preserve">európai innovációs partnerség (EIP) operatív csoportjai </w:t>
      </w:r>
      <w:r>
        <w:t xml:space="preserve">(a projektek megtervezésekor és a projektek innovációs potenciáljának értelmezésekor háttér-információként); a </w:t>
      </w:r>
      <w:r>
        <w:rPr>
          <w:b/>
        </w:rPr>
        <w:t>helyi akciócsoportok tagjai</w:t>
      </w:r>
      <w:r>
        <w:t xml:space="preserve"> (a közösségvezérelt helyi fejlesztési stratégiájuk innovatív elemeinek és az innovatív elemek vidéki térségeken belüli innovációra kifejtett hatásainak az értékelésekor / a helyi akciócsoport önértékelése kapcsán végzett vizsgálatakor); a </w:t>
      </w:r>
      <w:r>
        <w:rPr>
          <w:b/>
        </w:rPr>
        <w:t>nemzeti vidékfejlesztési hálózatok</w:t>
      </w:r>
      <w:r>
        <w:t xml:space="preserve"> a helyi akciócsoportoknak és az EIP operatív csoportjainak felkészítésekor és támogatásakor.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Hogyan épül fel az iránymutatás?</w:t>
      </w:r>
    </w:p>
    <w:p w:rsidR="00A45935" w:rsidRPr="00E05D08" w:rsidRDefault="00A45935" w:rsidP="00E05D08">
      <w:pPr>
        <w:spacing w:after="120" w:line="280" w:lineRule="atLeast"/>
        <w:mirrorIndents/>
        <w:rPr>
          <w:rFonts w:eastAsia="Times New Roman" w:cs="Times New Roman"/>
          <w:szCs w:val="20"/>
        </w:rPr>
      </w:pPr>
      <w:r>
        <w:t xml:space="preserve">Az iránymutatás három részből áll: </w:t>
      </w:r>
    </w:p>
    <w:p w:rsidR="00A45935" w:rsidRPr="00E05D08" w:rsidRDefault="00A45935" w:rsidP="00E05D08">
      <w:pPr>
        <w:spacing w:after="120" w:line="280" w:lineRule="atLeast"/>
        <w:mirrorIndents/>
        <w:rPr>
          <w:rFonts w:eastAsia="Times New Roman" w:cs="Times New Roman"/>
          <w:szCs w:val="20"/>
        </w:rPr>
      </w:pPr>
      <w:r>
        <w:t xml:space="preserve">Az </w:t>
      </w:r>
      <w:r>
        <w:rPr>
          <w:b/>
          <w:color w:val="F07E31"/>
          <w:szCs w:val="20"/>
        </w:rPr>
        <w:t xml:space="preserve">1. fejezet </w:t>
      </w:r>
      <w:r>
        <w:t xml:space="preserve">kifejti a vidéki térségeken belüli innovációs rendszert és a vidékfejlesztési innováció értékelésének fogalmát. A fogalom bemutatása magában foglalja az uniós szakpolitikai keretnek és a VFP szakpolitikai keretének, továbbá azok kölcsönhatásának ismertetését, valamint a közös értékelési elemek áttekintését. Az 1.3. fejezet a vidékfejlesztési politika keretében végrehajtott innováció értékeléséhez kapcsolódó kihívásokra is kitér. </w:t>
      </w:r>
    </w:p>
    <w:p w:rsidR="00A45935" w:rsidRPr="00E05D08" w:rsidRDefault="00A45935" w:rsidP="00E05D08">
      <w:pPr>
        <w:spacing w:after="120" w:line="280" w:lineRule="atLeast"/>
        <w:mirrorIndents/>
        <w:rPr>
          <w:rFonts w:eastAsia="Times New Roman" w:cs="Times New Roman"/>
          <w:szCs w:val="20"/>
        </w:rPr>
      </w:pPr>
      <w:r>
        <w:t xml:space="preserve">A </w:t>
      </w:r>
      <w:r>
        <w:rPr>
          <w:b/>
          <w:color w:val="F07E31"/>
          <w:szCs w:val="20"/>
        </w:rPr>
        <w:t>2. fejezet</w:t>
      </w:r>
      <w:r>
        <w:rPr>
          <w:color w:val="F07E31"/>
          <w:szCs w:val="20"/>
        </w:rPr>
        <w:t xml:space="preserve"> </w:t>
      </w:r>
      <w:r>
        <w:t xml:space="preserve">az innováció értékelésének lebonyolításához kapcsolódó sajátosságokról és a jelentéstételi követelményekről tájékoztatja az irányító hatóságokat. A 2.2. fejezet az innovációval kapcsolatos értékelési kérdések megválaszolásának megközelítéseit fejti ki, és konkrét útmutatást nyújt minden egyes releváns közös értékelési kérdéshez, nevezetesen az innovációs vonatkozású 1., </w:t>
      </w:r>
      <w:r>
        <w:lastRenderedPageBreak/>
        <w:t xml:space="preserve">2., 21., 23. és 30. számú kérdéshez. Ennek során ismertetésre kerülnek az innováció értékelése szempontjából megfelelő módszerek. </w:t>
      </w:r>
    </w:p>
    <w:p w:rsidR="00A45935" w:rsidRPr="00E05D08" w:rsidRDefault="00A45935" w:rsidP="00E05D08">
      <w:pPr>
        <w:spacing w:after="120" w:line="280" w:lineRule="atLeast"/>
        <w:mirrorIndents/>
        <w:rPr>
          <w:rFonts w:eastAsia="Times New Roman" w:cs="Times New Roman"/>
          <w:szCs w:val="20"/>
        </w:rPr>
      </w:pPr>
      <w:r>
        <w:t xml:space="preserve">A </w:t>
      </w:r>
      <w:r>
        <w:rPr>
          <w:b/>
          <w:color w:val="F07E31"/>
          <w:szCs w:val="20"/>
        </w:rPr>
        <w:t xml:space="preserve">3. fejezet </w:t>
      </w:r>
      <w:r>
        <w:t xml:space="preserve">(Mellékletek) a glosszáriumot és a vidékfejlesztési programokban rejlő innovációs potenciál meghatározásának lépéseit tartalmazza.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763ECB">
      <w:pPr>
        <w:pStyle w:val="HHeading1"/>
      </w:pPr>
      <w:bookmarkStart w:id="6" w:name="_Toc508982255"/>
      <w:r>
        <w:lastRenderedPageBreak/>
        <w:t>FOGALMI KERET</w:t>
      </w:r>
      <w:bookmarkEnd w:id="5"/>
      <w:bookmarkEnd w:id="6"/>
    </w:p>
    <w:p w:rsidR="00A45935" w:rsidRPr="00967CFD" w:rsidRDefault="005E7F5D" w:rsidP="00763ECB">
      <w:pPr>
        <w:pStyle w:val="HHeading2"/>
      </w:pPr>
      <w:bookmarkStart w:id="7" w:name="Innovation_RD"/>
      <w:bookmarkStart w:id="8" w:name="_Toc501382121"/>
      <w:bookmarkStart w:id="9" w:name="_Toc508982256"/>
      <w:bookmarkStart w:id="10" w:name="_Toc493151895"/>
      <w:bookmarkEnd w:id="7"/>
      <w:r>
        <w:rPr>
          <w:noProof/>
          <w:lang w:val="en-GB" w:eastAsia="en-GB"/>
        </w:rPr>
        <mc:AlternateContent>
          <mc:Choice Requires="wps">
            <w:drawing>
              <wp:anchor distT="0" distB="0" distL="114300" distR="114300" simplePos="0" relativeHeight="251649024" behindDoc="0" locked="0" layoutInCell="1" allowOverlap="1" wp14:anchorId="6B5F3984" wp14:editId="3F2E7224">
                <wp:simplePos x="0" y="0"/>
                <wp:positionH relativeFrom="column">
                  <wp:posOffset>3028950</wp:posOffset>
                </wp:positionH>
                <wp:positionV relativeFrom="paragraph">
                  <wp:posOffset>88900</wp:posOffset>
                </wp:positionV>
                <wp:extent cx="2642235" cy="3200400"/>
                <wp:effectExtent l="0" t="0" r="24765" b="1905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200400"/>
                        </a:xfrm>
                        <a:prstGeom prst="round2DiagRect">
                          <a:avLst>
                            <a:gd name="adj1" fmla="val 6695"/>
                            <a:gd name="adj2" fmla="val 0"/>
                          </a:avLst>
                        </a:prstGeom>
                        <a:noFill/>
                        <a:ln w="25400" cap="flat" cmpd="sng" algn="ctr">
                          <a:solidFill>
                            <a:srgbClr val="BE4A35"/>
                          </a:solidFill>
                          <a:prstDash val="solid"/>
                        </a:ln>
                        <a:effectLst/>
                      </wps:spPr>
                      <wps:txbx>
                        <w:txbxContent>
                          <w:p w:rsidR="005139CB" w:rsidRDefault="005139CB" w:rsidP="00E05D08">
                            <w:pPr>
                              <w:pStyle w:val="HStandard"/>
                            </w:pPr>
                            <w:r>
                              <w:rPr>
                                <w:noProof/>
                                <w:lang w:val="en-GB" w:eastAsia="en-GB"/>
                              </w:rPr>
                              <w:drawing>
                                <wp:inline distT="0" distB="0" distL="0" distR="0" wp14:anchorId="13ECDE23" wp14:editId="01129606">
                                  <wp:extent cx="664845" cy="487680"/>
                                  <wp:effectExtent l="0" t="0" r="0" b="7620"/>
                                  <wp:docPr id="859"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„Az innovációt gyakran a következőképpen írják le: </w:t>
                            </w:r>
                            <w:r>
                              <w:rPr>
                                <w:b/>
                                <w:color w:val="BE4A35"/>
                                <w:sz w:val="18"/>
                              </w:rPr>
                              <w:t>olyan új ötlet, amely sikeresnek bizonyul a gyakorlatban.</w:t>
                            </w:r>
                            <w:r>
                              <w:rPr>
                                <w:sz w:val="18"/>
                              </w:rPr>
                              <w:t xml:space="preserve"> Az innováció lehet technológiai innováció, ugyanakkor nem technológiai, szervezeti vagy társadalmi innováció is. Az innováció új földrajzi vagy környezeti háttérben folytatott új vagy akár hagyományos gyakorlatokon is alapulhat. Az új ötlet lehet új termék, gyakorlat, szolgáltatás, termelési folyamat, vagy lehet új szervezési módszer stb. is. Ilyen új ötlet kizárólag akkor válik innovációvá, ha széles körben elfogadják, és bebizonyítja a hasznosságát a gyakorlatban”.</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3984" id="Rectangle: Diagonal Corners Rounded 32" o:spid="_x0000_s1030" style="position:absolute;left:0;text-align:left;margin-left:238.5pt;margin-top:7pt;width:208.05pt;height: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" adj="-11796480,,5400" path="m176898,l2642235,r,l2642235,3023502v,97698,-79200,176898,-176898,176898l,3200400r,l,176898c,79200,79200,,176898,xe" filled="f" strokecolor="#be4a35" strokeweight="2pt">
                <v:stroke joinstyle="miter"/>
                <v:formulas/>
                <v:path arrowok="t" o:connecttype="custom" o:connectlocs="176898,0;2642235,0;2642235,0;2642235,3023502;2465337,3200400;0,3200400;0,3200400;0,176898;176898,0" o:connectangles="0,0,0,0,0,0,0,0,0" textboxrect="0,0,2642235,3200400"/>
                <v:textbox>
                  <w:txbxContent>
                    <w:p w:rsidR="005139CB" w:rsidRDefault="005139CB" w:rsidP="00E05D08">
                      <w:pPr>
                        <w:pStyle w:val="HStandard"/>
                      </w:pPr>
                      <w:r>
                        <w:rPr>
                          <w:noProof/>
                          <w:lang w:val="en-GB" w:eastAsia="en-GB"/>
                        </w:rPr>
                        <w:drawing>
                          <wp:inline distT="0" distB="0" distL="0" distR="0" wp14:anchorId="13ECDE23" wp14:editId="01129606">
                            <wp:extent cx="664845" cy="487680"/>
                            <wp:effectExtent l="0" t="0" r="0" b="7620"/>
                            <wp:docPr id="859"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„Az innovációt gyakran a következőképpen írják le: </w:t>
                      </w:r>
                      <w:r>
                        <w:rPr>
                          <w:b/>
                          <w:color w:val="BE4A35"/>
                          <w:sz w:val="18"/>
                        </w:rPr>
                        <w:t>olyan új ötlet, amely sikeresnek bizonyul a gyakorlatban.</w:t>
                      </w:r>
                      <w:r>
                        <w:rPr>
                          <w:sz w:val="18"/>
                        </w:rPr>
                        <w:t xml:space="preserve"> Az innováció lehet technológiai innováció, ugyanakkor nem technológiai, szervezeti vagy társadalmi innováció is. Az innováció új földrajzi vagy környezeti háttérben folytatott új vagy akár hagyományos gyakorlatokon is alapulhat. Az új ötlet lehet új termék, gyakorlat, szolgáltatás, termelési folyamat, vagy lehet új szervezési módszer stb. is. Ilyen új ötlet kizárólag akkor válik innovációvá, ha széles körben elfogadják, és bebizonyítja a hasznosságát a gyakorlatban”.</w:t>
                      </w:r>
                      <w:r>
                        <w:rPr>
                          <w:sz w:val="18"/>
                          <w:vertAlign w:val="superscript"/>
                        </w:rPr>
                        <w:t>4</w:t>
                      </w:r>
                      <w:r>
                        <w:rPr>
                          <w:sz w:val="18"/>
                        </w:rPr>
                        <w:t xml:space="preserve"> </w:t>
                      </w:r>
                    </w:p>
                  </w:txbxContent>
                </v:textbox>
                <w10:wrap type="square"/>
              </v:shape>
            </w:pict>
          </mc:Fallback>
        </mc:AlternateContent>
      </w:r>
      <w:r w:rsidR="00405B0B">
        <w:t>Innováció és vidékfejlesztés</w:t>
      </w:r>
      <w:bookmarkEnd w:id="8"/>
      <w:bookmarkEnd w:id="9"/>
      <w:r w:rsidR="00405B0B">
        <w:t xml:space="preserve"> </w:t>
      </w:r>
      <w:bookmarkEnd w:id="10"/>
    </w:p>
    <w:p w:rsidR="00A45935" w:rsidRPr="00E05D08" w:rsidRDefault="00A45935" w:rsidP="00230C31">
      <w:pPr>
        <w:pStyle w:val="HHeading4"/>
      </w:pPr>
      <w:r>
        <w:t>Hogyan értelmezhetjük az innovációt?</w:t>
      </w:r>
    </w:p>
    <w:p w:rsidR="00A45935" w:rsidRPr="00E05D08" w:rsidRDefault="00A45935" w:rsidP="00E05D08">
      <w:pPr>
        <w:spacing w:after="120" w:line="280" w:lineRule="atLeast"/>
        <w:mirrorIndents/>
        <w:rPr>
          <w:rFonts w:eastAsia="Times New Roman" w:cs="Times New Roman"/>
          <w:szCs w:val="20"/>
        </w:rPr>
      </w:pPr>
      <w:r>
        <w:rPr>
          <w:b/>
          <w:szCs w:val="20"/>
        </w:rPr>
        <w:t xml:space="preserve">Az uniós vidékfejlesztés összefüggésében </w:t>
      </w:r>
      <w:r>
        <w:t>az innovációt meglehetősen tágan értelmezik</w:t>
      </w:r>
      <w:r>
        <w:rPr>
          <w:rStyle w:val="FootnoteReference"/>
          <w:rFonts w:eastAsia="Times New Roman" w:cs="Times New Roman"/>
          <w:color w:val="FFFFFF" w:themeColor="background1"/>
          <w:szCs w:val="20"/>
          <w:lang w:eastAsia="de-DE"/>
        </w:rPr>
        <w:footnoteReference w:id="4"/>
      </w:r>
      <w:r>
        <w:t>.</w:t>
      </w:r>
      <w:bookmarkStart w:id="11" w:name="_Hlk501370282"/>
      <w:r>
        <w:t xml:space="preserve">Az </w:t>
      </w:r>
      <w:r>
        <w:rPr>
          <w:b/>
          <w:szCs w:val="20"/>
        </w:rPr>
        <w:t>innováció</w:t>
      </w:r>
      <w:r>
        <w:t xml:space="preserve"> e</w:t>
      </w:r>
      <w:r>
        <w:rPr>
          <w:b/>
          <w:szCs w:val="20"/>
        </w:rPr>
        <w:t xml:space="preserve"> tág értelmezése</w:t>
      </w:r>
      <w:r>
        <w:t xml:space="preserve"> révén az EU-n belüli különböző társadalmi-gazdasági és környezeti helyzetekhez igazítható. Ez a VFP felépítéséhez, valamint ahhoz kapcsolódik, hogy képes-e szerepet vállalni a meglévő helyzetben és képes-e új megoldásokat biztosítani a vidéki kihívásokhoz és szükségletekhez. Ezek a megoldások nem feltétlenül radikálisak és számottevőek, de járhatnak olyan kisebb változásokkal, amelyek időnként nagyobb dolgokhoz készítik elő a terepet. </w:t>
      </w:r>
    </w:p>
    <w:p w:rsidR="00A45935" w:rsidRPr="00E05D08" w:rsidRDefault="00A45935" w:rsidP="00230C31">
      <w:pPr>
        <w:pStyle w:val="HHeading4"/>
      </w:pPr>
      <w:r>
        <w:t>A VFP keretében végrehajtott beavatkozások hogyan járulnak hozzá az innovációhoz?</w:t>
      </w:r>
    </w:p>
    <w:p w:rsidR="00A45935" w:rsidRPr="00E05D08" w:rsidRDefault="00A45935" w:rsidP="00E05D08">
      <w:pPr>
        <w:spacing w:after="120" w:line="280" w:lineRule="atLeast"/>
        <w:mirrorIndents/>
        <w:rPr>
          <w:rFonts w:eastAsia="Times New Roman" w:cs="Times New Roman"/>
          <w:szCs w:val="20"/>
        </w:rPr>
      </w:pPr>
      <w:r>
        <w:rPr>
          <w:b/>
          <w:szCs w:val="20"/>
        </w:rPr>
        <w:t xml:space="preserve">A vidékfejlesztési politika célja, hogy </w:t>
      </w:r>
      <w:r>
        <w:t xml:space="preserve">a vidékfejlesztési célkitűzések és prioritások megvalósítását, valamint a vidéki kihívások kezelését támogató tényezőként </w:t>
      </w:r>
      <w:r>
        <w:rPr>
          <w:b/>
          <w:szCs w:val="20"/>
        </w:rPr>
        <w:t>előmozdítsa az innovációt</w:t>
      </w:r>
      <w:r>
        <w:t xml:space="preserve"> (a technológiai, az intézményi és a társadalmi innovációt). A VFP szerinti intézkedések/alintézkedések és kedvezményezettek (például az EIP operatív csoportjai, a helyi akciócsoportok, a mezőgazdasági termelők stb.) olyan teljesítményt, eredményeket és hatásokat váltanak ki, amelyek hozzájárulnak a VFP célkitűzéseihez, a keretét adó innovációs rendszerrel kölcsönhatásban.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60288" behindDoc="0" locked="0" layoutInCell="1" allowOverlap="1" wp14:anchorId="04D861B7" wp14:editId="7FCE29D8">
                <wp:simplePos x="0" y="0"/>
                <wp:positionH relativeFrom="column">
                  <wp:posOffset>-76200</wp:posOffset>
                </wp:positionH>
                <wp:positionV relativeFrom="paragraph">
                  <wp:posOffset>901700</wp:posOffset>
                </wp:positionV>
                <wp:extent cx="5811520" cy="240982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409825"/>
                        </a:xfrm>
                        <a:prstGeom prst="round2DiagRect">
                          <a:avLst>
                            <a:gd name="adj1" fmla="val 7986"/>
                            <a:gd name="adj2" fmla="val 0"/>
                          </a:avLst>
                        </a:prstGeom>
                        <a:noFill/>
                        <a:ln w="25400" cap="flat" cmpd="sng" algn="ctr">
                          <a:solidFill>
                            <a:srgbClr val="BE4A35"/>
                          </a:solidFill>
                          <a:prstDash val="solid"/>
                        </a:ln>
                        <a:effectLst/>
                      </wps:spPr>
                      <wps:txbx>
                        <w:txbxContent>
                          <w:p w:rsidR="005139CB" w:rsidRPr="00270814" w:rsidRDefault="005139CB" w:rsidP="00674A4B">
                            <w:pPr>
                              <w:pStyle w:val="HBox"/>
                            </w:pPr>
                            <w:r>
                              <w:rPr>
                                <w:noProof/>
                                <w:lang w:val="en-GB" w:eastAsia="en-GB"/>
                              </w:rPr>
                              <w:drawing>
                                <wp:inline distT="0" distB="0" distL="0" distR="0" wp14:anchorId="09C68D96" wp14:editId="2132592F">
                                  <wp:extent cx="664845" cy="487680"/>
                                  <wp:effectExtent l="0" t="0" r="0" b="7620"/>
                                  <wp:docPr id="860"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 vidékfejlesztési politikán kívül </w:t>
                            </w:r>
                            <w:r>
                              <w:rPr>
                                <w:b/>
                                <w:color w:val="BE4A35"/>
                              </w:rPr>
                              <w:t>az innovációs rendszert</w:t>
                            </w:r>
                            <w:r>
                              <w:t xml:space="preserve"> a vidéki térségekben érvényesülő </w:t>
                            </w:r>
                            <w:r>
                              <w:rPr>
                                <w:b/>
                                <w:color w:val="BE4A35"/>
                              </w:rPr>
                              <w:t>számos egyéb</w:t>
                            </w:r>
                            <w:r>
                              <w:t xml:space="preserve"> </w:t>
                            </w:r>
                            <w:r>
                              <w:rPr>
                                <w:b/>
                                <w:color w:val="BE4A35"/>
                              </w:rPr>
                              <w:t>tényező befolyásolhatja</w:t>
                            </w:r>
                            <w:r>
                              <w:t>, például a kutatás, az oktatás, a költségvetési politikák, valamint az innovatív tevékenységeket és folyamatokat támogató, uniós alapokból finanszírozott egyéb programok (Horizont 2020, az esb-alapokból finanszírozott operatív programok). Az innovációk iránti piaci kereslet szintén meghatározó szerepet tölthet be.</w:t>
                            </w:r>
                          </w:p>
                          <w:p w:rsidR="005139CB" w:rsidRPr="00D74B10" w:rsidRDefault="005139CB" w:rsidP="00674A4B">
                            <w:pPr>
                              <w:pStyle w:val="HBox"/>
                            </w:pPr>
                            <w:r>
                              <w:t>Egy innováció általánosan elterjedtté válása nemcsak a kreatív ötlet erejétől, hanem a piaci lehetőségektől, az ágazat elfogadási hajlandóságától, a költséghatékonyságtól, az ismeretektől és a felfogásoktól, véletlenszerű külső tényezőktől stb. függ. Előrejelezhetetlen, hogy e tényezők miként hatnak kölcsönösen egymásra egy-egy új ötlet innovációvá alakításához. Ezért csak később határozható meg, hogy egy új ötlet valódi innovációhoz vezetett-e.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6pt;margin-top:71pt;width:457.6pt;height:1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409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" adj="-11796480,,5400" path="m192449,l5811520,r,l5811520,2217376v,106287,-86162,192449,-192449,192449l,2409825r,l,192449c,86162,86162,,192449,xe" filled="f" strokecolor="#be4a35" strokeweight="2pt">
                <v:stroke joinstyle="miter"/>
                <v:formulas/>
                <v:path arrowok="t" o:connecttype="custom" o:connectlocs="192449,0;5811520,0;5811520,0;5811520,2217376;5619071,2409825;0,2409825;0,2409825;0,192449;192449,0" o:connectangles="0,0,0,0,0,0,0,0,0" textboxrect="0,0,5811520,2409825"/>
                <v:textbox>
                  <w:txbxContent>
                    <w:p w:rsidR="005139CB" w:rsidRPr="00270814" w:rsidRDefault="005139CB" w:rsidP="00674A4B">
                      <w:pPr>
                        <w:pStyle w:val="HBox"/>
                      </w:pPr>
                      <w:r>
                        <w:rPr>
                          <w:noProof/>
                          <w:lang w:val="en-GB" w:eastAsia="en-GB"/>
                        </w:rPr>
                        <w:drawing>
                          <wp:inline distT="0" distB="0" distL="0" distR="0" wp14:anchorId="09C68D96" wp14:editId="2132592F">
                            <wp:extent cx="664845" cy="487680"/>
                            <wp:effectExtent l="0" t="0" r="0" b="7620"/>
                            <wp:docPr id="860"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 vidékfejlesztési politikán kívül </w:t>
                      </w:r>
                      <w:r>
                        <w:rPr>
                          <w:b/>
                          <w:color w:val="BE4A35"/>
                        </w:rPr>
                        <w:t>az innovációs rendszert</w:t>
                      </w:r>
                      <w:r>
                        <w:t xml:space="preserve"> a vidéki térségekben érvényesülő </w:t>
                      </w:r>
                      <w:r>
                        <w:rPr>
                          <w:b/>
                          <w:color w:val="BE4A35"/>
                        </w:rPr>
                        <w:t>számos egyéb</w:t>
                      </w:r>
                      <w:r>
                        <w:t xml:space="preserve"> </w:t>
                      </w:r>
                      <w:r>
                        <w:rPr>
                          <w:b/>
                          <w:color w:val="BE4A35"/>
                        </w:rPr>
                        <w:t>tényező befolyásolhatja</w:t>
                      </w:r>
                      <w:r>
                        <w:t>, például a kutatás, az oktatás, a költségvetési politikák, valamint az innovatív tevékenységeket és folyamatokat támogató, uniós alapokból finanszírozott egyéb programok (Horizont 2020, az esb-alapokból finanszírozott operatív programok). Az innovációk iránti piaci kereslet szintén meghatározó szerepet tölthet be.</w:t>
                      </w:r>
                    </w:p>
                    <w:p w:rsidR="005139CB" w:rsidRPr="00D74B10" w:rsidRDefault="005139CB" w:rsidP="00674A4B">
                      <w:pPr>
                        <w:pStyle w:val="HBox"/>
                      </w:pPr>
                      <w:r>
                        <w:t>Egy innováció általánosan elterjedtté válása nemcsak a kreatív ötlet erejétől, hanem a piaci lehetőségektől, az ágazat elfogadási hajlandóságától, a költséghatékonyságtól, az ismeretektől és a felfogásoktól, véletlenszerű külső tényezőktől stb. függ. Előrejelezhetetlen, hogy e tényezők miként hatnak kölcsönösen egymásra egy-egy új ötlet innovációvá alakításához. Ezért csak később határozható meg, hogy egy új ötlet valódi innovációhoz vezetett-e.</w:t>
                      </w:r>
                    </w:p>
                  </w:txbxContent>
                </v:textbox>
                <w10:wrap type="square"/>
              </v:shape>
            </w:pict>
          </mc:Fallback>
        </mc:AlternateContent>
      </w:r>
      <w:r>
        <w:rPr>
          <w:b/>
          <w:szCs w:val="20"/>
        </w:rPr>
        <w:t>Az innovációs rendszerben</w:t>
      </w:r>
      <w:r>
        <w:t xml:space="preserve"> helyi, regionális, nemzeti vagy nemzetek feletti szinten az innovációs szereplők meglehetősen heterogén csoportja vesz részt, többek között vidéki vállalkozók (például mezőgazdasági termelők, erdészek), a termelésieszköz-ágazat és az idegenforgalmi ágazat, feldolgozók, kereskedők, szabályozó hatóságok, kutatók, tanácsadó szolgálatok, kormányzati és civil társadalmi szervezetek. Az e szereplők közötti, kísérleti alapú interaktív tanulás létfontosságú </w:t>
      </w:r>
      <w:r>
        <w:lastRenderedPageBreak/>
        <w:t xml:space="preserve">szerepet tölt be az innovációs rendszerben, mivel ezek a szereplők (a rendszer számára) új ötleteket ültetnek át a gyakorlatba. A szereplők közötti technológia- és információáramlás kulcsfontosságú az innovációs rendszeren belüli információs folyamat szempontjából.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rPr>
        <w:lastRenderedPageBreak/>
        <w:t>Az innovációs folyamat három irányvonalat tartalmaz:</w:t>
      </w:r>
      <w:r>
        <w:t xml:space="preserve"> </w:t>
      </w:r>
    </w:p>
    <w:p w:rsidR="00A45935" w:rsidRPr="00987055" w:rsidRDefault="00A45935" w:rsidP="008C0B17">
      <w:pPr>
        <w:numPr>
          <w:ilvl w:val="0"/>
          <w:numId w:val="66"/>
        </w:numPr>
        <w:mirrorIndents/>
        <w:rPr>
          <w:szCs w:val="20"/>
        </w:rPr>
      </w:pPr>
      <w:r>
        <w:rPr>
          <w:b/>
          <w:color w:val="F07E31"/>
          <w:szCs w:val="20"/>
        </w:rPr>
        <w:t>1. irányvonal:</w:t>
      </w:r>
      <w:r>
        <w:t xml:space="preserve"> az új ötletek (például új nézetek, megközelítések, termékek, gyakorlatok, szolgáltatások, termelési folyamatok/technológia, új szervezési módszerek vagy új együttműködési és tanulási formák) rögzítését és továbbfejlesztését foglalja magában; </w:t>
      </w:r>
    </w:p>
    <w:p w:rsidR="00A45935" w:rsidRDefault="00A45935" w:rsidP="008C0B17">
      <w:pPr>
        <w:numPr>
          <w:ilvl w:val="0"/>
          <w:numId w:val="66"/>
        </w:numPr>
        <w:mirrorIndents/>
        <w:rPr>
          <w:szCs w:val="20"/>
        </w:rPr>
      </w:pPr>
      <w:r>
        <w:rPr>
          <w:b/>
          <w:color w:val="F07E31"/>
          <w:szCs w:val="20"/>
        </w:rPr>
        <w:t>2. irányvonal:</w:t>
      </w:r>
      <w:r>
        <w:rPr>
          <w:b/>
          <w:szCs w:val="20"/>
        </w:rPr>
        <w:t xml:space="preserve"> </w:t>
      </w:r>
      <w:r>
        <w:t xml:space="preserve">az egyének, illetve a tudás- és az innovációs rendszer kísérletezésre, önszervezésre, valamint új ötletek és megközelítések felhasználására való képességére vonatkozik; </w:t>
      </w:r>
    </w:p>
    <w:p w:rsidR="00A45935" w:rsidRPr="00987055" w:rsidRDefault="00A45935" w:rsidP="008C0B17">
      <w:pPr>
        <w:numPr>
          <w:ilvl w:val="0"/>
          <w:numId w:val="66"/>
        </w:numPr>
        <w:mirrorIndents/>
        <w:rPr>
          <w:szCs w:val="20"/>
        </w:rPr>
      </w:pPr>
      <w:r>
        <w:rPr>
          <w:b/>
          <w:color w:val="F07E31"/>
          <w:szCs w:val="20"/>
        </w:rPr>
        <w:t>3. irányvonal:</w:t>
      </w:r>
      <w:r>
        <w:t xml:space="preserve"> szükségessé teszi, hogy az intézményi és a szakpolitikai környezet lehetővé tegye az újonnan megjelenő innovatív folyamatokat. </w:t>
      </w:r>
      <w:bookmarkStart w:id="12" w:name="_Toc476660915"/>
      <w:bookmarkStart w:id="13" w:name="_Toc476661047"/>
    </w:p>
    <w:p w:rsidR="00A45935" w:rsidRPr="0095292E" w:rsidRDefault="00A45935" w:rsidP="0095292E">
      <w:pPr>
        <w:mirrorIndents/>
        <w:rPr>
          <w:szCs w:val="20"/>
        </w:rPr>
      </w:pPr>
      <w:r>
        <w:t>A három irányvonal nem elszigetelt tényezőknek, hanem inkább az innovációba bevezető, egymást átfedő és egymással összekapcsolódó lehetőségeknek tekintendő (1. ábra).</w:t>
      </w:r>
    </w:p>
    <w:p w:rsidR="00A45935" w:rsidRPr="00447906" w:rsidRDefault="00763ECB" w:rsidP="00B422F9">
      <w:pPr>
        <w:pStyle w:val="HHeadingfigures"/>
        <w:tabs>
          <w:tab w:val="clear" w:pos="964"/>
        </w:tabs>
      </w:pPr>
      <w:bookmarkStart w:id="14" w:name="Pathways"/>
      <w:bookmarkStart w:id="15" w:name="_Toc508982292"/>
      <w:bookmarkEnd w:id="14"/>
      <w:r w:rsidRPr="00763ECB">
        <w:rPr>
          <w:noProof/>
          <w:lang w:val="en-GB" w:eastAsia="en-GB"/>
        </w:rPr>
        <w:drawing>
          <wp:anchor distT="0" distB="0" distL="114300" distR="114300" simplePos="0" relativeHeight="251662336" behindDoc="0" locked="0" layoutInCell="1" allowOverlap="1">
            <wp:simplePos x="1828800" y="3204210"/>
            <wp:positionH relativeFrom="margin">
              <wp:align>center</wp:align>
            </wp:positionH>
            <wp:positionV relativeFrom="margin">
              <wp:align>center</wp:align>
            </wp:positionV>
            <wp:extent cx="5731510" cy="345630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3456305"/>
                    </a:xfrm>
                    <a:prstGeom prst="rect">
                      <a:avLst/>
                    </a:prstGeom>
                  </pic:spPr>
                </pic:pic>
              </a:graphicData>
            </a:graphic>
          </wp:anchor>
        </w:drawing>
      </w:r>
      <w:r w:rsidR="00674A4B">
        <w:t>Egyszerűsített ábra: a VFP-k hogyan mozdítják elő az innovációt?</w:t>
      </w:r>
      <w:bookmarkEnd w:id="15"/>
      <w:r w:rsidR="00674A4B">
        <w:t xml:space="preserve"> </w:t>
      </w:r>
      <w:bookmarkEnd w:id="12"/>
      <w:bookmarkEnd w:id="13"/>
    </w:p>
    <w:p w:rsidR="00A45935" w:rsidRPr="00E05D08" w:rsidRDefault="00A45935" w:rsidP="00E05D08">
      <w:pPr>
        <w:spacing w:after="0" w:line="280" w:lineRule="atLeast"/>
        <w:jc w:val="center"/>
        <w:rPr>
          <w:rFonts w:eastAsia="Times New Roman" w:cs="Arial"/>
          <w:szCs w:val="18"/>
          <w:lang w:eastAsia="de-DE"/>
        </w:rPr>
      </w:pP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Forrás: Európai vidékfejlesztési értékelési támogató szolgálat, 2017</w:t>
      </w:r>
    </w:p>
    <w:p w:rsidR="000E1D4B" w:rsidRDefault="00A45935" w:rsidP="00E05D08">
      <w:pPr>
        <w:spacing w:after="120" w:line="280" w:lineRule="atLeast"/>
        <w:mirrorIndents/>
        <w:rPr>
          <w:rFonts w:eastAsia="Times New Roman" w:cs="Times New Roman"/>
          <w:szCs w:val="20"/>
        </w:rPr>
      </w:pPr>
      <w:r>
        <w:t xml:space="preserve">A VFP szerinti intézkedések/alintézkedések és azok kombinációi – a VFP innovációt támogató konkrét megközelítésétől függően különböző mértékben – egy, két vagy mindhárom irányvonalhoz is hozzájárulhatnak (lásd az </w:t>
      </w:r>
      <w:hyperlink w:anchor="Policy_framework" w:history="1">
        <w:r>
          <w:rPr>
            <w:rStyle w:val="Hyperlink"/>
            <w:sz w:val="20"/>
            <w:szCs w:val="20"/>
          </w:rPr>
          <w:t>1.2.1. szakaszt</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1072" behindDoc="0" locked="0" layoutInCell="1" allowOverlap="1" wp14:anchorId="1771AA66" wp14:editId="665AB1F5">
                <wp:simplePos x="0" y="0"/>
                <wp:positionH relativeFrom="column">
                  <wp:posOffset>-66675</wp:posOffset>
                </wp:positionH>
                <wp:positionV relativeFrom="paragraph">
                  <wp:posOffset>0</wp:posOffset>
                </wp:positionV>
                <wp:extent cx="2832735" cy="433387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33875"/>
                        </a:xfrm>
                        <a:prstGeom prst="round2DiagRect">
                          <a:avLst>
                            <a:gd name="adj1" fmla="val 6641"/>
                            <a:gd name="adj2" fmla="val 0"/>
                          </a:avLst>
                        </a:prstGeom>
                        <a:noFill/>
                        <a:ln w="25400" cap="flat" cmpd="sng" algn="ctr">
                          <a:solidFill>
                            <a:srgbClr val="F07E31"/>
                          </a:solidFill>
                          <a:prstDash val="solid"/>
                        </a:ln>
                        <a:effectLst/>
                      </wps:spPr>
                      <wps:txbx>
                        <w:txbxContent>
                          <w:p w:rsidR="005139CB" w:rsidRPr="00E05D08" w:rsidRDefault="005139CB"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86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A VFP által az 1. irányvonalhoz nyújtott lehetséges támogatásra vonatkozó példák</w:t>
                            </w:r>
                          </w:p>
                          <w:p w:rsidR="005139CB" w:rsidRPr="00230C31" w:rsidRDefault="005139CB" w:rsidP="00230C31">
                            <w:pPr>
                              <w:pStyle w:val="Hlistbullet"/>
                              <w:rPr>
                                <w:sz w:val="18"/>
                                <w:szCs w:val="18"/>
                              </w:rPr>
                            </w:pPr>
                            <w:r>
                              <w:rPr>
                                <w:sz w:val="18"/>
                                <w:szCs w:val="18"/>
                              </w:rPr>
                              <w:t xml:space="preserve">A mezőgazdasági földterületeken előforduló gyomfertőzések gépi ellenőrzésére szolgáló gép kifejlesztése, tesztelése és promóciója (például az 1305/2013/EU rendelet 17. és 35. cikke szerint végrehajtott műveletek). </w:t>
                            </w:r>
                          </w:p>
                          <w:p w:rsidR="005139CB" w:rsidRPr="00230C31" w:rsidRDefault="005139CB" w:rsidP="00230C31">
                            <w:pPr>
                              <w:pStyle w:val="Hlistbullet"/>
                              <w:rPr>
                                <w:sz w:val="18"/>
                                <w:szCs w:val="18"/>
                              </w:rPr>
                            </w:pPr>
                            <w:r>
                              <w:rPr>
                                <w:sz w:val="18"/>
                                <w:szCs w:val="18"/>
                              </w:rPr>
                              <w:t xml:space="preserve">Új szolgáltatástípusok tesztelése és nyújtása vidéki térségekben (például az 1305/2013/EU rendelet 20. és 35. cikke szerint végrehajtott műveletek). </w:t>
                            </w:r>
                          </w:p>
                          <w:p w:rsidR="005139CB" w:rsidRPr="00230C31" w:rsidRDefault="005139CB" w:rsidP="00230C31">
                            <w:pPr>
                              <w:pStyle w:val="Hlistbullet"/>
                              <w:rPr>
                                <w:sz w:val="18"/>
                                <w:szCs w:val="18"/>
                              </w:rPr>
                            </w:pPr>
                            <w:r>
                              <w:rPr>
                                <w:sz w:val="18"/>
                                <w:szCs w:val="18"/>
                              </w:rPr>
                              <w:t>Értekezletek, konferenciák és képzések új szervezési módjának bevezetése (például új facilitációs technikák, kerekasztal-konferenciák alkalmazásával) (például az 1305/2013/EU rendelet 14. cikke szerint végrehajtott műveletek).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width:223.05pt;height:341.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3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" adj="-11796480,,5400" path="m188122,l2832735,r,l2832735,4145753v,103897,-84225,188122,-188122,188122l,4333875r,l,188122c,84225,84225,,188122,xe" filled="f" strokecolor="#f07e31" strokeweight="2pt">
                <v:stroke joinstyle="miter"/>
                <v:formulas/>
                <v:path arrowok="t" o:connecttype="custom" o:connectlocs="188122,0;2832735,0;2832735,0;2832735,4145753;2644613,4333875;0,4333875;0,4333875;0,188122;188122,0" o:connectangles="0,0,0,0,0,0,0,0,0" textboxrect="0,0,2832735,4333875"/>
                <v:textbox>
                  <w:txbxContent>
                    <w:p w:rsidR="005139CB" w:rsidRPr="00E05D08" w:rsidRDefault="005139CB"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86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A VFP által az 1. irányvonalhoz nyújtott lehetséges támogatásra vonatkozó példák</w:t>
                      </w:r>
                    </w:p>
                    <w:p w:rsidR="005139CB" w:rsidRPr="00230C31" w:rsidRDefault="005139CB" w:rsidP="00230C31">
                      <w:pPr>
                        <w:pStyle w:val="Hlistbullet"/>
                        <w:rPr>
                          <w:sz w:val="18"/>
                          <w:szCs w:val="18"/>
                        </w:rPr>
                      </w:pPr>
                      <w:r>
                        <w:rPr>
                          <w:sz w:val="18"/>
                          <w:szCs w:val="18"/>
                        </w:rPr>
                        <w:t xml:space="preserve">A mezőgazdasági földterületeken előforduló gyomfertőzések gépi ellenőrzésére szolgáló gép kifejlesztése, tesztelése és promóciója (például az 1305/2013/EU rendelet 17. és 35. cikke szerint végrehajtott műveletek). </w:t>
                      </w:r>
                    </w:p>
                    <w:p w:rsidR="005139CB" w:rsidRPr="00230C31" w:rsidRDefault="005139CB" w:rsidP="00230C31">
                      <w:pPr>
                        <w:pStyle w:val="Hlistbullet"/>
                        <w:rPr>
                          <w:sz w:val="18"/>
                          <w:szCs w:val="18"/>
                        </w:rPr>
                      </w:pPr>
                      <w:r>
                        <w:rPr>
                          <w:sz w:val="18"/>
                          <w:szCs w:val="18"/>
                        </w:rPr>
                        <w:t xml:space="preserve">Új szolgáltatástípusok tesztelése és nyújtása vidéki térségekben (például az 1305/2013/EU rendelet 20. és 35. cikke szerint végrehajtott műveletek). </w:t>
                      </w:r>
                    </w:p>
                    <w:p w:rsidR="005139CB" w:rsidRPr="00230C31" w:rsidRDefault="005139CB" w:rsidP="00230C31">
                      <w:pPr>
                        <w:pStyle w:val="Hlistbullet"/>
                        <w:rPr>
                          <w:sz w:val="18"/>
                          <w:szCs w:val="18"/>
                        </w:rPr>
                      </w:pPr>
                      <w:r>
                        <w:rPr>
                          <w:sz w:val="18"/>
                          <w:szCs w:val="18"/>
                        </w:rPr>
                        <w:t>Értekezletek, konferenciák és képzések új szervezési módjának bevezetése (például új facilitációs technikák, kerekasztal-konferenciák alkalmazásával) (például az 1305/2013/EU rendelet 14. cikke szerint végrehajtott műveletek).</w:t>
                      </w:r>
                    </w:p>
                  </w:txbxContent>
                </v:textbox>
                <w10:wrap type="square"/>
              </v:shape>
            </w:pict>
          </mc:Fallback>
        </mc:AlternateContent>
      </w:r>
      <w:r>
        <w:rPr>
          <w:b/>
          <w:color w:val="F07E31"/>
          <w:szCs w:val="20"/>
        </w:rPr>
        <w:t>Az első irányvonal</w:t>
      </w:r>
      <w:r>
        <w:t xml:space="preserve"> azon ígéretes ötletek meghatározására és felkarolására való képességként írható le, amelyek bármilyen típusú (technológiai, nem technológiai, társadalmi. szervezeti stb.) innovációhoz vezethetnek. Az ilyen új ötletek elterjednek, hogy olyan valódi innovációvá váljanak, amely ideális esetben konkrét igényt elégít ki vagy sokak által alkalmazható lehetőséget teremt. Az innovációs folyamatok kialakításához az ötletek felkarolásának két legfontosabb lehetősége: (1) egyéni megközelítés (ötletet felvető személy megnyerése és felkarolása); (2) felkarolandó új ötletek felfedezése érdekében csoportokban dolgozó különféle érdekelt felek közreműködésével (a legjobb partnerek tömörítése egy olyan csoport létrehozása érdekében, amely ötvözi az innovációs projekt kialakításához szükséges kiegészítő kompetenciákat). </w:t>
      </w:r>
    </w:p>
    <w:bookmarkEnd w:id="16"/>
    <w:p w:rsidR="000E1D4B" w:rsidRDefault="00A45935" w:rsidP="00E05D08">
      <w:pPr>
        <w:spacing w:after="120" w:line="280" w:lineRule="atLeast"/>
        <w:mirrorIndents/>
        <w:rPr>
          <w:rFonts w:eastAsia="Times New Roman" w:cs="Times New Roman"/>
          <w:szCs w:val="20"/>
        </w:rPr>
      </w:pPr>
      <w:r>
        <w:t xml:space="preserve">Ahhoz, hogy innovatív legyen, az ötletnek vagy legalább bizonyos aspektusainak a kérdéses környezetben vagy helyen újnak kell lennie, és kézzelfogható ígéretet kell nyújtania a hasznosságáról (azaz segítenie kell egy vagy több érdekelt felet abban, hogy valami újat, jobbat vagy olcsóbbat készítsen, miközben valamilyen igényre reagál vagy valamilyen lehetőséget bontakoztat ki). </w:t>
      </w:r>
    </w:p>
    <w:p w:rsidR="000B2C7A" w:rsidRDefault="000B2C7A" w:rsidP="000B2C7A"/>
    <w:p w:rsidR="00A45935" w:rsidRPr="000B2C7A" w:rsidRDefault="00A45935" w:rsidP="000B2C7A">
      <w:pPr>
        <w:rPr>
          <w:rFonts w:eastAsia="Times New Roman" w:cs="Times New Roman"/>
          <w:szCs w:val="20"/>
        </w:rPr>
      </w:pPr>
      <w:r>
        <w:rPr>
          <w:b/>
          <w:color w:val="F07E31"/>
          <w:szCs w:val="20"/>
        </w:rPr>
        <w:t>A második irányvonal</w:t>
      </w:r>
      <w:r>
        <w:t xml:space="preserve"> az innovációs kapacitás kiépítéséhez kapcsolódik. Az irányvonal bizonyos körülmények között az első irányvonal végrehajtásának eredménye. A VFP megkönnyítheti a fejlesztési kihívások feltárásának a folyamatát, valamint az érdekelt és releváns innovációs szereplők tömörítésére adódó lehetőségek feltárásának a folyamatát (például az EIP operatív csoportjainak</w:t>
      </w:r>
      <w:r>
        <w:rPr>
          <w:rFonts w:eastAsia="Times New Roman" w:cs="Times New Roman"/>
          <w:szCs w:val="20"/>
          <w:vertAlign w:val="superscript"/>
          <w:lang w:eastAsia="de-DE"/>
        </w:rPr>
        <w:footnoteReference w:id="5"/>
      </w:r>
      <w:r>
        <w:t xml:space="preserve"> közreműködésével, amelyek kiegészítő ismeretekkel rendelkező releváns szereplők (például mezőgazdasági termelők, vállalkozások, tanácsadó szolgálatok, kutatók stb.) együttműködése keretében tesztelnek innovatív gyakorlatokat egy-egy innovatív projekt célkitűzéseink megvalósítása érdekében. Ez a szükséges készségek és ismeretek kialakítása révén járul hozzá a tudomány és a gyakorlat közötti szakadék áthidalásához. Az uniós kutatás- és innovációs politika – a Horizont 2020 keretprogram – alapján finanszírozott többszereplős projektekkel létrehozott szinergiáknak is lehetnek előnyei</w:t>
      </w:r>
      <w:r>
        <w:rPr>
          <w:rFonts w:eastAsia="Times New Roman" w:cs="Times New Roman"/>
          <w:szCs w:val="20"/>
          <w:vertAlign w:val="superscript"/>
          <w:lang w:eastAsia="de-DE"/>
        </w:rPr>
        <w:footnoteReference w:id="6"/>
      </w:r>
      <w:r>
        <w:rPr>
          <w:rFonts w:eastAsia="Times New Roman" w:cs="Times New Roman"/>
          <w:szCs w:val="20"/>
          <w:vertAlign w:val="superscript"/>
          <w:lang w:eastAsia="de-DE"/>
        </w:rPr>
        <w:footnoteReference w:id="7"/>
      </w:r>
      <w:r>
        <w:t xml:space="preserve">. Az operatív csoportok társadalmi-műszaki réseket is előidézhetnek. A társadalmi-műszaki </w:t>
      </w:r>
      <w:r>
        <w:lastRenderedPageBreak/>
        <w:t>rés olyan védett tér, amely lehetővé teszi, hogy az emberek újszerű technológiáról és/vagy intézményekről és/vagy új gyakorlati módszerekről tanuljanak, és kísérletezzenek azokkal. Amikor a rések megfelelően vannak kialakítva és megfelelően összekapcsolódnak, a fenntartható fejlődés irányába mutató, szélesebb körű társadalmi változások alapját is képezhetik</w:t>
      </w:r>
      <w:r w:rsidR="000B2C7A">
        <w:t>.</w:t>
      </w:r>
      <w:r>
        <w:rPr>
          <w:rFonts w:eastAsia="Times New Roman" w:cs="Arial"/>
          <w:szCs w:val="20"/>
          <w:vertAlign w:val="superscript"/>
          <w:lang w:eastAsia="de-DE"/>
        </w:rPr>
        <w:footnoteReference w:id="8"/>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rsidR="009F7877" w:rsidRDefault="009F7877" w:rsidP="00E05D08">
      <w:pPr>
        <w:spacing w:after="120" w:line="280" w:lineRule="atLeast"/>
        <w:mirrorIndents/>
      </w:pPr>
    </w:p>
    <w:p w:rsidR="009F7877" w:rsidRDefault="000B2C7A" w:rsidP="00E05D08">
      <w:pPr>
        <w:spacing w:after="120" w:line="280" w:lineRule="atLeast"/>
        <w:mirrorIndents/>
      </w:pPr>
      <w:r>
        <w:rPr>
          <w:rFonts w:eastAsia="Times New Roman" w:cs="Times New Roman"/>
          <w:noProof/>
          <w:szCs w:val="20"/>
          <w:lang w:val="en-GB" w:eastAsia="en-GB"/>
        </w:rPr>
        <mc:AlternateContent>
          <mc:Choice Requires="wps">
            <w:drawing>
              <wp:anchor distT="0" distB="0" distL="114300" distR="114300" simplePos="0" relativeHeight="251672576" behindDoc="0" locked="0" layoutInCell="1" allowOverlap="1" wp14:anchorId="143BDB4F" wp14:editId="57592FE1">
                <wp:simplePos x="0" y="0"/>
                <wp:positionH relativeFrom="column">
                  <wp:posOffset>-219075</wp:posOffset>
                </wp:positionH>
                <wp:positionV relativeFrom="paragraph">
                  <wp:posOffset>123825</wp:posOffset>
                </wp:positionV>
                <wp:extent cx="6089650" cy="4048125"/>
                <wp:effectExtent l="0" t="0" r="2540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4048125"/>
                        </a:xfrm>
                        <a:prstGeom prst="round2DiagRect">
                          <a:avLst>
                            <a:gd name="adj1" fmla="val 6633"/>
                            <a:gd name="adj2" fmla="val 0"/>
                          </a:avLst>
                        </a:prstGeom>
                        <a:noFill/>
                        <a:ln w="25400" cap="flat" cmpd="sng" algn="ctr">
                          <a:solidFill>
                            <a:srgbClr val="F07E31"/>
                          </a:solidFill>
                          <a:prstDash val="solid"/>
                        </a:ln>
                        <a:effectLst/>
                      </wps:spPr>
                      <wps:txbx>
                        <w:txbxContent>
                          <w:p w:rsidR="005139CB" w:rsidRPr="002F0ABF" w:rsidRDefault="005139CB" w:rsidP="00E05D08">
                            <w:pPr>
                              <w:pStyle w:val="Normal12PTcouleurgris"/>
                              <w:rPr>
                                <w:b/>
                                <w:color w:val="F07E31"/>
                                <w:sz w:val="16"/>
                                <w:szCs w:val="16"/>
                              </w:rPr>
                            </w:pPr>
                            <w:r>
                              <w:rPr>
                                <w:noProof/>
                                <w:lang w:val="en-GB" w:eastAsia="en-GB"/>
                              </w:rPr>
                              <w:drawing>
                                <wp:inline distT="0" distB="0" distL="0" distR="0" wp14:anchorId="2868C55F" wp14:editId="56688F86">
                                  <wp:extent cx="353060" cy="359410"/>
                                  <wp:effectExtent l="0" t="0" r="8890" b="2540"/>
                                  <wp:docPr id="86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A VFP által a 2. irányvonalhoz nyújtott lehetséges támogatásra vonatkozó példák</w:t>
                            </w:r>
                          </w:p>
                          <w:p w:rsidR="005139CB" w:rsidRPr="002F0ABF" w:rsidRDefault="005139CB" w:rsidP="00E05D08">
                            <w:pPr>
                              <w:pStyle w:val="Normal12PTcouleurgris"/>
                              <w:rPr>
                                <w:sz w:val="16"/>
                                <w:szCs w:val="16"/>
                              </w:rPr>
                            </w:pPr>
                            <w:r>
                              <w:rPr>
                                <w:sz w:val="16"/>
                                <w:szCs w:val="16"/>
                              </w:rPr>
                              <w:t>A VFP az innovációs szereplők alábbi kulcsfontosságú készségeit és tulajdonságait</w:t>
                            </w:r>
                            <w:r>
                              <w:rPr>
                                <w:sz w:val="16"/>
                                <w:szCs w:val="16"/>
                                <w:vertAlign w:val="superscript"/>
                              </w:rPr>
                              <w:t>9</w:t>
                            </w:r>
                            <w:r>
                              <w:rPr>
                                <w:sz w:val="16"/>
                                <w:szCs w:val="16"/>
                              </w:rPr>
                              <w:t xml:space="preserve"> támogathatja, és azok befolyásolhatják az innovációs kapacitásra irányuló műveleteket: </w:t>
                            </w:r>
                          </w:p>
                          <w:p w:rsidR="005139CB" w:rsidRPr="002F0ABF" w:rsidRDefault="005139CB" w:rsidP="00E05D08">
                            <w:pPr>
                              <w:pStyle w:val="Hlistbullet"/>
                              <w:rPr>
                                <w:sz w:val="16"/>
                                <w:szCs w:val="16"/>
                              </w:rPr>
                            </w:pPr>
                            <w:r>
                              <w:rPr>
                                <w:sz w:val="16"/>
                                <w:szCs w:val="16"/>
                              </w:rPr>
                              <w:t>az új ötletek gyakorlatbeli működőképességéhez szükséges műszaki és területspecifikus tudás és készségek, beleértve a lehetőségek felismerésének és kiválasztásának képességét (például az 1305/2013/EU rendelet 14., 15. és 35. cikke szerint végrehajtott műveletek);</w:t>
                            </w:r>
                          </w:p>
                          <w:p w:rsidR="005139CB" w:rsidRPr="002F0ABF" w:rsidRDefault="005139CB" w:rsidP="00E05D08">
                            <w:pPr>
                              <w:pStyle w:val="Hlistbullet"/>
                              <w:rPr>
                                <w:sz w:val="16"/>
                                <w:szCs w:val="16"/>
                              </w:rPr>
                            </w:pPr>
                            <w:r>
                              <w:rPr>
                                <w:sz w:val="16"/>
                                <w:szCs w:val="16"/>
                              </w:rPr>
                              <w:t>az innovációs folyamatok elősegítéséhez és közvetítéséhez szükséges szervezési és humán készségek</w:t>
                            </w:r>
                            <w:r>
                              <w:rPr>
                                <w:sz w:val="16"/>
                                <w:szCs w:val="16"/>
                                <w:vertAlign w:val="superscript"/>
                              </w:rPr>
                              <w:t>10</w:t>
                            </w:r>
                            <w:r>
                              <w:rPr>
                                <w:sz w:val="16"/>
                                <w:szCs w:val="16"/>
                              </w:rPr>
                              <w:t>, beleértve az érdekelt felek közötti kapcsolatok és hálózatok építésének képességét, az ismétlődő jövőkép-kialakítási, tervezési és reflektív tanulási ciklusok teljesítésének képességét, valamint a rendszer legfontosabb dinamikája és kihívásai meghatározásának képességét (például az 1305/2013/EU rendelet 35. cikke szerint végrehajtott műveletek);</w:t>
                            </w:r>
                          </w:p>
                          <w:p w:rsidR="005139CB" w:rsidRPr="002F0ABF" w:rsidRDefault="005139CB" w:rsidP="00E05D08">
                            <w:pPr>
                              <w:pStyle w:val="Hlistbullet"/>
                              <w:rPr>
                                <w:sz w:val="16"/>
                                <w:szCs w:val="16"/>
                              </w:rPr>
                            </w:pPr>
                            <w:r>
                              <w:rPr>
                                <w:sz w:val="16"/>
                                <w:szCs w:val="16"/>
                              </w:rPr>
                              <w:t>több kapacitás az eredményes közös fellépéshez</w:t>
                            </w:r>
                            <w:r>
                              <w:rPr>
                                <w:sz w:val="16"/>
                                <w:szCs w:val="16"/>
                                <w:vertAlign w:val="superscript"/>
                              </w:rPr>
                              <w:t>11</w:t>
                            </w:r>
                            <w:r>
                              <w:rPr>
                                <w:sz w:val="16"/>
                                <w:szCs w:val="16"/>
                              </w:rPr>
                              <w:t xml:space="preserve"> (például demonstrációs és tájékoztatási tevékenységek együttműködésen alapuló megszervezése a szereplők közötti tapasztalat- és tudásátadás céljával, vagy élelmiszer- és energiatermeléshez biomassza biztosítása érdekében az ellátási lánc szereplői közötti együttműködés céljával stb.) (az 1305/2013/EU rendelet 14., 15. és 35. cikke szerint végrehajtott műveletek);</w:t>
                            </w:r>
                          </w:p>
                          <w:p w:rsidR="005139CB" w:rsidRPr="002F0ABF" w:rsidRDefault="005139CB" w:rsidP="00E05D08">
                            <w:pPr>
                              <w:pStyle w:val="Hlistbullet"/>
                              <w:rPr>
                                <w:sz w:val="16"/>
                                <w:szCs w:val="16"/>
                              </w:rPr>
                            </w:pPr>
                            <w:r>
                              <w:rPr>
                                <w:sz w:val="16"/>
                                <w:szCs w:val="16"/>
                              </w:rPr>
                              <w:t>a VFP keretében végrehajtott beavatkozások tudásátadási lehetőségek (például szolgáltatások, képzés és mentorálás) biztosításával innovációs kapacitást építhetnek ki (az 1305/2013/EU rendelet 15. cikke szerint végrehajtott műveletek).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DB4F" id="Rectangle: Diagonal Corners Rounded 57" o:spid="_x0000_s1033" style="position:absolute;left:0;text-align:left;margin-left:-17.25pt;margin-top:9.75pt;width:479.5pt;height:3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404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" adj="-11796480,,5400" path="m268512,l6089650,r,l6089650,3779613v,148295,-120217,268512,-268512,268512l,4048125r,l,268512c,120217,120217,,268512,xe" filled="f" strokecolor="#f07e31" strokeweight="2pt">
                <v:stroke joinstyle="miter"/>
                <v:formulas/>
                <v:path arrowok="t" o:connecttype="custom" o:connectlocs="268512,0;6089650,0;6089650,0;6089650,3779613;5821138,4048125;0,4048125;0,4048125;0,268512;268512,0" o:connectangles="0,0,0,0,0,0,0,0,0" textboxrect="0,0,6089650,4048125"/>
                <v:textbox inset=",0,,0">
                  <w:txbxContent>
                    <w:p w:rsidR="005139CB" w:rsidRPr="002F0ABF" w:rsidRDefault="005139CB" w:rsidP="00E05D08">
                      <w:pPr>
                        <w:pStyle w:val="Normal12PTcouleurgris"/>
                        <w:rPr>
                          <w:b/>
                          <w:color w:val="F07E31"/>
                          <w:sz w:val="16"/>
                          <w:szCs w:val="16"/>
                        </w:rPr>
                      </w:pPr>
                      <w:r>
                        <w:rPr>
                          <w:noProof/>
                          <w:lang w:val="en-GB" w:eastAsia="en-GB"/>
                        </w:rPr>
                        <w:drawing>
                          <wp:inline distT="0" distB="0" distL="0" distR="0" wp14:anchorId="2868C55F" wp14:editId="56688F86">
                            <wp:extent cx="353060" cy="359410"/>
                            <wp:effectExtent l="0" t="0" r="8890" b="2540"/>
                            <wp:docPr id="86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A VFP által a 2. irányvonalhoz nyújtott lehetséges támogatásra vonatkozó példák</w:t>
                      </w:r>
                    </w:p>
                    <w:p w:rsidR="005139CB" w:rsidRPr="002F0ABF" w:rsidRDefault="005139CB" w:rsidP="00E05D08">
                      <w:pPr>
                        <w:pStyle w:val="Normal12PTcouleurgris"/>
                        <w:rPr>
                          <w:sz w:val="16"/>
                          <w:szCs w:val="16"/>
                        </w:rPr>
                      </w:pPr>
                      <w:r>
                        <w:rPr>
                          <w:sz w:val="16"/>
                          <w:szCs w:val="16"/>
                        </w:rPr>
                        <w:t>A VFP az innovációs szereplők alábbi kulcsfontosságú készségeit és tulajdonságait</w:t>
                      </w:r>
                      <w:r>
                        <w:rPr>
                          <w:sz w:val="16"/>
                          <w:szCs w:val="16"/>
                          <w:vertAlign w:val="superscript"/>
                        </w:rPr>
                        <w:t>9</w:t>
                      </w:r>
                      <w:r>
                        <w:rPr>
                          <w:sz w:val="16"/>
                          <w:szCs w:val="16"/>
                        </w:rPr>
                        <w:t xml:space="preserve"> támogathatja, és azok befolyásolhatják az innovációs kapacitásra irányuló műveleteket: </w:t>
                      </w:r>
                    </w:p>
                    <w:p w:rsidR="005139CB" w:rsidRPr="002F0ABF" w:rsidRDefault="005139CB" w:rsidP="00E05D08">
                      <w:pPr>
                        <w:pStyle w:val="Hlistbullet"/>
                        <w:rPr>
                          <w:sz w:val="16"/>
                          <w:szCs w:val="16"/>
                        </w:rPr>
                      </w:pPr>
                      <w:r>
                        <w:rPr>
                          <w:sz w:val="16"/>
                          <w:szCs w:val="16"/>
                        </w:rPr>
                        <w:t>az új ötletek gyakorlatbeli működőképességéhez szükséges műszaki és területspecifikus tudás és készségek, beleértve a lehetőségek felismerésének és kiválasztásának képességét (például az 1305/2013/EU rendelet 14., 15. és 35. cikke szerint végrehajtott műveletek);</w:t>
                      </w:r>
                    </w:p>
                    <w:p w:rsidR="005139CB" w:rsidRPr="002F0ABF" w:rsidRDefault="005139CB" w:rsidP="00E05D08">
                      <w:pPr>
                        <w:pStyle w:val="Hlistbullet"/>
                        <w:rPr>
                          <w:sz w:val="16"/>
                          <w:szCs w:val="16"/>
                        </w:rPr>
                      </w:pPr>
                      <w:r>
                        <w:rPr>
                          <w:sz w:val="16"/>
                          <w:szCs w:val="16"/>
                        </w:rPr>
                        <w:t>az innovációs folyamatok elősegítéséhez és közvetítéséhez szükséges szervezési és humán készségek</w:t>
                      </w:r>
                      <w:r>
                        <w:rPr>
                          <w:sz w:val="16"/>
                          <w:szCs w:val="16"/>
                          <w:vertAlign w:val="superscript"/>
                        </w:rPr>
                        <w:t>10</w:t>
                      </w:r>
                      <w:r>
                        <w:rPr>
                          <w:sz w:val="16"/>
                          <w:szCs w:val="16"/>
                        </w:rPr>
                        <w:t>, beleértve az érdekelt felek közötti kapcsolatok és hálózatok építésének képességét, az ismétlődő jövőkép-kialakítási, tervezési és reflektív tanulási ciklusok teljesítésének képességét, valamint a rendszer legfontosabb dinamikája és kihívásai meghatározásának képességét (például az 1305/2013/EU rendelet 35. cikke szerint végrehajtott műveletek);</w:t>
                      </w:r>
                    </w:p>
                    <w:p w:rsidR="005139CB" w:rsidRPr="002F0ABF" w:rsidRDefault="005139CB" w:rsidP="00E05D08">
                      <w:pPr>
                        <w:pStyle w:val="Hlistbullet"/>
                        <w:rPr>
                          <w:sz w:val="16"/>
                          <w:szCs w:val="16"/>
                        </w:rPr>
                      </w:pPr>
                      <w:r>
                        <w:rPr>
                          <w:sz w:val="16"/>
                          <w:szCs w:val="16"/>
                        </w:rPr>
                        <w:t>több kapacitás az eredményes közös fellépéshez</w:t>
                      </w:r>
                      <w:r>
                        <w:rPr>
                          <w:sz w:val="16"/>
                          <w:szCs w:val="16"/>
                          <w:vertAlign w:val="superscript"/>
                        </w:rPr>
                        <w:t>11</w:t>
                      </w:r>
                      <w:r>
                        <w:rPr>
                          <w:sz w:val="16"/>
                          <w:szCs w:val="16"/>
                        </w:rPr>
                        <w:t xml:space="preserve"> (például demonstrációs és tájékoztatási tevékenységek együttműködésen alapuló megszervezése a szereplők közötti tapasztalat- és tudásátadás céljával, vagy élelmiszer- és energiatermeléshez biomassza biztosítása érdekében az ellátási lánc szereplői közötti együttműködés céljával stb.) (az 1305/2013/EU rendelet 14., 15. és 35. cikke szerint végrehajtott műveletek);</w:t>
                      </w:r>
                    </w:p>
                    <w:p w:rsidR="005139CB" w:rsidRPr="002F0ABF" w:rsidRDefault="005139CB" w:rsidP="00E05D08">
                      <w:pPr>
                        <w:pStyle w:val="Hlistbullet"/>
                        <w:rPr>
                          <w:sz w:val="16"/>
                          <w:szCs w:val="16"/>
                        </w:rPr>
                      </w:pPr>
                      <w:r>
                        <w:rPr>
                          <w:sz w:val="16"/>
                          <w:szCs w:val="16"/>
                        </w:rPr>
                        <w:t>a VFP keretében végrehajtott beavatkozások tudásátadási lehetőségek (például szolgáltatások, képzés és mentorálás) biztosításával innovációs kapacitást építhetnek ki (az 1305/2013/EU rendelet 15. cikke szerint végrehajtott műveletek).</w:t>
                      </w:r>
                    </w:p>
                  </w:txbxContent>
                </v:textbox>
              </v:shape>
            </w:pict>
          </mc:Fallback>
        </mc:AlternateContent>
      </w: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Default="009F7877" w:rsidP="00E05D08">
      <w:pPr>
        <w:spacing w:after="120" w:line="280" w:lineRule="atLeast"/>
        <w:mirrorIndents/>
      </w:pPr>
    </w:p>
    <w:p w:rsidR="009F7877" w:rsidRPr="00E05D08" w:rsidRDefault="009F7877" w:rsidP="00E05D08">
      <w:pPr>
        <w:spacing w:after="120" w:line="280" w:lineRule="atLeast"/>
        <w:mirrorIndents/>
        <w:rPr>
          <w:rFonts w:eastAsia="Times New Roman" w:cs="Times New Roman"/>
          <w:szCs w:val="20"/>
        </w:rPr>
      </w:pPr>
    </w:p>
    <w:p w:rsidR="00A45935" w:rsidRPr="00E05D08" w:rsidRDefault="00F74459" w:rsidP="002F0ABF">
      <w:pPr>
        <w:spacing w:after="120" w:line="280" w:lineRule="atLeast"/>
        <w:mirrorIndents/>
        <w:rPr>
          <w:rFonts w:eastAsia="Times New Roman" w:cs="Times New Roman"/>
          <w:szCs w:val="20"/>
        </w:rPr>
      </w:pPr>
      <w:r>
        <w:br w:type="column"/>
      </w:r>
      <w:r w:rsidR="00785477">
        <w:rPr>
          <w:noProof/>
          <w:lang w:val="en-GB" w:eastAsia="en-GB"/>
        </w:rPr>
        <w:lastRenderedPageBreak/>
        <mc:AlternateContent>
          <mc:Choice Requires="wps">
            <w:drawing>
              <wp:anchor distT="0" distB="0" distL="114300" distR="114300" simplePos="0" relativeHeight="251648000" behindDoc="0" locked="0" layoutInCell="1" allowOverlap="1" wp14:anchorId="27832C0A" wp14:editId="6E3D45CF">
                <wp:simplePos x="0" y="0"/>
                <wp:positionH relativeFrom="column">
                  <wp:posOffset>2695575</wp:posOffset>
                </wp:positionH>
                <wp:positionV relativeFrom="paragraph">
                  <wp:posOffset>-180975</wp:posOffset>
                </wp:positionV>
                <wp:extent cx="3061335" cy="819150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3061335" cy="8191500"/>
                        </a:xfrm>
                        <a:prstGeom prst="round2DiagRect">
                          <a:avLst>
                            <a:gd name="adj1" fmla="val 5907"/>
                            <a:gd name="adj2" fmla="val 0"/>
                          </a:avLst>
                        </a:prstGeom>
                        <a:noFill/>
                        <a:ln w="25400" cap="flat" cmpd="sng" algn="ctr">
                          <a:solidFill>
                            <a:srgbClr val="F07E31"/>
                          </a:solidFill>
                          <a:prstDash val="solid"/>
                        </a:ln>
                        <a:effectLst/>
                      </wps:spPr>
                      <wps:txbx>
                        <w:txbxContent>
                          <w:p w:rsidR="005139CB" w:rsidRPr="00E05D08" w:rsidRDefault="005139CB" w:rsidP="004508D0">
                            <w:pPr>
                              <w:pStyle w:val="Normal12PTcouleurgris"/>
                              <w:rPr>
                                <w:b/>
                                <w:color w:val="F07E31"/>
                              </w:rPr>
                            </w:pPr>
                            <w:r>
                              <w:rPr>
                                <w:noProof/>
                                <w:lang w:val="en-GB" w:eastAsia="en-GB"/>
                              </w:rPr>
                              <w:drawing>
                                <wp:inline distT="0" distB="0" distL="0" distR="0" wp14:anchorId="65CE971D" wp14:editId="41881BE9">
                                  <wp:extent cx="353060" cy="359410"/>
                                  <wp:effectExtent l="0" t="0" r="8890" b="2540"/>
                                  <wp:docPr id="86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A VFP által a 3. irányvonalhoz nyújtott lehetséges támogatásra vonatkozó példák</w:t>
                            </w:r>
                          </w:p>
                          <w:p w:rsidR="005139CB" w:rsidRPr="002B58E1" w:rsidRDefault="005139CB" w:rsidP="004508D0">
                            <w:pPr>
                              <w:pStyle w:val="Hlistbullet"/>
                              <w:rPr>
                                <w:sz w:val="18"/>
                                <w:szCs w:val="18"/>
                              </w:rPr>
                            </w:pPr>
                            <w:r>
                              <w:rPr>
                                <w:sz w:val="18"/>
                                <w:szCs w:val="18"/>
                              </w:rPr>
                              <w:t xml:space="preserve">Olyan VFP, amely a tájékoztatási és képzési tevékenységeket (az 1305/2013/EU rendelet 14. cikke) és a tanácsadási szolgáltatásokat (az 1305/2013/EU rendelet 15. cikke) részesíti előnyben a megfelelő működési támogatások (az 1305/2013/EU rendelet 35. cikke) keretében kialakított innovatív gyakorlatok, illetve a más régiókban vagy országokban nyújtott működési támogatások segítségével kialakított innovatív gyakorlatok alapján (nemzeti vidékfejlesztési hálózatok tevékenységei, technikai segítségnyújtás). </w:t>
                            </w:r>
                          </w:p>
                          <w:p w:rsidR="005139CB" w:rsidRPr="002B58E1" w:rsidRDefault="005139CB" w:rsidP="004508D0">
                            <w:pPr>
                              <w:pStyle w:val="Hlistbullet"/>
                              <w:rPr>
                                <w:sz w:val="18"/>
                                <w:szCs w:val="18"/>
                              </w:rPr>
                            </w:pPr>
                            <w:r>
                              <w:rPr>
                                <w:sz w:val="18"/>
                                <w:szCs w:val="18"/>
                              </w:rPr>
                              <w:t>A vidéki internet-hozzáférést javító VFP segítséget fog nyújtani a helyi vállalkozásoknak és mezőgazdasági termelőknek az információkhoz való hozzáféréshez és a piacra jutáshoz, ezáltal fokozza az innovációs kapacitásukat és az innovációval kapcsolatos motivációjukat (például az 1305/2013/EU rendelet 20. cikke szerint végrehajtott műveletek).</w:t>
                            </w:r>
                          </w:p>
                          <w:p w:rsidR="005139CB" w:rsidRPr="002B58E1" w:rsidRDefault="005139CB" w:rsidP="004508D0">
                            <w:pPr>
                              <w:pStyle w:val="Hlistbullet"/>
                              <w:rPr>
                                <w:b/>
                                <w:sz w:val="18"/>
                                <w:szCs w:val="18"/>
                              </w:rPr>
                            </w:pPr>
                            <w:r>
                              <w:rPr>
                                <w:sz w:val="18"/>
                                <w:szCs w:val="18"/>
                              </w:rPr>
                              <w:t>Valamely operatív csoport növényi maradékokat felhasználó innovatív szántóberendezését fejlesztő VFP innovatív beruházásokat serkenthet, valamint a növényi maradékok égetését tiltó, szigorúbb jogszabály-végrehajtást ösztönözhet (például az 1305/2013/EU rendelet 17. cikke szerint végrehajtott műveletek).</w:t>
                            </w:r>
                          </w:p>
                          <w:p w:rsidR="005139CB" w:rsidRPr="002B58E1" w:rsidRDefault="005139CB" w:rsidP="004508D0">
                            <w:pPr>
                              <w:pStyle w:val="Hlistbullet"/>
                              <w:rPr>
                                <w:sz w:val="18"/>
                                <w:szCs w:val="18"/>
                              </w:rPr>
                            </w:pPr>
                            <w:r>
                              <w:rPr>
                                <w:sz w:val="18"/>
                                <w:szCs w:val="18"/>
                              </w:rPr>
                              <w:t>A rövid élelmiszer-ellátási láncok vagy termelői szövetkezetek létrehozását támogató VFP-intézkedés fokozhatja a fogyasztók és a termelők innovatívabb élelmiszer-termelési rendszer kialakítását célzó kapcsolatait és együttműködését</w:t>
                            </w:r>
                            <w:r>
                              <w:rPr>
                                <w:sz w:val="18"/>
                                <w:szCs w:val="18"/>
                                <w:vertAlign w:val="superscript"/>
                              </w:rPr>
                              <w:t>13</w:t>
                            </w:r>
                            <w:r>
                              <w:rPr>
                                <w:sz w:val="18"/>
                                <w:szCs w:val="18"/>
                              </w:rPr>
                              <w:t xml:space="preserve"> (például az 1305/2013/EU rendelet 16., 17. és 35. cikke szerint végrehajtott műveletek).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2C0A" id="Rectangle: Diagonal Corners Rounded 59" o:spid="_x0000_s1034" style="position:absolute;left:0;text-align:left;margin-left:212.25pt;margin-top:-14.25pt;width:241.05pt;height:6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1335,819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" adj="-11796480,,5400" path="m180833,l3061335,r,l3061335,8010667v,99871,-80962,180833,-180833,180833l,8191500r,l,180833c,80962,80962,,180833,xe" filled="f" strokecolor="#f07e31" strokeweight="2pt">
                <v:stroke joinstyle="miter"/>
                <v:formulas/>
                <v:path arrowok="t" o:connecttype="custom" o:connectlocs="180833,0;3061335,0;3061335,0;3061335,8010667;2880502,8191500;0,8191500;0,8191500;0,180833;180833,0" o:connectangles="0,0,0,0,0,0,0,0,0" textboxrect="0,0,3061335,8191500"/>
                <v:textbox>
                  <w:txbxContent>
                    <w:p w:rsidR="005139CB" w:rsidRPr="00E05D08" w:rsidRDefault="005139CB" w:rsidP="004508D0">
                      <w:pPr>
                        <w:pStyle w:val="Normal12PTcouleurgris"/>
                        <w:rPr>
                          <w:b/>
                          <w:color w:val="F07E31"/>
                        </w:rPr>
                      </w:pPr>
                      <w:r>
                        <w:rPr>
                          <w:noProof/>
                          <w:lang w:val="en-GB" w:eastAsia="en-GB"/>
                        </w:rPr>
                        <w:drawing>
                          <wp:inline distT="0" distB="0" distL="0" distR="0" wp14:anchorId="65CE971D" wp14:editId="41881BE9">
                            <wp:extent cx="353060" cy="359410"/>
                            <wp:effectExtent l="0" t="0" r="8890" b="2540"/>
                            <wp:docPr id="86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A VFP által a 3. irányvonalhoz nyújtott lehetséges támogatásra vonatkozó példák</w:t>
                      </w:r>
                    </w:p>
                    <w:p w:rsidR="005139CB" w:rsidRPr="002B58E1" w:rsidRDefault="005139CB" w:rsidP="004508D0">
                      <w:pPr>
                        <w:pStyle w:val="Hlistbullet"/>
                        <w:rPr>
                          <w:sz w:val="18"/>
                          <w:szCs w:val="18"/>
                        </w:rPr>
                      </w:pPr>
                      <w:r>
                        <w:rPr>
                          <w:sz w:val="18"/>
                          <w:szCs w:val="18"/>
                        </w:rPr>
                        <w:t xml:space="preserve">Olyan VFP, amely a tájékoztatási és képzési tevékenységeket (az 1305/2013/EU rendelet 14. cikke) és a tanácsadási szolgáltatásokat (az 1305/2013/EU rendelet 15. cikke) részesíti előnyben a megfelelő működési támogatások (az 1305/2013/EU rendelet 35. cikke) keretében kialakított innovatív gyakorlatok, illetve a más régiókban vagy országokban nyújtott működési támogatások segítségével kialakított innovatív gyakorlatok alapján (nemzeti vidékfejlesztési hálózatok tevékenységei, technikai segítségnyújtás). </w:t>
                      </w:r>
                    </w:p>
                    <w:p w:rsidR="005139CB" w:rsidRPr="002B58E1" w:rsidRDefault="005139CB" w:rsidP="004508D0">
                      <w:pPr>
                        <w:pStyle w:val="Hlistbullet"/>
                        <w:rPr>
                          <w:sz w:val="18"/>
                          <w:szCs w:val="18"/>
                        </w:rPr>
                      </w:pPr>
                      <w:r>
                        <w:rPr>
                          <w:sz w:val="18"/>
                          <w:szCs w:val="18"/>
                        </w:rPr>
                        <w:t>A vidéki internet-hozzáférést javító VFP segítséget fog nyújtani a helyi vállalkozásoknak és mezőgazdasági termelőknek az információkhoz való hozzáféréshez és a piacra jutáshoz, ezáltal fokozza az innovációs kapacitásukat és az innovációval kapcsolatos motivációjukat (például az 1305/2013/EU rendelet 20. cikke szerint végrehajtott műveletek).</w:t>
                      </w:r>
                    </w:p>
                    <w:p w:rsidR="005139CB" w:rsidRPr="002B58E1" w:rsidRDefault="005139CB" w:rsidP="004508D0">
                      <w:pPr>
                        <w:pStyle w:val="Hlistbullet"/>
                        <w:rPr>
                          <w:b/>
                          <w:sz w:val="18"/>
                          <w:szCs w:val="18"/>
                        </w:rPr>
                      </w:pPr>
                      <w:r>
                        <w:rPr>
                          <w:sz w:val="18"/>
                          <w:szCs w:val="18"/>
                        </w:rPr>
                        <w:t>Valamely operatív csoport növényi maradékokat felhasználó innovatív szántóberendezését fejlesztő VFP innovatív beruházásokat serkenthet, valamint a növényi maradékok égetését tiltó, szigorúbb jogszabály-végrehajtást ösztönözhet (például az 1305/2013/EU rendelet 17. cikke szerint végrehajtott műveletek).</w:t>
                      </w:r>
                    </w:p>
                    <w:p w:rsidR="005139CB" w:rsidRPr="002B58E1" w:rsidRDefault="005139CB" w:rsidP="004508D0">
                      <w:pPr>
                        <w:pStyle w:val="Hlistbullet"/>
                        <w:rPr>
                          <w:sz w:val="18"/>
                          <w:szCs w:val="18"/>
                        </w:rPr>
                      </w:pPr>
                      <w:r>
                        <w:rPr>
                          <w:sz w:val="18"/>
                          <w:szCs w:val="18"/>
                        </w:rPr>
                        <w:t>A rövid élelmiszer-ellátási láncok vagy termelői szövetkezetek létrehozását támogató VFP-intézkedés fokozhatja a fogyasztók és a termelők innovatívabb élelmiszer-termelési rendszer kialakítását célzó kapcsolatait és együttműködését</w:t>
                      </w:r>
                      <w:r>
                        <w:rPr>
                          <w:sz w:val="18"/>
                          <w:szCs w:val="18"/>
                          <w:vertAlign w:val="superscript"/>
                        </w:rPr>
                        <w:t>13</w:t>
                      </w:r>
                      <w:r>
                        <w:rPr>
                          <w:sz w:val="18"/>
                          <w:szCs w:val="18"/>
                        </w:rPr>
                        <w:t xml:space="preserve"> (például az 1305/2013/EU rendelet 16., 17. és 35. cikke szerint végrehajtott műveletek).</w:t>
                      </w:r>
                    </w:p>
                  </w:txbxContent>
                </v:textbox>
                <w10:wrap type="square"/>
              </v:shape>
            </w:pict>
          </mc:Fallback>
        </mc:AlternateContent>
      </w:r>
      <w:r>
        <w:rPr>
          <w:b/>
          <w:color w:val="F07E31"/>
          <w:szCs w:val="20"/>
        </w:rPr>
        <w:t>A harmadik irányvonal</w:t>
      </w:r>
      <w:r>
        <w:t xml:space="preserve"> az innovációs rendszereket befolyásoló keretfeltételek és környezet megváltoztatására vonatkozik. Ez magában foglalja különféle támogató feltételek</w:t>
      </w:r>
      <w:r>
        <w:rPr>
          <w:rFonts w:eastAsia="Times New Roman" w:cs="Times New Roman"/>
          <w:szCs w:val="20"/>
          <w:vertAlign w:val="superscript"/>
          <w:lang w:eastAsia="de-DE"/>
        </w:rPr>
        <w:footnoteReference w:id="12"/>
      </w:r>
      <w:r>
        <w:t>, például a következők javítását:</w:t>
      </w:r>
    </w:p>
    <w:p w:rsidR="00A45935" w:rsidRPr="0095292E" w:rsidRDefault="00A45935" w:rsidP="00230C31">
      <w:pPr>
        <w:pStyle w:val="Hlistbullet"/>
      </w:pPr>
      <w:r>
        <w:t xml:space="preserve">intézményi (például felhatalmazások, szabványok, az innovációt támogató szakpolitikai/jogalkotási környezet biztosítása), </w:t>
      </w:r>
    </w:p>
    <w:p w:rsidR="00A45935" w:rsidRPr="0095292E" w:rsidRDefault="00A45935" w:rsidP="00230C31">
      <w:pPr>
        <w:pStyle w:val="Hlistbullet"/>
      </w:pPr>
      <w:r>
        <w:t xml:space="preserve">eljárási (például rugalmas pénzforrások az érdekelt felek innováció iránti igényeinek kielégítése érdekében), </w:t>
      </w:r>
    </w:p>
    <w:p w:rsidR="00A45935" w:rsidRPr="0095292E" w:rsidRDefault="00A45935" w:rsidP="00230C31">
      <w:pPr>
        <w:pStyle w:val="Hlistbullet"/>
      </w:pPr>
      <w:r>
        <w:t xml:space="preserve">szakmai (például képzésekhez való hozzáférés az innovációk ösztönzéséhez szükséges készségek, ismeretek és eszközök biztosítása érdekében), </w:t>
      </w:r>
    </w:p>
    <w:p w:rsidR="00A45935" w:rsidRPr="0095292E" w:rsidRDefault="00A45935" w:rsidP="00230C31">
      <w:pPr>
        <w:pStyle w:val="Hlistbullet"/>
      </w:pPr>
      <w:r>
        <w:t xml:space="preserve">szervezeti (például innovatív megoldások keresésére hajlandó más partnerekkel való kölcsönhatás lehetősége), </w:t>
      </w:r>
    </w:p>
    <w:p w:rsidR="00A45935" w:rsidRPr="0095292E" w:rsidRDefault="00A45935" w:rsidP="00230C31">
      <w:pPr>
        <w:pStyle w:val="Hlistbullet"/>
      </w:pPr>
      <w:r>
        <w:t xml:space="preserve">operatív (például a transznacionális vagy ágazatközi innováció lehetővé tétele), </w:t>
      </w:r>
    </w:p>
    <w:p w:rsidR="00A45935" w:rsidRPr="0095292E" w:rsidRDefault="00A45935" w:rsidP="00230C31">
      <w:pPr>
        <w:pStyle w:val="Hlistbullet"/>
      </w:pPr>
      <w:r>
        <w:t xml:space="preserve">műszaki (például a vidéki gazdasági ágazatokban és a vidéki infrastruktúrában alkalmazható új technikák és technológiák támogatása). </w:t>
      </w:r>
    </w:p>
    <w:p w:rsidR="00A45935" w:rsidRPr="00E05D08" w:rsidRDefault="00A45935" w:rsidP="00E05D08">
      <w:pPr>
        <w:spacing w:after="120" w:line="280" w:lineRule="atLeast"/>
        <w:mirrorIndents/>
        <w:rPr>
          <w:rFonts w:eastAsia="Times New Roman" w:cs="Times New Roman"/>
          <w:szCs w:val="20"/>
        </w:rPr>
      </w:pPr>
      <w:r>
        <w:t>A VFP különböző intézkedések/alintézkedések ötvözésével támogathatja a harmadik irányvonalat (például a beruházási intézkedések biztosítják a támogató környezetet bármilyen típusú műszaki és technológiai innovációhoz, a minőségügyi és a marketingintézkedések az intézményi és az eljárási feltételeket támogatják, a tudásátadásra irányuló és a tanácsadási intézkedések szakmai támogató környezetet biztosítanak)</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A több, önmagát erősítő visszacsatolási spirál létrejöttében rejlő lehetőségek</w:t>
      </w:r>
      <w:r>
        <w:t xml:space="preserve"> az </w:t>
      </w:r>
      <w:hyperlink w:anchor="Pathways" w:history="1">
        <w:r>
          <w:rPr>
            <w:rStyle w:val="Hyperlink"/>
            <w:sz w:val="20"/>
            <w:szCs w:val="20"/>
          </w:rPr>
          <w:t>1. ábrán</w:t>
        </w:r>
      </w:hyperlink>
      <w:r>
        <w:t xml:space="preserve"> is láthatók még. Például:</w:t>
      </w:r>
    </w:p>
    <w:p w:rsidR="00A45935" w:rsidRPr="004508D0" w:rsidRDefault="00A45935" w:rsidP="00230C31">
      <w:pPr>
        <w:pStyle w:val="Hlistbullet"/>
      </w:pPr>
      <w:r>
        <w:t xml:space="preserve">a technológiai és/vagy intézményi innováció folyamata olyan rendszerszintű innovációs kapacitást épít ki, amely közvetlen visszacsatolást ad az innováció mértékének és minőségének felgyorsításához; </w:t>
      </w:r>
    </w:p>
    <w:p w:rsidR="00A45935" w:rsidRPr="000828C6" w:rsidRDefault="00A45935" w:rsidP="00230C31">
      <w:pPr>
        <w:pStyle w:val="Hlistbullet"/>
      </w:pPr>
      <w:r>
        <w:t xml:space="preserve">a VFP innovációbarát politikát támogató beavatkozásai (3. irányvonal) gyorsabb innovációt eredményeznek, ami nagyobb innovációs kapacitáshoz vezet. </w:t>
      </w:r>
    </w:p>
    <w:p w:rsidR="00A45935" w:rsidRPr="00E05D08" w:rsidRDefault="00A45935" w:rsidP="00E05D08">
      <w:pPr>
        <w:spacing w:after="120" w:line="280" w:lineRule="atLeast"/>
        <w:mirrorIndents/>
        <w:rPr>
          <w:rFonts w:eastAsia="Times New Roman" w:cs="Times New Roman"/>
          <w:szCs w:val="20"/>
        </w:rPr>
      </w:pPr>
      <w:r>
        <w:t>Az innovációs kapacitás fokozása segít az innovációs szereplőknek abban, hogy összeköttetéseket alakítsanak ki, és azokat felhasználják a vidékfejlesztési program által felkarolt innovációkat támogató intézményi vagy szakpolitikai környezet befolyásolásához. Az önmagukat erősítő spirálok azért fontosak, mert tőkeáttételt helyeznek kilátásba</w:t>
      </w:r>
      <w:r>
        <w:rPr>
          <w:rFonts w:eastAsia="Times New Roman" w:cs="Times New Roman"/>
          <w:szCs w:val="20"/>
          <w:vertAlign w:val="superscript"/>
          <w:lang w:eastAsia="de-DE"/>
        </w:rPr>
        <w:footnoteReference w:id="14"/>
      </w:r>
      <w:r>
        <w:t xml:space="preserve">, azaz a VFP keretében végrehajtott, viszonylag csekély beavatkozások esetén nagyobb mértékben gyorsítják fel és támogatják a hatásokat (például egy vidékfejlesztési program szerinti innovációs projekt keretében kifejlesztett energiahatékony innovatív gazdálkodási gyakorlat az azt újonnan alkalmazóktól érkező pozitív visszacsatolásként terjed, amely ezt követően eljut másokhoz és befolyásol másokat ugyanazon gyakorlatok alkalmazására, jelentős energiamegtakarítási hatást eredményezve a térségben). Az innovációs projektek továbbá a VFP intézkedéseinek javulásához vezethetnek. Innovációs projekttel tesztelhető például jövőbeli agrár-környezetvédelmi és éghajlattal kapcsolatos intézkedések megvalósíthatósága és költséghatékonysága. </w:t>
      </w:r>
    </w:p>
    <w:p w:rsidR="00A45935" w:rsidRPr="00E05D08" w:rsidRDefault="00A45935" w:rsidP="00230C31">
      <w:pPr>
        <w:pStyle w:val="HHeading4"/>
      </w:pPr>
      <w:r>
        <w:t xml:space="preserve">Hogyan áll kölcsönhatásban a VFP a tágabb innovációs rendszerrel? </w:t>
      </w:r>
    </w:p>
    <w:p w:rsidR="00A45935" w:rsidRPr="00E05D08" w:rsidRDefault="00A45935" w:rsidP="00E05D08">
      <w:pPr>
        <w:spacing w:after="120" w:line="280" w:lineRule="atLeast"/>
        <w:mirrorIndents/>
        <w:rPr>
          <w:rFonts w:eastAsia="Times New Roman" w:cs="Times New Roman"/>
          <w:szCs w:val="20"/>
        </w:rPr>
      </w:pPr>
      <w:r>
        <w:t xml:space="preserve">A VFP kétféle, innovációhoz kapcsolódó eredményt hoz: </w:t>
      </w:r>
    </w:p>
    <w:p w:rsidR="00A45935" w:rsidRPr="000828C6" w:rsidRDefault="00A45935" w:rsidP="001744D0">
      <w:pPr>
        <w:pStyle w:val="Hlistbullet"/>
      </w:pPr>
      <w:r>
        <w:t xml:space="preserve">a három irányvonalhoz kapcsolódó </w:t>
      </w:r>
      <w:r>
        <w:rPr>
          <w:b/>
        </w:rPr>
        <w:t>támogató eredmények</w:t>
      </w:r>
      <w:r>
        <w:t xml:space="preserve"> (például az újonnan megjelenő innovatív ötletek mennyiségének és minőségének megváltozása; az innovációs kapacitás megváltozása; és a támogató környezet megváltozása). </w:t>
      </w:r>
    </w:p>
    <w:p w:rsidR="00A45935" w:rsidRPr="000828C6" w:rsidRDefault="00A45935" w:rsidP="001744D0">
      <w:pPr>
        <w:pStyle w:val="Hlistbullet"/>
      </w:pPr>
      <w:r>
        <w:t xml:space="preserve">A támogató eredményekből (például új gyakorlatokból, nagyobb jövedelemből, fenntarthatóbb gazdálkodási gyakorlatok alkalmazásából) fakadó </w:t>
      </w:r>
      <w:r>
        <w:rPr>
          <w:b/>
        </w:rPr>
        <w:t>innovációs eredmények</w:t>
      </w:r>
      <w:r>
        <w:t>.</w:t>
      </w:r>
    </w:p>
    <w:p w:rsidR="00A45935" w:rsidRPr="00E05D08" w:rsidRDefault="00A45935" w:rsidP="00E05D08">
      <w:pPr>
        <w:spacing w:after="120" w:line="280" w:lineRule="atLeast"/>
        <w:mirrorIndents/>
        <w:rPr>
          <w:rFonts w:eastAsia="Times New Roman" w:cs="Times New Roman"/>
          <w:szCs w:val="20"/>
        </w:rPr>
      </w:pPr>
      <w:r>
        <w:t>Mindkét eredménytípus hozzájárul a vidékfejlesztési program célkitűzéseihez és a megfelelő mutatókkal értékelhető. Az, hogy befolyásolják-e és hogyan befolyásolják a meglévő innovációs rendszert, attól függ, hogy a VFP kedvezményezettjei hogyan értelmezik és tudatosítják azt, amit a program kínál</w:t>
      </w:r>
      <w:r>
        <w:rPr>
          <w:rFonts w:eastAsia="Times New Roman" w:cs="Times New Roman"/>
          <w:szCs w:val="20"/>
          <w:vertAlign w:val="superscript"/>
          <w:lang w:eastAsia="de-DE"/>
        </w:rPr>
        <w:footnoteReference w:id="15"/>
      </w:r>
      <w:r>
        <w:t xml:space="preserve">. A reakciójukat történelmi tények, valamint a vidékfejlesztési programtól eltérő, folyamatban lévő, innováció-ösztönző folyamatok is befolyásolják: </w:t>
      </w:r>
    </w:p>
    <w:p w:rsidR="00A45935" w:rsidRPr="00161D7E" w:rsidRDefault="00A45935" w:rsidP="001744D0">
      <w:pPr>
        <w:pStyle w:val="Hlistbullet"/>
      </w:pPr>
      <w:r>
        <w:t xml:space="preserve">új technológiákra és eljárásokra irányuló kutatási tevékenységek, </w:t>
      </w:r>
    </w:p>
    <w:p w:rsidR="00A45935" w:rsidRPr="00161D7E" w:rsidRDefault="00A45935" w:rsidP="001744D0">
      <w:pPr>
        <w:pStyle w:val="Hlistbullet"/>
      </w:pPr>
      <w:r>
        <w:t xml:space="preserve">az innováció ösztönzésével kapcsolatos terjesztési és oktatási rendszerek, </w:t>
      </w:r>
    </w:p>
    <w:p w:rsidR="00A45935" w:rsidRPr="00161D7E" w:rsidRDefault="00A45935" w:rsidP="001744D0">
      <w:pPr>
        <w:pStyle w:val="Hlistbullet"/>
      </w:pPr>
      <w:r>
        <w:t xml:space="preserve">adóügyi intézkedések, hitelgaranciák, innovatív közbeszerzés, </w:t>
      </w:r>
    </w:p>
    <w:p w:rsidR="00A45935" w:rsidRPr="00161D7E" w:rsidRDefault="00A45935" w:rsidP="001744D0">
      <w:pPr>
        <w:pStyle w:val="Hlistbullet"/>
      </w:pPr>
      <w:r>
        <w:t>a Horizont 2020 keretprogram és az esb-alapok más olyan nemzeti/regionális programjai, amelyek a vidékfejlesztési programéval megegyező innovációs megközelítésben működnek közre,</w:t>
      </w:r>
    </w:p>
    <w:p w:rsidR="00A45935" w:rsidRPr="00161D7E" w:rsidRDefault="00A45935" w:rsidP="001744D0">
      <w:pPr>
        <w:pStyle w:val="Hlistbullet"/>
      </w:pPr>
      <w:r>
        <w:t>a piaci kereslet.</w:t>
      </w:r>
    </w:p>
    <w:p w:rsidR="00A45935" w:rsidRPr="00E05D08" w:rsidRDefault="00A45935" w:rsidP="00E05D08">
      <w:pPr>
        <w:spacing w:after="120" w:line="280" w:lineRule="atLeast"/>
        <w:mirrorIndents/>
        <w:rPr>
          <w:rFonts w:eastAsia="Times New Roman" w:cs="Times New Roman"/>
          <w:szCs w:val="20"/>
        </w:rPr>
      </w:pPr>
      <w:r>
        <w:lastRenderedPageBreak/>
        <w:t xml:space="preserve">A VFP keretében végrehajtott műveletek ugyanígy befolyásolni fogják a folyamatban lévő eljárások és beavatkozások értelmezésének és alkalmazásának módját, és azok is befolyásolni fogják a műveleteket. </w:t>
      </w:r>
    </w:p>
    <w:p w:rsidR="00A45935" w:rsidRPr="00E05D08" w:rsidRDefault="00A45935" w:rsidP="00E05D08">
      <w:pPr>
        <w:spacing w:after="120" w:line="280" w:lineRule="atLeast"/>
        <w:mirrorIndents/>
        <w:rPr>
          <w:rFonts w:eastAsia="Times New Roman" w:cs="Times New Roman"/>
          <w:szCs w:val="20"/>
        </w:rPr>
      </w:pPr>
      <w:r>
        <w:t xml:space="preserve">A VFP-ket nem elszigetelten hajtják végre, hanem azok az adott társadalmi-gazdasági környezetbeli összetett innovációs rendszerben fejtik ki hatásukat. A VFP alaphelyzete a meglévő innovációs háttértől függ (azaz az innovációs szereplőktől és a közöttük zajló kölcsönhatásoktól, a meglévő támogató környezettől, a piaci kereslettől, az egyéb beavatkozásoktól). </w:t>
      </w:r>
    </w:p>
    <w:p w:rsidR="000E0FE4" w:rsidRDefault="00A45935" w:rsidP="00E05D08">
      <w:pPr>
        <w:spacing w:after="120" w:line="280" w:lineRule="atLeast"/>
        <w:mirrorIndents/>
        <w:rPr>
          <w:rFonts w:eastAsia="Times New Roman" w:cs="Times New Roman"/>
          <w:szCs w:val="20"/>
        </w:rPr>
      </w:pPr>
      <w:r>
        <w:t xml:space="preserve">Bármely értékelés célja az alaphelyzet rögzítése, valamint az észlelt változásoknak a VFP szerinti intézkedések és alintézkedések végrehajtására történő visszavezetése.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982257"/>
      <w:r>
        <w:lastRenderedPageBreak/>
        <w:t>Az uniós szakpolitikai keret</w:t>
      </w:r>
      <w:bookmarkEnd w:id="17"/>
      <w:bookmarkEnd w:id="18"/>
      <w:bookmarkEnd w:id="19"/>
      <w:r>
        <w:t xml:space="preserve"> </w:t>
      </w:r>
    </w:p>
    <w:p w:rsidR="00A45935" w:rsidRPr="00967CFD" w:rsidRDefault="00A45935" w:rsidP="00763ECB">
      <w:pPr>
        <w:pStyle w:val="HHeading3"/>
      </w:pPr>
      <w:bookmarkStart w:id="20" w:name="Policy_framework"/>
      <w:bookmarkStart w:id="21" w:name="_Toc501382123"/>
      <w:bookmarkStart w:id="22" w:name="_Toc508982258"/>
      <w:bookmarkEnd w:id="20"/>
      <w:r>
        <w:t>Az innováció szakpolitikai kerete az uniós és a vidékfejlesztési politikában</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Két olyan uniós finanszírozási eszköz létezik, amely kifejezetten a mezőgazdasági és az erdészeti innovációt támogatja</w:t>
      </w:r>
      <w:r>
        <w:rPr>
          <w:szCs w:val="20"/>
          <w:shd w:val="clear" w:color="auto" w:fill="FFFFFF"/>
        </w:rPr>
        <w:t>. Az egyik a vidékfejlesztési politika, amely a közös agrárpolitika (KAP) két pillérének egyike. A másik a Horizont 2020</w:t>
      </w:r>
      <w:r>
        <w:rPr>
          <w:rFonts w:eastAsia="Times New Roman" w:cs="Times New Roman"/>
          <w:szCs w:val="20"/>
          <w:shd w:val="clear" w:color="auto" w:fill="FFFFFF"/>
          <w:vertAlign w:val="superscript"/>
          <w:lang w:eastAsia="de-DE"/>
        </w:rPr>
        <w:footnoteReference w:id="16"/>
      </w:r>
      <w:r>
        <w:rPr>
          <w:szCs w:val="20"/>
          <w:shd w:val="clear" w:color="auto" w:fill="FFFFFF"/>
        </w:rPr>
        <w:t>, az „Innovatív Unió” elnevezésű kiemelt kezdeményezést</w:t>
      </w:r>
      <w:r>
        <w:rPr>
          <w:rFonts w:eastAsia="Calibri" w:cs="Arial"/>
          <w:szCs w:val="20"/>
          <w:shd w:val="clear" w:color="auto" w:fill="FFFFFF"/>
          <w:vertAlign w:val="superscript"/>
          <w:lang w:eastAsia="de-DE"/>
        </w:rPr>
        <w:footnoteReference w:id="17"/>
      </w:r>
      <w:r>
        <w:rPr>
          <w:szCs w:val="20"/>
          <w:shd w:val="clear" w:color="auto" w:fill="FFFFFF"/>
        </w:rPr>
        <w:t xml:space="preserve"> végrehajtó uniós kutatási és innovációs keretprogram.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 xml:space="preserve">A vidékfejlesztési politika célja, hogy </w:t>
      </w:r>
      <w:r>
        <w:rPr>
          <w:szCs w:val="20"/>
          <w:shd w:val="clear" w:color="auto" w:fill="FFFFFF"/>
        </w:rPr>
        <w:t xml:space="preserve">– az EU innovációs célkitűzéseinek, nevezetesen az intelligens növekedésre vonatkozó célkitűzéseknek a megvalósítása érdekében – </w:t>
      </w:r>
      <w:r>
        <w:rPr>
          <w:b/>
          <w:szCs w:val="20"/>
          <w:shd w:val="clear" w:color="auto" w:fill="FFFFFF"/>
        </w:rPr>
        <w:t>szinergikusan működjön a Horizont 2020 keretprogrammal</w:t>
      </w:r>
      <w:r>
        <w:rPr>
          <w:szCs w:val="20"/>
          <w:shd w:val="clear" w:color="auto" w:fill="FFFFFF"/>
        </w:rPr>
        <w:t>. Az EU intelligens növekedésre vonatkozó kiemelt célkitűzései között szerepel, hogy a köz- és a magánberuházások együttes aránya az EU GDP-jének 3%-ára emelkedjen, és jobb feltételek legyenek a K+F-hez és az innovációhoz</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8982293"/>
      <w:r>
        <w:t>Az innováció szakpolitikai kerete az uniós és a vidékfejlesztési politikában</w:t>
      </w:r>
      <w:bookmarkEnd w:id="23"/>
      <w:r>
        <w:t xml:space="preserve"> </w:t>
      </w:r>
    </w:p>
    <w:p w:rsidR="00A45935" w:rsidRPr="00E05D08" w:rsidRDefault="00763ECB" w:rsidP="00E05D08">
      <w:pPr>
        <w:spacing w:before="60" w:after="200" w:line="276" w:lineRule="auto"/>
        <w:jc w:val="center"/>
        <w:rPr>
          <w:rFonts w:eastAsia="Calibri" w:cs="Arial"/>
          <w:szCs w:val="20"/>
        </w:rPr>
      </w:pPr>
      <w:r w:rsidRPr="00763ECB">
        <w:rPr>
          <w:noProof/>
          <w:lang w:val="en-GB" w:eastAsia="en-GB"/>
        </w:rPr>
        <w:drawing>
          <wp:inline distT="0" distB="0" distL="0" distR="0" wp14:anchorId="34A9C13D" wp14:editId="6F672257">
            <wp:extent cx="5731510" cy="3141789"/>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141789"/>
                    </a:xfrm>
                    <a:prstGeom prst="rect">
                      <a:avLst/>
                    </a:prstGeom>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Forrás: Európai vidékfejlesztési értékelési támogató szolgálat, 2017</w:t>
      </w:r>
    </w:p>
    <w:p w:rsidR="00A45935" w:rsidRPr="00E05D08" w:rsidRDefault="00A45935" w:rsidP="00E05D08">
      <w:pPr>
        <w:spacing w:after="120" w:line="280" w:lineRule="atLeast"/>
        <w:mirrorIndents/>
        <w:rPr>
          <w:rFonts w:eastAsia="Times New Roman" w:cs="Times New Roman"/>
          <w:szCs w:val="20"/>
        </w:rPr>
      </w:pPr>
      <w:r w:rsidRPr="00084EE1">
        <w:rPr>
          <w:b/>
        </w:rPr>
        <w:t>A közös agrárpolitika fontos szerepet játszik az innováció révén megvalósított intelligens növekedéshez való hozzájárulásban</w:t>
      </w:r>
      <w:r>
        <w:t xml:space="preserve">. A KAP három célkitűzésének megvalósítása új ismeretek, új technológiák, új termékek, valamint új szervezési, tanulási és együttműködési módszerek kialakítását, megosztását és végrehajtását teszi szükségessé. </w:t>
      </w:r>
    </w:p>
    <w:p w:rsidR="00A45935" w:rsidRPr="00E05D08" w:rsidRDefault="00A45935" w:rsidP="00E05D08">
      <w:pPr>
        <w:spacing w:after="120" w:line="280" w:lineRule="atLeast"/>
        <w:mirrorIndents/>
        <w:rPr>
          <w:rFonts w:eastAsia="Calibri" w:cs="Times New Roman"/>
          <w:szCs w:val="20"/>
        </w:rPr>
      </w:pPr>
      <w:r>
        <w:rPr>
          <w:b/>
          <w:szCs w:val="20"/>
        </w:rPr>
        <w:t>A vidékfejlesztési politika 2014–2020 közötti felépítése kihangsúlyozza, hogy az innováció fontos</w:t>
      </w:r>
      <w:r>
        <w:t xml:space="preserve"> a program megtervezésének és végrehajtásának szakaszában.</w:t>
      </w:r>
      <w:r>
        <w:rPr>
          <w:rFonts w:eastAsia="Times New Roman" w:cs="Times New Roman"/>
          <w:szCs w:val="20"/>
          <w:vertAlign w:val="superscript"/>
          <w:lang w:eastAsia="de-DE"/>
        </w:rPr>
        <w:footnoteReference w:id="19"/>
      </w:r>
      <w:r>
        <w:t xml:space="preserve"> A vidékfejlesztés területén megvalósított innováció különféle területekhez kapcsolódhat, többek között a következőkhöz: a </w:t>
      </w:r>
      <w:r>
        <w:lastRenderedPageBreak/>
        <w:t>mezőgazdasági üzemek területén végrehajtott fejlesztés, az élelmiszerlánc megszervezése és kockázatkezelés, az ökoszisztémák megőrzése és javítása, a társadalmi befogadás előmozdítása, a szegénység csökkentése, a gazdaság fejlesztése a vidéki térségekben stb.</w:t>
      </w:r>
    </w:p>
    <w:p w:rsidR="00A45935" w:rsidRPr="00E05D08" w:rsidRDefault="00A45935" w:rsidP="00230C31">
      <w:pPr>
        <w:pStyle w:val="HHeading4"/>
        <w:rPr>
          <w:rFonts w:eastAsia="Calibri"/>
        </w:rPr>
      </w:pPr>
      <w:r>
        <w:t>Hogyan gyökerezik az innováció a vidékfejlesztési programokban?</w:t>
      </w:r>
    </w:p>
    <w:p w:rsidR="00A45935" w:rsidRPr="00E05D08" w:rsidRDefault="00347A2C" w:rsidP="00E05D08">
      <w:pPr>
        <w:spacing w:after="120" w:line="280" w:lineRule="atLeast"/>
        <w:mirrorIndents/>
        <w:rPr>
          <w:rFonts w:eastAsia="Times New Roman" w:cs="Times New Roman"/>
          <w:szCs w:val="20"/>
        </w:rPr>
      </w:pPr>
      <w:r>
        <w:t xml:space="preserve">A vidékfejlesztési stratégiában szerepel </w:t>
      </w:r>
      <w:r>
        <w:rPr>
          <w:b/>
          <w:szCs w:val="20"/>
        </w:rPr>
        <w:t>a VFP „innovációra irányuló – az uniós vidékfejlesztési prioritások (...) megvalósulását célzó – megközelítésének” ismertetése</w:t>
      </w:r>
      <w:r>
        <w:rPr>
          <w:rFonts w:eastAsia="Times New Roman" w:cs="Times New Roman"/>
          <w:szCs w:val="20"/>
          <w:vertAlign w:val="superscript"/>
          <w:lang w:eastAsia="de-DE"/>
        </w:rPr>
        <w:footnoteReference w:id="20"/>
      </w:r>
      <w:r>
        <w:t>. Ebben az ismertetésben a mezőgazdaság termelékenységét és fenntarthatóságát célzó európai innovációs partnerség is szerepel. Mindegyik stratégia minden egyes uniós prioritás tekintetében kitér az innováció iránti, a GYELV-elemzésben és az igényfelmérésben</w:t>
      </w:r>
      <w:r>
        <w:rPr>
          <w:rFonts w:eastAsia="Times New Roman" w:cs="Times New Roman"/>
          <w:szCs w:val="20"/>
          <w:vertAlign w:val="superscript"/>
          <w:lang w:eastAsia="de-DE"/>
        </w:rPr>
        <w:footnoteReference w:id="21"/>
      </w:r>
      <w:r>
        <w:t xml:space="preserve"> meghatározott konkrét igényekre. Ezenfelül valamennyi uniós prioritás hozzájárul az innovációra vonatkozó átfogó célkitűzéshez</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Az innovációt – amellett, hogy átfogó célkitűzés – a VFP-kben az Unió 1. átfogó prioritásának („a tudásátadás és az innováció előmozdítása a mezőgazdaságban, az erdőgazdálkodásban és a vidéki térségekben”) két kiemelt területe keretében is figyelembe veszik: </w:t>
      </w:r>
    </w:p>
    <w:p w:rsidR="00A45935" w:rsidRPr="00165BF1" w:rsidRDefault="00A45935" w:rsidP="008C0B17">
      <w:pPr>
        <w:numPr>
          <w:ilvl w:val="0"/>
          <w:numId w:val="70"/>
        </w:numPr>
        <w:mirrorIndents/>
        <w:rPr>
          <w:szCs w:val="20"/>
        </w:rPr>
      </w:pPr>
      <w:r>
        <w:t>1A kiemelt terület: az innovációnak, az együttműködésnek és a tudásbázis gyarapításának az ösztönzése a vidéki térségekben,</w:t>
      </w:r>
    </w:p>
    <w:p w:rsidR="00A45935" w:rsidRPr="00165BF1" w:rsidRDefault="00A45935" w:rsidP="008C0B17">
      <w:pPr>
        <w:numPr>
          <w:ilvl w:val="0"/>
          <w:numId w:val="70"/>
        </w:numPr>
        <w:mirrorIndents/>
        <w:rPr>
          <w:szCs w:val="20"/>
        </w:rPr>
      </w:pPr>
      <w:r>
        <w:t>1B kiemelt terület: a kapcsolatok erősítése a mezőgazdaság, az élelmiszer-termelés és az erdőgazdálkodás, valamint a kutatás és az innováció között, egyebek mellett a környezetgazdálkodás és a környezeti teljesítmény javítása céljából.</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A VFP-k igen rugalmasan alkalmazzák és ötvözik</w:t>
      </w:r>
      <w:r>
        <w:t xml:space="preserve"> a konkrét területi és innovációs igények kezelését célzó </w:t>
      </w:r>
      <w:r>
        <w:rPr>
          <w:b/>
          <w:szCs w:val="20"/>
        </w:rPr>
        <w:t>intézkedéseket</w:t>
      </w:r>
      <w:r>
        <w:t xml:space="preserve"> és az intézkedések szinergiák megvalósítására való képességét. Az intézkedések különböző prioritások és kiemelt területek szerint programozhatók annak érdekében, hogy a lehető legnagyobb mértékben hozzájáruljanak a releváns célkitűzésekhez. </w:t>
      </w:r>
      <w:r>
        <w:rPr>
          <w:szCs w:val="20"/>
          <w:shd w:val="clear" w:color="auto" w:fill="FFFFFF"/>
        </w:rPr>
        <w:t>A VFP egyes intézkedései még közvetlenebb hatásokat is kifejthetnek az innovációra, mégpedig az 1A és az 1B kiemelt területen:</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Tudásátadás és tájékoztatási tevékenységek</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Tanácsadási szolgáltatások</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Együttműködés (az EIP-AGRI operatív csoportjainak létrehozását és működtetését támogatja)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LEADER/közösségvezérelt helyi fejlesztési stratégiák; ez az intézkedés előmozdítja a LEADER egyik alapelvét képező innovációt, és ösztönzi a kisléptékű innovatív tevékenységeket a vidéki élet valamennyi vonatkozásában (gazdasági, társadalmi és környezetvédelmi)</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Innovációt előmozdító intézkedések más kiemelt területek vonatkozásában is programozhatók.</w:t>
      </w:r>
      <w:r>
        <w:t xml:space="preserve"> Az M16 intézkedés például a legtöbb kiemelt területhez és vidéki prioritáshoz hozzákapcsolható. Ez a </w:t>
      </w:r>
      <w:r>
        <w:rPr>
          <w:b/>
          <w:szCs w:val="20"/>
          <w:shd w:val="clear" w:color="auto" w:fill="FFFFFF"/>
        </w:rPr>
        <w:t>mezőgazdaság termelékenységét és fenntarthatóságát célzó európai innovációs partnerség</w:t>
      </w:r>
      <w:r>
        <w:rPr>
          <w:szCs w:val="20"/>
          <w:shd w:val="clear" w:color="auto" w:fill="FFFFFF"/>
        </w:rPr>
        <w:t xml:space="preserve"> (EIP-AGRI) támogatását szolgáló legfontosabb vidékfejlesztési intézkedés.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E1620D"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2096" behindDoc="0" locked="0" layoutInCell="1" allowOverlap="1" wp14:anchorId="7D021558" wp14:editId="53F9C362">
                <wp:simplePos x="0" y="0"/>
                <wp:positionH relativeFrom="page">
                  <wp:posOffset>923925</wp:posOffset>
                </wp:positionH>
                <wp:positionV relativeFrom="paragraph">
                  <wp:posOffset>409575</wp:posOffset>
                </wp:positionV>
                <wp:extent cx="5671820" cy="554355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543550"/>
                        </a:xfrm>
                        <a:prstGeom prst="round2DiagRect">
                          <a:avLst>
                            <a:gd name="adj1" fmla="val 6224"/>
                            <a:gd name="adj2" fmla="val 0"/>
                          </a:avLst>
                        </a:prstGeom>
                        <a:noFill/>
                        <a:ln w="25400" cap="flat" cmpd="sng" algn="ctr">
                          <a:solidFill>
                            <a:srgbClr val="BE4A35"/>
                          </a:solidFill>
                          <a:prstDash val="solid"/>
                        </a:ln>
                        <a:effectLst/>
                      </wps:spPr>
                      <wps:txbx>
                        <w:txbxContent>
                          <w:p w:rsidR="005139CB" w:rsidRPr="002F0ABF" w:rsidRDefault="005139CB" w:rsidP="00E05D08">
                            <w:pPr>
                              <w:pStyle w:val="HStandard"/>
                              <w:rPr>
                                <w:sz w:val="18"/>
                                <w:szCs w:val="18"/>
                              </w:rPr>
                            </w:pPr>
                            <w:r>
                              <w:rPr>
                                <w:noProof/>
                                <w:lang w:val="en-GB" w:eastAsia="en-GB"/>
                              </w:rPr>
                              <w:drawing>
                                <wp:inline distT="0" distB="0" distL="0" distR="0" wp14:anchorId="35216AE4" wp14:editId="5E0E6F23">
                                  <wp:extent cx="664845" cy="487680"/>
                                  <wp:effectExtent l="0" t="0" r="0" b="7620"/>
                                  <wp:docPr id="86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Az EIP-AGRI a „kevesebből többet előállító” versenyképes és fenntartható mezőgazdasági és erdészeti ágazatot előmozdító uniós innováció felgyorsítására hivatott Európa 2020 stratégia része. Az EIP-AGRI hozzájárul a folyamatos élelmiszer-, takarmány- és bioanyag-ellátás biztosításához, és a gazdálkodáshoz nélkülözhetetlen alapvető természeti erőforrásokkal összhangban működik. Az EIP-AGRI uniós szinten és a vidékfejlesztési programok keretében operatív csoportok formájában tömöríti az innovációs szereplőket (a mezőgazdasági termelőket, a tanácsadókat, a kutatókat, a vállalkozásokat, a nem kormányzati szervezeteket stb.). A szóban forgó innovációk lehetnek technológiai innovációk, ugyanakkor nem technológiai, szervezeti vagy társadalmi innovációk is. Az innováció új földrajzi vagy környezeti háttérben folytatott új vagy akár hagyományos gyakorlatokon is alapulhat. Az európai innovációs partnerség operatív csoportjai projektalapúak, bizonyos olyan (gyakorlati) problémát vagy lehetőséget kezelnek, amely innovációhoz vezethet és hozzájárulhat a program célkitűzéseinek megvalósításához. Az egyes operatív csoportok azokból a kulcsszereplőkből (például mezőgazdasági termelőkből, tanácsadókból, kutatókból, vállalkozásokból, nem kormányzati szervezetekből) állnak, amelyek a legjobb helyzetben vannak a projekt céljainak megvalósításához, a végrehajtási tapasztalatok megosztásához és az eredmények széles körben történő terjesztéséhez. Az operatív csoport által alkalmazott megközelítés interaktív módon, maximálisan hasznosítja a különböző ismerettípusokat (gyakorlati, tudományos, műszaki, szervezeti stb.). Ezt támogató gyakorlati megközelítés az ún. „innovációközvetítés”. A szabályozás négy lehetőséget nyújt az innovációközvetítés támogatására</w:t>
                            </w:r>
                            <w:r>
                              <w:rPr>
                                <w:sz w:val="18"/>
                                <w:szCs w:val="18"/>
                                <w:vertAlign w:val="superscript"/>
                              </w:rPr>
                              <w:t>23</w:t>
                            </w:r>
                            <w:r>
                              <w:rPr>
                                <w:sz w:val="18"/>
                                <w:szCs w:val="18"/>
                              </w:rPr>
                              <w:t xml:space="preserve">. Az innovációközvetítés fontos szerepet játszhat az innovatív ötletek feltárásában, az operatív csoportok elindításának megkönnyítésében, mégpedig azáltal, hogy az innovációs szereplők (a mezőgazdasági termelők, a kutatók, a tanácsadók, a nem kormányzati szervezetek stb.) közötti összekötő szerepét tölti be az interaktív innovációs projektekben. Az ún. „innovációközvetítő” alulról építkező kezdeményezések feltárására hivatott, segítséget nyújt az innovatív ötletek finomításában, valamint a partnerkereséshez és a finanszírozáshoz is támogatást nyújt. A közvetítő elsődleges feladata, hogy megalapozott innovatív projektjavaslatok elkészítéséhez nyújtson segítséget.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1558" id="Rectangle: Diagonal Corners Rounded 58" o:spid="_x0000_s1035" style="position:absolute;left:0;text-align:left;margin-left:72.75pt;margin-top:32.25pt;width:446.6pt;height:4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54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" adj="-11796480,,5400" path="m345031,l5671820,r,l5671820,5198519v,190555,-154476,345031,-345031,345031l,5543550r,l,345031c,154476,154476,,345031,xe" filled="f" strokecolor="#be4a35" strokeweight="2pt">
                <v:stroke joinstyle="miter"/>
                <v:formulas/>
                <v:path arrowok="t" o:connecttype="custom" o:connectlocs="345031,0;5671820,0;5671820,0;5671820,5198519;5326789,5543550;0,5543550;0,5543550;0,345031;345031,0" o:connectangles="0,0,0,0,0,0,0,0,0" textboxrect="0,0,5671820,5543550"/>
                <v:textbox inset=",,,0">
                  <w:txbxContent>
                    <w:p w:rsidR="005139CB" w:rsidRPr="002F0ABF" w:rsidRDefault="005139CB" w:rsidP="00E05D08">
                      <w:pPr>
                        <w:pStyle w:val="HStandard"/>
                        <w:rPr>
                          <w:sz w:val="18"/>
                          <w:szCs w:val="18"/>
                        </w:rPr>
                      </w:pPr>
                      <w:r>
                        <w:rPr>
                          <w:noProof/>
                          <w:lang w:val="en-GB" w:eastAsia="en-GB"/>
                        </w:rPr>
                        <w:drawing>
                          <wp:inline distT="0" distB="0" distL="0" distR="0" wp14:anchorId="35216AE4" wp14:editId="5E0E6F23">
                            <wp:extent cx="664845" cy="487680"/>
                            <wp:effectExtent l="0" t="0" r="0" b="7620"/>
                            <wp:docPr id="86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Az EIP-AGRI a „kevesebből többet előállító” versenyképes és fenntartható mezőgazdasági és erdészeti ágazatot előmozdító uniós innováció felgyorsítására hivatott Európa 2020 stratégia része. Az EIP-AGRI hozzájárul a folyamatos élelmiszer-, takarmány- és bioanyag-ellátás biztosításához, és a gazdálkodáshoz nélkülözhetetlen alapvető természeti erőforrásokkal összhangban működik. Az EIP-AGRI uniós szinten és a vidékfejlesztési programok keretében operatív csoportok formájában tömöríti az innovációs szereplőket (a mezőgazdasági termelőket, a tanácsadókat, a kutatókat, a vállalkozásokat, a nem kormányzati szervezeteket stb.). A szóban forgó innovációk lehetnek technológiai innovációk, ugyanakkor nem technológiai, szervezeti vagy társadalmi innovációk is. Az innováció új földrajzi vagy környezeti háttérben folytatott új vagy akár hagyományos gyakorlatokon is alapulhat. Az európai innovációs partnerség operatív csoportjai projektalapúak, bizonyos olyan (gyakorlati) problémát vagy lehetőséget kezelnek, amely innovációhoz vezethet és hozzájárulhat a program célkitűzéseinek megvalósításához. Az egyes operatív csoportok azokból a kulcsszereplőkből (például mezőgazdasági termelőkből, tanácsadókból, kutatókból, vállalkozásokból, nem kormányzati szervezetekből) állnak, amelyek a legjobb helyzetben vannak a projekt céljainak megvalósításához, a végrehajtási tapasztalatok megosztásához és az eredmények széles körben történő terjesztéséhez. Az operatív csoport által alkalmazott megközelítés interaktív módon, maximálisan hasznosítja a különböző ismerettípusokat (gyakorlati, tudományos, műszaki, szervezeti stb.). Ezt támogató gyakorlati megközelítés az ún. „innovációközvetítés”. A szabályozás négy lehetőséget nyújt az innovációközvetítés támogatására</w:t>
                      </w:r>
                      <w:r>
                        <w:rPr>
                          <w:sz w:val="18"/>
                          <w:szCs w:val="18"/>
                          <w:vertAlign w:val="superscript"/>
                        </w:rPr>
                        <w:t>23</w:t>
                      </w:r>
                      <w:r>
                        <w:rPr>
                          <w:sz w:val="18"/>
                          <w:szCs w:val="18"/>
                        </w:rPr>
                        <w:t xml:space="preserve">. Az innovációközvetítés fontos szerepet játszhat az innovatív ötletek feltárásában, az operatív csoportok elindításának megkönnyítésében, mégpedig azáltal, hogy az innovációs szereplők (a mezőgazdasági termelők, a kutatók, a tanácsadók, a nem kormányzati szervezetek stb.) közötti összekötő szerepét tölti be az interaktív innovációs projektekben. Az ún. „innovációközvetítő” alulról építkező kezdeményezések feltárására hivatott, segítséget nyújt az innovatív ötletek finomításában, valamint a partnerkereséshez és a finanszírozáshoz is támogatást nyújt. A közvetítő elsődleges feladata, hogy megalapozott innovatív projektjavaslatok elkészítéséhez nyújtson segítséget.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Az innovációt konkrétan megemlítő egyéb intézkedések</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például a következők:</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Termelői csoportok és szervezetek létrehozása, amely esetben a tevékenységek „innovációs folyamatok megszervezését és előmozdítását” foglalják magukban</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Az innováció a LEADER/közösségvezérelt helyi fejlesztés</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hét alapelvének egyike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Elvileg a VFP minden egyes intézkedése/alintézkedése előmozdíthatja az innovációt. </w:t>
      </w:r>
      <w:r>
        <w:rPr>
          <w:szCs w:val="20"/>
          <w:shd w:val="clear" w:color="auto" w:fill="FFFFFF"/>
        </w:rPr>
        <w:t xml:space="preserve">A VFP által az innovációhoz választott konkrét megközelítés az innovációs projektek támogathatósági és kiválasztási kritériumaiban és a kiemelt területek innovációt támogató intézkedéseinek (tudásátadási intézkedések, tanácsadási szolgáltatások, együttműködés, beruházás, hálózatépítés stb.) kombinációjában nyilvánul meg. </w:t>
      </w:r>
      <w:r>
        <w:t xml:space="preserve">Az irányító hatóságok az innováció előmozdítása érdekében </w:t>
      </w:r>
      <w:r>
        <w:lastRenderedPageBreak/>
        <w:t xml:space="preserve">különféle megközelítéseket alkalmazhatnak a szóban forgó „puha” intézkedések (például az 1., 2. és 16. intézkedés) és „kemény” </w:t>
      </w:r>
      <w:r>
        <w:rPr>
          <w:szCs w:val="20"/>
          <w:shd w:val="clear" w:color="auto" w:fill="FFFFFF"/>
        </w:rPr>
        <w:t>(beruházásokat, területfejlesztést, marketinget, a környezetet, a természetet stb. támogató)</w:t>
      </w:r>
      <w:r>
        <w:rPr>
          <w:b/>
          <w:szCs w:val="20"/>
          <w:shd w:val="clear" w:color="auto" w:fill="FFFFFF"/>
        </w:rPr>
        <w:t xml:space="preserve"> </w:t>
      </w:r>
      <w:r>
        <w:rPr>
          <w:szCs w:val="20"/>
          <w:shd w:val="clear" w:color="auto" w:fill="FFFFFF"/>
        </w:rPr>
        <w:t xml:space="preserve">intézkedések </w:t>
      </w:r>
      <w:r>
        <w:t>megszervezésére és ötvözésére</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Előfordulhat, hogy az innovációk másodlagosan járulnak hozzá más kiemelt területekhez.</w:t>
      </w:r>
      <w:r>
        <w:rPr>
          <w:szCs w:val="20"/>
          <w:shd w:val="clear" w:color="auto" w:fill="FFFFFF"/>
        </w:rPr>
        <w:t xml:space="preserve"> A 2A kiemelt területhez programozott együttműködési műveletek például innovatív megközelítést alakíthatnak ki a biológiai sokféleség javítása vonatkozásában, és ennélfogva a 4A kiemelt területhez való másodlagos hozzájárulást képviselhetnek. Az operatív csoportok innovatív tevékenységei olyan új technikát is kifejleszthetnek, amely segítséget nyújt az elsődleges mezőgazdasági termelés okozta talajerózióból fakadó károk (4C kiemelt területhez programozott) csökkentéséhez. Ez ugyanakkor a versenyképességet és a piacra jutást is javítja (a 2A kiemelt területhez való másodlagos hozzájárulás).</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A vidékfejlesztési politika keretében végrehajtott hálózatépítés fontos szerepet tölt be az innováció előmozdításában:</w:t>
      </w:r>
    </w:p>
    <w:p w:rsidR="00A45935" w:rsidRPr="0081188E" w:rsidRDefault="00A45935" w:rsidP="001744D0">
      <w:pPr>
        <w:pStyle w:val="Hlistbullet"/>
      </w:pPr>
      <w:r>
        <w:rPr>
          <w:b/>
          <w:shd w:val="clear" w:color="auto" w:fill="FFFFFF"/>
        </w:rPr>
        <w:t>Az európai innovációs partnerségi hálózat</w:t>
      </w:r>
      <w:r>
        <w:rPr>
          <w:shd w:val="clear" w:color="auto" w:fill="FFFFFF"/>
        </w:rPr>
        <w:t xml:space="preserve"> a 2014–2020-as időszakban bevezetett, kifejezetten a mezőgazdaság termelékenységét és fenntarthatóságát célzó európai innovációs partnerség (EIP-AGRI)</w:t>
      </w:r>
      <w:r>
        <w:rPr>
          <w:rFonts w:cs="Arial"/>
          <w:vertAlign w:val="superscript"/>
        </w:rPr>
        <w:footnoteReference w:id="27"/>
      </w:r>
      <w:r>
        <w:rPr>
          <w:shd w:val="clear" w:color="auto" w:fill="FFFFFF"/>
        </w:rPr>
        <w:t xml:space="preserve"> támogatása céljával létrehozott új hálózati eszköz. Az európai innovációs partnerségi hálózat legfontosabb célkitűzései: az európai innovációs partnerségek operatív csoportjai közötti kapcsolatteremtés, az ismeretek, a szaktudás és a helyes gyakorlatok cseréjének megkönnyítése, valamint a gazdálkodói és a kutatói közösségek közötti párbeszéd megteremtése. Az EIP-AGRI hálózatát a Szolgáltató Pont segítségével az Európai Bizottság (Mezőgazdasági és Vidékfejlesztési Főigazgatósága) működteti. A Szolgáltató Pont munkacsoportja megkönnyíti a hálózatépítési tevékenységeket, konferenciákkal, fókuszcsoportokkal, műhelytalálkozókkal, szemináriumokkal és kiadványokkal javítja a kommunikációt, az ismeretek megosztását és cseréjét. Elsődleges célja az EIP-AGRI valamennyi szereplője – a mezőgazdasági termelők, a kutatók, a tanácsadók, a nem kormányzati szervezetek, a vállalkozások, a hatóságok stb. – közötti kölcsönhatás ösztönzése. Az innovációs partnerségi hálózat webalapú interaktív platformja támogatja a hálózatépítési feladatokat. A Szolgáltató Pont lehetővé teszi az innovációhoz kapcsolódó összes érdekelt fél, nevezetesen az operatív csoportok, a tanácsadó szolgálatok, a kutatók, a mezőgazdasági termelők és az ismeretek cseréjére szolgáló folyamat más érdekelt felei közötti hálózatépítést</w:t>
      </w:r>
      <w:r>
        <w:t>.</w:t>
      </w:r>
    </w:p>
    <w:p w:rsidR="00EA0974" w:rsidRDefault="00A45935" w:rsidP="001744D0">
      <w:pPr>
        <w:pStyle w:val="Hlistbullet"/>
        <w:rPr>
          <w:shd w:val="clear" w:color="auto" w:fill="FFFFFF"/>
        </w:rPr>
      </w:pPr>
      <w:r>
        <w:t xml:space="preserve">A </w:t>
      </w:r>
      <w:r>
        <w:rPr>
          <w:b/>
          <w:shd w:val="clear" w:color="auto" w:fill="FFFFFF"/>
        </w:rPr>
        <w:t>nemzeti vidékfejlesztési hálózatok</w:t>
      </w:r>
      <w:r>
        <w:rPr>
          <w:shd w:val="clear" w:color="auto" w:fill="FFFFFF"/>
        </w:rPr>
        <w:t xml:space="preserve"> előmozdítják az innovációt a mezőgazdaságban, az élelmiszer-termelésben, az erdőgazdálkodásban és a vidéki térségekben</w:t>
      </w:r>
      <w:r>
        <w:rPr>
          <w:rFonts w:cs="Arial"/>
          <w:vertAlign w:val="superscript"/>
        </w:rPr>
        <w:footnoteReference w:id="28"/>
      </w:r>
      <w:r>
        <w:rPr>
          <w:shd w:val="clear" w:color="auto" w:fill="FFFFFF"/>
        </w:rPr>
        <w:t>. E hálózatokat uniós szinten az Európai Vidékfejlesztési Hálózat (EVH) támogatja. A nemzeti vidékfejlesztési hálózatok „innovációközvetítő” szerepét tölthetik be</w:t>
      </w:r>
      <w:r>
        <w:rPr>
          <w:rFonts w:cs="Arial"/>
          <w:shd w:val="clear" w:color="auto" w:fill="FFFFFF"/>
          <w:vertAlign w:val="superscript"/>
        </w:rPr>
        <w:footnoteReference w:id="29"/>
      </w:r>
      <w:r>
        <w:rPr>
          <w:shd w:val="clear" w:color="auto" w:fill="FFFFFF"/>
        </w:rPr>
        <w:t>, ami az agrárvilághoz való szoros</w:t>
      </w:r>
      <w:r>
        <w:t xml:space="preserve"> kötődést és az agrárvilág alapos megértését, valamint rendkívül fejlett kommunikációs készségeket igényel. </w:t>
      </w:r>
      <w:r>
        <w:rPr>
          <w:shd w:val="clear" w:color="auto" w:fill="FFFFFF"/>
        </w:rPr>
        <w:t>A nemzeti vidékfejlesztési hálózatok együttműködnek az európai innovációs partnerségi hálózattal annak érdekében, hogy az innováció ösztönzéséhez ihletet merítsenek, továbbá információkat és megközelítéseket cseréljenek. A helyes gyakorlatok és példák összegyűjtése, valamint a vidékfejlesztésben érdekelt felek közötti tematikus cserék megkönnyítése mellett e hálózatok konkrét feladata az innovációtámogató szolgálatok és a tanácsadó szolgálatok hálózatba szervezése</w:t>
      </w:r>
      <w:r>
        <w:rPr>
          <w:rFonts w:eastAsia="Calibri" w:cs="Arial"/>
          <w:shd w:val="clear" w:color="auto" w:fill="FFFFFF"/>
          <w:vertAlign w:val="superscript"/>
        </w:rPr>
        <w:footnoteReference w:id="30"/>
      </w:r>
      <w:r>
        <w:rPr>
          <w:shd w:val="clear" w:color="auto" w:fill="FFFFFF"/>
        </w:rPr>
        <w:t>. Ez segít a gyakorlati szakemberek innovatív ötleteinek rögzítésében.</w:t>
      </w:r>
    </w:p>
    <w:p w:rsidR="00A45935" w:rsidRPr="00EA0974" w:rsidRDefault="00A45935" w:rsidP="009B603C">
      <w:pPr>
        <w:pStyle w:val="HHeading3"/>
        <w:spacing w:line="280" w:lineRule="exact"/>
        <w:rPr>
          <w:shd w:val="clear" w:color="auto" w:fill="FFFFFF"/>
        </w:rPr>
      </w:pPr>
      <w:bookmarkStart w:id="24" w:name="_Toc508982259"/>
      <w:r>
        <w:lastRenderedPageBreak/>
        <w:t>Az innovációhoz kapcsolódó közös értékelési elemek</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A VFP-ben szereplő értékelési terv</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az értékelések kiindulópontja. </w:t>
      </w:r>
      <w:r>
        <w:rPr>
          <w:szCs w:val="20"/>
          <w:shd w:val="clear" w:color="auto" w:fill="FFFFFF"/>
        </w:rPr>
        <w:t>Az értékelési terv az átfogó kérdésekhez kapcsolódó értékelési témakörök és tevékenységek között szerepelteti az innováció értékelését. Ezekről a kapcsolódó tevékenységekről és megállapításokról az éves végrehajtási jelentések</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számolnak be.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A közös monitoring- és értékelési rendszer</w:t>
      </w:r>
      <w:r>
        <w:rPr>
          <w:szCs w:val="20"/>
          <w:shd w:val="clear" w:color="auto" w:fill="FFFFFF"/>
        </w:rPr>
        <w:t xml:space="preserve"> az innováció értékeléséhez kapcsolódó értékelési elemeket, mégpedig a közös értékelési kérdéseket, az elbírálási kritériumokat és a mutatókat tartalmazza:</w:t>
      </w:r>
    </w:p>
    <w:p w:rsidR="00A45935" w:rsidRPr="002E1723" w:rsidRDefault="00A45935" w:rsidP="00624393">
      <w:pPr>
        <w:pStyle w:val="HStandard"/>
      </w:pPr>
      <w:r>
        <w:t xml:space="preserve">A </w:t>
      </w:r>
      <w:r>
        <w:rPr>
          <w:b/>
        </w:rPr>
        <w:t>kiemelt területek szintjén</w:t>
      </w:r>
      <w:r>
        <w:t xml:space="preserve"> két, innovációval kapcsolatos közös értékelési kérdés van, amelyek az 1A és az 1B kiemelt terület célkitűzéseihez kapcsolódnak. Ezek a kérdések a beavatkozásoknak a várt kimenetekhez és eredményekhez való hozzájárulását ragadják meg:</w:t>
      </w:r>
    </w:p>
    <w:p w:rsidR="00A45935" w:rsidRPr="00EA0974" w:rsidRDefault="00A45935" w:rsidP="00624393">
      <w:pPr>
        <w:pStyle w:val="Hlistbullet"/>
      </w:pPr>
      <w:r>
        <w:t xml:space="preserve">1. sz. közös értékelési kérdés: „A vidékfejlesztési program keretében végrehajtott beavatkozások milyen mértékben mozdították elő a vidéki térségekben az innovációt, az együttműködést és a tudásalap fejlesztését?” </w:t>
      </w:r>
    </w:p>
    <w:p w:rsidR="00A45935" w:rsidRPr="002E1723" w:rsidRDefault="00A45935" w:rsidP="00624393">
      <w:pPr>
        <w:pStyle w:val="Hlistbullet"/>
      </w:pPr>
      <w:r>
        <w:t xml:space="preserve">2. sz. közös értékelési kérdés: „A vidékfejlesztési program keretében végrehajtott intézkedések milyen mértékben mozdították elő – többek között a környezetgazdálkodás és a környezeti teljesítmény javítása érdekében – a mezőgazdaság, az élelmiszer-termelés és az erdőgazdálkodás, valamint a kutatás és innováció közötti kapcsolatok erősítését?” </w:t>
      </w:r>
    </w:p>
    <w:p w:rsidR="00A45935" w:rsidRPr="002E1723" w:rsidRDefault="00A45935" w:rsidP="00624393">
      <w:pPr>
        <w:pStyle w:val="HStandard"/>
      </w:pPr>
      <w:r>
        <w:t xml:space="preserve">A 21. sz. közös értékelési kérdés: „Milyen mértékben járult hozzá a nemzeti vidékfejlesztési hálózat az 1305/2013/EU rendelet 54. cikkének (2) bekezdésében meghatározott célkitűzések eléréséhez?” </w:t>
      </w:r>
      <w:r>
        <w:rPr>
          <w:b/>
        </w:rPr>
        <w:t>a VFP más aspektusaihoz</w:t>
      </w:r>
      <w:r>
        <w:t xml:space="preserve"> kapcsolódik, mégpedig a nemzeti vidékfejlesztési hálózatok várt kimeneteinek és elért eredményeinek rögzítéséhez. Ez a közös értékelési kérdés releváns az innováció szempontjából, mivel az 54. cikk (2) bekezdésének d) pontja szerinti célkitűzésre („az innováció előmozdítása a mezőgazdaságban, az élelmiszer-termelésben, az erdőgazdálkodásban és a vidéki térségekben”) vonatkozik.</w:t>
      </w:r>
    </w:p>
    <w:p w:rsidR="00A45935" w:rsidRPr="001A2A93" w:rsidRDefault="00A45935" w:rsidP="00624393">
      <w:pPr>
        <w:pStyle w:val="HStandard"/>
      </w:pPr>
      <w:r>
        <w:t xml:space="preserve">Az </w:t>
      </w:r>
      <w:r>
        <w:rPr>
          <w:b/>
        </w:rPr>
        <w:t>uniós célkitűzések szintjén</w:t>
      </w:r>
      <w:r>
        <w:t xml:space="preserve"> két, innovációval kapcsolatos közös értékelési kérdés van a programok várt hatásaihoz való hozzájárulás rögzítéséhez. </w:t>
      </w:r>
    </w:p>
    <w:p w:rsidR="00A45935" w:rsidRPr="001A2A93" w:rsidRDefault="00A45935" w:rsidP="00624393">
      <w:pPr>
        <w:pStyle w:val="Hlistbullet"/>
      </w:pPr>
      <w:r>
        <w:t xml:space="preserve">A 23. sz. közös értékelési kérdés a kiemelt uniós cél eléréséhez kapcsolódik: „A vidékfejlesztési program milyen mértékben járult hozzá az Európa 2020 stratégia azon kiemelt céljának teljesítéséhez, amely az uniós GDP 3%-ának a kutatás-fejlesztés és az innováció terén való beruházására vonatkozik?” </w:t>
      </w:r>
    </w:p>
    <w:p w:rsidR="00A45935" w:rsidRPr="001A2A93" w:rsidRDefault="00A45935" w:rsidP="00624393">
      <w:pPr>
        <w:pStyle w:val="Hlistbullet"/>
      </w:pPr>
      <w:r>
        <w:t xml:space="preserve">A 30. sz. közös értékelési kérdés átfogó célkitűzésként értékeli az innovációt: „A vidékfejlesztési program milyen mértékben járult hozzá az innováció ösztönzéséhez?”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Az alábbi ábra bemutatja, hogy a közös értékelési elemek (a közös értékelési kérdések, az elbírálási kritériumok és a mutatók) a különböző szinteken hogyan kapcsolódnak a szakpolitikai kerethez. Hét olyan </w:t>
      </w:r>
      <w:r>
        <w:rPr>
          <w:b/>
          <w:szCs w:val="20"/>
          <w:shd w:val="clear" w:color="auto" w:fill="FFFFFF"/>
        </w:rPr>
        <w:t>közös mutató</w:t>
      </w:r>
      <w:r>
        <w:rPr>
          <w:szCs w:val="20"/>
          <w:shd w:val="clear" w:color="auto" w:fill="FFFFFF"/>
        </w:rPr>
        <w:t xml:space="preserve"> van, amely az innovációra vonatkozó közös értékelési kérdésekhez kapcsolódik: 5 kimeneti és 2 célmutató</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763ECB" w:rsidP="00230C31">
      <w:pPr>
        <w:pStyle w:val="HHeadingfigures"/>
      </w:pPr>
      <w:bookmarkStart w:id="25" w:name="_Toc508982294"/>
      <w:r w:rsidRPr="00763ECB">
        <w:rPr>
          <w:noProof/>
          <w:lang w:val="en-GB" w:eastAsia="en-GB"/>
        </w:rPr>
        <w:lastRenderedPageBreak/>
        <w:drawing>
          <wp:anchor distT="0" distB="0" distL="114300" distR="114300" simplePos="0" relativeHeight="251663360" behindDoc="0" locked="0" layoutInCell="1" allowOverlap="1">
            <wp:simplePos x="1828800" y="914400"/>
            <wp:positionH relativeFrom="margin">
              <wp:align>center</wp:align>
            </wp:positionH>
            <wp:positionV relativeFrom="margin">
              <wp:align>top</wp:align>
            </wp:positionV>
            <wp:extent cx="5731510" cy="328485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84855"/>
                    </a:xfrm>
                    <a:prstGeom prst="rect">
                      <a:avLst/>
                    </a:prstGeom>
                  </pic:spPr>
                </pic:pic>
              </a:graphicData>
            </a:graphic>
          </wp:anchor>
        </w:drawing>
      </w:r>
      <w:r w:rsidR="00EA0974">
        <w:t>Az innováció értékeléséhez kapcsolódó közös értékelési elemek</w:t>
      </w:r>
      <w:bookmarkEnd w:id="25"/>
      <w:r w:rsidR="00EA0974">
        <w:t xml:space="preserve"> </w:t>
      </w:r>
    </w:p>
    <w:p w:rsidR="00A45935" w:rsidRPr="00E05D08" w:rsidRDefault="00A45935" w:rsidP="00E05D08">
      <w:pPr>
        <w:spacing w:before="60" w:after="140" w:line="220" w:lineRule="atLeast"/>
        <w:jc w:val="center"/>
        <w:rPr>
          <w:rFonts w:eastAsia="Times New Roman" w:cs="Arial"/>
          <w:szCs w:val="20"/>
          <w:shd w:val="clear" w:color="auto" w:fill="FFFFFF"/>
          <w:lang w:eastAsia="de-DE"/>
        </w:rPr>
      </w:pP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Forrás: Európai vidékfejlesztési értékelési támogató szolgálat, 2017</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982260"/>
      <w:r>
        <w:lastRenderedPageBreak/>
        <w:t>Az innováció értékelésének kihívásai</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Több olyan kihívás van, amelyet a VFP-k keretében végrehajtott innováció értékelésekor figyelembe kell venni.</w:t>
      </w:r>
    </w:p>
    <w:p w:rsidR="00A45935" w:rsidRPr="00E05D08" w:rsidRDefault="00A45935" w:rsidP="00230C31">
      <w:pPr>
        <w:pStyle w:val="HHeading4"/>
        <w:rPr>
          <w:rFonts w:eastAsia="Calibri"/>
        </w:rPr>
      </w:pPr>
      <w:r>
        <w:t xml:space="preserve">Tervezési kihívások </w:t>
      </w:r>
    </w:p>
    <w:p w:rsidR="00A45935" w:rsidRPr="00920CB9" w:rsidRDefault="00A45935" w:rsidP="00576A73">
      <w:pPr>
        <w:pStyle w:val="Hlistbullet"/>
      </w:pPr>
      <w:r>
        <w:rPr>
          <w:b/>
        </w:rPr>
        <w:t>Az értékelés tárgyának egyértelmű meghatározása:</w:t>
      </w:r>
      <w:r>
        <w:t xml:space="preserve"> mire összpontosít az innováció értékelése? </w:t>
      </w:r>
    </w:p>
    <w:p w:rsidR="00A45935" w:rsidRPr="00920CB9" w:rsidRDefault="00A45935" w:rsidP="00576A73">
      <w:pPr>
        <w:pStyle w:val="Hlistbullet"/>
      </w:pPr>
      <w:r>
        <w:rPr>
          <w:b/>
        </w:rPr>
        <w:t>Az ismeret- és innovációs rendszer feltérképezése</w:t>
      </w:r>
      <w:r>
        <w:t>: az értékelt vidéki térségbeli adott ismeret- és innovációs rendszernek milyen alkotóelemei vannak, azok hogyan viszonyulnak egymáshoz, és hol vannak a határaik? A VFP-k milyen szerepet töltenek be azon belül?</w:t>
      </w:r>
      <w:r>
        <w:rPr>
          <w:rFonts w:cs="Arial"/>
          <w:vertAlign w:val="superscript"/>
        </w:rPr>
        <w:footnoteReference w:id="34"/>
      </w:r>
    </w:p>
    <w:p w:rsidR="00A45935" w:rsidRPr="00920CB9" w:rsidRDefault="00A45935" w:rsidP="00576A73">
      <w:pPr>
        <w:pStyle w:val="Hlistbullet"/>
      </w:pPr>
      <w:r>
        <w:rPr>
          <w:b/>
        </w:rPr>
        <w:t>A VFP innovációval kapcsolatos megközelítésének áttekintése</w:t>
      </w:r>
      <w:r>
        <w:t>: Milyen konkrét innovációs potenciál rejlik egy adott VFP-ben? Melyek a célkitűzései? A kiválasztási kritériumok kifejezetten az innováció kezelését célozzák-e?</w:t>
      </w:r>
    </w:p>
    <w:p w:rsidR="00A45935" w:rsidRPr="00B76BA4" w:rsidRDefault="00A45935" w:rsidP="00230C31">
      <w:pPr>
        <w:pStyle w:val="HHeading4"/>
        <w:rPr>
          <w:rFonts w:eastAsia="Calibri"/>
          <w:shd w:val="clear" w:color="auto" w:fill="FFFFFF"/>
        </w:rPr>
      </w:pPr>
      <w:r>
        <w:rPr>
          <w:shd w:val="clear" w:color="auto" w:fill="FFFFFF"/>
        </w:rPr>
        <w:t xml:space="preserve">A közös monitoring- és értékelési rendszerhez kapcsolódó kihívások </w:t>
      </w:r>
    </w:p>
    <w:p w:rsidR="00A45935" w:rsidRPr="000324A5" w:rsidRDefault="00A45935" w:rsidP="00576A73">
      <w:pPr>
        <w:pStyle w:val="Hlistbullet"/>
      </w:pPr>
      <w:r>
        <w:rPr>
          <w:b/>
        </w:rPr>
        <w:t xml:space="preserve">Kiegészítő és programspecifikus értékelési elemek kidolgozása: </w:t>
      </w:r>
      <w:r>
        <w:t xml:space="preserve">hogyan kell az innováció értékeléséhez kapcsolódóan kiegészítő és programspecifikus értékelési elemeket kialakítani? </w:t>
      </w:r>
    </w:p>
    <w:p w:rsidR="00A45935" w:rsidRPr="000324A5" w:rsidRDefault="00A45935" w:rsidP="00576A73">
      <w:pPr>
        <w:pStyle w:val="Hlistbullet"/>
        <w:rPr>
          <w:b/>
        </w:rPr>
      </w:pPr>
      <w:r>
        <w:rPr>
          <w:b/>
        </w:rPr>
        <w:t xml:space="preserve">Jelentéstétel az eredményekről: </w:t>
      </w:r>
      <w:r>
        <w:t>hogyan kell az értékelési eljárásokat a 2019-es éves végrehajtási jelentés szerinti időkerettel, valamint a 2024-es utólagos értékeléssel összehangolni?</w:t>
      </w:r>
    </w:p>
    <w:p w:rsidR="00A45935" w:rsidRPr="00E05D08" w:rsidRDefault="00A45935" w:rsidP="00230C31">
      <w:pPr>
        <w:pStyle w:val="HHeading4"/>
        <w:rPr>
          <w:rFonts w:eastAsia="Calibri"/>
          <w:shd w:val="clear" w:color="auto" w:fill="FFFFFF"/>
        </w:rPr>
      </w:pPr>
      <w:r>
        <w:rPr>
          <w:shd w:val="clear" w:color="auto" w:fill="FFFFFF"/>
        </w:rPr>
        <w:t xml:space="preserve">Módszertani kihívások </w:t>
      </w:r>
    </w:p>
    <w:p w:rsidR="00A45935" w:rsidRPr="00F8743F" w:rsidRDefault="00A45935" w:rsidP="00576A73">
      <w:pPr>
        <w:pStyle w:val="Hlistbullet"/>
        <w:rPr>
          <w:shd w:val="clear" w:color="auto" w:fill="FFFFFF"/>
        </w:rPr>
      </w:pPr>
      <w:r>
        <w:rPr>
          <w:b/>
        </w:rPr>
        <w:t>Az</w:t>
      </w:r>
      <w:r>
        <w:rPr>
          <w:b/>
          <w:shd w:val="clear" w:color="auto" w:fill="FFFFFF"/>
        </w:rPr>
        <w:t xml:space="preserve"> innovációs folyamatoknak a VFP keretében végrehajtott beavatkozásokra történő visszavezetése</w:t>
      </w:r>
      <w:r>
        <w:rPr>
          <w:shd w:val="clear" w:color="auto" w:fill="FFFFFF"/>
        </w:rPr>
        <w:t xml:space="preserve">: hogyan kell mérni, hogy a vidéki térségekben létrejött innovációs folyamatok milyen mértékben vezethetők vissza közvetlenül vagy közvetve a VFP keretében végrehajtott beavatkozásokra? </w:t>
      </w:r>
    </w:p>
    <w:p w:rsidR="00A45935" w:rsidRPr="00F8743F" w:rsidRDefault="00A45935" w:rsidP="00576A73">
      <w:pPr>
        <w:pStyle w:val="Hlistbullet"/>
        <w:rPr>
          <w:shd w:val="clear" w:color="auto" w:fill="FFFFFF"/>
        </w:rPr>
      </w:pPr>
      <w:r>
        <w:rPr>
          <w:b/>
        </w:rPr>
        <w:t>Az innováció által kifejtett hatásoknak a VFP eredményeire és hatásaira történő visszavezetése</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Megfelelő értékelési megközelítések kialakítása:</w:t>
      </w:r>
      <w:r>
        <w:rPr>
          <w:shd w:val="clear" w:color="auto" w:fill="FFFFFF"/>
          <w14:textFill>
            <w14:solidFill>
              <w14:srgbClr w14:val="373737">
                <w14:lumMod w14:val="75000"/>
                <w14:lumMod w14:val="75000"/>
                <w14:lumMod w14:val="75000"/>
              </w14:srgbClr>
            </w14:solidFill>
          </w14:textFill>
        </w:rPr>
        <w:t xml:space="preserve"> Hogyan kell a mennyiségi és minőségi szempontú módszerek triangulációját és ötvözését végrehajtani az értékelési megállapítások értelmezéséhez, valamint következtetések és ajánlások megfogalmazásához? </w:t>
      </w:r>
    </w:p>
    <w:p w:rsidR="00A45935" w:rsidRPr="00E05D08" w:rsidRDefault="00A45935" w:rsidP="00230C31">
      <w:pPr>
        <w:pStyle w:val="HHeading4"/>
        <w:rPr>
          <w:rFonts w:eastAsia="Calibri"/>
          <w:shd w:val="clear" w:color="auto" w:fill="FFFFFF"/>
        </w:rPr>
      </w:pPr>
      <w:r>
        <w:rPr>
          <w:shd w:val="clear" w:color="auto" w:fill="FFFFFF"/>
        </w:rPr>
        <w:t>Szervezeti kihívások</w:t>
      </w:r>
    </w:p>
    <w:p w:rsidR="00A45935" w:rsidRPr="00D55226" w:rsidRDefault="00A45935" w:rsidP="00576A73">
      <w:pPr>
        <w:pStyle w:val="Hlistbullet"/>
        <w:rPr>
          <w:rFonts w:eastAsia="Calibri"/>
        </w:rPr>
      </w:pPr>
      <w:r>
        <w:rPr>
          <w:b/>
        </w:rPr>
        <w:t>Eredményes és hatékony adatkezelés biztosítása</w:t>
      </w:r>
      <w:r>
        <w:t xml:space="preserve">: hogyan kell a közös és a kiegészítő mutatókhoz kapcsolódó adatokat kezelni, gyűjteni és elemezni, különösen akkor, ha az innovációt támogató intézkedések irányítása meghaladja különböző felelős szervek hatáskörét? </w:t>
      </w:r>
    </w:p>
    <w:p w:rsidR="00A45935" w:rsidRPr="00D55226" w:rsidRDefault="00A45935" w:rsidP="00576A73">
      <w:pPr>
        <w:pStyle w:val="Hlistbullet"/>
        <w:rPr>
          <w:rFonts w:eastAsia="Calibri"/>
        </w:rPr>
      </w:pPr>
      <w:r>
        <w:rPr>
          <w:b/>
        </w:rPr>
        <w:t>A részt vevő érdekelt felek koordinálása</w:t>
      </w:r>
      <w:r>
        <w:t>: hogyan kell közös eljárást létrehozni és közös megállapodást elérni az irányító hatóságok és az innováció értékelésében részt vevő különféle érdekelt felek (például helyi akciócsoportok, az európai innovációs partnerség operatív csoportjai, a mezőgazdasági termelők/erdészek tanácsadói, a kutatók) között?</w:t>
      </w:r>
    </w:p>
    <w:p w:rsidR="00A45935" w:rsidRDefault="00A45935" w:rsidP="00576A73">
      <w:pPr>
        <w:pStyle w:val="Hlistbullet"/>
        <w:rPr>
          <w:rFonts w:eastAsia="Calibri"/>
        </w:rPr>
      </w:pPr>
      <w:r>
        <w:rPr>
          <w:b/>
        </w:rPr>
        <w:lastRenderedPageBreak/>
        <w:t>Az értékelési megállapítások felhasználása a szakpolitika kialakításának és végrehajtásának javításához</w:t>
      </w:r>
      <w:r>
        <w:t>: hogyan kell utólagos következtetéseket levonni és utólagos ajánlásokat tenni az értékelési megállapítások alapján a VFP tökéletesítéséhez, az átláthatóságának, az elszámoltathatóságának és VFP-ben érdekelt felek közös tanulásának javításához?</w:t>
      </w:r>
    </w:p>
    <w:p w:rsidR="00230C31" w:rsidRDefault="00230C31" w:rsidP="00626C0C">
      <w:pPr>
        <w:pStyle w:val="HHeading1"/>
        <w:tabs>
          <w:tab w:val="clear" w:pos="567"/>
        </w:tabs>
      </w:pPr>
      <w:bookmarkStart w:id="79" w:name="_Toc508982261"/>
      <w:r>
        <w:lastRenderedPageBreak/>
        <w:t>Hogyan kell értékelni a VFP-k keretében végrehajtott innovációt?</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982262"/>
      <w:bookmarkStart w:id="85" w:name="_Toc493151899"/>
      <w:bookmarkStart w:id="86" w:name="_Toc501382126"/>
      <w:bookmarkEnd w:id="80"/>
      <w:bookmarkEnd w:id="81"/>
      <w:bookmarkEnd w:id="82"/>
      <w:bookmarkEnd w:id="83"/>
      <w:r>
        <w:t>A 2014–2020-as időszakra vonatkozó VFP-k keretében végrehajtott innováció értékelésének javasolt megközelítése (áttekintés)</w:t>
      </w:r>
      <w:bookmarkEnd w:id="84"/>
    </w:p>
    <w:bookmarkEnd w:id="85"/>
    <w:bookmarkEnd w:id="86"/>
    <w:p w:rsidR="00A45935" w:rsidRDefault="00A45935" w:rsidP="00946806">
      <w:pPr>
        <w:pStyle w:val="HHeading4"/>
      </w:pPr>
      <w:r>
        <w:t>Az innováció értékelésének lebonyolítása</w:t>
      </w:r>
    </w:p>
    <w:p w:rsidR="00A45935" w:rsidRPr="00E05D08" w:rsidRDefault="00A45935" w:rsidP="00E05D08">
      <w:pPr>
        <w:spacing w:after="120" w:line="280" w:lineRule="atLeast"/>
        <w:mirrorIndents/>
        <w:rPr>
          <w:rFonts w:eastAsia="Times New Roman" w:cs="Times New Roman"/>
          <w:szCs w:val="20"/>
        </w:rPr>
      </w:pPr>
      <w:r>
        <w:rPr>
          <w:b/>
          <w:szCs w:val="20"/>
        </w:rPr>
        <w:t>Az innováció értékelése és az innovációval kapcsolatos értékelési kérdések megválaszolása a VFP értékelésének részét képezi.</w:t>
      </w:r>
      <w:r>
        <w:t xml:space="preserve"> </w:t>
      </w:r>
      <w:r>
        <w:rPr>
          <w:szCs w:val="20"/>
          <w:shd w:val="clear" w:color="auto" w:fill="FFFFFF"/>
        </w:rPr>
        <w:t>Ezért a lebonyolításukra jellemzően más VFP-értékelési tevékenységekkel együtt kerül sor</w:t>
      </w:r>
      <w:r>
        <w:rPr>
          <w:rFonts w:eastAsia="Calibri" w:cs="Times New Roman"/>
          <w:szCs w:val="20"/>
          <w:shd w:val="clear" w:color="auto" w:fill="FFFFFF"/>
          <w:vertAlign w:val="superscript"/>
          <w:lang w:eastAsia="de-DE"/>
        </w:rPr>
        <w:footnoteReference w:id="35"/>
      </w:r>
      <w:r>
        <w:rPr>
          <w:szCs w:val="20"/>
          <w:shd w:val="clear" w:color="auto" w:fill="FFFFFF"/>
        </w:rPr>
        <w:t>. Az alábbi ábra ezt a folyamatot tekinti át.</w:t>
      </w:r>
      <w:r>
        <w:t xml:space="preserve"> </w:t>
      </w:r>
    </w:p>
    <w:p w:rsidR="00A45935" w:rsidRPr="00E05D08" w:rsidRDefault="00A45935" w:rsidP="00E05D08">
      <w:pPr>
        <w:spacing w:after="120" w:line="280" w:lineRule="atLeast"/>
        <w:mirrorIndents/>
        <w:rPr>
          <w:rFonts w:eastAsia="Times New Roman" w:cs="Times New Roman"/>
          <w:szCs w:val="20"/>
        </w:rPr>
      </w:pPr>
      <w:r>
        <w:t xml:space="preserve">Az innováció értékelésének előkészítését, felépítését és lebonyolítását a 2.2–2.4. fejezet ismerteti részletesen. </w:t>
      </w:r>
    </w:p>
    <w:p w:rsidR="00A45935" w:rsidRPr="0018705F" w:rsidRDefault="00A45935" w:rsidP="00B421B9">
      <w:pPr>
        <w:pStyle w:val="HHeadingfigures"/>
      </w:pPr>
      <w:bookmarkStart w:id="87" w:name="_Toc508982295"/>
      <w:r>
        <w:t>A 2014–2020-as időszakra vonatkozó VFP-k értékelésének lebonyolítása</w:t>
      </w:r>
      <w:bookmarkEnd w:id="87"/>
    </w:p>
    <w:p w:rsidR="00A45935" w:rsidRPr="00E05D08" w:rsidRDefault="00CF24F2" w:rsidP="00E05D08">
      <w:pPr>
        <w:spacing w:after="120" w:line="280" w:lineRule="atLeast"/>
        <w:mirrorIndents/>
        <w:jc w:val="center"/>
        <w:rPr>
          <w:rFonts w:eastAsia="Times New Roman" w:cs="Times New Roman"/>
          <w:szCs w:val="20"/>
        </w:rPr>
      </w:pPr>
      <w:r w:rsidRPr="00CF24F2">
        <w:rPr>
          <w:noProof/>
          <w:lang w:val="en-GB" w:eastAsia="en-GB"/>
        </w:rPr>
        <w:drawing>
          <wp:inline distT="0" distB="0" distL="0" distR="0" wp14:anchorId="164029AD" wp14:editId="368B9CC7">
            <wp:extent cx="5731510" cy="398146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981468"/>
                    </a:xfrm>
                    <a:prstGeom prst="rect">
                      <a:avLst/>
                    </a:prstGeom>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Forrás: Európai vidékfejlesztési értékelési támogató szolgálat,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Jelentéstétel az innováció értékeléséről</w:t>
      </w:r>
    </w:p>
    <w:p w:rsidR="00A45935" w:rsidRPr="00E05D08" w:rsidRDefault="00A45935" w:rsidP="00E05D08">
      <w:pPr>
        <w:spacing w:after="120" w:line="280" w:lineRule="atLeast"/>
        <w:mirrorIndents/>
        <w:rPr>
          <w:rFonts w:eastAsia="Times New Roman" w:cs="Times New Roman"/>
          <w:szCs w:val="20"/>
        </w:rPr>
      </w:pPr>
      <w:r>
        <w:t xml:space="preserve">Az </w:t>
      </w:r>
      <w:r>
        <w:rPr>
          <w:b/>
          <w:szCs w:val="20"/>
        </w:rPr>
        <w:t>értékelési megállapítások Európai Bizottság részére történő jelentése az</w:t>
      </w:r>
      <w:r>
        <w:rPr>
          <w:b/>
          <w:szCs w:val="20"/>
          <w:shd w:val="clear" w:color="auto" w:fill="FFFFFF"/>
        </w:rPr>
        <w:t xml:space="preserve"> </w:t>
      </w:r>
      <w:r>
        <w:rPr>
          <w:b/>
          <w:szCs w:val="20"/>
        </w:rPr>
        <w:t>irányító hatóságok</w:t>
      </w:r>
      <w:r>
        <w:rPr>
          <w:rFonts w:eastAsia="Times New Roman" w:cs="Times New Roman"/>
          <w:szCs w:val="20"/>
          <w:vertAlign w:val="superscript"/>
          <w:lang w:eastAsia="de-DE"/>
        </w:rPr>
        <w:footnoteReference w:id="36"/>
      </w:r>
      <w:r>
        <w:t xml:space="preserve"> feladata. Az 5. ábra bemutatja, hogy az innovációval kapcsolatos értékelési megállapítások mely közös értékelési kérdéseknél foglalhatók bele a 2017-es és a 2019-es éves végrehajtási jelentésbe, valamint az utólagos értékelésbe. </w:t>
      </w:r>
    </w:p>
    <w:p w:rsidR="00A45935" w:rsidRPr="00E05D08" w:rsidRDefault="00A45935" w:rsidP="00E05D08">
      <w:pPr>
        <w:spacing w:after="120" w:line="280" w:lineRule="atLeast"/>
        <w:mirrorIndents/>
        <w:rPr>
          <w:rFonts w:eastAsia="Times New Roman" w:cs="Times New Roman"/>
          <w:szCs w:val="20"/>
        </w:rPr>
      </w:pPr>
      <w:r>
        <w:rPr>
          <w:b/>
          <w:szCs w:val="20"/>
        </w:rPr>
        <w:t>Az innovációval kapcsolatban szignifikáns értékelési megállapítások várhatóan a 2019-es éves végrehajtási jelentésben és az utólagos értékelésben szerepelnek.</w:t>
      </w:r>
      <w:r>
        <w:t xml:space="preserve"> Mivel az innováció előmozdítása folyamatként értendő, az eredményei nehezen figyelhetők meg a program végrehajtásának korai szakaszaiban.</w:t>
      </w:r>
    </w:p>
    <w:p w:rsidR="00A45935" w:rsidRPr="006B72BF" w:rsidRDefault="00CF24F2" w:rsidP="008D178A">
      <w:pPr>
        <w:pStyle w:val="HHeadingfigures"/>
      </w:pPr>
      <w:bookmarkStart w:id="88" w:name="_Toc508982296"/>
      <w:r w:rsidRPr="00CF24F2">
        <w:rPr>
          <w:noProof/>
          <w:lang w:val="en-GB" w:eastAsia="en-GB"/>
        </w:rPr>
        <w:drawing>
          <wp:anchor distT="0" distB="0" distL="114300" distR="114300" simplePos="0" relativeHeight="251665408" behindDoc="0" locked="0" layoutInCell="1" allowOverlap="1">
            <wp:simplePos x="1828800" y="2870200"/>
            <wp:positionH relativeFrom="margin">
              <wp:align>center</wp:align>
            </wp:positionH>
            <wp:positionV relativeFrom="margin">
              <wp:align>center</wp:align>
            </wp:positionV>
            <wp:extent cx="5731510" cy="4303395"/>
            <wp:effectExtent l="0" t="0" r="254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4303395"/>
                    </a:xfrm>
                    <a:prstGeom prst="rect">
                      <a:avLst/>
                    </a:prstGeom>
                  </pic:spPr>
                </pic:pic>
              </a:graphicData>
            </a:graphic>
          </wp:anchor>
        </w:drawing>
      </w:r>
      <w:r w:rsidR="00533971">
        <w:t>Az innovációval kapcsolatos jelentéstételi követelmények</w:t>
      </w:r>
      <w:bookmarkEnd w:id="88"/>
    </w:p>
    <w:p w:rsidR="00A45935" w:rsidRPr="00E05D08" w:rsidRDefault="00A45935" w:rsidP="00E05D08">
      <w:pPr>
        <w:spacing w:after="120" w:line="280" w:lineRule="atLeast"/>
        <w:mirrorIndents/>
        <w:jc w:val="center"/>
        <w:rPr>
          <w:rFonts w:eastAsia="Times New Roman" w:cs="Times New Roman"/>
          <w:szCs w:val="20"/>
          <w:lang w:eastAsia="de-DE"/>
        </w:rPr>
      </w:pP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Forrás: Európai vidékfejlesztési értékelési támogató szolgálat, 2017</w:t>
      </w:r>
    </w:p>
    <w:p w:rsidR="00A45935" w:rsidRPr="00E05D08" w:rsidRDefault="00A45935" w:rsidP="001744D0">
      <w:r>
        <w:t>Ez az iránymutatás ezért arra helyezi a hangsúlyt, hogy 2019-től hogyan kell megközelíteni az innováció értékelését.</w:t>
      </w:r>
    </w:p>
    <w:p w:rsidR="00A45935" w:rsidRDefault="00A45935" w:rsidP="00804433">
      <w:pPr>
        <w:spacing w:after="120" w:line="280" w:lineRule="atLeast"/>
        <w:mirrorIndents/>
        <w:rPr>
          <w:rFonts w:eastAsia="Times New Roman" w:cs="Times New Roman"/>
          <w:szCs w:val="20"/>
        </w:rPr>
      </w:pPr>
      <w:r>
        <w:lastRenderedPageBreak/>
        <w:t xml:space="preserve">Az irányító hatóság az uniós szinten kialakított jelentéstételi formátumok mellett használhat </w:t>
      </w:r>
      <w:r>
        <w:rPr>
          <w:b/>
          <w:szCs w:val="20"/>
        </w:rPr>
        <w:t xml:space="preserve">más jelentéstételi formátumokat </w:t>
      </w:r>
      <w:r>
        <w:t xml:space="preserve">arra, hogy az innovációs szereplőket, a vidékfejlesztésben érdekelt feleket és a nagyközönséget tájékoztassa a VFP értékelésének megállapításairól (lásd még az egyéb </w:t>
      </w:r>
      <w:r w:rsidR="00785477">
        <w:rPr>
          <w:noProof/>
          <w:lang w:val="en-GB" w:eastAsia="en-GB"/>
        </w:rPr>
        <mc:AlternateContent>
          <mc:Choice Requires="wps">
            <w:drawing>
              <wp:anchor distT="180340" distB="0" distL="114300" distR="114300" simplePos="0" relativeHeight="251644928" behindDoc="0" locked="0" layoutInCell="1" allowOverlap="1" wp14:anchorId="2CB2A2EC" wp14:editId="5C210343">
                <wp:simplePos x="0" y="0"/>
                <wp:positionH relativeFrom="page">
                  <wp:posOffset>857250</wp:posOffset>
                </wp:positionH>
                <wp:positionV relativeFrom="page">
                  <wp:posOffset>704850</wp:posOffset>
                </wp:positionV>
                <wp:extent cx="5826760" cy="301942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3019425"/>
                        </a:xfrm>
                        <a:prstGeom prst="round2DiagRect">
                          <a:avLst>
                            <a:gd name="adj1" fmla="val 8810"/>
                            <a:gd name="adj2" fmla="val 0"/>
                          </a:avLst>
                        </a:prstGeom>
                        <a:noFill/>
                        <a:ln w="25400" cap="flat" cmpd="sng" algn="ctr">
                          <a:solidFill>
                            <a:srgbClr val="F07E31"/>
                          </a:solidFill>
                          <a:prstDash val="solid"/>
                        </a:ln>
                        <a:effectLst/>
                      </wps:spPr>
                      <wps:txbx>
                        <w:txbxContent>
                          <w:p w:rsidR="005139CB" w:rsidRPr="00E05D08" w:rsidRDefault="005139CB" w:rsidP="00E05D08">
                            <w:pPr>
                              <w:pStyle w:val="HStandard"/>
                              <w:rPr>
                                <w:b/>
                                <w:color w:val="F07E31"/>
                                <w:sz w:val="18"/>
                                <w:szCs w:val="18"/>
                              </w:rPr>
                            </w:pPr>
                            <w:r>
                              <w:rPr>
                                <w:noProof/>
                                <w:lang w:val="en-GB" w:eastAsia="en-GB"/>
                              </w:rPr>
                              <w:drawing>
                                <wp:inline distT="0" distB="0" distL="0" distR="0" wp14:anchorId="615C1DF5" wp14:editId="25F62203">
                                  <wp:extent cx="353060" cy="359410"/>
                                  <wp:effectExtent l="0" t="0" r="8890" b="2540"/>
                                  <wp:docPr id="86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Példa: A svédországi EIP-AGRI folyamatos értékelése</w:t>
                            </w:r>
                          </w:p>
                          <w:p w:rsidR="005139CB" w:rsidRPr="00275EE5" w:rsidRDefault="005139CB" w:rsidP="00E05D08">
                            <w:pPr>
                              <w:pStyle w:val="HBox"/>
                            </w:pPr>
                            <w:r>
                              <w:rPr>
                                <w:bCs/>
                                <w14:textFill>
                                  <w14:solidFill>
                                    <w14:srgbClr w14:val="373737">
                                      <w14:lumMod w14:val="75000"/>
                                    </w14:srgbClr>
                                  </w14:solidFill>
                                </w14:textFill>
                              </w:rPr>
                              <w:t>Svédországban az innováció értékelése a VFP értékelése keretében zajlik, mennyiségi és minőségi szempontú értékelési komponensből áll. Mindkét komponenssel az értékelési titkárság</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foglalkozik. </w:t>
                            </w:r>
                            <w:r>
                              <w:t>A mennyiségi szempontú értékelés várhatóan csak a 2019-ben benyújtandó éves végrehajtási jelentéshez és az utólagos értékeléshez tesz megállapításokat.</w:t>
                            </w:r>
                            <w:r>
                              <w:rPr>
                                <w:bCs/>
                                <w14:textFill>
                                  <w14:solidFill>
                                    <w14:srgbClr w14:val="373737">
                                      <w14:lumMod w14:val="75000"/>
                                    </w14:srgbClr>
                                  </w14:solidFill>
                                </w14:textFill>
                              </w:rPr>
                              <w:t xml:space="preserve"> Az innovációval kapcsolatos intézkedések igénybevétele még mindig meglehetősen csekély mértékű volt a 2017-ben elvégzendő mennyiségi szempontú értékeléshez. A minőségi szempontú értékelést folyamatos formatív értékelésként alakítják ki, és az az EIP-AGRI megvalósítására összpontosít. Az értékelést az Umeå-i Egyetem kutatási akciócsoportja bonyolítja. E folyamatos értékelés célja, hogy folyamatos visszacsatolással és ajánlásokkal szolgáljon az EIP-AGRI irányításához és megvalósításához (a vidékfejlesztési program M16 intézkedése). </w:t>
                            </w:r>
                            <w:r>
                              <w:t>Az akciócsoport várhatóan a programozási időszak egészében, valamint a 2017-ben és a 2019-ben benyújtandó éves végrehajtási jelentésekhez és az utólagos értékeléshez is tesz megállapításokat.</w:t>
                            </w:r>
                            <w:r>
                              <w:rPr>
                                <w:bCs/>
                                <w14:textFill>
                                  <w14:solidFill>
                                    <w14:srgbClr w14:val="373737">
                                      <w14:lumMod w14:val="75000"/>
                                    </w14:srgbClr>
                                  </w14:solidFill>
                                </w14:textFill>
                              </w:rPr>
                              <w:t xml:space="preserve"> Mindkét értékelési komponenst független értékelők bonyolítják, akiknek a kiválasztására a közbeszerzési jogszabályoknak megfelelő pályázati eljárás keretében kerül 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A2EC" id="Rectangle: Diagonal Corners Rounded 61" o:spid="_x0000_s1036" style="position:absolute;left:0;text-align:left;margin-left:67.5pt;margin-top:55.5pt;width:458.8pt;height:237.75pt;z-index:251644928;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3019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" adj="-11796480,,5400" path="m266011,l5826760,r,l5826760,2753414v,146914,-119097,266011,-266011,266011l,3019425r,l,266011c,119097,119097,,266011,xe" filled="f" strokecolor="#f07e31" strokeweight="2pt">
                <v:stroke joinstyle="miter"/>
                <v:formulas/>
                <v:path arrowok="t" o:connecttype="custom" o:connectlocs="266011,0;5826760,0;5826760,0;5826760,2753414;5560749,3019425;0,3019425;0,3019425;0,266011;266011,0" o:connectangles="0,0,0,0,0,0,0,0,0" textboxrect="0,0,5826760,3019425"/>
                <v:textbox>
                  <w:txbxContent>
                    <w:p w:rsidR="005139CB" w:rsidRPr="00E05D08" w:rsidRDefault="005139CB" w:rsidP="00E05D08">
                      <w:pPr>
                        <w:pStyle w:val="HStandard"/>
                        <w:rPr>
                          <w:b/>
                          <w:color w:val="F07E31"/>
                          <w:sz w:val="18"/>
                          <w:szCs w:val="18"/>
                        </w:rPr>
                      </w:pPr>
                      <w:r>
                        <w:rPr>
                          <w:noProof/>
                          <w:lang w:val="en-GB" w:eastAsia="en-GB"/>
                        </w:rPr>
                        <w:drawing>
                          <wp:inline distT="0" distB="0" distL="0" distR="0" wp14:anchorId="615C1DF5" wp14:editId="25F62203">
                            <wp:extent cx="353060" cy="359410"/>
                            <wp:effectExtent l="0" t="0" r="8890" b="2540"/>
                            <wp:docPr id="86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Példa: A svédországi EIP-AGRI folyamatos értékelése</w:t>
                      </w:r>
                    </w:p>
                    <w:p w:rsidR="005139CB" w:rsidRPr="00275EE5" w:rsidRDefault="005139CB" w:rsidP="00E05D08">
                      <w:pPr>
                        <w:pStyle w:val="HBox"/>
                      </w:pPr>
                      <w:r>
                        <w:rPr>
                          <w:bCs/>
                          <w14:textFill>
                            <w14:solidFill>
                              <w14:srgbClr w14:val="373737">
                                <w14:lumMod w14:val="75000"/>
                              </w14:srgbClr>
                            </w14:solidFill>
                          </w14:textFill>
                        </w:rPr>
                        <w:t>Svédországban az innováció értékelése a VFP értékelése keretében zajlik, mennyiségi és minőségi szempontú értékelési komponensből áll. Mindkét komponenssel az értékelési titkárság</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foglalkozik. </w:t>
                      </w:r>
                      <w:r>
                        <w:t>A mennyiségi szempontú értékelés várhatóan csak a 2019-ben benyújtandó éves végrehajtási jelentéshez és az utólagos értékeléshez tesz megállapításokat.</w:t>
                      </w:r>
                      <w:r>
                        <w:rPr>
                          <w:bCs/>
                          <w14:textFill>
                            <w14:solidFill>
                              <w14:srgbClr w14:val="373737">
                                <w14:lumMod w14:val="75000"/>
                              </w14:srgbClr>
                            </w14:solidFill>
                          </w14:textFill>
                        </w:rPr>
                        <w:t xml:space="preserve"> Az innovációval kapcsolatos intézkedések igénybevétele még mindig meglehetősen csekély mértékű volt a 2017-ben elvégzendő mennyiségi szempontú értékeléshez. A minőségi szempontú értékelést folyamatos formatív értékelésként alakítják ki, és az az EIP-AGRI megvalósítására összpontosít. Az értékelést az Umeå-i Egyetem kutatási akciócsoportja bonyolítja. E folyamatos értékelés célja, hogy folyamatos visszacsatolással és ajánlásokkal szolgáljon az EIP-AGRI irányításához és megvalósításához (a vidékfejlesztési program M16 intézkedése). </w:t>
                      </w:r>
                      <w:r>
                        <w:t>Az akciócsoport várhatóan a programozási időszak egészében, valamint a 2017-ben és a 2019-ben benyújtandó éves végrehajtási jelentésekhez és az utólagos értékeléshez is tesz megállapításokat.</w:t>
                      </w:r>
                      <w:r>
                        <w:rPr>
                          <w:bCs/>
                          <w14:textFill>
                            <w14:solidFill>
                              <w14:srgbClr w14:val="373737">
                                <w14:lumMod w14:val="75000"/>
                              </w14:srgbClr>
                            </w14:solidFill>
                          </w14:textFill>
                        </w:rPr>
                        <w:t xml:space="preserve"> Mindkét értékelési komponenst független értékelők bonyolítják, akiknek a kiválasztására a közbeszerzési jogszabályoknak megfelelő pályázati eljárás keretében kerül sor.</w:t>
                      </w:r>
                    </w:p>
                  </w:txbxContent>
                </v:textbox>
                <w10:wrap type="topAndBottom" anchorx="page" anchory="page"/>
              </v:shape>
            </w:pict>
          </mc:Fallback>
        </mc:AlternateContent>
      </w:r>
      <w:r>
        <w:t>útmutatásokat</w:t>
      </w:r>
      <w:r>
        <w:rPr>
          <w:rFonts w:eastAsia="Times New Roman" w:cs="Times New Roman"/>
          <w:szCs w:val="20"/>
          <w:vertAlign w:val="superscript"/>
          <w:lang w:eastAsia="de-DE"/>
        </w:rPr>
        <w:footnoteReference w:id="37"/>
      </w:r>
      <w:r>
        <w:t xml:space="preserve">). További lehetőségként egyes tagállamok úgy is dönthetnek, hogy önállóan értékelik az innovációt és külön értékelési jelentéseket készítenek.  </w:t>
      </w:r>
    </w:p>
    <w:p w:rsidR="00583AC8" w:rsidRDefault="00583AC8" w:rsidP="00804433">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A jogi keret előírja, hogy az innovációval kapcsolatos releváns értékelési kérdések mindegyikét meg kell válaszolni</w:t>
      </w:r>
      <w:r>
        <w:rPr>
          <w:rFonts w:eastAsia="Times New Roman" w:cs="Times New Roman"/>
          <w:szCs w:val="20"/>
          <w:vertAlign w:val="superscript"/>
          <w:lang w:eastAsia="de-DE"/>
        </w:rPr>
        <w:footnoteReference w:id="39"/>
      </w:r>
      <w:r>
        <w:t>, ennek során értékelni kell a releváns közös mutatókat</w:t>
      </w:r>
      <w:r>
        <w:rPr>
          <w:rFonts w:eastAsia="Times New Roman" w:cs="Times New Roman"/>
          <w:szCs w:val="20"/>
          <w:vertAlign w:val="superscript"/>
          <w:lang w:eastAsia="de-DE"/>
        </w:rPr>
        <w:footnoteReference w:id="40"/>
      </w:r>
      <w:r>
        <w:t xml:space="preserve"> és rögzíteni kell az uniós vidékfejlesztési politika által az innováció előmozdítása terén elért eredményeket. </w:t>
      </w:r>
    </w:p>
    <w:p w:rsidR="00576A73" w:rsidRDefault="00A45935" w:rsidP="00576A73">
      <w:pPr>
        <w:spacing w:after="120" w:line="280" w:lineRule="atLeast"/>
        <w:mirrorIndents/>
        <w:rPr>
          <w:rFonts w:eastAsia="Times New Roman" w:cs="Times New Roman"/>
          <w:szCs w:val="20"/>
        </w:rPr>
      </w:pPr>
      <w:r>
        <w:t>Az alábbi, nem kötelező erejű munkafázisok javasoltak:</w:t>
      </w:r>
    </w:p>
    <w:p w:rsidR="00A45935" w:rsidRPr="00E05D08" w:rsidRDefault="00A45935" w:rsidP="00B421B9">
      <w:pPr>
        <w:pStyle w:val="HHeading4"/>
        <w:rPr>
          <w:rFonts w:eastAsia="Calibri"/>
          <w:shd w:val="clear" w:color="auto" w:fill="FFFFFF"/>
        </w:rPr>
      </w:pPr>
      <w:r>
        <w:rPr>
          <w:shd w:val="clear" w:color="auto" w:fill="FFFFFF"/>
        </w:rPr>
        <w:t>A VFP szerinti intézkedések/alintézkedések innovációs potenciáljának vizsgálata (ajánlott)</w:t>
      </w:r>
    </w:p>
    <w:p w:rsidR="00A45935" w:rsidRPr="00E05D08" w:rsidRDefault="00A45935" w:rsidP="00E05D08">
      <w:pPr>
        <w:spacing w:after="120" w:line="280" w:lineRule="atLeast"/>
        <w:mirrorIndents/>
        <w:rPr>
          <w:rFonts w:eastAsia="Times New Roman" w:cs="Times New Roman"/>
          <w:szCs w:val="20"/>
        </w:rPr>
      </w:pPr>
      <w:r>
        <w:t xml:space="preserve">Előfordulhat, hogy az innovációval kapcsolatos értékelési kérdések megválaszolásához kapcsolódó értékelési tevékenységek megkezdése előtt az irányító hatóságok és/vagy az értékelési szakértők meg szeretnék vizsgálni a VFP szerinti intézkedések/alintézkedések innovációs potenciálját (a 6. ábrán látható kék mező). Ez a lépés annak megértésében segíti az értékelőt és az irányító hatóságot, hogy az egyes intézkedések/alintézkedések hogyan járulhatnak hozzá a VFP innovációval kapcsolatos célkitűzéseinek megvalósításához (lásd a </w:t>
      </w:r>
      <w:hyperlink w:anchor="Screening_Potential" w:history="1">
        <w:r>
          <w:rPr>
            <w:rStyle w:val="Hyperlink"/>
            <w:sz w:val="20"/>
            <w:szCs w:val="20"/>
          </w:rPr>
          <w:t>2.2. fejezetet</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Az innovációhoz kapcsolódó közös értékelési elemek kiegészítése (ajánlott)</w:t>
      </w:r>
    </w:p>
    <w:p w:rsidR="00A45935" w:rsidRPr="00E05D08" w:rsidRDefault="00A45935" w:rsidP="00E05D08">
      <w:pPr>
        <w:spacing w:after="120" w:line="280" w:lineRule="atLeast"/>
        <w:mirrorIndents/>
        <w:rPr>
          <w:rFonts w:eastAsia="Times New Roman" w:cs="Times New Roman"/>
          <w:szCs w:val="20"/>
        </w:rPr>
      </w:pPr>
      <w:r>
        <w:t>A közös monitoring- és értékelési rendszer alapvető értékelési elemeket tartalmaz az innovációval kapcsolatos közös értékelési kérdések megválaszolásához. Ha a közös értékelési elemek (az elbírálási kritériumok</w:t>
      </w:r>
      <w:r>
        <w:rPr>
          <w:rFonts w:eastAsia="Times New Roman" w:cs="Times New Roman"/>
          <w:szCs w:val="20"/>
          <w:vertAlign w:val="superscript"/>
          <w:lang w:eastAsia="de-DE"/>
        </w:rPr>
        <w:footnoteReference w:id="41"/>
      </w:r>
      <w:r>
        <w:t xml:space="preserve"> és a közös mutatók</w:t>
      </w:r>
      <w:r>
        <w:rPr>
          <w:rFonts w:eastAsia="Times New Roman" w:cs="Times New Roman"/>
          <w:szCs w:val="20"/>
          <w:vertAlign w:val="superscript"/>
          <w:lang w:eastAsia="de-DE"/>
        </w:rPr>
        <w:footnoteReference w:id="42"/>
      </w:r>
      <w:r>
        <w:t xml:space="preserve">) nem elegendőek az összes várt hatás rögzítéséhez, az </w:t>
      </w:r>
      <w:r>
        <w:lastRenderedPageBreak/>
        <w:t>irányító hatóságok – ideális esetben az értékelési szakértőkkel együtt – kidolgozhatják a hiányzó elemeket (például az értékelési alkérdéseket, a kiegészítő elbírálási kritériumokat</w:t>
      </w:r>
      <w:r>
        <w:rPr>
          <w:rFonts w:eastAsia="Times New Roman" w:cs="Times New Roman"/>
          <w:szCs w:val="20"/>
          <w:vertAlign w:val="superscript"/>
          <w:lang w:eastAsia="de-DE"/>
        </w:rPr>
        <w:footnoteReference w:id="43"/>
      </w:r>
      <w:r>
        <w:t>, valamint a kiegészítő mennyiségi és minőségi mutatókat</w:t>
      </w:r>
      <w:r>
        <w:rPr>
          <w:rFonts w:eastAsia="Times New Roman" w:cs="Times New Roman"/>
          <w:szCs w:val="20"/>
          <w:vertAlign w:val="superscript"/>
          <w:lang w:eastAsia="de-DE"/>
        </w:rPr>
        <w:footnoteReference w:id="44"/>
      </w:r>
      <w:r>
        <w:t xml:space="preserve">) (a 6. ábrán látható zöld mezők) (lásd a </w:t>
      </w:r>
      <w:hyperlink w:anchor="Complementing" w:history="1">
        <w:r>
          <w:rPr>
            <w:rStyle w:val="Hyperlink"/>
            <w:sz w:val="20"/>
            <w:szCs w:val="20"/>
          </w:rPr>
          <w:t>2.3. fejezetet</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releváns közös értékelési kérdések megválaszolása (kötelező)</w:t>
      </w:r>
    </w:p>
    <w:p w:rsidR="00A45935" w:rsidRPr="00E05D08" w:rsidRDefault="00A45935" w:rsidP="00E05D08">
      <w:pPr>
        <w:spacing w:after="120" w:line="280" w:lineRule="atLeast"/>
        <w:mirrorIndents/>
        <w:rPr>
          <w:rFonts w:eastAsia="Times New Roman" w:cs="Times New Roman"/>
          <w:szCs w:val="20"/>
        </w:rPr>
      </w:pPr>
      <w:r>
        <w:t xml:space="preserve">A VFP értékelői értékelik, hogy a VFP milyen eredményeket ért el az innováció előmozdítása terén, valamint azt, hogy a VFP hogyan járult hozzá az uniós és a nemzeti/regionális vidékfejlesztési politika célkitűzéseihez. Az értékelők felhasználják az értékelési megállapításokat a közös, a kiegészítő és a programspecifikus értékelési kérdésekre (a 6. ábrán látható narancssárga mezők) adott válaszok megfogalmazásakor. Az innovációval kapcsolatos közös értékelési kérdések megválaszolása egyedi megközelítést tesz szükségessé (lásd a </w:t>
      </w:r>
      <w:hyperlink w:anchor="Answering" w:history="1">
        <w:r>
          <w:rPr>
            <w:rStyle w:val="Hyperlink"/>
            <w:sz w:val="20"/>
            <w:szCs w:val="20"/>
          </w:rPr>
          <w:t>2.4. fejezetet</w:t>
        </w:r>
      </w:hyperlink>
      <w:r>
        <w:t>).</w:t>
      </w:r>
    </w:p>
    <w:p w:rsidR="00A45935" w:rsidRPr="00EC5172" w:rsidRDefault="00CF24F2" w:rsidP="00B421B9">
      <w:pPr>
        <w:pStyle w:val="HHeadingfigures"/>
      </w:pPr>
      <w:bookmarkStart w:id="89" w:name="_Toc508982297"/>
      <w:r w:rsidRPr="00CF24F2">
        <w:rPr>
          <w:noProof/>
          <w:lang w:val="en-GB" w:eastAsia="en-GB"/>
        </w:rPr>
        <w:drawing>
          <wp:anchor distT="0" distB="0" distL="114300" distR="114300" simplePos="0" relativeHeight="251668480" behindDoc="0" locked="0" layoutInCell="1" allowOverlap="1">
            <wp:simplePos x="1828800" y="3124835"/>
            <wp:positionH relativeFrom="margin">
              <wp:align>center</wp:align>
            </wp:positionH>
            <wp:positionV relativeFrom="margin">
              <wp:align>center</wp:align>
            </wp:positionV>
            <wp:extent cx="5731510" cy="3228975"/>
            <wp:effectExtent l="0" t="0" r="254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anchor>
        </w:drawing>
      </w:r>
      <w:r w:rsidR="00626C0C">
        <w:t>A VFP-kben előirányzott innováció értékeléséhez alkalmazott megközelítés</w:t>
      </w:r>
      <w:bookmarkEnd w:id="89"/>
    </w:p>
    <w:p w:rsidR="00A45935" w:rsidRPr="00E05D08" w:rsidRDefault="00A45935" w:rsidP="00E05D08">
      <w:pPr>
        <w:spacing w:after="120" w:line="280" w:lineRule="atLeast"/>
        <w:mirrorIndents/>
        <w:jc w:val="center"/>
        <w:rPr>
          <w:rFonts w:eastAsia="Times New Roman" w:cs="Times New Roman"/>
          <w:szCs w:val="20"/>
          <w:lang w:eastAsia="de-DE"/>
        </w:rPr>
      </w:pP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Forrás: Európai vidékfejlesztési értékelési támogató szolgálat, 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982263"/>
      <w:bookmarkEnd w:id="92"/>
      <w:r>
        <w:lastRenderedPageBreak/>
        <w:t>A VFP szerinti intézkedések/alintézkedések innovációs potenciáljának vizsgálata (ajánlott)</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Miért kell megvizsgálnunk a VFP szerinti intézkedéseket az innovációs potenciáljuk szempontjából? </w:t>
      </w:r>
    </w:p>
    <w:p w:rsidR="00C64B64" w:rsidRPr="00E05D08" w:rsidRDefault="00A45935" w:rsidP="00E05D08">
      <w:pPr>
        <w:spacing w:after="120" w:line="280" w:lineRule="atLeast"/>
        <w:mirrorIndents/>
        <w:rPr>
          <w:rFonts w:eastAsia="Times New Roman" w:cs="Times New Roman"/>
          <w:szCs w:val="20"/>
        </w:rPr>
      </w:pPr>
      <w:r>
        <w:t xml:space="preserve">Az irányító hatóságok igen rugalmasan ötvözhetik és alakíthatják ki a kiemelt területeken alkalmazandó különböző vidékfejlesztési intézkedéseket, melynek következtében a VFP-k nagyon különböző megközelítéseket alkalmazhatnak az innovációhoz. A VFP-n belüli intézkedések/alintézkedések kiválasztásának és ötvözésének vizsgálata segítséget nyújt az innováció konkrét megközelítésének és a VFP innovációs potenciáljának jobb megértéséhez. Ez érdemben hasznosítható az innovációval kapcsolatos közös értékelési kérdések megválaszolásához, különösen az értékelés későbbi szakaszaiban (például a 2019-es éves végrehajtási jelentésben vagy az utólagos értékelésben), amelyekben rögzíthetők a VFP innovációs folyamatokra kifejtett hatásai. </w:t>
      </w:r>
    </w:p>
    <w:p w:rsidR="00A45935" w:rsidRPr="00E05D08" w:rsidRDefault="00A45935" w:rsidP="00B421B9">
      <w:pPr>
        <w:pStyle w:val="HHeading4"/>
        <w:rPr>
          <w:rFonts w:eastAsia="Calibri"/>
          <w:shd w:val="clear" w:color="auto" w:fill="FFFFFF"/>
        </w:rPr>
      </w:pPr>
      <w:r>
        <w:rPr>
          <w:shd w:val="clear" w:color="auto" w:fill="FFFFFF"/>
        </w:rPr>
        <w:t xml:space="preserve">Milyen innovációs potenciál rejlik a VFP szerinti intézkedésekben/alintézkedésekben? </w:t>
      </w:r>
    </w:p>
    <w:p w:rsidR="00A45935" w:rsidRPr="00E05D08" w:rsidRDefault="00A45935" w:rsidP="00E05D08">
      <w:pPr>
        <w:spacing w:after="120" w:line="280" w:lineRule="atLeast"/>
        <w:mirrorIndents/>
        <w:rPr>
          <w:rFonts w:eastAsia="Times New Roman" w:cs="Times New Roman"/>
          <w:szCs w:val="20"/>
        </w:rPr>
      </w:pPr>
      <w:r>
        <w:rPr>
          <w:b/>
          <w:szCs w:val="20"/>
        </w:rPr>
        <w:t xml:space="preserve">A VFP szerinti intézkedésekben/alintézkedésekben </w:t>
      </w:r>
      <w:r>
        <w:t xml:space="preserve">– külön-külön vagy a kiemelt területeken belüli más intézkedésekkel/alintézkedésekkel együtt – </w:t>
      </w:r>
      <w:r>
        <w:rPr>
          <w:b/>
          <w:szCs w:val="20"/>
        </w:rPr>
        <w:t>rejlő innovációs potenciál</w:t>
      </w:r>
      <w:r>
        <w:t xml:space="preserve"> úgy értendő, hogy képesek-e a) innovatív ötletek felkarolásával, b) innovációs kapacitás együttműködésen alapuló kiépítésével, c) innovációt támogató környezet létrehozásával előmozdítani az innovációt a vidéki térségekben működő innovációs rendszerekben.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Melyek a VFP-ben rejlő innovációs potenciál meghatározásának munkafázisai? </w:t>
      </w:r>
    </w:p>
    <w:p w:rsidR="00A45935" w:rsidRPr="00E05D08" w:rsidRDefault="00A45935" w:rsidP="00E05D08">
      <w:pPr>
        <w:spacing w:after="120" w:line="280" w:lineRule="atLeast"/>
        <w:mirrorIndents/>
        <w:rPr>
          <w:rFonts w:eastAsia="Times New Roman" w:cs="Times New Roman"/>
          <w:szCs w:val="20"/>
        </w:rPr>
      </w:pPr>
      <w:r>
        <w:rPr>
          <w:b/>
          <w:szCs w:val="20"/>
        </w:rPr>
        <w:t xml:space="preserve">A VFP szerinti intézkedések és alintézkedések vizsgálata </w:t>
      </w:r>
      <w:r>
        <w:t xml:space="preserve">arra irányul, hogy az intézkedéseket hogyan alakították ki az új ötletek felkarolásának, az innovációs kapacitás kiépítésének vagy az innovációt támogató környezet létrehozásának elősegítéséhez. A munkamódszer lehet szakértői értékelés vagy a VFP több kulcsfontosságú érdekelt felének részvételén alapuló participatív módszer. Ezt a vizsgálatot a javasolt kulcskérdések megválaszolásával kell elvégezni (lásd a </w:t>
      </w:r>
      <w:hyperlink w:anchor="Steps_of_the_screenig" w:history="1">
        <w:r>
          <w:rPr>
            <w:rStyle w:val="Hyperlink"/>
            <w:sz w:val="20"/>
            <w:szCs w:val="20"/>
          </w:rPr>
          <w:t>7. ábrát</w:t>
        </w:r>
      </w:hyperlink>
      <w:r>
        <w:t>).</w:t>
      </w:r>
    </w:p>
    <w:p w:rsidR="00A45935" w:rsidRPr="00F117CA" w:rsidRDefault="00626C0C" w:rsidP="004A0A48">
      <w:pPr>
        <w:pStyle w:val="HHeadingfigures"/>
        <w:tabs>
          <w:tab w:val="clear" w:pos="964"/>
          <w:tab w:val="num" w:pos="709"/>
        </w:tabs>
        <w:ind w:left="567"/>
      </w:pPr>
      <w:bookmarkStart w:id="94" w:name="Steps_of_the_screenig"/>
      <w:bookmarkStart w:id="95" w:name="_Toc508982298"/>
      <w:bookmarkEnd w:id="94"/>
      <w:r>
        <w:t>A VFP szerinti intézkedések/alintézkedések innovációs potenciáljára irányuló vizsgálat lépései</w:t>
      </w:r>
      <w:bookmarkEnd w:id="95"/>
    </w:p>
    <w:p w:rsidR="00A45935" w:rsidRPr="00E05D08" w:rsidRDefault="004A0A48" w:rsidP="004A0A48">
      <w:pPr>
        <w:suppressAutoHyphens/>
        <w:spacing w:before="60" w:after="0" w:line="240" w:lineRule="auto"/>
        <w:ind w:left="142" w:right="1134"/>
        <w:mirrorIndents/>
        <w:rPr>
          <w:rFonts w:eastAsia="Times New Roman" w:cs="Times New Roman"/>
          <w:i/>
          <w:sz w:val="16"/>
          <w:szCs w:val="20"/>
          <w:lang w:eastAsia="de-DE"/>
        </w:rPr>
      </w:pPr>
      <w:r w:rsidRPr="00CF24F2">
        <w:rPr>
          <w:noProof/>
          <w:lang w:val="en-GB" w:eastAsia="en-GB"/>
        </w:rPr>
        <w:drawing>
          <wp:inline distT="0" distB="0" distL="0" distR="0" wp14:anchorId="57F22DF3" wp14:editId="00D9A6B6">
            <wp:extent cx="5731510" cy="2395949"/>
            <wp:effectExtent l="0" t="0" r="2540" b="444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395949"/>
                    </a:xfrm>
                    <a:prstGeom prst="rect">
                      <a:avLst/>
                    </a:prstGeom>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Forrás: Európai vidékfejlesztési értékelési támogató szolgálat, 2017</w:t>
      </w:r>
    </w:p>
    <w:p w:rsidR="005A64AC" w:rsidRDefault="005A64AC" w:rsidP="00E05D08">
      <w:pPr>
        <w:keepNext/>
        <w:keepLines/>
        <w:tabs>
          <w:tab w:val="left" w:pos="680"/>
        </w:tabs>
        <w:spacing w:before="240" w:after="240" w:line="280" w:lineRule="atLeast"/>
        <w:mirrorIndents/>
        <w:outlineLvl w:val="3"/>
        <w:rPr>
          <w:b/>
          <w:color w:val="57825E"/>
          <w:szCs w:val="20"/>
        </w:rPr>
      </w:pP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Mit kell megvizsgálni a VFP-ben?</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8240" behindDoc="0" locked="0" layoutInCell="1" allowOverlap="1" wp14:anchorId="0787BB87" wp14:editId="589ECB64">
                <wp:simplePos x="0" y="0"/>
                <wp:positionH relativeFrom="column">
                  <wp:posOffset>3162300</wp:posOffset>
                </wp:positionH>
                <wp:positionV relativeFrom="paragraph">
                  <wp:posOffset>75565</wp:posOffset>
                </wp:positionV>
                <wp:extent cx="2640965" cy="397192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971925"/>
                        </a:xfrm>
                        <a:prstGeom prst="round2DiagRect">
                          <a:avLst>
                            <a:gd name="adj1" fmla="val 6437"/>
                            <a:gd name="adj2" fmla="val 0"/>
                          </a:avLst>
                        </a:prstGeom>
                        <a:noFill/>
                        <a:ln w="25400" cap="flat" cmpd="sng" algn="ctr">
                          <a:solidFill>
                            <a:srgbClr val="BE4A35"/>
                          </a:solidFill>
                          <a:prstDash val="solid"/>
                        </a:ln>
                        <a:effectLst/>
                      </wps:spPr>
                      <wps:txbx>
                        <w:txbxContent>
                          <w:p w:rsidR="005139CB" w:rsidRPr="00275EE5" w:rsidRDefault="005139CB" w:rsidP="00626C0C">
                            <w:pPr>
                              <w:pStyle w:val="Normal12PTcouleurgris"/>
                            </w:pPr>
                            <w:r>
                              <w:rPr>
                                <w:noProof/>
                                <w:lang w:val="en-GB" w:eastAsia="en-GB"/>
                              </w:rPr>
                              <w:drawing>
                                <wp:inline distT="0" distB="0" distL="0" distR="0" wp14:anchorId="1E24D50C" wp14:editId="060DFFEF">
                                  <wp:extent cx="664845" cy="487680"/>
                                  <wp:effectExtent l="0" t="0" r="0" b="7620"/>
                                  <wp:docPr id="86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Az 1305/2013/EU rendelet 15. cikke hét olyan elemet ír elő, amely a </w:t>
                            </w:r>
                            <w:r>
                              <w:rPr>
                                <w:b/>
                                <w:color w:val="BE4A35"/>
                                <w:sz w:val="18"/>
                              </w:rPr>
                              <w:t>tanácsadási szolgáltatások</w:t>
                            </w:r>
                            <w:r>
                              <w:rPr>
                                <w:sz w:val="18"/>
                                <w:vertAlign w:val="superscript"/>
                              </w:rPr>
                              <w:t>45</w:t>
                            </w:r>
                            <w:r>
                              <w:rPr>
                                <w:sz w:val="18"/>
                              </w:rPr>
                              <w:t xml:space="preserve"> keretében kezelendő. Ezek közül csak egy (a (4) bekezdés c) pontja) említi kifejezetten az innovációt. Nincs arra vonatkozó követelmény, illetve bizonyosság, hogy másfajta tanácsadás (például a (4) bekezdés g) pontja: szaktanácsadás olyan mezőgazdasági termelők számára, akik első alkalommal kezdenek gazdálkodásba mezőgazdasági üzemben) előmozdítja az innovációt. Ezért egy-egy konkrét VFP-n belüli intézkedéstervezet elemzéséből kiderülhet, hogy az intézkedés (vagy alintézkedés, ha alkalmaznak ilyet) esetleg releváns lehet-e az innováció előmozdítása szempontjából.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9pt;margin-top:5.95pt;width:207.95pt;height:3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97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" adj="-11796480,,5400" path="m169999,l2640965,r,l2640965,3801926v,93888,-76111,169999,-169999,169999l,3971925r,l,169999c,76111,76111,,169999,xe" filled="f" strokecolor="#be4a35" strokeweight="2pt">
                <v:stroke joinstyle="miter"/>
                <v:formulas/>
                <v:path arrowok="t" o:connecttype="custom" o:connectlocs="169999,0;2640965,0;2640965,0;2640965,3801926;2470966,3971925;0,3971925;0,3971925;0,169999;169999,0" o:connectangles="0,0,0,0,0,0,0,0,0" textboxrect="0,0,2640965,3971925"/>
                <v:textbox>
                  <w:txbxContent>
                    <w:p w:rsidR="005139CB" w:rsidRPr="00275EE5" w:rsidRDefault="005139CB" w:rsidP="00626C0C">
                      <w:pPr>
                        <w:pStyle w:val="Normal12PTcouleurgris"/>
                      </w:pPr>
                      <w:r>
                        <w:rPr>
                          <w:noProof/>
                          <w:lang w:val="en-GB" w:eastAsia="en-GB"/>
                        </w:rPr>
                        <w:drawing>
                          <wp:inline distT="0" distB="0" distL="0" distR="0" wp14:anchorId="1E24D50C" wp14:editId="060DFFEF">
                            <wp:extent cx="664845" cy="487680"/>
                            <wp:effectExtent l="0" t="0" r="0" b="7620"/>
                            <wp:docPr id="86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Az 1305/2013/EU rendelet 15. cikke hét olyan elemet ír elő, amely a </w:t>
                      </w:r>
                      <w:r>
                        <w:rPr>
                          <w:b/>
                          <w:color w:val="BE4A35"/>
                          <w:sz w:val="18"/>
                        </w:rPr>
                        <w:t>tanácsadási szolgáltatások</w:t>
                      </w:r>
                      <w:r>
                        <w:rPr>
                          <w:sz w:val="18"/>
                          <w:vertAlign w:val="superscript"/>
                        </w:rPr>
                        <w:t>45</w:t>
                      </w:r>
                      <w:r>
                        <w:rPr>
                          <w:sz w:val="18"/>
                        </w:rPr>
                        <w:t xml:space="preserve"> keretében kezelendő. Ezek közül csak egy (a (4) bekezdés c) pontja) említi kifejezetten az innovációt. Nincs arra vonatkozó követelmény, illetve bizonyosság, hogy másfajta tanácsadás (például a (4) bekezdés g) pontja: szaktanácsadás olyan mezőgazdasági termelők számára, akik első alkalommal kezdenek gazdálkodásba mezőgazdasági üzemben) előmozdítja az innovációt. Ezért egy-egy konkrét VFP-n belüli intézkedéstervezet elemzéséből kiderülhet, hogy az intézkedés (vagy alintézkedés, ha alkalmaznak ilyet) esetleg releváns lehet-e az innováció előmozdítása szempontjából.</w:t>
                      </w:r>
                    </w:p>
                  </w:txbxContent>
                </v:textbox>
                <w10:wrap type="square"/>
              </v:shape>
            </w:pict>
          </mc:Fallback>
        </mc:AlternateContent>
      </w:r>
      <w:r>
        <w:rPr>
          <w:b/>
          <w:szCs w:val="20"/>
        </w:rPr>
        <w:t>A vizsgálatnak arra kell összpontosítania, hogy a kiemelt területen az egyedi intézkedések és az intézkedéscsoportok egyaránt képesek-e</w:t>
      </w:r>
      <w:r>
        <w:t xml:space="preserve"> előmozdítani az innovációt (például képesek-e hozzájárulni az </w:t>
      </w:r>
      <w:hyperlink w:anchor="Innovation_RD" w:history="1">
        <w:r>
          <w:rPr>
            <w:rStyle w:val="Hyperlink"/>
            <w:sz w:val="20"/>
            <w:szCs w:val="20"/>
          </w:rPr>
          <w:t>1.1. fejezetben</w:t>
        </w:r>
      </w:hyperlink>
      <w:r>
        <w:t xml:space="preserve"> kifejtett három innovációs irányvonalhoz)</w:t>
      </w:r>
      <w:r>
        <w:rPr>
          <w:rStyle w:val="FootnoteReference"/>
          <w:rFonts w:eastAsia="Times New Roman" w:cs="Times New Roman"/>
          <w:color w:val="FFFFFF" w:themeColor="background1"/>
          <w:szCs w:val="20"/>
          <w:lang w:eastAsia="de-DE"/>
        </w:rPr>
        <w:footnoteReference w:id="45"/>
      </w:r>
      <w:r>
        <w:t>. Ehhez hasonlóan a</w:t>
      </w:r>
      <w:r>
        <w:rPr>
          <w:b/>
          <w:szCs w:val="20"/>
        </w:rPr>
        <w:t xml:space="preserve"> nemzeti vidékfejlesztési hálózat innováció előmozdításával kapcsolatos potenciálja</w:t>
      </w:r>
      <w:r>
        <w:t xml:space="preserve"> is meghatározható a nemzeti vidékfejlesztési hálózat tevékenységeinek vizsgálatával (lásd a </w:t>
      </w:r>
      <w:hyperlink w:anchor="CEQ_NRN" w:history="1">
        <w:r>
          <w:rPr>
            <w:rStyle w:val="Hyperlink"/>
            <w:sz w:val="20"/>
            <w:szCs w:val="20"/>
          </w:rPr>
          <w:t>2.4.3. szakaszt</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Összegzésképpen: az innovációs potenciál vizsgálatának legalább az alábbi közös értékelési kérdésekhez kapcsolódó intézkedésekre kell irányulnia: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Az 1. sz. közös értékelési kérdés az M1, M2, illetve az M16 intézkedéshez (az 1305/2013/EU rendelet 14., 15., illetve 35. cikkéhez) kapcsolódik. A vizsgálat ezen intézkedések innovációs potenciáljára összpontosít, és segítséget nyújt a közös értékelési kérdés innovációval kapcsolatos részének megválaszolásához.</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A 2. sz. közös értékelési kérdés az M16 intézkedéshez (együttműködés) kapcsolódik. Az M16 intézkedés alintézkedéseinek vizsgálata elsősorban arra irányul, hogy hozzájárulhatnak-e a három irányvonalhoz. Az eredmények segítséget nyújtanak a közös értékelési kérdés innovációval kapcsolatos részének megválaszolásához.</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A 21. sz. közös értékelési kérdés a nemzeti vidékfejlesztési hálózat négy célkitűzésére vonatkozik. A nemzeti vidékfejlesztési hálózat innovációs potenciáljának a vizsgálata a nemzeti vidékfejlesztési hálózat azon tevékenységeire összpontosít, amelyek hozzájárulnak a nemzeti vidékfejlesztési hálózat következő közös célkitűzéséhez: „az innováció előmozdítása a mezőgazdaságban, az élelmiszer-termelésben, az erdőgazdálkodásban és a vidéki térségekben”. Ez a vizsgálat segítséget nyújt a közös értékelési kérdés innovációval kapcsolatos részének megválaszolásához.</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A 23. sz. közös értékelési kérdést annak értékelésével együtt kell megválaszolni, hogy a VFP hozzájárul-e ahhoz a kiemelt célhoz, hogy a K+F/innováció elérje az EU GDP-jének 3%-át (a köz- és a magánberuházások együttes aránya)</w:t>
      </w:r>
      <w:r>
        <w:rPr>
          <w:rFonts w:eastAsia="Times New Roman" w:cs="Times New Roman"/>
          <w:szCs w:val="20"/>
          <w:vertAlign w:val="superscript"/>
          <w:lang w:eastAsia="de-DE"/>
        </w:rPr>
        <w:footnoteReference w:id="46"/>
      </w:r>
      <w:r>
        <w:t xml:space="preserve"> az e célhoz kapcsolódó mutatók használatakor. A VFP összes intézkedésének az innovációs potenciál szempontjából történő vizsgálata a következőkhöz fontos: a) az innovációt előmozdító intézkedések meghatározása és b) az ezen intézkedésekhez kapcsolódó kiadások figyelembevétele a 23. sz. közös értékelési kérdés megválaszolásához használt mutatók kiszámítása során.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lastRenderedPageBreak/>
        <w:t xml:space="preserve">A 30. sz. közös értékelési kérdés az innovációra vonatkozó átfogó célkitűzéshez kapcsolódik. Ebben az esetben az egyes kiemelt területek szerinti összes intézkedést/alintézkedést és azok kombinációját meg kell vizsgálni azon intézkedések/alintézkedések meghatározása érdekében, amelyek a három irányvonal segítségével előmozdíthatják az innovációt. Ennek az elemzésnek a segítségével az értékelő könnyebben szerkeszt esettanulmány-értékelést a 30. sz. közös értékelési kérdésben alkalmazni javasolt változáselmélet alapján.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Milyen eredmény jön létre? </w:t>
      </w:r>
    </w:p>
    <w:p w:rsidR="00A45935" w:rsidRDefault="00A45935" w:rsidP="00E05D08">
      <w:pPr>
        <w:spacing w:after="120" w:line="280" w:lineRule="atLeast"/>
        <w:mirrorIndents/>
        <w:rPr>
          <w:rFonts w:eastAsia="Times New Roman" w:cs="Times New Roman"/>
          <w:szCs w:val="20"/>
        </w:rPr>
      </w:pPr>
      <w:r>
        <w:rPr>
          <w:b/>
          <w:szCs w:val="20"/>
        </w:rPr>
        <w:t>A vizsgálat segít a VFP innovációval kapcsolatos beavatkozási logikájának konkrétabbá tételében.</w:t>
      </w:r>
      <w:r>
        <w:t xml:space="preserve"> A vizsgálat feltárja a VFP azon intézkedéseit, amelyek a leginkább előmozdíthatják az innovációt, valamint azt is egyértelművé teszi, hogy az intézkedések mely területekre (irányvonalakra) vonatkoznak. A hatások későbbi értékelése során e vizsgálat eredményeit is figyelembe kell venni a VFP innováció előmozdításával kapcsolatos potenciáljának és a VFP ténylegesen elért eredményeinek az összehasonlításához. Ez segít abban, hogy az értékelő munkája azokra az intézkedésekre és alintézkedésekre összpontosítson, amelyek különösen relevánsnak minősülnek az innováció előmozdítása szempontjából.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A45935" w:rsidP="009F5AB5">
      <w:pPr>
        <w:pStyle w:val="HStandard"/>
      </w:pPr>
    </w:p>
    <w:p w:rsidR="00A45935" w:rsidRPr="00E05D08" w:rsidRDefault="000E3DBA" w:rsidP="009F5AB5">
      <w:pPr>
        <w:pStyle w:val="HStandard"/>
      </w:pPr>
      <w:r>
        <w:rPr>
          <w:b/>
          <w:noProof/>
          <w:lang w:val="en-GB" w:eastAsia="en-GB"/>
        </w:rPr>
        <mc:AlternateContent>
          <mc:Choice Requires="wps">
            <w:drawing>
              <wp:anchor distT="0" distB="0" distL="114300" distR="114300" simplePos="0" relativeHeight="251659264" behindDoc="0" locked="0" layoutInCell="1" allowOverlap="1" wp14:anchorId="295070B9" wp14:editId="0E012441">
                <wp:simplePos x="0" y="0"/>
                <wp:positionH relativeFrom="page">
                  <wp:posOffset>1704975</wp:posOffset>
                </wp:positionH>
                <wp:positionV relativeFrom="page">
                  <wp:posOffset>3895725</wp:posOffset>
                </wp:positionV>
                <wp:extent cx="4153535" cy="2867025"/>
                <wp:effectExtent l="0" t="0" r="18415" b="28575"/>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867025"/>
                        </a:xfrm>
                        <a:prstGeom prst="round2DiagRect">
                          <a:avLst>
                            <a:gd name="adj1" fmla="val 9754"/>
                            <a:gd name="adj2" fmla="val 0"/>
                          </a:avLst>
                        </a:prstGeom>
                        <a:noFill/>
                        <a:ln w="25400" cap="flat" cmpd="sng" algn="ctr">
                          <a:solidFill>
                            <a:srgbClr val="8BAB80"/>
                          </a:solidFill>
                          <a:prstDash val="solid"/>
                        </a:ln>
                        <a:effectLst/>
                      </wps:spPr>
                      <wps:txbx>
                        <w:txbxContent>
                          <w:p w:rsidR="005139CB" w:rsidRPr="00275EE5" w:rsidRDefault="005139CB"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25"/>
                              <w:gridCol w:w="3045"/>
                            </w:tblGrid>
                            <w:tr w:rsidR="005139CB" w:rsidRPr="0079762F" w:rsidTr="00E05D08">
                              <w:tc>
                                <w:tcPr>
                                  <w:tcW w:w="3402" w:type="dxa"/>
                                  <w:shd w:val="clear" w:color="auto" w:fill="FFFFFF"/>
                                </w:tcPr>
                                <w:p w:rsidR="005139CB" w:rsidRPr="00B63DE8" w:rsidRDefault="005139CB" w:rsidP="007A450E">
                                  <w:pPr>
                                    <w:suppressOverlap/>
                                    <w:jc w:val="left"/>
                                    <w:rPr>
                                      <w:rFonts w:cs="Arial"/>
                                      <w:b/>
                                      <w:color w:val="404040"/>
                                      <w:szCs w:val="18"/>
                                    </w:rPr>
                                  </w:pPr>
                                  <w:r>
                                    <w:rPr>
                                      <w:b/>
                                      <w:color w:val="404040"/>
                                      <w:szCs w:val="18"/>
                                    </w:rPr>
                                    <w:t>Teendők</w:t>
                                  </w:r>
                                </w:p>
                                <w:p w:rsidR="005139CB" w:rsidRPr="00B63DE8" w:rsidRDefault="005139CB" w:rsidP="007A450E">
                                  <w:pPr>
                                    <w:pStyle w:val="Hlistbullet"/>
                                    <w:spacing w:line="160" w:lineRule="atLeast"/>
                                    <w:jc w:val="left"/>
                                    <w:rPr>
                                      <w:sz w:val="18"/>
                                      <w:szCs w:val="18"/>
                                    </w:rPr>
                                  </w:pPr>
                                  <w:r>
                                    <w:rPr>
                                      <w:sz w:val="18"/>
                                      <w:szCs w:val="18"/>
                                    </w:rPr>
                                    <w:t xml:space="preserve">Értékelje az intézkedéstervezetet (az igényekkel, a célkitűzésekkel, a kiválasztási kritériumokkal, a kedvezményezettekkel való kapcsolat) abból a szempontból, hogy előmozdíthatja-e az innovációt, valamint az intenzitása szempontjából. </w:t>
                                  </w:r>
                                </w:p>
                                <w:p w:rsidR="005139CB" w:rsidRPr="00B63DE8" w:rsidRDefault="005139CB" w:rsidP="007A450E">
                                  <w:pPr>
                                    <w:pStyle w:val="Hlistbullet"/>
                                    <w:spacing w:line="160" w:lineRule="atLeast"/>
                                    <w:jc w:val="left"/>
                                  </w:pPr>
                                  <w:r>
                                    <w:rPr>
                                      <w:sz w:val="18"/>
                                      <w:szCs w:val="18"/>
                                    </w:rPr>
                                    <w:t>Ismerje fel a VFP innovációval kapcsolatos mögöttes beavatkozási logikáját.</w:t>
                                  </w:r>
                                  <w:r>
                                    <w:t xml:space="preserve"> </w:t>
                                  </w:r>
                                </w:p>
                              </w:tc>
                              <w:tc>
                                <w:tcPr>
                                  <w:tcW w:w="3402" w:type="dxa"/>
                                  <w:shd w:val="clear" w:color="auto" w:fill="auto"/>
                                </w:tcPr>
                                <w:p w:rsidR="005139CB" w:rsidRPr="00B63DE8" w:rsidRDefault="005139CB" w:rsidP="007A450E">
                                  <w:pPr>
                                    <w:suppressOverlap/>
                                    <w:jc w:val="left"/>
                                    <w:rPr>
                                      <w:rFonts w:cs="Arial"/>
                                      <w:b/>
                                      <w:color w:val="404040"/>
                                      <w:szCs w:val="18"/>
                                    </w:rPr>
                                  </w:pPr>
                                  <w:r>
                                    <w:rPr>
                                      <w:b/>
                                      <w:color w:val="404040"/>
                                      <w:szCs w:val="18"/>
                                    </w:rPr>
                                    <w:t>Kerülendő tevékenységek</w:t>
                                  </w:r>
                                </w:p>
                                <w:p w:rsidR="005139CB" w:rsidRPr="00B63DE8" w:rsidRDefault="005139CB" w:rsidP="007A450E">
                                  <w:pPr>
                                    <w:pStyle w:val="Hlistbullet"/>
                                    <w:spacing w:line="160" w:lineRule="atLeast"/>
                                    <w:jc w:val="left"/>
                                    <w:rPr>
                                      <w:sz w:val="18"/>
                                      <w:szCs w:val="18"/>
                                    </w:rPr>
                                  </w:pPr>
                                  <w:r>
                                    <w:rPr>
                                      <w:sz w:val="18"/>
                                      <w:szCs w:val="18"/>
                                    </w:rPr>
                                    <w:t xml:space="preserve">A VFP innovációs potenciáljára irányuló vizsgálatot kizárólag arra korlátozza, hogy az „innovatív” szó szerepel-e a kiválasztási kritériumokban és az intézkedésekben. </w:t>
                                  </w:r>
                                </w:p>
                                <w:p w:rsidR="005139CB" w:rsidRPr="00B63DE8" w:rsidRDefault="005139CB" w:rsidP="007A450E">
                                  <w:pPr>
                                    <w:suppressOverlap/>
                                    <w:jc w:val="left"/>
                                    <w:rPr>
                                      <w:rFonts w:cs="Arial"/>
                                      <w:color w:val="1A1A1A"/>
                                      <w:szCs w:val="18"/>
                                    </w:rPr>
                                  </w:pPr>
                                </w:p>
                              </w:tc>
                            </w:tr>
                          </w:tbl>
                          <w:p w:rsidR="005139CB" w:rsidRPr="00275EE5" w:rsidRDefault="005139CB"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70B9" id="Rectangle: Diagonal Corners Rounded 67" o:spid="_x0000_s1038" style="position:absolute;left:0;text-align:left;margin-left:134.25pt;margin-top:306.75pt;width:327.05pt;height:22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86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" adj="-11796480,,5400" path="m279650,l4153535,r,l4153535,2587375v,154446,-125204,279650,-279650,279650l,2867025r,l,279650c,125204,125204,,279650,xe" filled="f" strokecolor="#8bab80" strokeweight="2pt">
                <v:stroke joinstyle="miter"/>
                <v:formulas/>
                <v:path arrowok="t" o:connecttype="custom" o:connectlocs="279650,0;4153535,0;4153535,0;4153535,2587375;3873885,2867025;0,2867025;0,2867025;0,279650;279650,0" o:connectangles="0,0,0,0,0,0,0,0,0" textboxrect="0,0,4153535,2867025"/>
                <v:textbox>
                  <w:txbxContent>
                    <w:p w:rsidR="005139CB" w:rsidRPr="00275EE5" w:rsidRDefault="005139CB"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25"/>
                        <w:gridCol w:w="3045"/>
                      </w:tblGrid>
                      <w:tr w:rsidR="005139CB" w:rsidRPr="0079762F" w:rsidTr="00E05D08">
                        <w:tc>
                          <w:tcPr>
                            <w:tcW w:w="3402" w:type="dxa"/>
                            <w:shd w:val="clear" w:color="auto" w:fill="FFFFFF"/>
                          </w:tcPr>
                          <w:p w:rsidR="005139CB" w:rsidRPr="00B63DE8" w:rsidRDefault="005139CB" w:rsidP="007A450E">
                            <w:pPr>
                              <w:suppressOverlap/>
                              <w:jc w:val="left"/>
                              <w:rPr>
                                <w:rFonts w:cs="Arial"/>
                                <w:b/>
                                <w:color w:val="404040"/>
                                <w:szCs w:val="18"/>
                              </w:rPr>
                            </w:pPr>
                            <w:r>
                              <w:rPr>
                                <w:b/>
                                <w:color w:val="404040"/>
                                <w:szCs w:val="18"/>
                              </w:rPr>
                              <w:t>Teendők</w:t>
                            </w:r>
                          </w:p>
                          <w:p w:rsidR="005139CB" w:rsidRPr="00B63DE8" w:rsidRDefault="005139CB" w:rsidP="007A450E">
                            <w:pPr>
                              <w:pStyle w:val="Hlistbullet"/>
                              <w:spacing w:line="160" w:lineRule="atLeast"/>
                              <w:jc w:val="left"/>
                              <w:rPr>
                                <w:sz w:val="18"/>
                                <w:szCs w:val="18"/>
                              </w:rPr>
                            </w:pPr>
                            <w:r>
                              <w:rPr>
                                <w:sz w:val="18"/>
                                <w:szCs w:val="18"/>
                              </w:rPr>
                              <w:t xml:space="preserve">Értékelje az intézkedéstervezetet (az igényekkel, a célkitűzésekkel, a kiválasztási kritériumokkal, a kedvezményezettekkel való kapcsolat) abból a szempontból, hogy előmozdíthatja-e az innovációt, valamint az intenzitása szempontjából. </w:t>
                            </w:r>
                          </w:p>
                          <w:p w:rsidR="005139CB" w:rsidRPr="00B63DE8" w:rsidRDefault="005139CB" w:rsidP="007A450E">
                            <w:pPr>
                              <w:pStyle w:val="Hlistbullet"/>
                              <w:spacing w:line="160" w:lineRule="atLeast"/>
                              <w:jc w:val="left"/>
                            </w:pPr>
                            <w:r>
                              <w:rPr>
                                <w:sz w:val="18"/>
                                <w:szCs w:val="18"/>
                              </w:rPr>
                              <w:t>Ismerje fel a VFP innovációval kapcsolatos mögöttes beavatkozási logikáját.</w:t>
                            </w:r>
                            <w:r>
                              <w:t xml:space="preserve"> </w:t>
                            </w:r>
                          </w:p>
                        </w:tc>
                        <w:tc>
                          <w:tcPr>
                            <w:tcW w:w="3402" w:type="dxa"/>
                            <w:shd w:val="clear" w:color="auto" w:fill="auto"/>
                          </w:tcPr>
                          <w:p w:rsidR="005139CB" w:rsidRPr="00B63DE8" w:rsidRDefault="005139CB" w:rsidP="007A450E">
                            <w:pPr>
                              <w:suppressOverlap/>
                              <w:jc w:val="left"/>
                              <w:rPr>
                                <w:rFonts w:cs="Arial"/>
                                <w:b/>
                                <w:color w:val="404040"/>
                                <w:szCs w:val="18"/>
                              </w:rPr>
                            </w:pPr>
                            <w:r>
                              <w:rPr>
                                <w:b/>
                                <w:color w:val="404040"/>
                                <w:szCs w:val="18"/>
                              </w:rPr>
                              <w:t>Kerülendő tevékenységek</w:t>
                            </w:r>
                          </w:p>
                          <w:p w:rsidR="005139CB" w:rsidRPr="00B63DE8" w:rsidRDefault="005139CB" w:rsidP="007A450E">
                            <w:pPr>
                              <w:pStyle w:val="Hlistbullet"/>
                              <w:spacing w:line="160" w:lineRule="atLeast"/>
                              <w:jc w:val="left"/>
                              <w:rPr>
                                <w:sz w:val="18"/>
                                <w:szCs w:val="18"/>
                              </w:rPr>
                            </w:pPr>
                            <w:r>
                              <w:rPr>
                                <w:sz w:val="18"/>
                                <w:szCs w:val="18"/>
                              </w:rPr>
                              <w:t xml:space="preserve">A VFP innovációs potenciáljára irányuló vizsgálatot kizárólag arra korlátozza, hogy az „innovatív” szó szerepel-e a kiválasztási kritériumokban és az intézkedésekben. </w:t>
                            </w:r>
                          </w:p>
                          <w:p w:rsidR="005139CB" w:rsidRPr="00B63DE8" w:rsidRDefault="005139CB" w:rsidP="007A450E">
                            <w:pPr>
                              <w:suppressOverlap/>
                              <w:jc w:val="left"/>
                              <w:rPr>
                                <w:rFonts w:cs="Arial"/>
                                <w:color w:val="1A1A1A"/>
                                <w:szCs w:val="18"/>
                              </w:rPr>
                            </w:pPr>
                          </w:p>
                        </w:tc>
                      </w:tr>
                    </w:tbl>
                    <w:p w:rsidR="005139CB" w:rsidRPr="00275EE5" w:rsidRDefault="005139CB" w:rsidP="007A450E">
                      <w:pPr>
                        <w:pStyle w:val="Normal12PTcouleurgris"/>
                      </w:pPr>
                    </w:p>
                  </w:txbxContent>
                </v:textbox>
                <w10:wrap type="square" anchorx="page" anchory="page"/>
              </v:shape>
            </w:pict>
          </mc:Fallback>
        </mc:AlternateContent>
      </w: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6" w:name="_Toc493151903"/>
      <w:bookmarkStart w:id="97" w:name="_Toc501382129"/>
      <w:r>
        <w:br w:type="page"/>
      </w:r>
    </w:p>
    <w:p w:rsidR="00A45935" w:rsidRPr="00FC7364" w:rsidRDefault="00A45935" w:rsidP="00B421B9">
      <w:pPr>
        <w:pStyle w:val="HHeading2"/>
        <w:numPr>
          <w:ilvl w:val="1"/>
          <w:numId w:val="119"/>
        </w:numPr>
        <w:ind w:left="567" w:hanging="567"/>
      </w:pPr>
      <w:bookmarkStart w:id="98" w:name="Complementing"/>
      <w:bookmarkStart w:id="99" w:name="_Toc508982264"/>
      <w:bookmarkEnd w:id="98"/>
      <w:r>
        <w:lastRenderedPageBreak/>
        <w:t>Az innovációhoz kapcsolódó közös értékelési elemek kiegészítése (ajánlott)</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Miért és mikor kell kiegészíteni a közös monitoring- és értékelési rendszert? </w:t>
      </w:r>
    </w:p>
    <w:p w:rsidR="00A45935" w:rsidRPr="00E05D08" w:rsidRDefault="00A45935" w:rsidP="00E05D08">
      <w:pPr>
        <w:spacing w:after="120" w:line="280" w:lineRule="atLeast"/>
        <w:mirrorIndents/>
        <w:rPr>
          <w:rFonts w:eastAsia="Times New Roman" w:cs="Times New Roman"/>
          <w:szCs w:val="20"/>
        </w:rPr>
      </w:pPr>
      <w:r>
        <w:rPr>
          <w:b/>
          <w:szCs w:val="20"/>
        </w:rPr>
        <w:t>A közös monitoring- és értékelési rendszer tartalmazza</w:t>
      </w:r>
      <w:r>
        <w:t xml:space="preserve"> a releváns közös értékelési kérdések – az 1., 2. és 21. sz. kérdés – megválaszolásához szükséges </w:t>
      </w:r>
      <w:r>
        <w:rPr>
          <w:b/>
          <w:szCs w:val="20"/>
        </w:rPr>
        <w:t>alapvető értékelési elemeket</w:t>
      </w:r>
      <w:r>
        <w:t xml:space="preserve"> (lásd az </w:t>
      </w:r>
      <w:hyperlink w:anchor="Policy_framework" w:history="1">
        <w:r>
          <w:rPr>
            <w:rStyle w:val="Hyperlink"/>
            <w:sz w:val="20"/>
            <w:szCs w:val="20"/>
          </w:rPr>
          <w:t>1.2.1. szakaszt</w:t>
        </w:r>
      </w:hyperlink>
      <w:r>
        <w:t>). Ezenfelül a „</w:t>
      </w:r>
      <w:hyperlink r:id="rId32" w:history="1">
        <w:r>
          <w:rPr>
            <w:rStyle w:val="Hyperlink"/>
            <w:sz w:val="20"/>
            <w:szCs w:val="20"/>
          </w:rPr>
          <w:t>Common Evaluation Questions for RDPs 2014-2020</w:t>
        </w:r>
      </w:hyperlink>
      <w:r>
        <w:t>” (A 2014–2020-as időszakra vonatkozó VFP-k közös értékelési kérdései) című munkadokumentum javaslatot tesz az innovációval kapcsolatos összes értékelési kérdés elbírálási kritériumaira, valamint néhány kiegészítő mutatóra. A 23. sz. közös értékelési kérdés például az Európa 2020 stratégia kiemelt céljához kapcsolódik, amely alapul szolgálhat e kérdés megválaszolásához. A 30. sz. közös értékelési kérdés az egyetlen olyan kérdés, amelyhez kiegészítő mutatók tartoznak</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A közös értékelési elemeket az értékelés megkezdése előtt felül kell vizsgálni</w:t>
      </w:r>
      <w:r>
        <w:t xml:space="preserve">, és szükség esetén ki kell egészíteni. E vizsgálat során figyelembe lehet venni annak a vizsgálatnak a megállapításait, amely arra irányult, hogy a VFP innovációs potenciálja előmozdítja-e az innovációt (lásd a </w:t>
      </w:r>
      <w:hyperlink w:anchor="Screening_Potential" w:history="1">
        <w:r>
          <w:rPr>
            <w:rStyle w:val="Hyperlink"/>
            <w:sz w:val="20"/>
            <w:szCs w:val="20"/>
          </w:rPr>
          <w:t>2.2. fejezetet</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Melyek a kiegészítő és a programspecifikus értékelési elemek kidolgozásának lépései?</w:t>
      </w:r>
    </w:p>
    <w:p w:rsidR="00A45935" w:rsidRPr="00E05D08" w:rsidRDefault="00A45935" w:rsidP="00E05D08">
      <w:pPr>
        <w:spacing w:after="120" w:line="280" w:lineRule="atLeast"/>
        <w:mirrorIndents/>
        <w:rPr>
          <w:rFonts w:eastAsia="Calibri" w:cs="Times New Roman"/>
          <w:szCs w:val="20"/>
        </w:rPr>
      </w:pPr>
      <w:r>
        <w:t xml:space="preserve">Az kiegészítő értékelési elemek kidolgozása (amelyet részletesen az </w:t>
      </w:r>
      <w:hyperlink r:id="rId33" w:history="1">
        <w:r>
          <w:rPr>
            <w:rStyle w:val="Hyperlink"/>
            <w:sz w:val="20"/>
            <w:szCs w:val="20"/>
          </w:rPr>
          <w:t>„Assessment of RDP results: how to prepare for reporting on evaluation in 2017”</w:t>
        </w:r>
      </w:hyperlink>
      <w:r>
        <w:t xml:space="preserve">) (A VFP eredményeinek értékelése: felkészülés a 2017. évi értékelésre vonatkozó jelentéstételre) című iránymutatás ismertet) a következőképpen foglalható össze: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4144" behindDoc="0" locked="0" layoutInCell="1" allowOverlap="1" wp14:anchorId="08D04920" wp14:editId="278009ED">
                <wp:simplePos x="0" y="0"/>
                <wp:positionH relativeFrom="column">
                  <wp:posOffset>2828925</wp:posOffset>
                </wp:positionH>
                <wp:positionV relativeFrom="paragraph">
                  <wp:posOffset>72390</wp:posOffset>
                </wp:positionV>
                <wp:extent cx="2832735" cy="2162175"/>
                <wp:effectExtent l="0" t="0" r="247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162175"/>
                        </a:xfrm>
                        <a:prstGeom prst="round2DiagRect">
                          <a:avLst>
                            <a:gd name="adj1" fmla="val 7843"/>
                            <a:gd name="adj2" fmla="val 0"/>
                          </a:avLst>
                        </a:prstGeom>
                        <a:noFill/>
                        <a:ln w="25400" cap="flat" cmpd="sng" algn="ctr">
                          <a:solidFill>
                            <a:srgbClr val="BE4A35"/>
                          </a:solidFill>
                          <a:prstDash val="solid"/>
                        </a:ln>
                        <a:effectLst/>
                      </wps:spPr>
                      <wps:txbx>
                        <w:txbxContent>
                          <w:p w:rsidR="005139CB" w:rsidRPr="00D450FE" w:rsidRDefault="005139CB"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86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Az ezen iránymutatás 2.4. fejezetében javasolt kiegészítő értékelési elemek (kiegészítő értékelési kérdések, kiegészítő elbírálási kritériumok és kiegészítő mutatók) </w:t>
                            </w:r>
                            <w:r>
                              <w:rPr>
                                <w:b/>
                                <w:sz w:val="18"/>
                                <w:szCs w:val="18"/>
                              </w:rPr>
                              <w:t xml:space="preserve">NEM KÖTELEZŐ EREJŰEK! </w:t>
                            </w:r>
                            <w:r>
                              <w:rPr>
                                <w:sz w:val="18"/>
                                <w:szCs w:val="18"/>
                              </w:rPr>
                              <w:t xml:space="preserve">Az egyes irányító hatóságok dönthetnek úgy, hogy saját kiegészítő és programspecifickus értékelési elemeket dolgoznak ki, és azokat használják.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2.75pt;margin-top:5.7pt;width:223.05pt;height:17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16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" adj="-11796480,,5400" path="m169579,l2832735,r,l2832735,1992596v,93656,-75923,169579,-169579,169579l,2162175r,l,169579c,75923,75923,,169579,xe" filled="f" strokecolor="#be4a35" strokeweight="2pt">
                <v:stroke joinstyle="miter"/>
                <v:formulas/>
                <v:path arrowok="t" o:connecttype="custom" o:connectlocs="169579,0;2832735,0;2832735,0;2832735,1992596;2663156,2162175;0,2162175;0,2162175;0,169579;169579,0" o:connectangles="0,0,0,0,0,0,0,0,0" textboxrect="0,0,2832735,2162175"/>
                <v:textbox>
                  <w:txbxContent>
                    <w:p w:rsidR="005139CB" w:rsidRPr="00D450FE" w:rsidRDefault="005139CB"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86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Az ezen iránymutatás 2.4. fejezetében javasolt kiegészítő értékelési elemek (kiegészítő értékelési kérdések, kiegészítő elbírálási kritériumok és kiegészítő mutatók) </w:t>
                      </w:r>
                      <w:r>
                        <w:rPr>
                          <w:b/>
                          <w:sz w:val="18"/>
                          <w:szCs w:val="18"/>
                        </w:rPr>
                        <w:t xml:space="preserve">NEM KÖTELEZŐ EREJŰEK! </w:t>
                      </w:r>
                      <w:r>
                        <w:rPr>
                          <w:sz w:val="18"/>
                          <w:szCs w:val="18"/>
                        </w:rPr>
                        <w:t xml:space="preserve">Az egyes irányító hatóságok dönthetnek úgy, hogy saját kiegészítő és programspecifickus értékelési elemeket dolgoznak ki, és azokat használják. </w:t>
                      </w:r>
                    </w:p>
                  </w:txbxContent>
                </v:textbox>
                <w10:wrap type="square"/>
              </v:shape>
            </w:pict>
          </mc:Fallback>
        </mc:AlternateContent>
      </w:r>
      <w:r>
        <w:t xml:space="preserve">vizsgálja meg újra a VFP mögöttes beavatkozási logikáját az innováció szempontjából (lásd a </w:t>
      </w:r>
      <w:hyperlink w:anchor="Screening_Potential" w:history="1">
        <w:r>
          <w:rPr>
            <w:rStyle w:val="Hyperlink"/>
            <w:sz w:val="20"/>
          </w:rPr>
          <w:t>2.2. fejezetet</w:t>
        </w:r>
      </w:hyperlink>
      <w:r>
        <w:t>);</w:t>
      </w:r>
    </w:p>
    <w:p w:rsidR="00A45935" w:rsidRPr="00B10B3C" w:rsidRDefault="00A45935" w:rsidP="00B421B9">
      <w:pPr>
        <w:pStyle w:val="Hlistbullet"/>
        <w:rPr>
          <w:rFonts w:eastAsia="Calibri"/>
        </w:rPr>
      </w:pPr>
      <w:r>
        <w:t xml:space="preserve">vizsgálja felül az innovációval kapcsolatos közös értékelési kérdéseket, elbírálási kritériumokat és mutatókat, és ellenőrizze, hogy elegendőek-e az innovációval kapcsolatos közös értékelési kérdések megválaszolásához; </w:t>
      </w:r>
    </w:p>
    <w:p w:rsidR="00576A73" w:rsidRPr="00576A73" w:rsidRDefault="00A45935" w:rsidP="00B421B9">
      <w:pPr>
        <w:pStyle w:val="Hlistbullet"/>
        <w:rPr>
          <w:rFonts w:eastAsia="Calibri"/>
        </w:rPr>
      </w:pPr>
      <w:r>
        <w:t>egészítse ki a közös monitoring- és értékelési rendszert az innovációval kapcsolatos kiegészítő értékelési elemekkel, amennyiben a közös elemek nem elegendőek az innovációval kapcsolatos közös értékelési kérdések megválaszolásához;</w:t>
      </w:r>
    </w:p>
    <w:p w:rsidR="00576A73" w:rsidRPr="00576A73" w:rsidRDefault="00A45935" w:rsidP="00B421B9">
      <w:pPr>
        <w:pStyle w:val="Hlistbullet"/>
        <w:rPr>
          <w:rFonts w:eastAsia="Calibri"/>
        </w:rPr>
      </w:pPr>
      <w:r>
        <w:t>dolgozzon ki programspecifikus értékelési elemeket az innováció értékeléséhez a programspecifikus kiemelt területekhez és az irányító hatóság konkrét érdekköréhez kapcsolódóan.</w:t>
      </w:r>
      <w:r>
        <w:rPr>
          <w:highlight w:val="yellow"/>
        </w:rPr>
        <w:t xml:space="preserve"> </w:t>
      </w:r>
    </w:p>
    <w:p w:rsidR="000A43B7" w:rsidRDefault="000A43B7" w:rsidP="000A43B7">
      <w:pPr>
        <w:rPr>
          <w:noProof/>
          <w:szCs w:val="20"/>
          <w:highlight w:val="yellow"/>
        </w:rPr>
      </w:pPr>
      <w:r>
        <w:rPr>
          <w:rFonts w:cs="Arial"/>
          <w:b/>
          <w:noProof/>
          <w:color w:val="F07E31"/>
          <w:szCs w:val="20"/>
          <w:lang w:val="en-GB" w:eastAsia="en-GB"/>
        </w:rPr>
        <w:lastRenderedPageBreak/>
        <mc:AlternateContent>
          <mc:Choice Requires="wps">
            <w:drawing>
              <wp:anchor distT="0" distB="0" distL="114300" distR="114300" simplePos="0" relativeHeight="251657216" behindDoc="0" locked="0" layoutInCell="1" allowOverlap="1" wp14:anchorId="447C667D" wp14:editId="1C4B5F1E">
                <wp:simplePos x="0" y="0"/>
                <wp:positionH relativeFrom="column">
                  <wp:posOffset>752475</wp:posOffset>
                </wp:positionH>
                <wp:positionV relativeFrom="paragraph">
                  <wp:posOffset>66675</wp:posOffset>
                </wp:positionV>
                <wp:extent cx="4154170" cy="3200400"/>
                <wp:effectExtent l="0" t="0" r="1778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3200400"/>
                        </a:xfrm>
                        <a:prstGeom prst="round2DiagRect">
                          <a:avLst>
                            <a:gd name="adj1" fmla="val 7630"/>
                            <a:gd name="adj2" fmla="val 0"/>
                          </a:avLst>
                        </a:prstGeom>
                        <a:noFill/>
                        <a:ln w="25400" cap="flat" cmpd="sng" algn="ctr">
                          <a:solidFill>
                            <a:srgbClr val="8BAB80"/>
                          </a:solidFill>
                          <a:prstDash val="solid"/>
                        </a:ln>
                        <a:effectLst/>
                      </wps:spPr>
                      <wps:txbx>
                        <w:txbxContent>
                          <w:p w:rsidR="005139CB" w:rsidRPr="00275EE5" w:rsidRDefault="005139CB"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139CB" w:rsidRPr="0079762F" w:rsidTr="00E05D08">
                              <w:tc>
                                <w:tcPr>
                                  <w:tcW w:w="2991" w:type="dxa"/>
                                  <w:shd w:val="clear" w:color="auto" w:fill="FFFFFF"/>
                                </w:tcPr>
                                <w:p w:rsidR="005139CB" w:rsidRPr="00654F10" w:rsidRDefault="005139CB" w:rsidP="001744D0">
                                  <w:pPr>
                                    <w:pStyle w:val="Normal12PTcouleurgris"/>
                                    <w:rPr>
                                      <w:b/>
                                      <w:color w:val="404040"/>
                                      <w:sz w:val="18"/>
                                    </w:rPr>
                                  </w:pPr>
                                  <w:r>
                                    <w:rPr>
                                      <w:b/>
                                      <w:color w:val="404040"/>
                                      <w:sz w:val="18"/>
                                    </w:rPr>
                                    <w:t>Teendők</w:t>
                                  </w:r>
                                </w:p>
                                <w:p w:rsidR="005139CB" w:rsidRPr="00654F10" w:rsidRDefault="005139CB" w:rsidP="007A450E">
                                  <w:pPr>
                                    <w:pStyle w:val="Hlistbullet"/>
                                    <w:spacing w:line="160" w:lineRule="atLeast"/>
                                    <w:jc w:val="left"/>
                                    <w:rPr>
                                      <w:sz w:val="18"/>
                                      <w:szCs w:val="18"/>
                                    </w:rPr>
                                  </w:pPr>
                                  <w:r>
                                    <w:rPr>
                                      <w:sz w:val="18"/>
                                      <w:szCs w:val="18"/>
                                    </w:rPr>
                                    <w:t>Vizsgálja meg a közös monitoring- és értékelési rendszer elbírálási kritériumait és mutatóit az arról való meggyőződés érdekében, hogy azok kielégítő választ adhatnak-e a közös értékelési kérdésekre.</w:t>
                                  </w:r>
                                </w:p>
                                <w:p w:rsidR="005139CB" w:rsidRPr="00654F10" w:rsidRDefault="005139CB" w:rsidP="007A450E">
                                  <w:pPr>
                                    <w:pStyle w:val="Hlistbullet"/>
                                    <w:spacing w:line="160" w:lineRule="atLeast"/>
                                    <w:jc w:val="left"/>
                                    <w:rPr>
                                      <w:sz w:val="18"/>
                                      <w:szCs w:val="18"/>
                                    </w:rPr>
                                  </w:pPr>
                                  <w:r>
                                    <w:rPr>
                                      <w:sz w:val="18"/>
                                      <w:szCs w:val="18"/>
                                    </w:rPr>
                                    <w:t>Dolgozzon ki kiegészítő elbírálási kritériumokat és mutatókat, ha a közös elbírálási kritériumok és mutatók nem elegendőek a közös értékelési kérdések megválaszolásához szükséges bizonyítékok összegyűjtéséhez.</w:t>
                                  </w:r>
                                </w:p>
                              </w:tc>
                              <w:tc>
                                <w:tcPr>
                                  <w:tcW w:w="2960" w:type="dxa"/>
                                  <w:shd w:val="clear" w:color="auto" w:fill="auto"/>
                                </w:tcPr>
                                <w:p w:rsidR="005139CB" w:rsidRPr="00654F10" w:rsidRDefault="005139CB" w:rsidP="001744D0">
                                  <w:pPr>
                                    <w:pStyle w:val="Normal12PTcouleurgris"/>
                                    <w:rPr>
                                      <w:b/>
                                      <w:color w:val="404040"/>
                                      <w:sz w:val="18"/>
                                    </w:rPr>
                                  </w:pPr>
                                  <w:r>
                                    <w:rPr>
                                      <w:b/>
                                      <w:color w:val="404040"/>
                                      <w:sz w:val="18"/>
                                    </w:rPr>
                                    <w:t>Kerülendő tevékenységek</w:t>
                                  </w:r>
                                </w:p>
                                <w:p w:rsidR="005139CB" w:rsidRPr="00654F10" w:rsidRDefault="005139CB" w:rsidP="007A450E">
                                  <w:pPr>
                                    <w:pStyle w:val="Hlistbullet"/>
                                    <w:spacing w:line="160" w:lineRule="atLeast"/>
                                    <w:jc w:val="left"/>
                                    <w:rPr>
                                      <w:sz w:val="18"/>
                                      <w:szCs w:val="18"/>
                                    </w:rPr>
                                  </w:pPr>
                                  <w:r>
                                    <w:rPr>
                                      <w:sz w:val="18"/>
                                      <w:szCs w:val="18"/>
                                    </w:rPr>
                                    <w:t>Csak a közös értékelési kérdések megválaszolásához használjon kimeneti mutatókat (amelyek nem tudják teljes körűen megmutatni, hogy a szakpolitika elérte-e a célját).</w:t>
                                  </w:r>
                                </w:p>
                                <w:p w:rsidR="005139CB" w:rsidRPr="00654F10" w:rsidRDefault="005139CB" w:rsidP="001744D0">
                                  <w:pPr>
                                    <w:pStyle w:val="Normal12PTcouleurgris"/>
                                    <w:rPr>
                                      <w:color w:val="1A1A1A"/>
                                      <w:sz w:val="18"/>
                                    </w:rPr>
                                  </w:pPr>
                                </w:p>
                              </w:tc>
                            </w:tr>
                          </w:tbl>
                          <w:p w:rsidR="005139CB" w:rsidRPr="00275EE5" w:rsidRDefault="005139CB"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9.25pt;margin-top:5.25pt;width:327.1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" adj="-11796480,,5400" path="m244191,l4154170,r,l4154170,2956209v,134863,-109328,244191,-244191,244191l,3200400r,l,244191c,109328,109328,,244191,xe" filled="f" strokecolor="#8bab80" strokeweight="2pt">
                <v:stroke joinstyle="miter"/>
                <v:formulas/>
                <v:path arrowok="t" o:connecttype="custom" o:connectlocs="244191,0;4154170,0;4154170,0;4154170,2956209;3909979,3200400;0,3200400;0,3200400;0,244191;244191,0" o:connectangles="0,0,0,0,0,0,0,0,0" textboxrect="0,0,4154170,3200400"/>
                <v:textbox>
                  <w:txbxContent>
                    <w:p w:rsidR="005139CB" w:rsidRPr="00275EE5" w:rsidRDefault="005139CB"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139CB" w:rsidRPr="0079762F" w:rsidTr="00E05D08">
                        <w:tc>
                          <w:tcPr>
                            <w:tcW w:w="2991" w:type="dxa"/>
                            <w:shd w:val="clear" w:color="auto" w:fill="FFFFFF"/>
                          </w:tcPr>
                          <w:p w:rsidR="005139CB" w:rsidRPr="00654F10" w:rsidRDefault="005139CB" w:rsidP="001744D0">
                            <w:pPr>
                              <w:pStyle w:val="Normal12PTcouleurgris"/>
                              <w:rPr>
                                <w:b/>
                                <w:color w:val="404040"/>
                                <w:sz w:val="18"/>
                              </w:rPr>
                            </w:pPr>
                            <w:r>
                              <w:rPr>
                                <w:b/>
                                <w:color w:val="404040"/>
                                <w:sz w:val="18"/>
                              </w:rPr>
                              <w:t>Teendők</w:t>
                            </w:r>
                          </w:p>
                          <w:p w:rsidR="005139CB" w:rsidRPr="00654F10" w:rsidRDefault="005139CB" w:rsidP="007A450E">
                            <w:pPr>
                              <w:pStyle w:val="Hlistbullet"/>
                              <w:spacing w:line="160" w:lineRule="atLeast"/>
                              <w:jc w:val="left"/>
                              <w:rPr>
                                <w:sz w:val="18"/>
                                <w:szCs w:val="18"/>
                              </w:rPr>
                            </w:pPr>
                            <w:r>
                              <w:rPr>
                                <w:sz w:val="18"/>
                                <w:szCs w:val="18"/>
                              </w:rPr>
                              <w:t>Vizsgálja meg a közös monitoring- és értékelési rendszer elbírálási kritériumait és mutatóit az arról való meggyőződés érdekében, hogy azok kielégítő választ adhatnak-e a közös értékelési kérdésekre.</w:t>
                            </w:r>
                          </w:p>
                          <w:p w:rsidR="005139CB" w:rsidRPr="00654F10" w:rsidRDefault="005139CB" w:rsidP="007A450E">
                            <w:pPr>
                              <w:pStyle w:val="Hlistbullet"/>
                              <w:spacing w:line="160" w:lineRule="atLeast"/>
                              <w:jc w:val="left"/>
                              <w:rPr>
                                <w:sz w:val="18"/>
                                <w:szCs w:val="18"/>
                              </w:rPr>
                            </w:pPr>
                            <w:r>
                              <w:rPr>
                                <w:sz w:val="18"/>
                                <w:szCs w:val="18"/>
                              </w:rPr>
                              <w:t>Dolgozzon ki kiegészítő elbírálási kritériumokat és mutatókat, ha a közös elbírálási kritériumok és mutatók nem elegendőek a közös értékelési kérdések megválaszolásához szükséges bizonyítékok összegyűjtéséhez.</w:t>
                            </w:r>
                          </w:p>
                        </w:tc>
                        <w:tc>
                          <w:tcPr>
                            <w:tcW w:w="2960" w:type="dxa"/>
                            <w:shd w:val="clear" w:color="auto" w:fill="auto"/>
                          </w:tcPr>
                          <w:p w:rsidR="005139CB" w:rsidRPr="00654F10" w:rsidRDefault="005139CB" w:rsidP="001744D0">
                            <w:pPr>
                              <w:pStyle w:val="Normal12PTcouleurgris"/>
                              <w:rPr>
                                <w:b/>
                                <w:color w:val="404040"/>
                                <w:sz w:val="18"/>
                              </w:rPr>
                            </w:pPr>
                            <w:r>
                              <w:rPr>
                                <w:b/>
                                <w:color w:val="404040"/>
                                <w:sz w:val="18"/>
                              </w:rPr>
                              <w:t>Kerülendő tevékenységek</w:t>
                            </w:r>
                          </w:p>
                          <w:p w:rsidR="005139CB" w:rsidRPr="00654F10" w:rsidRDefault="005139CB" w:rsidP="007A450E">
                            <w:pPr>
                              <w:pStyle w:val="Hlistbullet"/>
                              <w:spacing w:line="160" w:lineRule="atLeast"/>
                              <w:jc w:val="left"/>
                              <w:rPr>
                                <w:sz w:val="18"/>
                                <w:szCs w:val="18"/>
                              </w:rPr>
                            </w:pPr>
                            <w:r>
                              <w:rPr>
                                <w:sz w:val="18"/>
                                <w:szCs w:val="18"/>
                              </w:rPr>
                              <w:t>Csak a közös értékelési kérdések megválaszolásához használjon kimeneti mutatókat (amelyek nem tudják teljes körűen megmutatni, hogy a szakpolitika elérte-e a célját).</w:t>
                            </w:r>
                          </w:p>
                          <w:p w:rsidR="005139CB" w:rsidRPr="00654F10" w:rsidRDefault="005139CB" w:rsidP="001744D0">
                            <w:pPr>
                              <w:pStyle w:val="Normal12PTcouleurgris"/>
                              <w:rPr>
                                <w:color w:val="1A1A1A"/>
                                <w:sz w:val="18"/>
                              </w:rPr>
                            </w:pPr>
                          </w:p>
                        </w:tc>
                      </w:tr>
                    </w:tbl>
                    <w:p w:rsidR="005139CB" w:rsidRPr="00275EE5" w:rsidRDefault="005139CB"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982265"/>
      <w:bookmarkEnd w:id="11"/>
      <w:bookmarkEnd w:id="100"/>
      <w:r>
        <w:t>A releváns közös értékelési kérdések megválaszolása (kötelező)</w:t>
      </w:r>
      <w:bookmarkEnd w:id="101"/>
      <w:bookmarkEnd w:id="102"/>
      <w:bookmarkEnd w:id="103"/>
    </w:p>
    <w:p w:rsidR="007A450E" w:rsidRDefault="007A450E" w:rsidP="00725801">
      <w:pPr>
        <w:spacing w:after="120" w:line="280" w:lineRule="atLeast"/>
        <w:mirrorIndents/>
        <w:rPr>
          <w:szCs w:val="20"/>
          <w:shd w:val="clear" w:color="auto" w:fill="FFFFFF"/>
        </w:rPr>
      </w:pPr>
      <w:r>
        <w:rPr>
          <w:szCs w:val="20"/>
          <w:shd w:val="clear" w:color="auto" w:fill="FFFFFF"/>
        </w:rPr>
        <w:t>Noha a közös értékelési kérdések megválaszolása kötelező, ez a fejezet nem kötelező erejű útmutatással szolgál arra vonatkozóan, hogy hogyan kell megválaszolni az innovációval kapcsolatos 1., 2., 21., 23. és 30. sz. közös értékelési kérdést. Ezeket a kérdéseket a 2019-ben benyújtandó, részletesebb éves végrehajtási jelentésben és az utólagos értékelés során kell megválaszolni.</w:t>
      </w:r>
    </w:p>
    <w:p w:rsidR="00A45935" w:rsidRPr="00E05D08" w:rsidRDefault="005166F0"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noProof/>
          <w:color w:val="F07E31"/>
          <w:highlight w:val="yellow"/>
          <w:lang w:val="en-GB" w:eastAsia="en-GB"/>
        </w:rPr>
        <mc:AlternateContent>
          <mc:Choice Requires="wps">
            <w:drawing>
              <wp:anchor distT="0" distB="0" distL="114300" distR="114300" simplePos="0" relativeHeight="251655168" behindDoc="0" locked="0" layoutInCell="1" allowOverlap="1" wp14:anchorId="10C0317B" wp14:editId="3837063D">
                <wp:simplePos x="0" y="0"/>
                <wp:positionH relativeFrom="page">
                  <wp:posOffset>762000</wp:posOffset>
                </wp:positionH>
                <wp:positionV relativeFrom="paragraph">
                  <wp:posOffset>536575</wp:posOffset>
                </wp:positionV>
                <wp:extent cx="5795645" cy="3390900"/>
                <wp:effectExtent l="0" t="0" r="14605" b="1905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390900"/>
                        </a:xfrm>
                        <a:prstGeom prst="round2DiagRect">
                          <a:avLst>
                            <a:gd name="adj1" fmla="val 7843"/>
                            <a:gd name="adj2" fmla="val 0"/>
                          </a:avLst>
                        </a:prstGeom>
                        <a:noFill/>
                        <a:ln w="25400" cap="flat" cmpd="sng" algn="ctr">
                          <a:solidFill>
                            <a:srgbClr val="BE4A35"/>
                          </a:solidFill>
                          <a:prstDash val="solid"/>
                        </a:ln>
                        <a:effectLst/>
                      </wps:spPr>
                      <wps:txbx>
                        <w:txbxContent>
                          <w:p w:rsidR="005139CB" w:rsidRPr="00AC3522" w:rsidRDefault="005139CB" w:rsidP="00E05D08">
                            <w:pPr>
                              <w:pStyle w:val="Normal12PTcouleurgris"/>
                              <w:rPr>
                                <w:shd w:val="clear" w:color="auto" w:fill="FFFFFF"/>
                              </w:rPr>
                            </w:pPr>
                            <w:r>
                              <w:rPr>
                                <w:noProof/>
                                <w:lang w:val="en-GB" w:eastAsia="en-GB"/>
                              </w:rPr>
                              <w:drawing>
                                <wp:inline distT="0" distB="0" distL="0" distR="0" wp14:anchorId="0BCA542B" wp14:editId="6C0BA652">
                                  <wp:extent cx="664845" cy="487680"/>
                                  <wp:effectExtent l="0" t="0" r="0" b="7620"/>
                                  <wp:docPr id="868"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Minden egyes közös értékelési kérdéshez a következő struktúra követendő: </w:t>
                            </w:r>
                          </w:p>
                          <w:p w:rsidR="005139CB" w:rsidRPr="00A92E91" w:rsidRDefault="005139CB" w:rsidP="008C0B17">
                            <w:pPr>
                              <w:pStyle w:val="Normal12PTcouleurgris"/>
                              <w:numPr>
                                <w:ilvl w:val="0"/>
                                <w:numId w:val="78"/>
                              </w:numPr>
                              <w:ind w:left="284" w:hanging="284"/>
                              <w:jc w:val="left"/>
                              <w:rPr>
                                <w:b/>
                                <w:shd w:val="clear" w:color="auto" w:fill="FFFFFF"/>
                              </w:rPr>
                            </w:pPr>
                            <w:r>
                              <w:rPr>
                                <w:b/>
                                <w:shd w:val="clear" w:color="auto" w:fill="FFFFFF"/>
                              </w:rPr>
                              <w:t>A közös értékelési kérdés értelmezése</w:t>
                            </w:r>
                          </w:p>
                          <w:p w:rsidR="005139CB" w:rsidRPr="00A92E91" w:rsidRDefault="005139CB" w:rsidP="008C0B17">
                            <w:pPr>
                              <w:pStyle w:val="Normal12PTcouleurgris"/>
                              <w:numPr>
                                <w:ilvl w:val="0"/>
                                <w:numId w:val="78"/>
                              </w:numPr>
                              <w:ind w:left="284" w:hanging="284"/>
                              <w:jc w:val="left"/>
                              <w:rPr>
                                <w:b/>
                                <w:shd w:val="clear" w:color="auto" w:fill="FFFFFF"/>
                              </w:rPr>
                            </w:pPr>
                            <w:r>
                              <w:rPr>
                                <w:b/>
                                <w:shd w:val="clear" w:color="auto" w:fill="FFFFFF"/>
                              </w:rPr>
                              <w:t xml:space="preserve">Konkrét kihívások </w:t>
                            </w:r>
                          </w:p>
                          <w:p w:rsidR="005139CB" w:rsidRPr="00A92E91" w:rsidRDefault="005139CB" w:rsidP="008C0B17">
                            <w:pPr>
                              <w:pStyle w:val="Normal12PTcouleurgris"/>
                              <w:numPr>
                                <w:ilvl w:val="0"/>
                                <w:numId w:val="78"/>
                              </w:numPr>
                              <w:ind w:left="284" w:hanging="284"/>
                              <w:jc w:val="left"/>
                              <w:rPr>
                                <w:shd w:val="clear" w:color="auto" w:fill="FFFFFF"/>
                              </w:rPr>
                            </w:pPr>
                            <w:r>
                              <w:rPr>
                                <w:b/>
                                <w:shd w:val="clear" w:color="auto" w:fill="FFFFFF"/>
                              </w:rPr>
                              <w:t>A közös értékelési kérdés megválaszolásához javasolt megközelítés</w:t>
                            </w:r>
                            <w:r>
                              <w:rPr>
                                <w:shd w:val="clear" w:color="auto" w:fill="FFFFFF"/>
                              </w:rPr>
                              <w:t xml:space="preserve">: </w:t>
                            </w:r>
                            <w:r>
                              <w:rPr>
                                <w:i/>
                                <w:shd w:val="clear" w:color="auto" w:fill="FFFFFF"/>
                              </w:rPr>
                              <w:t xml:space="preserve">Ez a fejezet lépéseket, módszereket és ötleteket javasol ahhoz, hogy hogyan kell használni a közös és a kiegészítő mutatókat a közös értékelési kérdések megválaszolásához. </w:t>
                            </w:r>
                          </w:p>
                          <w:p w:rsidR="005139CB" w:rsidRPr="00A92E91" w:rsidRDefault="005139CB" w:rsidP="008C0B17">
                            <w:pPr>
                              <w:pStyle w:val="Hlistabc2"/>
                              <w:numPr>
                                <w:ilvl w:val="0"/>
                                <w:numId w:val="54"/>
                              </w:numPr>
                              <w:spacing w:before="120" w:after="120"/>
                              <w:rPr>
                                <w:sz w:val="18"/>
                                <w:szCs w:val="18"/>
                              </w:rPr>
                            </w:pPr>
                            <w:r>
                              <w:rPr>
                                <w:sz w:val="18"/>
                                <w:szCs w:val="18"/>
                              </w:rPr>
                              <w:t xml:space="preserve">Beavatkozási logika </w:t>
                            </w:r>
                          </w:p>
                          <w:p w:rsidR="005139CB" w:rsidRPr="00A92E91" w:rsidRDefault="005139CB" w:rsidP="008C0B17">
                            <w:pPr>
                              <w:pStyle w:val="Hlistabc2"/>
                              <w:numPr>
                                <w:ilvl w:val="0"/>
                                <w:numId w:val="54"/>
                              </w:numPr>
                              <w:spacing w:before="120" w:after="120"/>
                              <w:rPr>
                                <w:sz w:val="18"/>
                                <w:szCs w:val="18"/>
                              </w:rPr>
                            </w:pPr>
                            <w:r>
                              <w:rPr>
                                <w:sz w:val="18"/>
                                <w:szCs w:val="18"/>
                              </w:rPr>
                              <w:t xml:space="preserve">Értékelési elemek </w:t>
                            </w:r>
                          </w:p>
                          <w:p w:rsidR="005139CB" w:rsidRPr="00A92E91" w:rsidRDefault="005139CB" w:rsidP="008C0B17">
                            <w:pPr>
                              <w:pStyle w:val="Hlistabc2"/>
                              <w:numPr>
                                <w:ilvl w:val="0"/>
                                <w:numId w:val="54"/>
                              </w:numPr>
                              <w:spacing w:before="120" w:after="120"/>
                              <w:rPr>
                                <w:sz w:val="18"/>
                                <w:szCs w:val="18"/>
                              </w:rPr>
                            </w:pPr>
                            <w:r>
                              <w:rPr>
                                <w:sz w:val="18"/>
                                <w:szCs w:val="18"/>
                              </w:rPr>
                              <w:t xml:space="preserve">Javasolt értékelési módszertan </w:t>
                            </w:r>
                          </w:p>
                          <w:p w:rsidR="005139CB" w:rsidRPr="00A92E91" w:rsidRDefault="005139CB" w:rsidP="008C0B17">
                            <w:pPr>
                              <w:pStyle w:val="Hlistabc2"/>
                              <w:numPr>
                                <w:ilvl w:val="0"/>
                                <w:numId w:val="54"/>
                              </w:numPr>
                              <w:spacing w:before="120" w:after="120"/>
                              <w:rPr>
                                <w:sz w:val="18"/>
                                <w:szCs w:val="18"/>
                              </w:rPr>
                            </w:pPr>
                            <w:r>
                              <w:rPr>
                                <w:sz w:val="18"/>
                                <w:szCs w:val="18"/>
                              </w:rPr>
                              <w:t xml:space="preserve">Kockázatok és megoldások </w:t>
                            </w:r>
                          </w:p>
                          <w:p w:rsidR="005139CB" w:rsidRPr="00A92E91" w:rsidRDefault="005139CB" w:rsidP="008C0B17">
                            <w:pPr>
                              <w:pStyle w:val="Hlistabc2"/>
                              <w:numPr>
                                <w:ilvl w:val="0"/>
                                <w:numId w:val="54"/>
                              </w:numPr>
                              <w:spacing w:before="120" w:after="120"/>
                              <w:rPr>
                                <w:sz w:val="18"/>
                                <w:szCs w:val="18"/>
                              </w:rPr>
                            </w:pPr>
                            <w:r>
                              <w:rPr>
                                <w:sz w:val="18"/>
                                <w:szCs w:val="18"/>
                              </w:rPr>
                              <w:t>Következtetések és ajánlások</w:t>
                            </w:r>
                          </w:p>
                          <w:p w:rsidR="005139CB" w:rsidRPr="00A92E91" w:rsidRDefault="005139CB" w:rsidP="007372CD">
                            <w:pPr>
                              <w:pStyle w:val="Normal12PTcouleurgris"/>
                              <w:numPr>
                                <w:ilvl w:val="0"/>
                                <w:numId w:val="78"/>
                              </w:numPr>
                              <w:ind w:left="284" w:hanging="284"/>
                              <w:jc w:val="left"/>
                              <w:rPr>
                                <w:b/>
                                <w:shd w:val="clear" w:color="auto" w:fill="FFFFFF"/>
                              </w:rPr>
                            </w:pPr>
                            <w:r>
                              <w:rPr>
                                <w:b/>
                                <w:shd w:val="clear" w:color="auto" w:fill="FFFFFF"/>
                              </w:rPr>
                              <w:t>További olvasnivalók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0317B" id="Rectangle: Diagonal Corners Rounded 19" o:spid="_x0000_s1041" style="position:absolute;left:0;text-align:left;margin-left:60pt;margin-top:42.25pt;width:456.35pt;height:2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39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" adj="-11796480,,5400" path="m265948,l5795645,r,l5795645,3124952v,146879,-119069,265948,-265948,265948l,3390900r,l,265948c,119069,119069,,265948,xe" filled="f" strokecolor="#be4a35" strokeweight="2pt">
                <v:stroke joinstyle="miter"/>
                <v:formulas/>
                <v:path arrowok="t" o:connecttype="custom" o:connectlocs="265948,0;5795645,0;5795645,0;5795645,3124952;5529697,3390900;0,3390900;0,3390900;0,265948;265948,0" o:connectangles="0,0,0,0,0,0,0,0,0" textboxrect="0,0,5795645,3390900"/>
                <v:textbox>
                  <w:txbxContent>
                    <w:p w:rsidR="005139CB" w:rsidRPr="00AC3522" w:rsidRDefault="005139CB" w:rsidP="00E05D08">
                      <w:pPr>
                        <w:pStyle w:val="Normal12PTcouleurgris"/>
                        <w:rPr>
                          <w:shd w:val="clear" w:color="auto" w:fill="FFFFFF"/>
                        </w:rPr>
                      </w:pPr>
                      <w:r>
                        <w:rPr>
                          <w:noProof/>
                          <w:lang w:val="en-GB" w:eastAsia="en-GB"/>
                        </w:rPr>
                        <w:drawing>
                          <wp:inline distT="0" distB="0" distL="0" distR="0" wp14:anchorId="0BCA542B" wp14:editId="6C0BA652">
                            <wp:extent cx="664845" cy="487680"/>
                            <wp:effectExtent l="0" t="0" r="0" b="7620"/>
                            <wp:docPr id="868"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Minden egyes közös értékelési kérdéshez a következő struktúra követendő: </w:t>
                      </w:r>
                    </w:p>
                    <w:p w:rsidR="005139CB" w:rsidRPr="00A92E91" w:rsidRDefault="005139CB" w:rsidP="008C0B17">
                      <w:pPr>
                        <w:pStyle w:val="Normal12PTcouleurgris"/>
                        <w:numPr>
                          <w:ilvl w:val="0"/>
                          <w:numId w:val="78"/>
                        </w:numPr>
                        <w:ind w:left="284" w:hanging="284"/>
                        <w:jc w:val="left"/>
                        <w:rPr>
                          <w:b/>
                          <w:shd w:val="clear" w:color="auto" w:fill="FFFFFF"/>
                        </w:rPr>
                      </w:pPr>
                      <w:r>
                        <w:rPr>
                          <w:b/>
                          <w:shd w:val="clear" w:color="auto" w:fill="FFFFFF"/>
                        </w:rPr>
                        <w:t>A közös értékelési kérdés értelmezése</w:t>
                      </w:r>
                    </w:p>
                    <w:p w:rsidR="005139CB" w:rsidRPr="00A92E91" w:rsidRDefault="005139CB" w:rsidP="008C0B17">
                      <w:pPr>
                        <w:pStyle w:val="Normal12PTcouleurgris"/>
                        <w:numPr>
                          <w:ilvl w:val="0"/>
                          <w:numId w:val="78"/>
                        </w:numPr>
                        <w:ind w:left="284" w:hanging="284"/>
                        <w:jc w:val="left"/>
                        <w:rPr>
                          <w:b/>
                          <w:shd w:val="clear" w:color="auto" w:fill="FFFFFF"/>
                        </w:rPr>
                      </w:pPr>
                      <w:r>
                        <w:rPr>
                          <w:b/>
                          <w:shd w:val="clear" w:color="auto" w:fill="FFFFFF"/>
                        </w:rPr>
                        <w:t xml:space="preserve">Konkrét kihívások </w:t>
                      </w:r>
                    </w:p>
                    <w:p w:rsidR="005139CB" w:rsidRPr="00A92E91" w:rsidRDefault="005139CB" w:rsidP="008C0B17">
                      <w:pPr>
                        <w:pStyle w:val="Normal12PTcouleurgris"/>
                        <w:numPr>
                          <w:ilvl w:val="0"/>
                          <w:numId w:val="78"/>
                        </w:numPr>
                        <w:ind w:left="284" w:hanging="284"/>
                        <w:jc w:val="left"/>
                        <w:rPr>
                          <w:shd w:val="clear" w:color="auto" w:fill="FFFFFF"/>
                        </w:rPr>
                      </w:pPr>
                      <w:r>
                        <w:rPr>
                          <w:b/>
                          <w:shd w:val="clear" w:color="auto" w:fill="FFFFFF"/>
                        </w:rPr>
                        <w:t>A közös értékelési kérdés megválaszolásához javasolt megközelítés</w:t>
                      </w:r>
                      <w:r>
                        <w:rPr>
                          <w:shd w:val="clear" w:color="auto" w:fill="FFFFFF"/>
                        </w:rPr>
                        <w:t xml:space="preserve">: </w:t>
                      </w:r>
                      <w:r>
                        <w:rPr>
                          <w:i/>
                          <w:shd w:val="clear" w:color="auto" w:fill="FFFFFF"/>
                        </w:rPr>
                        <w:t xml:space="preserve">Ez a fejezet lépéseket, módszereket és ötleteket javasol ahhoz, hogy hogyan kell használni a közös és a kiegészítő mutatókat a közös értékelési kérdések megválaszolásához. </w:t>
                      </w:r>
                    </w:p>
                    <w:p w:rsidR="005139CB" w:rsidRPr="00A92E91" w:rsidRDefault="005139CB" w:rsidP="008C0B17">
                      <w:pPr>
                        <w:pStyle w:val="Hlistabc2"/>
                        <w:numPr>
                          <w:ilvl w:val="0"/>
                          <w:numId w:val="54"/>
                        </w:numPr>
                        <w:spacing w:before="120" w:after="120"/>
                        <w:rPr>
                          <w:sz w:val="18"/>
                          <w:szCs w:val="18"/>
                        </w:rPr>
                      </w:pPr>
                      <w:r>
                        <w:rPr>
                          <w:sz w:val="18"/>
                          <w:szCs w:val="18"/>
                        </w:rPr>
                        <w:t xml:space="preserve">Beavatkozási logika </w:t>
                      </w:r>
                    </w:p>
                    <w:p w:rsidR="005139CB" w:rsidRPr="00A92E91" w:rsidRDefault="005139CB" w:rsidP="008C0B17">
                      <w:pPr>
                        <w:pStyle w:val="Hlistabc2"/>
                        <w:numPr>
                          <w:ilvl w:val="0"/>
                          <w:numId w:val="54"/>
                        </w:numPr>
                        <w:spacing w:before="120" w:after="120"/>
                        <w:rPr>
                          <w:sz w:val="18"/>
                          <w:szCs w:val="18"/>
                        </w:rPr>
                      </w:pPr>
                      <w:r>
                        <w:rPr>
                          <w:sz w:val="18"/>
                          <w:szCs w:val="18"/>
                        </w:rPr>
                        <w:t xml:space="preserve">Értékelési elemek </w:t>
                      </w:r>
                    </w:p>
                    <w:p w:rsidR="005139CB" w:rsidRPr="00A92E91" w:rsidRDefault="005139CB" w:rsidP="008C0B17">
                      <w:pPr>
                        <w:pStyle w:val="Hlistabc2"/>
                        <w:numPr>
                          <w:ilvl w:val="0"/>
                          <w:numId w:val="54"/>
                        </w:numPr>
                        <w:spacing w:before="120" w:after="120"/>
                        <w:rPr>
                          <w:sz w:val="18"/>
                          <w:szCs w:val="18"/>
                        </w:rPr>
                      </w:pPr>
                      <w:r>
                        <w:rPr>
                          <w:sz w:val="18"/>
                          <w:szCs w:val="18"/>
                        </w:rPr>
                        <w:t xml:space="preserve">Javasolt értékelési módszertan </w:t>
                      </w:r>
                    </w:p>
                    <w:p w:rsidR="005139CB" w:rsidRPr="00A92E91" w:rsidRDefault="005139CB" w:rsidP="008C0B17">
                      <w:pPr>
                        <w:pStyle w:val="Hlistabc2"/>
                        <w:numPr>
                          <w:ilvl w:val="0"/>
                          <w:numId w:val="54"/>
                        </w:numPr>
                        <w:spacing w:before="120" w:after="120"/>
                        <w:rPr>
                          <w:sz w:val="18"/>
                          <w:szCs w:val="18"/>
                        </w:rPr>
                      </w:pPr>
                      <w:r>
                        <w:rPr>
                          <w:sz w:val="18"/>
                          <w:szCs w:val="18"/>
                        </w:rPr>
                        <w:t xml:space="preserve">Kockázatok és megoldások </w:t>
                      </w:r>
                    </w:p>
                    <w:p w:rsidR="005139CB" w:rsidRPr="00A92E91" w:rsidRDefault="005139CB" w:rsidP="008C0B17">
                      <w:pPr>
                        <w:pStyle w:val="Hlistabc2"/>
                        <w:numPr>
                          <w:ilvl w:val="0"/>
                          <w:numId w:val="54"/>
                        </w:numPr>
                        <w:spacing w:before="120" w:after="120"/>
                        <w:rPr>
                          <w:sz w:val="18"/>
                          <w:szCs w:val="18"/>
                        </w:rPr>
                      </w:pPr>
                      <w:r>
                        <w:rPr>
                          <w:sz w:val="18"/>
                          <w:szCs w:val="18"/>
                        </w:rPr>
                        <w:t>Következtetések és ajánlások</w:t>
                      </w:r>
                    </w:p>
                    <w:p w:rsidR="005139CB" w:rsidRPr="00A92E91" w:rsidRDefault="005139CB" w:rsidP="007372CD">
                      <w:pPr>
                        <w:pStyle w:val="Normal12PTcouleurgris"/>
                        <w:numPr>
                          <w:ilvl w:val="0"/>
                          <w:numId w:val="78"/>
                        </w:numPr>
                        <w:ind w:left="284" w:hanging="284"/>
                        <w:jc w:val="left"/>
                        <w:rPr>
                          <w:b/>
                          <w:shd w:val="clear" w:color="auto" w:fill="FFFFFF"/>
                        </w:rPr>
                      </w:pPr>
                      <w:r>
                        <w:rPr>
                          <w:b/>
                          <w:shd w:val="clear" w:color="auto" w:fill="FFFFFF"/>
                        </w:rPr>
                        <w:t>További olvasnivalók</w:t>
                      </w:r>
                    </w:p>
                  </w:txbxContent>
                </v:textbox>
                <w10:wrap type="square" anchorx="page"/>
              </v:shape>
            </w:pict>
          </mc:Fallback>
        </mc:AlternateContent>
      </w:r>
      <w:bookmarkStart w:id="104" w:name="_Toc501382131"/>
      <w:r w:rsidR="00A45935">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982266"/>
      <w:r>
        <w:lastRenderedPageBreak/>
        <w:t>1. sz. közös értékelési kérdés: „A vidékfejlesztési program keretében végrehajtott beavatkozások milyen mértékben mozdították elő a vidéki térségekben az innovációt, az együttműködést és a tudásalap fejlesztését?”</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közös értékelési kérdés értelmezése</w:t>
      </w:r>
    </w:p>
    <w:p w:rsidR="00A45935" w:rsidRPr="00E05D08" w:rsidRDefault="00A45935" w:rsidP="00E05D08">
      <w:pPr>
        <w:spacing w:after="120" w:line="280" w:lineRule="atLeast"/>
        <w:mirrorIndents/>
        <w:rPr>
          <w:rFonts w:eastAsia="Times New Roman" w:cs="Times New Roman"/>
          <w:szCs w:val="20"/>
        </w:rPr>
      </w:pPr>
      <w:r>
        <w:t>Három intézkedés járul hozzá a legnagyobb mértékben az 1. sz. közös értékelési kérdéshez kapcsolódó célkitűzés (azaz az innovációtámogatás) megvalósításához: az M1 intézkedés (14. cikk: „Tudásátadás és tájékoztatási tevékenységek”), az M2 intézkedés (15. cikk: „Tanácsadási szolgáltatások, üzemvezetési és helyettesítési szolgáltatások”) és az M16 intézkedés (35. cikk: „Együttműködés”)</w:t>
      </w:r>
      <w:r>
        <w:rPr>
          <w:rFonts w:eastAsia="Times New Roman" w:cs="Times New Roman"/>
          <w:szCs w:val="20"/>
          <w:vertAlign w:val="superscript"/>
          <w:lang w:eastAsia="de-DE"/>
        </w:rPr>
        <w:footnoteReference w:id="48"/>
      </w:r>
      <w:r>
        <w:t>. Ezenfelül az M19 intézkedés (az 1303/2013/EU rendelet 42. és 35. cikke) is úgy tekinthető, hogy jelentős mértékben hozzájárul a fenti célkitűzés innovációval kapcsolatos aspektusához.</w:t>
      </w:r>
    </w:p>
    <w:p w:rsidR="00A45935" w:rsidRPr="00E05D08" w:rsidRDefault="00A45935" w:rsidP="00E05D08">
      <w:pPr>
        <w:spacing w:after="120" w:line="280" w:lineRule="atLeast"/>
        <w:mirrorIndents/>
        <w:rPr>
          <w:rFonts w:eastAsia="Times New Roman" w:cs="Times New Roman"/>
          <w:szCs w:val="20"/>
        </w:rPr>
      </w:pPr>
      <w:r>
        <w:t xml:space="preserve">Elengedhetetlenül fontos megvizsgálni, hogy az intézkedések mely aspektusai támogatják az innovációt. Az 1. prioritás adott beavatkozási logikája például azt jelezheti, hogy az M1 és az M16 intézkedés az 1B (M16) vagy az 1C (M1) kiemelt területhez is közvetlenül hozzájárul, nem csak az 1A kiemelt területhez. </w:t>
      </w:r>
    </w:p>
    <w:p w:rsidR="00A45935" w:rsidRPr="00E05D08" w:rsidRDefault="00654F10" w:rsidP="00E05D08">
      <w:pPr>
        <w:spacing w:after="120" w:line="280" w:lineRule="atLeast"/>
        <w:mirrorIndents/>
        <w:rPr>
          <w:rFonts w:eastAsia="Times New Roman" w:cs="Times New Roman"/>
          <w:szCs w:val="20"/>
        </w:rPr>
      </w:pPr>
      <w:r>
        <w:t xml:space="preserve">Ezen intézkedések innovációval kapcsolatos elemei a következőképpen fejthetők ki: </w:t>
      </w:r>
    </w:p>
    <w:p w:rsidR="00A45935" w:rsidRDefault="00A45935" w:rsidP="00E05D08">
      <w:pPr>
        <w:spacing w:after="120" w:line="280" w:lineRule="atLeast"/>
        <w:mirrorIndents/>
        <w:rPr>
          <w:rFonts w:eastAsia="Times New Roman" w:cs="Times New Roman"/>
          <w:szCs w:val="20"/>
        </w:rPr>
      </w:pPr>
      <w:r>
        <w:t xml:space="preserve">Az </w:t>
      </w:r>
      <w:r>
        <w:rPr>
          <w:b/>
          <w:szCs w:val="20"/>
        </w:rPr>
        <w:t>M1</w:t>
      </w:r>
      <w:r>
        <w:t xml:space="preserve"> intézkedés (a 14. cikk) a szakképzésre és a készségek elsajátítására, a demonstrációs és a tájékoztatási tevékenységekre terjed ki. Ezenfelül kiterjedhet mezőgazdasági üzemvezetési és erdőgazdálkodási csereprogramokra, valamint mezőgazdasági üzemlátogatásokra és erdészeti tanulmányutakra is. Bár a 14. cikk kifejezetten nem említi az innovációt, ezek a tevékenységek fontos szerepet tölthetnek be </w:t>
      </w:r>
      <w:r>
        <w:rPr>
          <w:b/>
          <w:szCs w:val="20"/>
        </w:rPr>
        <w:t>az innovációs kapacitás kiépítésében</w:t>
      </w:r>
      <w:r>
        <w:t>.</w:t>
      </w:r>
    </w:p>
    <w:p w:rsidR="00A45935" w:rsidRPr="00E05D08" w:rsidRDefault="00A45935" w:rsidP="00E05D08">
      <w:pPr>
        <w:spacing w:after="120" w:line="280" w:lineRule="atLeast"/>
        <w:mirrorIndents/>
        <w:rPr>
          <w:rFonts w:eastAsia="Times New Roman" w:cs="Times New Roman"/>
          <w:szCs w:val="20"/>
        </w:rPr>
      </w:pPr>
      <w:r>
        <w:t xml:space="preserve">Az </w:t>
      </w:r>
      <w:r>
        <w:rPr>
          <w:b/>
          <w:szCs w:val="20"/>
        </w:rPr>
        <w:t>M2</w:t>
      </w:r>
      <w:r>
        <w:t xml:space="preserve"> intézkedés (a 15. cikk) többek között az egyéni mezőgazdasági termelőknek, a fiatal mezőgazdasági termelőknek és az egyéb gazdálkodóknak nyújtott tanácsadásra, valamint a tanácsadók, illetve az innovációtámogató szolgáltatást nyújtók képzésére terjed ki. Ennek több eleme van, például a mezőgazdasági üzemek szintjére vonatkozó, többek között innováció-orientált VFP-intézkedésekkel kapcsolatos tanácsadás</w:t>
      </w:r>
      <w:r>
        <w:rPr>
          <w:rFonts w:eastAsia="Times New Roman" w:cs="Times New Roman"/>
          <w:szCs w:val="20"/>
          <w:vertAlign w:val="superscript"/>
          <w:lang w:eastAsia="de-DE"/>
        </w:rPr>
        <w:footnoteReference w:id="49"/>
      </w:r>
      <w:r>
        <w:t xml:space="preserve">. A tanácsadási szolgáltatások nyújtása – azáltal, hogy lehetőséget nyújt a tudásátadásra – az </w:t>
      </w:r>
      <w:r>
        <w:rPr>
          <w:b/>
          <w:szCs w:val="20"/>
        </w:rPr>
        <w:t>innovációs kapacitás kiépítésének</w:t>
      </w:r>
      <w:r>
        <w:t xml:space="preserve"> egyik módja (lásd az </w:t>
      </w:r>
      <w:hyperlink w:anchor="Innovation_RD" w:history="1">
        <w:r>
          <w:rPr>
            <w:rStyle w:val="Hyperlink"/>
            <w:sz w:val="20"/>
            <w:szCs w:val="20"/>
          </w:rPr>
          <w:t>1.1. fejezetet</w:t>
        </w:r>
      </w:hyperlink>
      <w:r>
        <w:t>). Ezenfelül az európai innovációs partnerség keretében a tanácsadók/az innovációtámogató szolgálatok „coach” szerephez jutnak az operatív csoportoknál zajló interaktív innovációs folyamatokban.</w:t>
      </w:r>
    </w:p>
    <w:p w:rsidR="00A45935" w:rsidRDefault="00A45935" w:rsidP="00E05D08">
      <w:pPr>
        <w:spacing w:after="120" w:line="280" w:lineRule="atLeast"/>
        <w:mirrorIndents/>
        <w:rPr>
          <w:rFonts w:eastAsia="Times New Roman" w:cs="Times New Roman"/>
          <w:szCs w:val="20"/>
        </w:rPr>
      </w:pPr>
      <w:r>
        <w:t xml:space="preserve">Az </w:t>
      </w:r>
      <w:r>
        <w:rPr>
          <w:b/>
          <w:szCs w:val="20"/>
        </w:rPr>
        <w:t>M16</w:t>
      </w:r>
      <w:r>
        <w:t xml:space="preserve"> intézkedés (a 35. cikk) a következőket támogatja: a) a vidékfejlesztési politika célkitűzéseinek és prioritásainak megvalósításához hozzájáruló különféle szereplők (a mezőgazdasági ágazat, az erdészeti ágazat, az élelmiszerlánc, a termelői csoportok, a szövetkezetek és a szakmaközi szervezetek stb.); b) klaszterek és hálózatok kiépítése; és c) az EIP-AGRI operatív csoportjainak létrehozása és működtetése. Az M16 intézkedés 10 alintézkedést tartalmaz, és az 1.1. fejezetben ismertetett </w:t>
      </w:r>
      <w:r>
        <w:rPr>
          <w:b/>
          <w:szCs w:val="20"/>
        </w:rPr>
        <w:t>mindhárom irányvonallal</w:t>
      </w:r>
      <w:r>
        <w:t xml:space="preserve"> összefüggésben támogatja az innovációt (lásd az alábbi háttérmagyarázatot).</w:t>
      </w:r>
    </w:p>
    <w:p w:rsidR="00863DB0" w:rsidRPr="00F15C85" w:rsidRDefault="00F15C85" w:rsidP="00F15C85">
      <w:pPr>
        <w:spacing w:after="120" w:line="280" w:lineRule="atLeast"/>
        <w:mirrorIndents/>
        <w:rPr>
          <w:rFonts w:eastAsia="Calibri" w:cs="Times New Roman"/>
          <w:b/>
          <w:color w:val="FFFFFF" w:themeColor="background1"/>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6432" behindDoc="1" locked="0" layoutInCell="1" allowOverlap="1" wp14:anchorId="358C9A19" wp14:editId="6E008C1E">
                <wp:simplePos x="0" y="0"/>
                <wp:positionH relativeFrom="column">
                  <wp:posOffset>-200025</wp:posOffset>
                </wp:positionH>
                <wp:positionV relativeFrom="paragraph">
                  <wp:posOffset>377825</wp:posOffset>
                </wp:positionV>
                <wp:extent cx="6148070" cy="8181975"/>
                <wp:effectExtent l="0" t="0" r="24130" b="28575"/>
                <wp:wrapTight wrapText="bothSides">
                  <wp:wrapPolygon edited="0">
                    <wp:start x="736" y="0"/>
                    <wp:lineTo x="0" y="302"/>
                    <wp:lineTo x="0" y="21625"/>
                    <wp:lineTo x="20882" y="21625"/>
                    <wp:lineTo x="21618" y="21374"/>
                    <wp:lineTo x="21618" y="0"/>
                    <wp:lineTo x="736"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6148070" cy="8181975"/>
                        </a:xfrm>
                        <a:prstGeom prst="round2DiagRect">
                          <a:avLst>
                            <a:gd name="adj1" fmla="val 5642"/>
                            <a:gd name="adj2" fmla="val 0"/>
                          </a:avLst>
                        </a:prstGeom>
                        <a:noFill/>
                        <a:ln w="25400" cap="flat" cmpd="sng" algn="ctr">
                          <a:solidFill>
                            <a:srgbClr val="F07E31"/>
                          </a:solidFill>
                          <a:prstDash val="solid"/>
                        </a:ln>
                        <a:effectLst/>
                      </wps:spPr>
                      <wps:txbx>
                        <w:txbxContent>
                          <w:p w:rsidR="005139CB" w:rsidRDefault="005139CB" w:rsidP="00C3334D">
                            <w:pPr>
                              <w:pStyle w:val="HStandard"/>
                              <w:ind w:left="284" w:right="23"/>
                            </w:pPr>
                            <w:r>
                              <w:rPr>
                                <w:noProof/>
                                <w:lang w:val="en-GB" w:eastAsia="en-GB"/>
                              </w:rPr>
                              <w:drawing>
                                <wp:inline distT="0" distB="0" distL="0" distR="0" wp14:anchorId="7738CA65" wp14:editId="58B981E5">
                                  <wp:extent cx="353060" cy="359410"/>
                                  <wp:effectExtent l="0" t="0" r="8890" b="2540"/>
                                  <wp:docPr id="89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139CB" w:rsidRPr="00A66F3C" w:rsidRDefault="005139CB" w:rsidP="00A66F3C">
                            <w:pPr>
                              <w:pStyle w:val="HStandard"/>
                              <w:ind w:right="23"/>
                              <w:rPr>
                                <w:b/>
                                <w:color w:val="F07E31"/>
                                <w:sz w:val="18"/>
                                <w:szCs w:val="18"/>
                              </w:rPr>
                            </w:pPr>
                            <w:r>
                              <w:rPr>
                                <w:b/>
                                <w:color w:val="F07E31"/>
                                <w:sz w:val="18"/>
                                <w:szCs w:val="18"/>
                              </w:rPr>
                              <w:t>Arra vonatkozó példák, hogy az M1 intézkedéssel hogyan építhető ki az innovációs kapacitás:</w:t>
                            </w:r>
                          </w:p>
                          <w:p w:rsidR="005139CB" w:rsidRPr="00A66F3C" w:rsidRDefault="005139CB" w:rsidP="00A66F3C">
                            <w:pPr>
                              <w:pStyle w:val="Hlistbullet"/>
                              <w:rPr>
                                <w:sz w:val="18"/>
                                <w:szCs w:val="18"/>
                              </w:rPr>
                            </w:pPr>
                            <w:r>
                              <w:rPr>
                                <w:sz w:val="18"/>
                                <w:szCs w:val="18"/>
                              </w:rPr>
                              <w:t>A mezőgazdasági termelők/a kkv-k innovatív folyamatok/technikák alkalmazásával elsajátított készségei vagy új szervezési készségek.</w:t>
                            </w:r>
                          </w:p>
                          <w:p w:rsidR="005139CB" w:rsidRPr="00A66F3C" w:rsidRDefault="005139CB" w:rsidP="00A66F3C">
                            <w:pPr>
                              <w:pStyle w:val="Hlistbullet"/>
                              <w:rPr>
                                <w:sz w:val="18"/>
                                <w:szCs w:val="18"/>
                              </w:rPr>
                            </w:pPr>
                            <w:r>
                              <w:rPr>
                                <w:sz w:val="18"/>
                                <w:szCs w:val="18"/>
                              </w:rPr>
                              <w:t>A mezőgazdasági üzemek és a régiók közötti tudásátadást segítő csereprogramok és látogatások.</w:t>
                            </w:r>
                          </w:p>
                          <w:p w:rsidR="005139CB" w:rsidRPr="00A66F3C" w:rsidRDefault="005139CB" w:rsidP="00C3334D">
                            <w:pPr>
                              <w:pStyle w:val="HStandard"/>
                              <w:ind w:right="54"/>
                              <w:rPr>
                                <w:b/>
                                <w:color w:val="F07E31"/>
                                <w:sz w:val="18"/>
                                <w:szCs w:val="18"/>
                              </w:rPr>
                            </w:pPr>
                            <w:r>
                              <w:rPr>
                                <w:b/>
                                <w:color w:val="F07E31"/>
                                <w:sz w:val="18"/>
                                <w:szCs w:val="18"/>
                              </w:rPr>
                              <w:t>Arra vonatkozó példák, hogy az M16 intézkedés hogyan támogatja az innovációt:</w:t>
                            </w:r>
                          </w:p>
                          <w:p w:rsidR="005139CB" w:rsidRPr="00A66F3C" w:rsidRDefault="005139CB" w:rsidP="00A66F3C">
                            <w:pPr>
                              <w:pStyle w:val="Hlistbullet"/>
                              <w:rPr>
                                <w:sz w:val="18"/>
                                <w:szCs w:val="18"/>
                              </w:rPr>
                            </w:pPr>
                            <w:r>
                              <w:rPr>
                                <w:sz w:val="18"/>
                                <w:szCs w:val="18"/>
                              </w:rPr>
                              <w:t>A mezőgazdasági, az élelmiszer-termelési és az erdőgazdálkodási ágazatban az új termékek, gyakorlatok, technológiák kifejlesztése (M16.2 alintézkedés</w:t>
                            </w:r>
                            <w:r>
                              <w:rPr>
                                <w:sz w:val="18"/>
                                <w:szCs w:val="18"/>
                                <w:vertAlign w:val="superscript"/>
                              </w:rPr>
                              <w:t>51</w:t>
                            </w:r>
                            <w:r>
                              <w:rPr>
                                <w:sz w:val="18"/>
                                <w:szCs w:val="18"/>
                              </w:rPr>
                              <w:t xml:space="preserve">) az innováció együttműködésen alapuló meghatározásához és felkarolásához kapcsolódik. </w:t>
                            </w:r>
                          </w:p>
                          <w:p w:rsidR="005139CB" w:rsidRPr="00A66F3C" w:rsidRDefault="005139CB" w:rsidP="00A66F3C">
                            <w:pPr>
                              <w:pStyle w:val="Hlistbullet"/>
                              <w:rPr>
                                <w:sz w:val="18"/>
                                <w:szCs w:val="18"/>
                              </w:rPr>
                            </w:pPr>
                            <w:r>
                              <w:rPr>
                                <w:sz w:val="18"/>
                                <w:szCs w:val="18"/>
                              </w:rPr>
                              <w:t xml:space="preserve">Az összes többi alintézkedéssel </w:t>
                            </w:r>
                            <w:r>
                              <w:rPr>
                                <w:b/>
                                <w:sz w:val="18"/>
                                <w:szCs w:val="18"/>
                              </w:rPr>
                              <w:t>kiépíthető az innovációs kapacitás</w:t>
                            </w:r>
                            <w:r>
                              <w:rPr>
                                <w:sz w:val="18"/>
                                <w:szCs w:val="18"/>
                              </w:rPr>
                              <w:t>, mivel az együttműködési folyamat azt feltételezi, hogy az új lehetőségek feltárása, az új ötletek kitalálása, az újszerű technológiával való kísérletezés vagy az új módszerek meghatározása közösen történik.</w:t>
                            </w:r>
                          </w:p>
                          <w:p w:rsidR="005139CB" w:rsidRPr="00A66F3C" w:rsidRDefault="005139CB" w:rsidP="00A66F3C">
                            <w:pPr>
                              <w:pStyle w:val="Hlistbullet"/>
                              <w:rPr>
                                <w:sz w:val="18"/>
                                <w:szCs w:val="18"/>
                              </w:rPr>
                            </w:pPr>
                            <w:r>
                              <w:rPr>
                                <w:sz w:val="18"/>
                                <w:szCs w:val="18"/>
                              </w:rPr>
                              <w:t xml:space="preserve">Ezenfelül az együttműködési projektekhez a tanácsadók/az innovációtámogató szolgálatok által felajánlott támogatás – többek között a nemzeti vidékfejlesztési hálózatok által erre a célra felajánlott támogatás – hozzájárulhat </w:t>
                            </w:r>
                            <w:r>
                              <w:rPr>
                                <w:b/>
                                <w:sz w:val="18"/>
                                <w:szCs w:val="18"/>
                              </w:rPr>
                              <w:t>az innovációs kapacitás kiépítéséhez</w:t>
                            </w:r>
                            <w:r>
                              <w:rPr>
                                <w:sz w:val="18"/>
                                <w:szCs w:val="18"/>
                              </w:rPr>
                              <w:t>.</w:t>
                            </w:r>
                          </w:p>
                          <w:p w:rsidR="005139CB" w:rsidRPr="00A66F3C" w:rsidRDefault="005139CB" w:rsidP="00A66F3C">
                            <w:pPr>
                              <w:pStyle w:val="Hlistbullet"/>
                              <w:rPr>
                                <w:sz w:val="18"/>
                                <w:szCs w:val="18"/>
                              </w:rPr>
                            </w:pPr>
                            <w:r>
                              <w:rPr>
                                <w:sz w:val="18"/>
                                <w:szCs w:val="18"/>
                              </w:rPr>
                              <w:t xml:space="preserve">Az innovációban érdekelt felek (például innovációtámogató szolgálatok, innovációval foglalkozó szervezeti egységek, K+F központok vagy innovációs és technológiai központok) együttműködési projektekben való részvétele hozzájárulhat </w:t>
                            </w:r>
                            <w:r>
                              <w:rPr>
                                <w:b/>
                                <w:sz w:val="18"/>
                                <w:szCs w:val="18"/>
                              </w:rPr>
                              <w:t>az innovációt támogató környezet kialakításához</w:t>
                            </w:r>
                            <w:r>
                              <w:rPr>
                                <w:sz w:val="18"/>
                                <w:szCs w:val="18"/>
                              </w:rPr>
                              <w:t>. Együttműködésen alapuló kutatási projekt végrehajtásának például lehet olyan eredménye, amely befolyásolhatja a jogszabályokat (például a környezetvédelmi jogszabályokat).</w:t>
                            </w:r>
                          </w:p>
                          <w:p w:rsidR="005139CB" w:rsidRPr="00A66F3C" w:rsidRDefault="005139CB" w:rsidP="00A66F3C">
                            <w:pPr>
                              <w:pStyle w:val="Hlistbullet"/>
                              <w:rPr>
                                <w:sz w:val="18"/>
                                <w:szCs w:val="18"/>
                              </w:rPr>
                            </w:pPr>
                            <w:r>
                              <w:rPr>
                                <w:sz w:val="18"/>
                                <w:szCs w:val="18"/>
                              </w:rPr>
                              <w:t xml:space="preserve">Az operatív csoportok létrehozása és működtetése az innováció támogatásának még holisztikusabb megközelítését eredményezheti azáltal, hogy </w:t>
                            </w:r>
                            <w:r>
                              <w:rPr>
                                <w:b/>
                                <w:sz w:val="18"/>
                                <w:szCs w:val="18"/>
                              </w:rPr>
                              <w:t>mindhárom irányvonalat</w:t>
                            </w:r>
                            <w:r>
                              <w:rPr>
                                <w:sz w:val="18"/>
                                <w:szCs w:val="18"/>
                              </w:rPr>
                              <w:t xml:space="preserve"> támogatja: az új ötletek feltárását (az operatív csoportok kiindulópontja), az innovációs kapacitás kiépítését (a tanácsadók/az innovációtámogató szolgálatok által nyújtott támogatást), valamint az innovációt támogató környezet létrehozását (az operatív csoportok projektjeinek eredményeit).</w:t>
                            </w:r>
                          </w:p>
                          <w:p w:rsidR="005139CB" w:rsidRPr="00A66F3C" w:rsidRDefault="005139CB" w:rsidP="00C3334D">
                            <w:pPr>
                              <w:pStyle w:val="Normal12PTcouleurgris"/>
                              <w:ind w:left="284"/>
                              <w:rPr>
                                <w:color w:val="F07E31"/>
                                <w:sz w:val="18"/>
                              </w:rPr>
                            </w:pPr>
                            <w:r>
                              <w:rPr>
                                <w:b/>
                                <w:color w:val="F07E31"/>
                                <w:sz w:val="18"/>
                              </w:rPr>
                              <w:t>Arra vonatkozó példák, hogy az M19 intézkedés hogyan támogatja az innovációt:</w:t>
                            </w:r>
                          </w:p>
                          <w:p w:rsidR="005139CB" w:rsidRPr="00A66F3C" w:rsidRDefault="005139CB" w:rsidP="00A66F3C">
                            <w:pPr>
                              <w:pStyle w:val="Hlistbullet"/>
                              <w:rPr>
                                <w:sz w:val="18"/>
                                <w:szCs w:val="18"/>
                              </w:rPr>
                            </w:pPr>
                            <w:r>
                              <w:rPr>
                                <w:sz w:val="18"/>
                                <w:szCs w:val="18"/>
                              </w:rPr>
                              <w:t xml:space="preserve">Új stratégia-kialakítási módszerek alkalmazása, beleértve a helybeliek stratégiai döntésekben (például információgyűjtéssel kapcsolatos különféle tevékenységekben, különféle műhelytalálkozókon és eszmecserére szolgáló platformokon stb.) való részvétele biztosításának egyedi formáit, ezáltal hozzájárulva </w:t>
                            </w:r>
                            <w:r>
                              <w:rPr>
                                <w:b/>
                                <w:sz w:val="18"/>
                                <w:szCs w:val="18"/>
                              </w:rPr>
                              <w:t>az innovációt támogató környezethez (3. irányvonal)</w:t>
                            </w:r>
                            <w:r>
                              <w:rPr>
                                <w:sz w:val="18"/>
                                <w:szCs w:val="18"/>
                              </w:rPr>
                              <w:t>.</w:t>
                            </w:r>
                          </w:p>
                          <w:p w:rsidR="005139CB" w:rsidRPr="00A66F3C" w:rsidRDefault="005139CB" w:rsidP="00A66F3C">
                            <w:pPr>
                              <w:pStyle w:val="Hlistbullet"/>
                              <w:rPr>
                                <w:sz w:val="18"/>
                                <w:szCs w:val="18"/>
                              </w:rPr>
                            </w:pPr>
                            <w:r>
                              <w:rPr>
                                <w:sz w:val="18"/>
                                <w:szCs w:val="18"/>
                              </w:rPr>
                              <w:t xml:space="preserve">A stratégia-kialakításon és -végrehajtáson túlmutató és a lakosság szélesebb rétegeinek a helyi akciócsoportok különböző innovatív tevékenységeiben való részvételét biztosító (például az erős területi identitás természeti és kulturális örökségen keresztüli kiépítésére összpontosító) innovatív szervezési tevékenységek végrehajtása, amelyek </w:t>
                            </w:r>
                            <w:r>
                              <w:rPr>
                                <w:b/>
                                <w:sz w:val="18"/>
                                <w:szCs w:val="18"/>
                              </w:rPr>
                              <w:t xml:space="preserve">a támogató környezetet </w:t>
                            </w:r>
                            <w:r>
                              <w:rPr>
                                <w:sz w:val="18"/>
                                <w:szCs w:val="18"/>
                              </w:rPr>
                              <w:t xml:space="preserve">is támogatják, valamint </w:t>
                            </w:r>
                            <w:r>
                              <w:rPr>
                                <w:b/>
                                <w:sz w:val="18"/>
                                <w:szCs w:val="18"/>
                              </w:rPr>
                              <w:t>felkarolják a potenciális innovatív ötleteket (3. és 1. irányvonal)</w:t>
                            </w:r>
                            <w:r>
                              <w:rPr>
                                <w:sz w:val="18"/>
                                <w:szCs w:val="18"/>
                              </w:rPr>
                              <w:t>.</w:t>
                            </w:r>
                          </w:p>
                          <w:p w:rsidR="005139CB" w:rsidRPr="00A66F3C" w:rsidRDefault="005139CB" w:rsidP="00A66F3C">
                            <w:pPr>
                              <w:pStyle w:val="Hlistbullet"/>
                              <w:rPr>
                                <w:sz w:val="18"/>
                                <w:szCs w:val="18"/>
                              </w:rPr>
                            </w:pPr>
                            <w:r>
                              <w:rPr>
                                <w:sz w:val="18"/>
                                <w:szCs w:val="18"/>
                              </w:rPr>
                              <w:t xml:space="preserve">Olyan innovatív együttműködési projektek kezdeményezése, amelyek lehetővé teszik az új ismeretek, tapasztalatok és technológiák átadását a helyi akciócsoportok területén, és amelyek teret biztosítanak </w:t>
                            </w:r>
                            <w:r>
                              <w:rPr>
                                <w:b/>
                                <w:sz w:val="18"/>
                                <w:szCs w:val="18"/>
                              </w:rPr>
                              <w:t>a potenciális innovatív ötletek felkarolásához (1. irányvonal).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9A19" id="Rectangle: Diagonal Corners Rounded 11" o:spid="_x0000_s1042" style="position:absolute;left:0;text-align:left;margin-left:-15.75pt;margin-top:29.75pt;width:484.1pt;height:6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8070,818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" adj="-11796480,,5400" path="m346874,l6148070,r,l6148070,7835101v,191573,-155301,346874,-346874,346874l,8181975r,l,346874c,155301,155301,,346874,xe" filled="f" strokecolor="#f07e31" strokeweight="2pt">
                <v:stroke joinstyle="miter"/>
                <v:formulas/>
                <v:path arrowok="t" o:connecttype="custom" o:connectlocs="346874,0;6148070,0;6148070,0;6148070,7835101;5801196,8181975;0,8181975;0,8181975;0,346874;346874,0" o:connectangles="0,0,0,0,0,0,0,0,0" textboxrect="0,0,6148070,8181975"/>
                <v:textbox>
                  <w:txbxContent>
                    <w:p w:rsidR="005139CB" w:rsidRDefault="005139CB" w:rsidP="00C3334D">
                      <w:pPr>
                        <w:pStyle w:val="HStandard"/>
                        <w:ind w:left="284" w:right="23"/>
                      </w:pPr>
                      <w:r>
                        <w:rPr>
                          <w:noProof/>
                          <w:lang w:val="en-GB" w:eastAsia="en-GB"/>
                        </w:rPr>
                        <w:drawing>
                          <wp:inline distT="0" distB="0" distL="0" distR="0" wp14:anchorId="7738CA65" wp14:editId="58B981E5">
                            <wp:extent cx="353060" cy="359410"/>
                            <wp:effectExtent l="0" t="0" r="8890" b="2540"/>
                            <wp:docPr id="89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139CB" w:rsidRPr="00A66F3C" w:rsidRDefault="005139CB" w:rsidP="00A66F3C">
                      <w:pPr>
                        <w:pStyle w:val="HStandard"/>
                        <w:ind w:right="23"/>
                        <w:rPr>
                          <w:b/>
                          <w:color w:val="F07E31"/>
                          <w:sz w:val="18"/>
                          <w:szCs w:val="18"/>
                        </w:rPr>
                      </w:pPr>
                      <w:r>
                        <w:rPr>
                          <w:b/>
                          <w:color w:val="F07E31"/>
                          <w:sz w:val="18"/>
                          <w:szCs w:val="18"/>
                        </w:rPr>
                        <w:t>Arra vonatkozó példák, hogy az M1 intézkedéssel hogyan építhető ki az innovációs kapacitás:</w:t>
                      </w:r>
                    </w:p>
                    <w:p w:rsidR="005139CB" w:rsidRPr="00A66F3C" w:rsidRDefault="005139CB" w:rsidP="00A66F3C">
                      <w:pPr>
                        <w:pStyle w:val="Hlistbullet"/>
                        <w:rPr>
                          <w:sz w:val="18"/>
                          <w:szCs w:val="18"/>
                        </w:rPr>
                      </w:pPr>
                      <w:r>
                        <w:rPr>
                          <w:sz w:val="18"/>
                          <w:szCs w:val="18"/>
                        </w:rPr>
                        <w:t>A mezőgazdasági termelők/a kkv-k innovatív folyamatok/technikák alkalmazásával elsajátított készségei vagy új szervezési készségek.</w:t>
                      </w:r>
                    </w:p>
                    <w:p w:rsidR="005139CB" w:rsidRPr="00A66F3C" w:rsidRDefault="005139CB" w:rsidP="00A66F3C">
                      <w:pPr>
                        <w:pStyle w:val="Hlistbullet"/>
                        <w:rPr>
                          <w:sz w:val="18"/>
                          <w:szCs w:val="18"/>
                        </w:rPr>
                      </w:pPr>
                      <w:r>
                        <w:rPr>
                          <w:sz w:val="18"/>
                          <w:szCs w:val="18"/>
                        </w:rPr>
                        <w:t>A mezőgazdasági üzemek és a régiók közötti tudásátadást segítő csereprogramok és látogatások.</w:t>
                      </w:r>
                    </w:p>
                    <w:p w:rsidR="005139CB" w:rsidRPr="00A66F3C" w:rsidRDefault="005139CB" w:rsidP="00C3334D">
                      <w:pPr>
                        <w:pStyle w:val="HStandard"/>
                        <w:ind w:right="54"/>
                        <w:rPr>
                          <w:b/>
                          <w:color w:val="F07E31"/>
                          <w:sz w:val="18"/>
                          <w:szCs w:val="18"/>
                        </w:rPr>
                      </w:pPr>
                      <w:r>
                        <w:rPr>
                          <w:b/>
                          <w:color w:val="F07E31"/>
                          <w:sz w:val="18"/>
                          <w:szCs w:val="18"/>
                        </w:rPr>
                        <w:t>Arra vonatkozó példák, hogy az M16 intézkedés hogyan támogatja az innovációt:</w:t>
                      </w:r>
                    </w:p>
                    <w:p w:rsidR="005139CB" w:rsidRPr="00A66F3C" w:rsidRDefault="005139CB" w:rsidP="00A66F3C">
                      <w:pPr>
                        <w:pStyle w:val="Hlistbullet"/>
                        <w:rPr>
                          <w:sz w:val="18"/>
                          <w:szCs w:val="18"/>
                        </w:rPr>
                      </w:pPr>
                      <w:r>
                        <w:rPr>
                          <w:sz w:val="18"/>
                          <w:szCs w:val="18"/>
                        </w:rPr>
                        <w:t>A mezőgazdasági, az élelmiszer-termelési és az erdőgazdálkodási ágazatban az új termékek, gyakorlatok, technológiák kifejlesztése (M16.2 alintézkedés</w:t>
                      </w:r>
                      <w:r>
                        <w:rPr>
                          <w:sz w:val="18"/>
                          <w:szCs w:val="18"/>
                          <w:vertAlign w:val="superscript"/>
                        </w:rPr>
                        <w:t>51</w:t>
                      </w:r>
                      <w:r>
                        <w:rPr>
                          <w:sz w:val="18"/>
                          <w:szCs w:val="18"/>
                        </w:rPr>
                        <w:t xml:space="preserve">) az innováció együttműködésen alapuló meghatározásához és felkarolásához kapcsolódik. </w:t>
                      </w:r>
                    </w:p>
                    <w:p w:rsidR="005139CB" w:rsidRPr="00A66F3C" w:rsidRDefault="005139CB" w:rsidP="00A66F3C">
                      <w:pPr>
                        <w:pStyle w:val="Hlistbullet"/>
                        <w:rPr>
                          <w:sz w:val="18"/>
                          <w:szCs w:val="18"/>
                        </w:rPr>
                      </w:pPr>
                      <w:r>
                        <w:rPr>
                          <w:sz w:val="18"/>
                          <w:szCs w:val="18"/>
                        </w:rPr>
                        <w:t xml:space="preserve">Az összes többi alintézkedéssel </w:t>
                      </w:r>
                      <w:r>
                        <w:rPr>
                          <w:b/>
                          <w:sz w:val="18"/>
                          <w:szCs w:val="18"/>
                        </w:rPr>
                        <w:t>kiépíthető az innovációs kapacitás</w:t>
                      </w:r>
                      <w:r>
                        <w:rPr>
                          <w:sz w:val="18"/>
                          <w:szCs w:val="18"/>
                        </w:rPr>
                        <w:t>, mivel az együttműködési folyamat azt feltételezi, hogy az új lehetőségek feltárása, az új ötletek kitalálása, az újszerű technológiával való kísérletezés vagy az új módszerek meghatározása közösen történik.</w:t>
                      </w:r>
                    </w:p>
                    <w:p w:rsidR="005139CB" w:rsidRPr="00A66F3C" w:rsidRDefault="005139CB" w:rsidP="00A66F3C">
                      <w:pPr>
                        <w:pStyle w:val="Hlistbullet"/>
                        <w:rPr>
                          <w:sz w:val="18"/>
                          <w:szCs w:val="18"/>
                        </w:rPr>
                      </w:pPr>
                      <w:r>
                        <w:rPr>
                          <w:sz w:val="18"/>
                          <w:szCs w:val="18"/>
                        </w:rPr>
                        <w:t xml:space="preserve">Ezenfelül az együttműködési projektekhez a tanácsadók/az innovációtámogató szolgálatok által felajánlott támogatás – többek között a nemzeti vidékfejlesztési hálózatok által erre a célra felajánlott támogatás – hozzájárulhat </w:t>
                      </w:r>
                      <w:r>
                        <w:rPr>
                          <w:b/>
                          <w:sz w:val="18"/>
                          <w:szCs w:val="18"/>
                        </w:rPr>
                        <w:t>az innovációs kapacitás kiépítéséhez</w:t>
                      </w:r>
                      <w:r>
                        <w:rPr>
                          <w:sz w:val="18"/>
                          <w:szCs w:val="18"/>
                        </w:rPr>
                        <w:t>.</w:t>
                      </w:r>
                    </w:p>
                    <w:p w:rsidR="005139CB" w:rsidRPr="00A66F3C" w:rsidRDefault="005139CB" w:rsidP="00A66F3C">
                      <w:pPr>
                        <w:pStyle w:val="Hlistbullet"/>
                        <w:rPr>
                          <w:sz w:val="18"/>
                          <w:szCs w:val="18"/>
                        </w:rPr>
                      </w:pPr>
                      <w:r>
                        <w:rPr>
                          <w:sz w:val="18"/>
                          <w:szCs w:val="18"/>
                        </w:rPr>
                        <w:t xml:space="preserve">Az innovációban érdekelt felek (például innovációtámogató szolgálatok, innovációval foglalkozó szervezeti egységek, K+F központok vagy innovációs és technológiai központok) együttműködési projektekben való részvétele hozzájárulhat </w:t>
                      </w:r>
                      <w:r>
                        <w:rPr>
                          <w:b/>
                          <w:sz w:val="18"/>
                          <w:szCs w:val="18"/>
                        </w:rPr>
                        <w:t>az innovációt támogató környezet kialakításához</w:t>
                      </w:r>
                      <w:r>
                        <w:rPr>
                          <w:sz w:val="18"/>
                          <w:szCs w:val="18"/>
                        </w:rPr>
                        <w:t>. Együttműködésen alapuló kutatási projekt végrehajtásának például lehet olyan eredménye, amely befolyásolhatja a jogszabályokat (például a környezetvédelmi jogszabályokat).</w:t>
                      </w:r>
                    </w:p>
                    <w:p w:rsidR="005139CB" w:rsidRPr="00A66F3C" w:rsidRDefault="005139CB" w:rsidP="00A66F3C">
                      <w:pPr>
                        <w:pStyle w:val="Hlistbullet"/>
                        <w:rPr>
                          <w:sz w:val="18"/>
                          <w:szCs w:val="18"/>
                        </w:rPr>
                      </w:pPr>
                      <w:r>
                        <w:rPr>
                          <w:sz w:val="18"/>
                          <w:szCs w:val="18"/>
                        </w:rPr>
                        <w:t xml:space="preserve">Az operatív csoportok létrehozása és működtetése az innováció támogatásának még holisztikusabb megközelítését eredményezheti azáltal, hogy </w:t>
                      </w:r>
                      <w:r>
                        <w:rPr>
                          <w:b/>
                          <w:sz w:val="18"/>
                          <w:szCs w:val="18"/>
                        </w:rPr>
                        <w:t>mindhárom irányvonalat</w:t>
                      </w:r>
                      <w:r>
                        <w:rPr>
                          <w:sz w:val="18"/>
                          <w:szCs w:val="18"/>
                        </w:rPr>
                        <w:t xml:space="preserve"> támogatja: az új ötletek feltárását (az operatív csoportok kiindulópontja), az innovációs kapacitás kiépítését (a tanácsadók/az innovációtámogató szolgálatok által nyújtott támogatást), valamint az innovációt támogató környezet létrehozását (az operatív csoportok projektjeinek eredményeit).</w:t>
                      </w:r>
                    </w:p>
                    <w:p w:rsidR="005139CB" w:rsidRPr="00A66F3C" w:rsidRDefault="005139CB" w:rsidP="00C3334D">
                      <w:pPr>
                        <w:pStyle w:val="Normal12PTcouleurgris"/>
                        <w:ind w:left="284"/>
                        <w:rPr>
                          <w:color w:val="F07E31"/>
                          <w:sz w:val="18"/>
                        </w:rPr>
                      </w:pPr>
                      <w:r>
                        <w:rPr>
                          <w:b/>
                          <w:color w:val="F07E31"/>
                          <w:sz w:val="18"/>
                        </w:rPr>
                        <w:t>Arra vonatkozó példák, hogy az M19 intézkedés hogyan támogatja az innovációt:</w:t>
                      </w:r>
                    </w:p>
                    <w:p w:rsidR="005139CB" w:rsidRPr="00A66F3C" w:rsidRDefault="005139CB" w:rsidP="00A66F3C">
                      <w:pPr>
                        <w:pStyle w:val="Hlistbullet"/>
                        <w:rPr>
                          <w:sz w:val="18"/>
                          <w:szCs w:val="18"/>
                        </w:rPr>
                      </w:pPr>
                      <w:r>
                        <w:rPr>
                          <w:sz w:val="18"/>
                          <w:szCs w:val="18"/>
                        </w:rPr>
                        <w:t xml:space="preserve">Új stratégia-kialakítási módszerek alkalmazása, beleértve a helybeliek stratégiai döntésekben (például információgyűjtéssel kapcsolatos különféle tevékenységekben, különféle műhelytalálkozókon és eszmecserére szolgáló platformokon stb.) való részvétele biztosításának egyedi formáit, ezáltal hozzájárulva </w:t>
                      </w:r>
                      <w:r>
                        <w:rPr>
                          <w:b/>
                          <w:sz w:val="18"/>
                          <w:szCs w:val="18"/>
                        </w:rPr>
                        <w:t>az innovációt támogató környezethez (3. irányvonal)</w:t>
                      </w:r>
                      <w:r>
                        <w:rPr>
                          <w:sz w:val="18"/>
                          <w:szCs w:val="18"/>
                        </w:rPr>
                        <w:t>.</w:t>
                      </w:r>
                    </w:p>
                    <w:p w:rsidR="005139CB" w:rsidRPr="00A66F3C" w:rsidRDefault="005139CB" w:rsidP="00A66F3C">
                      <w:pPr>
                        <w:pStyle w:val="Hlistbullet"/>
                        <w:rPr>
                          <w:sz w:val="18"/>
                          <w:szCs w:val="18"/>
                        </w:rPr>
                      </w:pPr>
                      <w:r>
                        <w:rPr>
                          <w:sz w:val="18"/>
                          <w:szCs w:val="18"/>
                        </w:rPr>
                        <w:t xml:space="preserve">A stratégia-kialakításon és -végrehajtáson túlmutató és a lakosság szélesebb rétegeinek a helyi akciócsoportok különböző innovatív tevékenységeiben való részvételét biztosító (például az erős területi identitás természeti és kulturális örökségen keresztüli kiépítésére összpontosító) innovatív szervezési tevékenységek végrehajtása, amelyek </w:t>
                      </w:r>
                      <w:r>
                        <w:rPr>
                          <w:b/>
                          <w:sz w:val="18"/>
                          <w:szCs w:val="18"/>
                        </w:rPr>
                        <w:t xml:space="preserve">a támogató környezetet </w:t>
                      </w:r>
                      <w:r>
                        <w:rPr>
                          <w:sz w:val="18"/>
                          <w:szCs w:val="18"/>
                        </w:rPr>
                        <w:t xml:space="preserve">is támogatják, valamint </w:t>
                      </w:r>
                      <w:r>
                        <w:rPr>
                          <w:b/>
                          <w:sz w:val="18"/>
                          <w:szCs w:val="18"/>
                        </w:rPr>
                        <w:t>felkarolják a potenciális innovatív ötleteket (3. és 1. irányvonal)</w:t>
                      </w:r>
                      <w:r>
                        <w:rPr>
                          <w:sz w:val="18"/>
                          <w:szCs w:val="18"/>
                        </w:rPr>
                        <w:t>.</w:t>
                      </w:r>
                    </w:p>
                    <w:p w:rsidR="005139CB" w:rsidRPr="00A66F3C" w:rsidRDefault="005139CB" w:rsidP="00A66F3C">
                      <w:pPr>
                        <w:pStyle w:val="Hlistbullet"/>
                        <w:rPr>
                          <w:sz w:val="18"/>
                          <w:szCs w:val="18"/>
                        </w:rPr>
                      </w:pPr>
                      <w:r>
                        <w:rPr>
                          <w:sz w:val="18"/>
                          <w:szCs w:val="18"/>
                        </w:rPr>
                        <w:t xml:space="preserve">Olyan innovatív együttműködési projektek kezdeményezése, amelyek lehetővé teszik az új ismeretek, tapasztalatok és technológiák átadását a helyi akciócsoportok területén, és amelyek teret biztosítanak </w:t>
                      </w:r>
                      <w:r>
                        <w:rPr>
                          <w:b/>
                          <w:sz w:val="18"/>
                          <w:szCs w:val="18"/>
                        </w:rPr>
                        <w:t>a potenciális innovatív ötletek felkarolásához (1. irányvonal).</w:t>
                      </w:r>
                    </w:p>
                  </w:txbxContent>
                </v:textbox>
                <w10:wrap type="tight"/>
              </v:shape>
            </w:pict>
          </mc:Fallback>
        </mc:AlternateContent>
      </w:r>
      <w:r w:rsidR="00A45935">
        <w:t xml:space="preserve">Az </w:t>
      </w:r>
      <w:r w:rsidR="00A45935">
        <w:rPr>
          <w:b/>
          <w:szCs w:val="20"/>
        </w:rPr>
        <w:t xml:space="preserve">M19 </w:t>
      </w:r>
      <w:r w:rsidR="00A45935">
        <w:t>intézkedés (a 42. cikk) a LEADER-alapelvek</w:t>
      </w:r>
      <w:r w:rsidR="00A45935">
        <w:rPr>
          <w:rFonts w:eastAsia="Calibri" w:cs="Times New Roman"/>
          <w:szCs w:val="20"/>
          <w:vertAlign w:val="superscript"/>
          <w:lang w:eastAsia="de-DE"/>
        </w:rPr>
        <w:footnoteReference w:id="50"/>
      </w:r>
      <w:r w:rsidR="00A45935">
        <w:t xml:space="preserve"> alkalmazásával támogatja a helyi vidékfejlesztést. Az egyik ilyen alapelv a helyi akciócsoportok tevékenységeivel és a</w:t>
      </w:r>
      <w:r>
        <w:t xml:space="preserve"> </w:t>
      </w:r>
      <w:r w:rsidR="00A45935">
        <w:lastRenderedPageBreak/>
        <w:t>közösségvezérelt helyi fejlesztési stratégiák kedvezményezettjeinek tevékenységeivel történő</w:t>
      </w:r>
      <w:r>
        <w:t xml:space="preserve"> </w:t>
      </w:r>
      <w:r w:rsidR="00A45935">
        <w:t>innováció-ösztönzésre helyezi a hangsúlyt. Az M19 intézkedés 5 alintézkedést tartalmaz, és az</w:t>
      </w:r>
      <w:r w:rsidR="00AB49B3">
        <w:t xml:space="preserve"> </w:t>
      </w:r>
      <w:r w:rsidR="00A45935">
        <w:t>1.1. fejezetben ismertetett irányvonalak közül egy, kettő vagy mindhárom összefüggésében támogatja az innovációt (lásd az alábbi háttérmagyarázatot).</w:t>
      </w:r>
      <w:r w:rsidR="00AB49B3" w:rsidRPr="00AB49B3">
        <w:rPr>
          <w:rStyle w:val="FootnoteReference"/>
          <w:rFonts w:eastAsia="Calibri" w:cs="Times New Roman"/>
          <w:b/>
          <w:color w:val="FFFFFF" w:themeColor="background1"/>
          <w:szCs w:val="20"/>
          <w:shd w:val="clear" w:color="auto" w:fill="FFFFFF"/>
        </w:rPr>
        <w:t xml:space="preserve"> </w:t>
      </w:r>
      <w:r w:rsidR="00AB49B3">
        <w:rPr>
          <w:rStyle w:val="FootnoteReference"/>
          <w:rFonts w:eastAsia="Calibri" w:cs="Times New Roman"/>
          <w:b/>
          <w:color w:val="FFFFFF" w:themeColor="background1"/>
          <w:szCs w:val="20"/>
          <w:shd w:val="clear" w:color="auto" w:fill="FFFFFF"/>
        </w:rPr>
        <w:footnoteReference w:id="51"/>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t xml:space="preserve">Konkrét kihívások </w:t>
      </w:r>
    </w:p>
    <w:p w:rsidR="00A45935" w:rsidRPr="000A718F" w:rsidRDefault="00A45935" w:rsidP="00A66F3C">
      <w:pPr>
        <w:pStyle w:val="Hlistbullet"/>
      </w:pPr>
      <w:r>
        <w:rPr>
          <w:b/>
        </w:rPr>
        <w:t>Kiegészítő</w:t>
      </w:r>
      <w:r>
        <w:rPr>
          <w:b/>
          <w:shd w:val="clear" w:color="auto" w:fill="FFFFFF"/>
        </w:rPr>
        <w:t xml:space="preserve"> és programspecifikus értékelési elemek kidolgozása</w:t>
      </w:r>
      <w:r>
        <w:rPr>
          <w:shd w:val="clear" w:color="auto" w:fill="FFFFFF"/>
        </w:rPr>
        <w:t xml:space="preserve">: Az 1. sz. közös értékelési kérdés egy olyan közös célmutatóhoz (T1) kapcsolódik, amely nem feltétlenül elegendő a közös értékelési kérdés megválaszolásához, és ezért ahhoz esetlegesen a releváns intézkedések innovációval kapcsolatos kihívásainak mérésére szolgáló kiegészítő mutatókat kell társítani. Ugyanakkor két közös kimeneti mutató felhasználható az 1. sz. közös értékelési kérdés megválaszolásához (O13: Tanácsadással segített kedvezményezettek száma és O16: EIP-műveletek száma). A konkrét beavatkozási logikától függően kiegészítő értékelési elemekre lehet szükség az innovációval kapcsolatos összes aspektus értékeléséhez. </w:t>
      </w:r>
    </w:p>
    <w:p w:rsidR="00A45935" w:rsidRPr="000A718F" w:rsidRDefault="00A45935" w:rsidP="00A66F3C">
      <w:pPr>
        <w:pStyle w:val="Hlistbullet"/>
        <w:rPr>
          <w:rFonts w:eastAsia="Calibri"/>
          <w:shd w:val="clear" w:color="auto" w:fill="FFFFFF"/>
        </w:rPr>
      </w:pPr>
      <w:r>
        <w:rPr>
          <w:shd w:val="clear" w:color="auto" w:fill="FFFFFF"/>
        </w:rPr>
        <w:t xml:space="preserve">Az innováció támogatása tekintetében </w:t>
      </w:r>
      <w:r>
        <w:rPr>
          <w:b/>
          <w:shd w:val="clear" w:color="auto" w:fill="FFFFFF"/>
        </w:rPr>
        <w:t>észlelt változásoknak</w:t>
      </w:r>
      <w:r>
        <w:rPr>
          <w:shd w:val="clear" w:color="auto" w:fill="FFFFFF"/>
        </w:rPr>
        <w:t xml:space="preserve"> az M1, M2, M16 és M19 intézkedésre történő </w:t>
      </w:r>
      <w:r>
        <w:rPr>
          <w:b/>
          <w:shd w:val="clear" w:color="auto" w:fill="FFFFFF"/>
        </w:rPr>
        <w:t>visszavezetése</w:t>
      </w:r>
      <w:r>
        <w:rPr>
          <w:shd w:val="clear" w:color="auto" w:fill="FFFFFF"/>
        </w:rPr>
        <w:t>.</w:t>
      </w:r>
    </w:p>
    <w:p w:rsidR="00A45935" w:rsidRPr="000A718F" w:rsidRDefault="00A45935" w:rsidP="00A66F3C">
      <w:pPr>
        <w:pStyle w:val="Hlistbullet"/>
        <w:rPr>
          <w:rFonts w:eastAsia="Calibri"/>
          <w:shd w:val="clear" w:color="auto" w:fill="FFFFFF"/>
        </w:rPr>
      </w:pPr>
      <w:r>
        <w:rPr>
          <w:shd w:val="clear" w:color="auto" w:fill="FFFFFF"/>
        </w:rPr>
        <w:t xml:space="preserve">Az (1B kiemelt területtől eltérő) </w:t>
      </w:r>
      <w:r>
        <w:rPr>
          <w:b/>
          <w:shd w:val="clear" w:color="auto" w:fill="FFFFFF"/>
        </w:rPr>
        <w:t>egyéb kiemelt területekhez programozott intézkedések</w:t>
      </w:r>
      <w:r>
        <w:rPr>
          <w:shd w:val="clear" w:color="auto" w:fill="FFFFFF"/>
        </w:rPr>
        <w:t xml:space="preserve"> innovációhoz való hozzájárulásának </w:t>
      </w:r>
      <w:r>
        <w:rPr>
          <w:b/>
          <w:shd w:val="clear" w:color="auto" w:fill="FFFFFF"/>
        </w:rPr>
        <w:t>rögzítése</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Az 1. sz. közös értékelési kérdés megválaszolásához javasolt megközelítés</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Beavatkozási logika </w:t>
      </w:r>
    </w:p>
    <w:p w:rsidR="00863DB0" w:rsidRDefault="00A45935" w:rsidP="00A66F3C">
      <w:pPr>
        <w:spacing w:after="120" w:line="280" w:lineRule="atLeast"/>
        <w:mirrorIndents/>
        <w:rPr>
          <w:rFonts w:eastAsia="Times New Roman" w:cs="Times New Roman"/>
          <w:szCs w:val="20"/>
        </w:rPr>
      </w:pPr>
      <w:r>
        <w:t xml:space="preserve">Az 1. sz. közös értékelési kérdéshez kapcsolódó beavatkozási logika az innováció szempontjából is újra megvizsgálható. Ez általában az 1A kiemelt területtől eltérő kiemelt területekhez programozott M1, M2, M16 és M19 intézkedés, valamint azokkal együtt végrehajtott más intézkedések innovációs potenciáljára irányuló vizsgálat eredményei alapján végezhető el (lásd a </w:t>
      </w:r>
      <w:hyperlink w:anchor="Screening_Potential" w:history="1">
        <w:r>
          <w:rPr>
            <w:rStyle w:val="Hyperlink"/>
            <w:sz w:val="20"/>
            <w:szCs w:val="20"/>
          </w:rPr>
          <w:t>2.2. fejezetet</w:t>
        </w:r>
      </w:hyperlink>
      <w:r>
        <w:t xml:space="preserve">). Ennek segítségével rögzíthetők a programnak az 1A kiemelt terület célkitűzései terén elért eredményei, valamint megállapítható, hogy a VFP mely kedvezményezettjei és érdekelt felei szolgáltathatnak adatokat és információkat. </w:t>
      </w:r>
    </w:p>
    <w:p w:rsidR="00863DB0" w:rsidRDefault="00863DB0">
      <w:pPr>
        <w:jc w:val="left"/>
        <w:rPr>
          <w:rFonts w:eastAsia="Times New Roman" w:cs="Times New Roman"/>
          <w:szCs w:val="20"/>
        </w:rPr>
      </w:pPr>
      <w:r>
        <w:br w:type="page"/>
      </w:r>
    </w:p>
    <w:p w:rsidR="00A45935" w:rsidRPr="00D66501" w:rsidRDefault="00070F0D" w:rsidP="00A66F3C">
      <w:pPr>
        <w:pStyle w:val="HHeadingfigures"/>
      </w:pPr>
      <w:bookmarkStart w:id="106" w:name="_Toc508982299"/>
      <w:r w:rsidRPr="00070F0D">
        <w:rPr>
          <w:noProof/>
          <w:lang w:val="en-GB" w:eastAsia="en-GB"/>
        </w:rPr>
        <w:lastRenderedPageBreak/>
        <w:drawing>
          <wp:anchor distT="0" distB="0" distL="114300" distR="114300" simplePos="0" relativeHeight="251670528" behindDoc="0" locked="0" layoutInCell="1" allowOverlap="1">
            <wp:simplePos x="1828800" y="914400"/>
            <wp:positionH relativeFrom="margin">
              <wp:align>center</wp:align>
            </wp:positionH>
            <wp:positionV relativeFrom="margin">
              <wp:align>top</wp:align>
            </wp:positionV>
            <wp:extent cx="5731510" cy="31273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3127375"/>
                    </a:xfrm>
                    <a:prstGeom prst="rect">
                      <a:avLst/>
                    </a:prstGeom>
                  </pic:spPr>
                </pic:pic>
              </a:graphicData>
            </a:graphic>
          </wp:anchor>
        </w:drawing>
      </w:r>
      <w:r w:rsidR="00DD247A">
        <w:t>Az 1. sz. közös értékelési kérdéshez kapcsolódó beavatkozási logikára vonatkozó példa</w:t>
      </w:r>
      <w:bookmarkEnd w:id="106"/>
      <w:r w:rsidR="00DD247A">
        <w:t xml:space="preserve"> </w:t>
      </w:r>
    </w:p>
    <w:p w:rsidR="007D2A0C" w:rsidRDefault="007D2A0C" w:rsidP="00690E70">
      <w:pPr>
        <w:spacing w:after="120" w:line="280" w:lineRule="atLeast"/>
        <w:mirrorIndents/>
        <w:jc w:val="center"/>
        <w:rPr>
          <w:rFonts w:eastAsia="Times New Roman" w:cs="Times New Roman"/>
          <w:i/>
          <w:sz w:val="16"/>
          <w:szCs w:val="16"/>
          <w:lang w:eastAsia="de-DE"/>
        </w:rPr>
      </w:pP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1312" behindDoc="0" locked="0" layoutInCell="1" allowOverlap="1" wp14:anchorId="51BFF925" wp14:editId="4CC5E2D2">
                <wp:simplePos x="0" y="0"/>
                <wp:positionH relativeFrom="column">
                  <wp:posOffset>0</wp:posOffset>
                </wp:positionH>
                <wp:positionV relativeFrom="paragraph">
                  <wp:posOffset>302260</wp:posOffset>
                </wp:positionV>
                <wp:extent cx="5732780" cy="207645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076450"/>
                        </a:xfrm>
                        <a:prstGeom prst="round2DiagRect">
                          <a:avLst>
                            <a:gd name="adj1" fmla="val 11556"/>
                            <a:gd name="adj2" fmla="val 0"/>
                          </a:avLst>
                        </a:prstGeom>
                        <a:noFill/>
                        <a:ln w="25400" cap="flat" cmpd="sng" algn="ctr">
                          <a:solidFill>
                            <a:srgbClr val="F07E31"/>
                          </a:solidFill>
                          <a:prstDash val="solid"/>
                        </a:ln>
                        <a:effectLst/>
                      </wps:spPr>
                      <wps:txbx>
                        <w:txbxContent>
                          <w:p w:rsidR="005139CB" w:rsidRPr="00D33212" w:rsidRDefault="005139CB" w:rsidP="00863DB0">
                            <w:pPr>
                              <w:pStyle w:val="H-Standard"/>
                            </w:pPr>
                            <w:r>
                              <w:rPr>
                                <w:noProof/>
                                <w:lang w:val="en-GB" w:eastAsia="en-GB"/>
                              </w:rPr>
                              <w:drawing>
                                <wp:inline distT="0" distB="0" distL="0" distR="0" wp14:anchorId="27B8ACF0" wp14:editId="72CF45FB">
                                  <wp:extent cx="353060" cy="359410"/>
                                  <wp:effectExtent l="0" t="0" r="8890" b="2540"/>
                                  <wp:docPr id="87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Ebben a példában az M1 intézkedés alintézkedéséről („képzés és készségek elsajátítása”) és az M2 intézkedés alintézkedéséről („tanácsadók képzése”) megállapítást nyert, hogy az innovációs kapacitások kiépítésével támogathatják az innovációt. Az M16.7 és az M16.8 alintézkedés ötvözése az innovatív ötletek felkarolása révén támogathatja az innovációt, míg az M16.1 alintézkedés mindhárom irányvonal segítségével támogathatja az innovációt. A közösségvezérelt helyi fejlesztési stratégiákat támogató M19.2 alintézkedés a támogató környezethez járul hozzá. A LEADER keretében folytatott együttműködésre vonatkozó alintézkedés (M19.3) az innovatív ötletek együttműködésen alapuló felkarolásában segít, valamint innovációs kapacitást épít 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F925" id="Rectangle: Diagonal Corners Rounded 23" o:spid="_x0000_s1043" style="position:absolute;left:0;text-align:left;margin-left:0;margin-top:23.8pt;width:451.4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" adj="-11796480,,5400" path="m239955,l5732780,r,l5732780,1836495v,132523,-107432,239955,-239955,239955l,2076450r,l,239955c,107432,107432,,239955,xe" filled="f" strokecolor="#f07e31" strokeweight="2pt">
                <v:stroke joinstyle="miter"/>
                <v:formulas/>
                <v:path arrowok="t" o:connecttype="custom" o:connectlocs="239955,0;5732780,0;5732780,0;5732780,1836495;5492825,2076450;0,2076450;0,2076450;0,239955;239955,0" o:connectangles="0,0,0,0,0,0,0,0,0" textboxrect="0,0,5732780,2076450"/>
                <v:textbox>
                  <w:txbxContent>
                    <w:p w:rsidR="005139CB" w:rsidRPr="00D33212" w:rsidRDefault="005139CB" w:rsidP="00863DB0">
                      <w:pPr>
                        <w:pStyle w:val="H-Standard"/>
                      </w:pPr>
                      <w:r>
                        <w:rPr>
                          <w:noProof/>
                          <w:lang w:val="en-GB" w:eastAsia="en-GB"/>
                        </w:rPr>
                        <w:drawing>
                          <wp:inline distT="0" distB="0" distL="0" distR="0" wp14:anchorId="27B8ACF0" wp14:editId="72CF45FB">
                            <wp:extent cx="353060" cy="359410"/>
                            <wp:effectExtent l="0" t="0" r="8890" b="2540"/>
                            <wp:docPr id="87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Ebben a példában az M1 intézkedés alintézkedéséről („képzés és készségek elsajátítása”) és az M2 intézkedés alintézkedéséről („tanácsadók képzése”) megállapítást nyert, hogy az innovációs kapacitások kiépítésével támogathatják az innovációt. Az M16.7 és az M16.8 alintézkedés ötvözése az innovatív ötletek felkarolása révén támogathatja az innovációt, míg az M16.1 alintézkedés mindhárom irányvonal segítségével támogathatja az innovációt. A közösségvezérelt helyi fejlesztési stratégiákat támogató M19.2 alintézkedés a támogató környezethez járul hozzá. A LEADER keretében folytatott együttműködésre vonatkozó alintézkedés (M19.3) az innovatív ötletek együttműködésen alapuló felkarolásában segít, valamint innovációs kapacitást épít ki.</w:t>
                      </w:r>
                    </w:p>
                  </w:txbxContent>
                </v:textbox>
                <w10:wrap type="square"/>
              </v:shape>
            </w:pict>
          </mc:Fallback>
        </mc:AlternateContent>
      </w:r>
      <w:r>
        <w:rPr>
          <w:i/>
          <w:sz w:val="16"/>
          <w:szCs w:val="16"/>
        </w:rPr>
        <w:t>Forrás: Európai vidékfejlesztési értékelési támogató szolgálat,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Értékelési elemek </w:t>
      </w:r>
    </w:p>
    <w:p w:rsidR="00A45935" w:rsidRDefault="00734B11" w:rsidP="00E05D08">
      <w:pPr>
        <w:spacing w:before="120" w:after="120" w:line="280" w:lineRule="atLeast"/>
        <w:mirrorIndents/>
        <w:rPr>
          <w:rFonts w:eastAsia="Times New Roman" w:cs="Times New Roman"/>
          <w:szCs w:val="20"/>
        </w:rPr>
      </w:pPr>
      <w:r>
        <w:t xml:space="preserve">Az 1. sz. közös értékelési kérdéshez kapcsolódó közös elbírálási kritériumok és mutatók az M1, M2, M16 és az M19 intézkedés szerinti műveletek kimeneti szintjén maradnak. Előfordulhat, hogy ezen intézkedések eredményeinek értékeléséhez kiegészítő elbírálási kritériumokat és mutatókat kell kidolgozni (lásd az </w:t>
      </w:r>
      <w:hyperlink w:anchor="Evaluation_elements" w:history="1">
        <w:r>
          <w:rPr>
            <w:rStyle w:val="Hyperlink"/>
            <w:sz w:val="20"/>
            <w:szCs w:val="20"/>
          </w:rPr>
          <w:t>1. táblázatot</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A53E3">
      <w:pPr>
        <w:pStyle w:val="HHeadingtables"/>
      </w:pPr>
      <w:bookmarkStart w:id="107" w:name="Evaluation_elements"/>
      <w:bookmarkStart w:id="108" w:name="_Toc508982274"/>
      <w:r>
        <w:lastRenderedPageBreak/>
        <w:t>Az 1. sz. közös értékelési kérdéshez kapcsolódó értékelési elemek és információforrások</w:t>
      </w:r>
      <w:bookmarkEnd w:id="107"/>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Elbírálási kritériumok</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Mutatók</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Adatszükségletek</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Adatforrások</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Közös értékelési elemek (a közös monitoring- és értékelési rendszer szerinti, valamint a 2014–2020-as időszakra vonatkozó közös értékelési kérdésekről szóló munkadokumentumban javasolt elemek)</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VFP keretébe tartozó projektek innovatívak voltak, és kidolgozott tudásanyagon alapultak.</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Az 1305/2013/EU rendelet 14., 15. és 35. cikke szerinti kiadásoknak a VFP összes kiadásához viszonyított százalékos aránya.</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Kiegészítő mutató</w:t>
            </w:r>
            <w:r>
              <w:rPr>
                <w:color w:val="57825E"/>
                <w:sz w:val="18"/>
                <w:szCs w:val="18"/>
                <w14:textFill>
                  <w14:solidFill>
                    <w14:srgbClr w14:val="57825E">
                      <w14:lumMod w14:val="75000"/>
                    </w14:srgbClr>
                  </w14:solidFill>
                </w14:textFill>
              </w:rPr>
              <w:t xml:space="preserve">: A VFP keretében támogatott összes projektből az innovatív projektek százalékos aránya.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1., 2. és 16. intézkedés esetén a realizált kiadásokra vonatkozó adatok.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Amennyiben lehetséges, össze kell gyűjteni azokra az alintézkedésekre fordított kiadásokra vonatkozó adatokat, amelyekről megállapítást nyert, hogy támogathatják az innovációt.</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VFP monitoringrendszere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A kedvezményezettek kifizetési kérelmei (projektzárás)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Létrehoztak operatív csoportokat.</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EIP-műveletek száma.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EIP-műveletek száma (O16 adatelem).</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VFP monitoringrendszere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A kedvezményezettek kifizetési kérelmei (projektzárás)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 operatív csoportjaiban részt vevő különféle partnerek.</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Az EIP-műveletekben részt vevő partnerek száma és típusa.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Kiegészítő mutató</w:t>
            </w:r>
            <w:r>
              <w:rPr>
                <w:color w:val="57825E"/>
                <w:sz w:val="18"/>
                <w:szCs w:val="18"/>
                <w14:textFill>
                  <w14:solidFill>
                    <w14:srgbClr w14:val="57825E">
                      <w14:lumMod w14:val="75000"/>
                    </w14:srgbClr>
                  </w14:solidFill>
                </w14:textFill>
              </w:rPr>
              <w:t>: Az együttműködési projektekben részt vevő partnerek száma és típusa.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Partnerek száma és típusa.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VFP monitoringrendszere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A kedvezményezettek kifizetési kérelmei (projektzárás)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operatív csoportok gyakorlatának kivonatos összefoglalása.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 operatív csoportjai innovatív tevékenységeket hajtottak végre és terjesztettek.</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EIP-műveletek száma.</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Kiegészítő mutató</w:t>
            </w:r>
            <w:r>
              <w:rPr>
                <w:color w:val="57825E"/>
                <w:sz w:val="18"/>
                <w:szCs w:val="18"/>
              </w:rPr>
              <w:t xml:space="preserve">: Az EIP operatív csoportjai által végrehajtott és terjesztett, támogatásban részesülő innovatív tevékenységek száma, </w:t>
            </w:r>
            <w:r>
              <w:rPr>
                <w:color w:val="57825E"/>
                <w:sz w:val="18"/>
                <w:szCs w:val="18"/>
              </w:rPr>
              <w:lastRenderedPageBreak/>
              <w:t>típus, ágazat stb. szerinti bontásban.</w:t>
            </w:r>
          </w:p>
          <w:p w:rsidR="00F200A2" w:rsidRPr="00622614"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EIP-műveletek száma (O16 adatelem).</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VFP monitoringrendszere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A kedvezményezettek kifizetési kérelmei (projektzárás)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operatív csoportok gyakorlatának kivonatos összefoglalása.</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Kiegészítő értékelési elemek (választható)</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 operatív csoportjainak tagjai között vannak innovációban érdekelt felek.</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 operatív csoportjainak összetétele (a partnerek száma és típusa), ezen belül az innovációban érdekelt felek.</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Az operatív csoporton belüli partnerek száma.</w:t>
            </w:r>
          </w:p>
          <w:p w:rsidR="00A45935" w:rsidRPr="00E05D08" w:rsidRDefault="00A45935" w:rsidP="007E63EF">
            <w:pPr>
              <w:suppressAutoHyphens/>
              <w:spacing w:before="40" w:after="40"/>
              <w:jc w:val="left"/>
              <w:rPr>
                <w:rFonts w:cs="Arial"/>
                <w:sz w:val="18"/>
                <w:szCs w:val="18"/>
              </w:rPr>
            </w:pPr>
            <w:r>
              <w:rPr>
                <w:sz w:val="18"/>
                <w:szCs w:val="18"/>
              </w:rPr>
              <w:t>Az operatív csoporton belüli partnerek típusa.</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A VFP monitoringrendszere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A kedvezményezettek kifizetési kérelmei (projektzárás)</w:t>
            </w:r>
          </w:p>
          <w:p w:rsidR="00A45935" w:rsidRPr="00385368" w:rsidRDefault="00A45935" w:rsidP="007E63EF">
            <w:pPr>
              <w:suppressAutoHyphens/>
              <w:spacing w:before="40" w:after="40"/>
              <w:jc w:val="left"/>
              <w:rPr>
                <w:rFonts w:cs="Arial"/>
                <w:sz w:val="18"/>
                <w:szCs w:val="18"/>
              </w:rPr>
            </w:pPr>
            <w:r>
              <w:rPr>
                <w:sz w:val="18"/>
                <w:szCs w:val="18"/>
              </w:rPr>
              <w:t>Az EIP operatív csoportjainál és a helyi akciócsoportokkal végzett felmérések.</w:t>
            </w:r>
          </w:p>
          <w:p w:rsidR="00A45935" w:rsidRPr="00385368" w:rsidRDefault="00A45935" w:rsidP="007E63EF">
            <w:pPr>
              <w:suppressAutoHyphens/>
              <w:spacing w:before="40" w:after="40"/>
              <w:jc w:val="left"/>
              <w:rPr>
                <w:rFonts w:cs="Arial"/>
                <w:sz w:val="18"/>
                <w:szCs w:val="18"/>
              </w:rPr>
            </w:pPr>
            <w:r>
              <w:rPr>
                <w:sz w:val="18"/>
                <w:szCs w:val="18"/>
              </w:rPr>
              <w:t>Az operatív csoportok webalapú platformjai.</w:t>
            </w:r>
          </w:p>
          <w:p w:rsidR="00A45935" w:rsidRPr="00E05D08" w:rsidRDefault="00A45935" w:rsidP="007E63EF">
            <w:pPr>
              <w:suppressAutoHyphens/>
              <w:spacing w:before="40" w:after="40"/>
              <w:jc w:val="left"/>
              <w:rPr>
                <w:rFonts w:cs="Arial"/>
                <w:sz w:val="18"/>
                <w:szCs w:val="18"/>
              </w:rPr>
            </w:pPr>
            <w:r>
              <w:rPr>
                <w:sz w:val="18"/>
                <w:szCs w:val="18"/>
              </w:rPr>
              <w:t>Az operatív csoportok gyakorlatának kivonatos összefoglalása.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helyi akciócsoportok támogattak innovatív projekteket.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helyi akciócsoportok által végrehajtott projektek és az innovatívként megjelölt (a támogathatósági és a kiválasztási kritériumokat teljesítő) kedvezményezettjeik száma.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helyi akciócsoportok projektjeire vonatkozó monitoringadatok.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helyi akciócsoportok műveleteit tartalmazó adatbázis.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innovációban érdekelt felek képzésben részesültek.</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Képzésben részesült innovációban érdekelt felek száma és típusa.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Képzésben részesült érdekelt felek száma és típusa.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VFP monitoringrendszere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A kedvezményezettek kifizetési kérelmei (projektzárás)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irányító hatósággal és a képzésszolgáltatókkal bonyolított interjúk, felmérések.</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Az M1, M2, M16 és M19 intézkedéssel megvalósított innováció-támogatás kulcsfontosságú </w:t>
            </w:r>
            <w:r>
              <w:rPr>
                <w:sz w:val="18"/>
                <w:szCs w:val="18"/>
                <w14:textFill>
                  <w14:solidFill>
                    <w14:srgbClr w14:val="373737">
                      <w14:lumMod w14:val="75000"/>
                    </w14:srgbClr>
                  </w14:solidFill>
                </w14:textFill>
              </w:rPr>
              <w:lastRenderedPageBreak/>
              <w:t>sikertényezői.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 vidéki térségeken belüli innováció-támogatáshoz hozzájáruló kulcsfontosságú tényezők leírása.</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Kvalitatív információk.</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Az M1 és az M2 innovációval kapcsolatos alintézkedéseinek kedvezményezettjeivel és az operatív csoportokkal bonyolított interjúk, felmérések és azokkal létrehozott fókuszcsoportok.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EIP-AGRI és a helyi akciócsoportok.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Az operatív csoportok gyakorlatának kivonatos összefoglalása.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helyi akciócsoportok műveleteit tartalmazó adatbázis.</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Az 1. sz. közös értékelési kérdés megválaszolásához javasolt értékelési módszertan </w:t>
      </w:r>
    </w:p>
    <w:p w:rsidR="00A45935" w:rsidRPr="00E05D08" w:rsidRDefault="00A45935" w:rsidP="00E05D08">
      <w:pPr>
        <w:spacing w:after="120" w:line="280" w:lineRule="atLeast"/>
        <w:mirrorIndents/>
        <w:rPr>
          <w:rFonts w:eastAsia="Times New Roman" w:cs="Times New Roman"/>
          <w:szCs w:val="20"/>
        </w:rPr>
      </w:pPr>
      <w:r>
        <w:t>Az 1. sz. közös értékelési kérdéshez kapcsolódó közös mutatók kiszámítását az „</w:t>
      </w:r>
      <w:hyperlink r:id="rId39" w:history="1">
        <w:r>
          <w:rPr>
            <w:color w:val="F07E31"/>
            <w:szCs w:val="20"/>
            <w:u w:val="single"/>
          </w:rPr>
          <w:t>Assessment of RDP results: how to prepare for reporting on evaluation in 2017</w:t>
        </w:r>
      </w:hyperlink>
      <w:r>
        <w:t xml:space="preserve">” (A VFP eredményeinek értékelése: felkészülés a 2017. évi értékelésre vonatkozó jelentéstételre) című iránymutatás 11. melléklete ismerteti. </w:t>
      </w:r>
    </w:p>
    <w:p w:rsidR="00A45935" w:rsidRPr="00E05D08" w:rsidRDefault="00A45935" w:rsidP="00E05D08">
      <w:pPr>
        <w:spacing w:after="120" w:line="280" w:lineRule="atLeast"/>
        <w:mirrorIndents/>
        <w:rPr>
          <w:rFonts w:eastAsia="Times New Roman" w:cs="Times New Roman"/>
          <w:szCs w:val="20"/>
        </w:rPr>
      </w:pPr>
      <w:r>
        <w:t>Az 1. sz. közös értékelési kérdés innovációval kapcsolatos részének értékeléséhez javasolt lépések:</w:t>
      </w:r>
    </w:p>
    <w:p w:rsidR="00A45935" w:rsidRPr="00331223" w:rsidRDefault="00A45935" w:rsidP="00C202EC">
      <w:pPr>
        <w:pStyle w:val="Hlistbullet"/>
      </w:pPr>
      <w:r>
        <w:rPr>
          <w:b/>
        </w:rPr>
        <w:t xml:space="preserve">1. LÉPÉS: Határozza meg </w:t>
      </w:r>
      <w:r>
        <w:t xml:space="preserve">az M1, M2, M16 és M19 intézkedések/alintézkedések (innovatívként kategorizált műveleteket végrehajtott) </w:t>
      </w:r>
      <w:r>
        <w:rPr>
          <w:b/>
        </w:rPr>
        <w:t>kedvezményezettjeinek innovációs potenciálját</w:t>
      </w:r>
      <w:r>
        <w:t xml:space="preserve">. </w:t>
      </w:r>
    </w:p>
    <w:p w:rsidR="00A45935" w:rsidRPr="00331223" w:rsidRDefault="00A45935" w:rsidP="00C202EC">
      <w:pPr>
        <w:pStyle w:val="Hlistbullet"/>
      </w:pPr>
      <w:r>
        <w:rPr>
          <w:b/>
        </w:rPr>
        <w:t>2. LÉPÉS: Számszerűsítse a kimeneti és a célmutatókat</w:t>
      </w:r>
      <w:r>
        <w:t xml:space="preserve"> a VFP/a helyi akciócsoportok műveleteit tartalmazó adatbázis (innovatívként kategorizált műveleteket végrehajtott) kedvezményezettekre vonatkozó monitoringadatai segítségével. A műveleteket tartalmazó adatbázisnak az innováció értékeléséhez történő felhasználása érdekében az irányító hatóságok dönthetnek úgy, hogy innovációhoz kapcsolódó adatelemekkel egészítik ki ezeket az adatokat, és innovációhoz kapcsolódó adatelemeket gyűjtenek. </w:t>
      </w:r>
    </w:p>
    <w:p w:rsidR="00A45935" w:rsidRPr="00331223" w:rsidRDefault="00A45935" w:rsidP="00C202EC">
      <w:pPr>
        <w:pStyle w:val="Hlistbullet"/>
      </w:pPr>
      <w:r>
        <w:rPr>
          <w:b/>
        </w:rPr>
        <w:t>3. LÉPÉS: Meghatározott módszerek segítségével gyűjtsön bizonyítékokat a közös értékelési kérdés megválaszolásához.</w:t>
      </w:r>
      <w:r>
        <w:t xml:space="preserve"> Felmérések, fókuszcsoportok és például a Delphi-módszer segíthet a javasolt elbírálási kritériumokhoz és kiegészítő eredménymutatókhoz történő adatgyűjtés során. E módszerek alkalmazásakor figyelembe kell venni az adatok minőségének és érvényességének kérdését, ha az adatokat a kedvezményezettek jelentik (lásd a </w:t>
      </w:r>
      <w:hyperlink w:anchor="Recommended_Methods" w:history="1">
        <w:r>
          <w:rPr>
            <w:rStyle w:val="Hyperlink"/>
            <w:sz w:val="20"/>
          </w:rPr>
          <w:t>2. táblázatot</w:t>
        </w:r>
      </w:hyperlink>
      <w:r>
        <w:t xml:space="preserve">). </w:t>
      </w:r>
    </w:p>
    <w:p w:rsidR="00A45935" w:rsidRPr="00C202EC" w:rsidRDefault="00A45935" w:rsidP="00C202EC">
      <w:pPr>
        <w:pStyle w:val="Hlistbullet"/>
        <w:rPr>
          <w:b/>
          <w:sz w:val="16"/>
        </w:rPr>
      </w:pPr>
      <w:r>
        <w:rPr>
          <w:b/>
        </w:rPr>
        <w:t>4. LÉPÉS: Elemezze és értelmezze az összegyűjtött bizonyítékokat</w:t>
      </w:r>
      <w:r>
        <w:t xml:space="preserve">, és azokat használja fel az 1. sz. közös értékelési kérdés innováció-támogatással kapcsolatos vonatkozásának megválaszolásához. </w:t>
      </w:r>
    </w:p>
    <w:p w:rsidR="00A45935" w:rsidRPr="00FA6691" w:rsidRDefault="00A45935" w:rsidP="00FA6691">
      <w:pPr>
        <w:pStyle w:val="HHeadingtables"/>
        <w:rPr>
          <w:color w:val="6F6F6F"/>
          <w:sz w:val="18"/>
          <w:szCs w:val="18"/>
        </w:rPr>
      </w:pPr>
      <w:bookmarkStart w:id="109" w:name="Recommended_Methods"/>
      <w:bookmarkStart w:id="110" w:name="_Toc508982275"/>
      <w:bookmarkEnd w:id="109"/>
      <w:r>
        <w:rPr>
          <w:color w:val="6F6F6F"/>
          <w:sz w:val="18"/>
          <w:szCs w:val="18"/>
        </w:rPr>
        <w:t>Az 1. sz. közös értékelési kérdéshez ajánlott módszerek</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54"/>
        <w:gridCol w:w="6459"/>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Módszerek</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A módszerek alkalmazására vonatkozó ötletek</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Az M1 és M2 intézkedést lebonyolítóknál végzett felmérések </w:t>
            </w:r>
          </w:p>
          <w:p w:rsidR="00A45935" w:rsidRPr="00385368" w:rsidRDefault="00A45935" w:rsidP="007E63EF">
            <w:pPr>
              <w:spacing w:after="120" w:line="280" w:lineRule="atLeast"/>
              <w:ind w:right="116"/>
              <w:mirrorIndents/>
              <w:jc w:val="left"/>
              <w:rPr>
                <w:sz w:val="18"/>
                <w:szCs w:val="18"/>
              </w:rPr>
            </w:pPr>
            <w:r>
              <w:rPr>
                <w:sz w:val="18"/>
                <w:szCs w:val="18"/>
              </w:rPr>
              <w:t>Az M1 és M2 intézkedés kedvezményezettjeinél végzett felmérések</w:t>
            </w:r>
          </w:p>
          <w:p w:rsidR="00A45935" w:rsidRPr="00385368" w:rsidRDefault="00A45935" w:rsidP="007E63EF">
            <w:pPr>
              <w:spacing w:after="120" w:line="280" w:lineRule="atLeast"/>
              <w:ind w:right="116"/>
              <w:mirrorIndents/>
              <w:jc w:val="left"/>
              <w:rPr>
                <w:sz w:val="18"/>
                <w:szCs w:val="18"/>
              </w:rPr>
            </w:pPr>
            <w:r>
              <w:rPr>
                <w:sz w:val="18"/>
                <w:szCs w:val="18"/>
              </w:rPr>
              <w:t>Az operatív csoportok együttműködési projektekre irányuló felmérések</w:t>
            </w:r>
          </w:p>
          <w:p w:rsidR="00A45935" w:rsidRPr="00385368" w:rsidRDefault="00A45935" w:rsidP="007E63EF">
            <w:pPr>
              <w:spacing w:after="120" w:line="280" w:lineRule="atLeast"/>
              <w:ind w:right="116"/>
              <w:mirrorIndents/>
              <w:jc w:val="left"/>
              <w:rPr>
                <w:sz w:val="18"/>
                <w:szCs w:val="18"/>
              </w:rPr>
            </w:pPr>
            <w:r>
              <w:rPr>
                <w:sz w:val="18"/>
                <w:szCs w:val="18"/>
              </w:rPr>
              <w:t xml:space="preserve">A helyi akciócsoportok és a kedvezményezettjeik körében végzett felmérések </w:t>
            </w:r>
          </w:p>
        </w:tc>
        <w:tc>
          <w:tcPr>
            <w:tcW w:w="6770" w:type="dxa"/>
          </w:tcPr>
          <w:p w:rsidR="00A45935" w:rsidRPr="00385368" w:rsidRDefault="00A45935" w:rsidP="00C202EC">
            <w:pPr>
              <w:pStyle w:val="Hlistbullet"/>
              <w:rPr>
                <w:sz w:val="18"/>
                <w:szCs w:val="18"/>
              </w:rPr>
            </w:pPr>
            <w:r>
              <w:rPr>
                <w:sz w:val="18"/>
                <w:szCs w:val="18"/>
              </w:rPr>
              <w:t xml:space="preserve">Válassza ki az M1 és az M2 intézkedés innovációval kapcsolatos alintézkedéseinek vezetőit/kedvezményezettjeit a felmérés lebonyolításához. </w:t>
            </w:r>
          </w:p>
          <w:p w:rsidR="00A45935" w:rsidRPr="00385368" w:rsidRDefault="00A45935" w:rsidP="00C202EC">
            <w:pPr>
              <w:pStyle w:val="Hlistbullet"/>
              <w:rPr>
                <w:sz w:val="18"/>
                <w:szCs w:val="18"/>
              </w:rPr>
            </w:pPr>
            <w:r>
              <w:rPr>
                <w:sz w:val="18"/>
                <w:szCs w:val="18"/>
              </w:rPr>
              <w:t>Válasszon ki együttműködési projektekből álló mintát (például ágazat, az operatív csoportok mérete, földrajzi elhelyezkedés stb. szerint) annak érdekében, hogy a mutatókhoz adatokat és információkat gyűjtsön a kedvezményezettektől a felmérés keretében.</w:t>
            </w:r>
          </w:p>
          <w:p w:rsidR="00A45935" w:rsidRPr="00385368" w:rsidRDefault="00A45935" w:rsidP="00C202EC">
            <w:pPr>
              <w:pStyle w:val="Hlistbullet"/>
              <w:rPr>
                <w:sz w:val="18"/>
                <w:szCs w:val="18"/>
              </w:rPr>
            </w:pPr>
            <w:r>
              <w:rPr>
                <w:sz w:val="18"/>
                <w:szCs w:val="18"/>
              </w:rPr>
              <w:t>Állítsa össze a felméréseket, amelyekbe arra vonatkozó kiegészítendő kérdéseket is foglaljon, hogy az M1 és az M2 intézkedés szerinti tevékenységek, operatív csoportok és helyi akciócsoportok hogyan járultak hozzá: a) az innovatív ötletek megosztásához, b) az innovációs kapacitás kiépítéséhez, c) az innovációt támogató környezet létrehozásához.</w:t>
            </w:r>
          </w:p>
          <w:p w:rsidR="00A45935" w:rsidRPr="00385368" w:rsidRDefault="00A45935" w:rsidP="00C202EC">
            <w:pPr>
              <w:pStyle w:val="Hlistbullet"/>
              <w:rPr>
                <w:sz w:val="18"/>
                <w:szCs w:val="18"/>
              </w:rPr>
            </w:pPr>
            <w:r>
              <w:rPr>
                <w:sz w:val="18"/>
                <w:szCs w:val="18"/>
              </w:rPr>
              <w:t>A felmérések megállapításait használja fel a következőkhöz:</w:t>
            </w:r>
          </w:p>
          <w:p w:rsidR="00A45935" w:rsidRPr="00385368" w:rsidRDefault="00A45935" w:rsidP="00C202EC">
            <w:pPr>
              <w:pStyle w:val="Hlistbullet2"/>
              <w:rPr>
                <w:sz w:val="18"/>
                <w:szCs w:val="18"/>
              </w:rPr>
            </w:pPr>
            <w:r>
              <w:rPr>
                <w:sz w:val="18"/>
                <w:szCs w:val="18"/>
              </w:rPr>
              <w:t>értékelje, hogy az M1 intézkedés szerinti képzési és tájékoztatási tevékenységek különböző formái hogyan járulnak hozzá az innováció támogatásához;</w:t>
            </w:r>
          </w:p>
          <w:p w:rsidR="00A45935" w:rsidRPr="00385368" w:rsidRDefault="00A45935" w:rsidP="00C202EC">
            <w:pPr>
              <w:pStyle w:val="Hlistbullet2"/>
              <w:rPr>
                <w:sz w:val="18"/>
                <w:szCs w:val="18"/>
              </w:rPr>
            </w:pPr>
            <w:r>
              <w:rPr>
                <w:sz w:val="18"/>
                <w:szCs w:val="18"/>
              </w:rPr>
              <w:t xml:space="preserve">értékelje, hogy a tanácsadási szolgáltatások hogyan járulnak </w:t>
            </w:r>
            <w:r>
              <w:rPr>
                <w:sz w:val="18"/>
                <w:szCs w:val="18"/>
              </w:rPr>
              <w:lastRenderedPageBreak/>
              <w:t>hozzá az innováció támogatásához;</w:t>
            </w:r>
          </w:p>
          <w:p w:rsidR="00A45935" w:rsidRPr="00385368" w:rsidRDefault="00A45935" w:rsidP="00C202EC">
            <w:pPr>
              <w:pStyle w:val="Hlistbullet2"/>
              <w:rPr>
                <w:sz w:val="18"/>
                <w:szCs w:val="18"/>
              </w:rPr>
            </w:pPr>
            <w:r>
              <w:rPr>
                <w:sz w:val="18"/>
                <w:szCs w:val="18"/>
              </w:rPr>
              <w:t xml:space="preserve">értékelje, hogy az operatív csoportok hogyan járulnak hozzá hasznosítható eredmények előállításához; </w:t>
            </w:r>
          </w:p>
          <w:p w:rsidR="00A45935" w:rsidRPr="00385368" w:rsidRDefault="00A45935" w:rsidP="00C202EC">
            <w:pPr>
              <w:pStyle w:val="Hlistbullet2"/>
            </w:pPr>
            <w:r>
              <w:rPr>
                <w:sz w:val="18"/>
                <w:szCs w:val="18"/>
              </w:rPr>
              <w:t>értékelje, hogy a helyi akciócsoportok hogyan ösztönzik az innovációt közösségvezérelt helyi fejlesztési stratégiákkal vagy az általuk lebonyolított és szervezett tevékenységekkel.</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Fókuszcsoportok</w:t>
            </w:r>
          </w:p>
        </w:tc>
        <w:tc>
          <w:tcPr>
            <w:tcW w:w="6770" w:type="dxa"/>
          </w:tcPr>
          <w:p w:rsidR="00A45935" w:rsidRPr="00385368" w:rsidRDefault="00A45935" w:rsidP="00C202EC">
            <w:pPr>
              <w:pStyle w:val="Hlistbullet"/>
              <w:rPr>
                <w:sz w:val="18"/>
                <w:szCs w:val="18"/>
              </w:rPr>
            </w:pPr>
            <w:r>
              <w:rPr>
                <w:sz w:val="18"/>
                <w:szCs w:val="18"/>
              </w:rPr>
              <w:t>Vonjon be innovációs szereplőket (például innovációtámogató szolgálatokat, innovációközvetítőként eljáró tanácsadókat, kutató- és innovációs központokat stb.) a fókuszcsoportokba.</w:t>
            </w:r>
          </w:p>
          <w:p w:rsidR="00A45935" w:rsidRPr="00385368" w:rsidRDefault="00A45935" w:rsidP="00C202EC">
            <w:pPr>
              <w:pStyle w:val="Hlistbullet"/>
              <w:rPr>
                <w:sz w:val="18"/>
                <w:szCs w:val="18"/>
              </w:rPr>
            </w:pPr>
            <w:r>
              <w:rPr>
                <w:sz w:val="18"/>
                <w:szCs w:val="18"/>
              </w:rPr>
              <w:t>Elemezze, hogy az M1 és M2 releváns alintézkedései, valamint az operatív csoportok és a helyi akciócsoportok hogyan befolyásolják az innovációs kapacitást és az innovációt támogató környezet létrehozását.</w:t>
            </w:r>
          </w:p>
          <w:p w:rsidR="00A45935" w:rsidRPr="00385368" w:rsidRDefault="00A45935" w:rsidP="00C202EC">
            <w:pPr>
              <w:pStyle w:val="Hlistbullet"/>
              <w:rPr>
                <w:sz w:val="18"/>
                <w:szCs w:val="18"/>
              </w:rPr>
            </w:pPr>
            <w:r>
              <w:rPr>
                <w:sz w:val="18"/>
                <w:szCs w:val="18"/>
              </w:rPr>
              <w:t>Mérlegelje a tematikus fókuszcsoportok (például az innovációközvetítéssel foglalkozó fókuszcsoport) létrehozásának lehetőségét).</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Delphi-módszer</w:t>
            </w:r>
          </w:p>
        </w:tc>
        <w:tc>
          <w:tcPr>
            <w:tcW w:w="6770" w:type="dxa"/>
          </w:tcPr>
          <w:p w:rsidR="00A45935" w:rsidRPr="00385368" w:rsidRDefault="00A45935" w:rsidP="00C202EC">
            <w:pPr>
              <w:pStyle w:val="Hlistbullet"/>
              <w:rPr>
                <w:sz w:val="18"/>
                <w:szCs w:val="18"/>
              </w:rPr>
            </w:pPr>
            <w:r>
              <w:rPr>
                <w:sz w:val="18"/>
                <w:szCs w:val="18"/>
              </w:rPr>
              <w:t>Vonjon be szakértőket (például az intézkedésekben és az együttműködési projektekben részt vevő szakértőket, de más innovációs szakértőket is, például tudományos szakembereket).</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Az éves végrehajtási jelentésekben 2017-ben közölt értékelési gyakorlatok</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w:lastRenderedPageBreak/>
        <mc:AlternateContent>
          <mc:Choice Requires="wps">
            <w:drawing>
              <wp:inline distT="0" distB="0" distL="0" distR="0" wp14:anchorId="39F6C028" wp14:editId="57336FA5">
                <wp:extent cx="5878195" cy="694372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6943725"/>
                        </a:xfrm>
                        <a:prstGeom prst="round2DiagRect">
                          <a:avLst>
                            <a:gd name="adj1" fmla="val 5521"/>
                            <a:gd name="adj2" fmla="val 0"/>
                          </a:avLst>
                        </a:prstGeom>
                        <a:noFill/>
                        <a:ln w="25400" cap="flat" cmpd="sng" algn="ctr">
                          <a:solidFill>
                            <a:srgbClr val="F07E31"/>
                          </a:solidFill>
                          <a:prstDash val="solid"/>
                        </a:ln>
                        <a:effectLst/>
                      </wps:spPr>
                      <wps:txbx>
                        <w:txbxContent>
                          <w:p w:rsidR="005139CB" w:rsidRPr="00C202EC" w:rsidRDefault="005139CB"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87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139CB" w:rsidRPr="00C202EC" w:rsidRDefault="005139CB" w:rsidP="00C202EC">
                            <w:pPr>
                              <w:pStyle w:val="Normal12PTcouleurgris"/>
                              <w:spacing w:after="120"/>
                              <w:ind w:left="567" w:hanging="567"/>
                              <w:rPr>
                                <w:b/>
                                <w:color w:val="F07E31"/>
                                <w:sz w:val="18"/>
                              </w:rPr>
                            </w:pPr>
                            <w:r>
                              <w:rPr>
                                <w:b/>
                                <w:color w:val="F07E31"/>
                                <w:sz w:val="18"/>
                              </w:rPr>
                              <w:t>Az innovációs potenciál meghatározására vonatkozó példák</w:t>
                            </w:r>
                          </w:p>
                          <w:p w:rsidR="005139CB" w:rsidRPr="00C202EC" w:rsidRDefault="005139CB" w:rsidP="00C202EC">
                            <w:pPr>
                              <w:pStyle w:val="Hlistbullet"/>
                              <w:rPr>
                                <w:sz w:val="18"/>
                                <w:szCs w:val="18"/>
                              </w:rPr>
                            </w:pPr>
                            <w:r>
                              <w:rPr>
                                <w:b/>
                                <w:sz w:val="18"/>
                                <w:szCs w:val="18"/>
                              </w:rPr>
                              <w:t>Kasztília és León (Spanyolország)</w:t>
                            </w:r>
                            <w:r>
                              <w:rPr>
                                <w:sz w:val="18"/>
                                <w:szCs w:val="18"/>
                              </w:rPr>
                              <w:t xml:space="preserve"> – a helyi akciócsoportok innovációs potenciálját emeli ki, és azt ajánlja, hogy a helyi fejlesztési stratégiákat kell elemezni a helyi akciócsoportoknak az 1A kiemelt terület innovációval kapcsolatos célkitűzéseihez való hozzájárulását fokozó stratégiák keretében végrehajtott művelettípusok meghatározása érdekében.</w:t>
                            </w:r>
                            <w:r>
                              <w:rPr>
                                <w:b/>
                                <w:sz w:val="18"/>
                                <w:szCs w:val="18"/>
                              </w:rPr>
                              <w:t xml:space="preserve"> </w:t>
                            </w:r>
                          </w:p>
                          <w:p w:rsidR="005139CB" w:rsidRPr="00C202EC" w:rsidRDefault="005139CB" w:rsidP="00C202EC">
                            <w:pPr>
                              <w:pStyle w:val="Hlistbullet"/>
                              <w:rPr>
                                <w:sz w:val="18"/>
                                <w:szCs w:val="18"/>
                              </w:rPr>
                            </w:pPr>
                            <w:r>
                              <w:rPr>
                                <w:b/>
                                <w:sz w:val="18"/>
                                <w:szCs w:val="18"/>
                              </w:rPr>
                              <w:t>Kanári-szigetek (Spanyolország)</w:t>
                            </w:r>
                            <w:r>
                              <w:rPr>
                                <w:sz w:val="18"/>
                                <w:szCs w:val="18"/>
                              </w:rPr>
                              <w:t xml:space="preserve"> – szintén a helyi akciócsoportok innovációs potenciálját emeli ki, és azt ajánlja, hogy kerüljön a monitoring- és értékelési rendszerbe egy olyan változó, amely jelzi, ha a helyi akciócsoportok által az M19 intézkedés szerinti helyi fejlesztési stratégiák keretében végrehajtott műveletek innovatívak.</w:t>
                            </w:r>
                          </w:p>
                          <w:p w:rsidR="005139CB" w:rsidRPr="00C202EC" w:rsidRDefault="005139CB" w:rsidP="003F6478">
                            <w:pPr>
                              <w:pStyle w:val="HStandard"/>
                              <w:ind w:left="567" w:hanging="567"/>
                              <w:rPr>
                                <w:b/>
                                <w:color w:val="F07E31"/>
                                <w:sz w:val="18"/>
                                <w:szCs w:val="18"/>
                              </w:rPr>
                            </w:pPr>
                            <w:r>
                              <w:rPr>
                                <w:b/>
                                <w:color w:val="F07E31"/>
                                <w:sz w:val="18"/>
                                <w:szCs w:val="18"/>
                              </w:rPr>
                              <w:t xml:space="preserve">Kiegészítő értékelési elemekre vonatkozó példák </w:t>
                            </w:r>
                          </w:p>
                          <w:p w:rsidR="005139CB" w:rsidRPr="00C202EC" w:rsidRDefault="005139CB" w:rsidP="00C202EC">
                            <w:pPr>
                              <w:pStyle w:val="Hlistbullet"/>
                              <w:rPr>
                                <w:sz w:val="18"/>
                                <w:szCs w:val="18"/>
                              </w:rPr>
                            </w:pPr>
                            <w:r>
                              <w:rPr>
                                <w:b/>
                                <w:sz w:val="18"/>
                                <w:szCs w:val="18"/>
                              </w:rPr>
                              <w:t>Bajorország (Németország)</w:t>
                            </w:r>
                            <w:r>
                              <w:rPr>
                                <w:sz w:val="18"/>
                                <w:szCs w:val="18"/>
                              </w:rPr>
                              <w:t xml:space="preserve"> – említést tesz a helyi akciócsoport szintjén végrehajtott innovációhoz kapcsolódó kiegészítő elbírálási kritériumok használatáról (például a helyi akciócsoport által alkalmazott új, több ágazatot érintő projekteket, új folyamatokat/technikákat teszteltek). Kiegészítő eredménymutatót alkalmaztak (új ötletek/megoldások, innovációk – M19). A mutatót számszerűsítették, és az információkat a) a helyi akciócsoportok vezetőivel bonyolított online felmérés; b) kiválasztott helyi akciócsoportokkal bonyolított félig strukturált interjúk segítségével gyűjtötték össze. </w:t>
                            </w:r>
                          </w:p>
                          <w:p w:rsidR="005139CB" w:rsidRPr="00C202EC" w:rsidRDefault="005139CB" w:rsidP="00C202EC">
                            <w:pPr>
                              <w:pStyle w:val="Hlistbullet"/>
                              <w:rPr>
                                <w:sz w:val="18"/>
                                <w:szCs w:val="18"/>
                              </w:rPr>
                            </w:pPr>
                            <w:r>
                              <w:rPr>
                                <w:b/>
                                <w:sz w:val="18"/>
                                <w:szCs w:val="18"/>
                              </w:rPr>
                              <w:t>Cseh Köztársaság</w:t>
                            </w:r>
                            <w:r>
                              <w:rPr>
                                <w:sz w:val="18"/>
                                <w:szCs w:val="18"/>
                              </w:rPr>
                              <w:t xml:space="preserve"> – „az innovációra összpontosító tevékenységeket befejező résztvevők száma” kiegészítő eredménymutatóhoz a műveleteket tartalmazó adatbázisból végzett adatgyűjtést ismerteti. Az innovációval kapcsolatos információgyűjtéshez a támogatott projektek kedvezményezettjei körében végzett felmérésről is említést tesz.</w:t>
                            </w:r>
                          </w:p>
                          <w:p w:rsidR="005139CB" w:rsidRPr="00C202EC" w:rsidRDefault="005139CB" w:rsidP="00142A64">
                            <w:pPr>
                              <w:pStyle w:val="HStandard"/>
                              <w:rPr>
                                <w:b/>
                                <w:sz w:val="18"/>
                                <w:szCs w:val="18"/>
                              </w:rPr>
                            </w:pPr>
                            <w:r>
                              <w:rPr>
                                <w:b/>
                                <w:color w:val="F07E31"/>
                                <w:sz w:val="18"/>
                                <w:szCs w:val="18"/>
                              </w:rPr>
                              <w:t>Módszerekre vonatkozó példák</w:t>
                            </w:r>
                          </w:p>
                          <w:p w:rsidR="005139CB" w:rsidRPr="00C202EC" w:rsidRDefault="005139CB" w:rsidP="00C202EC">
                            <w:pPr>
                              <w:pStyle w:val="Hlistbullet"/>
                              <w:rPr>
                                <w:sz w:val="18"/>
                                <w:szCs w:val="18"/>
                              </w:rPr>
                            </w:pPr>
                            <w:r>
                              <w:rPr>
                                <w:b/>
                                <w:sz w:val="18"/>
                                <w:szCs w:val="18"/>
                              </w:rPr>
                              <w:t>Kasztília és León (Spanyolország)</w:t>
                            </w:r>
                            <w:r>
                              <w:rPr>
                                <w:sz w:val="18"/>
                                <w:szCs w:val="18"/>
                              </w:rPr>
                              <w:t xml:space="preserve"> – azt ajánlja, hogy minden intézkedésvezetővel bonyolítsanak interjút, és kerüljenek kiegészítő adatelemek a monitoringrendszerbe, ami lehetővé teszi annak értékelését, hogy a különböző műveletek hogyan foglalnak magukban innovatív elemeket és hogyan járulnak hozzá az innovációval kapcsolatos célkitűzésekhez.</w:t>
                            </w:r>
                          </w:p>
                          <w:p w:rsidR="005139CB" w:rsidRPr="00C202EC" w:rsidRDefault="005139CB" w:rsidP="00C202EC">
                            <w:pPr>
                              <w:pStyle w:val="Hlistbullet"/>
                            </w:pPr>
                            <w:r>
                              <w:rPr>
                                <w:b/>
                                <w:sz w:val="18"/>
                                <w:szCs w:val="18"/>
                              </w:rPr>
                              <w:t>Kasztília-La Mancha (Spanyolország)</w:t>
                            </w:r>
                            <w:r>
                              <w:rPr>
                                <w:sz w:val="18"/>
                                <w:szCs w:val="18"/>
                              </w:rPr>
                              <w:t xml:space="preserve"> – a képzésben részt vevőknek megküldött felmérést használt többek között a tudásátadási és a tájékoztatási tevékenységek innovációhoz való hozzájárulásának értékeléséhez. A felmérés lehetővé tette az innovatív képzések értékelését.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2.85pt;height:546.75pt;visibility:visible;mso-wrap-style:square;mso-left-percent:-10001;mso-top-percent:-10001;mso-position-horizontal:absolute;mso-position-horizontal-relative:char;mso-position-vertical:absolute;mso-position-vertical-relative:line;mso-left-percent:-10001;mso-top-percent:-10001;v-text-anchor:middle" coordsize="5878195,694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" adj="-11796480,,5400" path="m324535,l5878195,r,l5878195,6619190v,179236,-145299,324535,-324535,324535l,6943725r,l,324535c,145299,145299,,324535,xe" filled="f" strokecolor="#f07e31" strokeweight="2pt">
                <v:stroke joinstyle="miter"/>
                <v:formulas/>
                <v:path arrowok="t" o:connecttype="custom" o:connectlocs="324535,0;5878195,0;5878195,0;5878195,6619190;5553660,6943725;0,6943725;0,6943725;0,324535;324535,0" o:connectangles="0,0,0,0,0,0,0,0,0" textboxrect="0,0,5878195,6943725"/>
                <v:textbox>
                  <w:txbxContent>
                    <w:p w:rsidR="005139CB" w:rsidRPr="00C202EC" w:rsidRDefault="005139CB"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87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139CB" w:rsidRPr="00C202EC" w:rsidRDefault="005139CB" w:rsidP="00C202EC">
                      <w:pPr>
                        <w:pStyle w:val="Normal12PTcouleurgris"/>
                        <w:spacing w:after="120"/>
                        <w:ind w:left="567" w:hanging="567"/>
                        <w:rPr>
                          <w:b/>
                          <w:color w:val="F07E31"/>
                          <w:sz w:val="18"/>
                        </w:rPr>
                      </w:pPr>
                      <w:r>
                        <w:rPr>
                          <w:b/>
                          <w:color w:val="F07E31"/>
                          <w:sz w:val="18"/>
                        </w:rPr>
                        <w:t>Az innovációs potenciál meghatározására vonatkozó példák</w:t>
                      </w:r>
                    </w:p>
                    <w:p w:rsidR="005139CB" w:rsidRPr="00C202EC" w:rsidRDefault="005139CB" w:rsidP="00C202EC">
                      <w:pPr>
                        <w:pStyle w:val="Hlistbullet"/>
                        <w:rPr>
                          <w:sz w:val="18"/>
                          <w:szCs w:val="18"/>
                        </w:rPr>
                      </w:pPr>
                      <w:r>
                        <w:rPr>
                          <w:b/>
                          <w:sz w:val="18"/>
                          <w:szCs w:val="18"/>
                        </w:rPr>
                        <w:t>Kasztília és León (Spanyolország)</w:t>
                      </w:r>
                      <w:r>
                        <w:rPr>
                          <w:sz w:val="18"/>
                          <w:szCs w:val="18"/>
                        </w:rPr>
                        <w:t xml:space="preserve"> – a helyi akciócsoportok innovációs potenciálját emeli ki, és azt ajánlja, hogy a helyi fejlesztési stratégiákat kell elemezni a helyi akciócsoportoknak az 1A kiemelt terület innovációval kapcsolatos célkitűzéseihez való hozzájárulását fokozó stratégiák keretében végrehajtott művelettípusok meghatározása érdekében.</w:t>
                      </w:r>
                      <w:r>
                        <w:rPr>
                          <w:b/>
                          <w:sz w:val="18"/>
                          <w:szCs w:val="18"/>
                        </w:rPr>
                        <w:t xml:space="preserve"> </w:t>
                      </w:r>
                    </w:p>
                    <w:p w:rsidR="005139CB" w:rsidRPr="00C202EC" w:rsidRDefault="005139CB" w:rsidP="00C202EC">
                      <w:pPr>
                        <w:pStyle w:val="Hlistbullet"/>
                        <w:rPr>
                          <w:sz w:val="18"/>
                          <w:szCs w:val="18"/>
                        </w:rPr>
                      </w:pPr>
                      <w:r>
                        <w:rPr>
                          <w:b/>
                          <w:sz w:val="18"/>
                          <w:szCs w:val="18"/>
                        </w:rPr>
                        <w:t>Kanári-szigetek (Spanyolország)</w:t>
                      </w:r>
                      <w:r>
                        <w:rPr>
                          <w:sz w:val="18"/>
                          <w:szCs w:val="18"/>
                        </w:rPr>
                        <w:t xml:space="preserve"> – szintén a helyi akciócsoportok innovációs potenciálját emeli ki, és azt ajánlja, hogy kerüljön a monitoring- és értékelési rendszerbe egy olyan változó, amely jelzi, ha a helyi akciócsoportok által az M19 intézkedés szerinti helyi fejlesztési stratégiák keretében végrehajtott műveletek innovatívak.</w:t>
                      </w:r>
                    </w:p>
                    <w:p w:rsidR="005139CB" w:rsidRPr="00C202EC" w:rsidRDefault="005139CB" w:rsidP="003F6478">
                      <w:pPr>
                        <w:pStyle w:val="HStandard"/>
                        <w:ind w:left="567" w:hanging="567"/>
                        <w:rPr>
                          <w:b/>
                          <w:color w:val="F07E31"/>
                          <w:sz w:val="18"/>
                          <w:szCs w:val="18"/>
                        </w:rPr>
                      </w:pPr>
                      <w:r>
                        <w:rPr>
                          <w:b/>
                          <w:color w:val="F07E31"/>
                          <w:sz w:val="18"/>
                          <w:szCs w:val="18"/>
                        </w:rPr>
                        <w:t xml:space="preserve">Kiegészítő értékelési elemekre vonatkozó példák </w:t>
                      </w:r>
                    </w:p>
                    <w:p w:rsidR="005139CB" w:rsidRPr="00C202EC" w:rsidRDefault="005139CB" w:rsidP="00C202EC">
                      <w:pPr>
                        <w:pStyle w:val="Hlistbullet"/>
                        <w:rPr>
                          <w:sz w:val="18"/>
                          <w:szCs w:val="18"/>
                        </w:rPr>
                      </w:pPr>
                      <w:r>
                        <w:rPr>
                          <w:b/>
                          <w:sz w:val="18"/>
                          <w:szCs w:val="18"/>
                        </w:rPr>
                        <w:t>Bajorország (Németország)</w:t>
                      </w:r>
                      <w:r>
                        <w:rPr>
                          <w:sz w:val="18"/>
                          <w:szCs w:val="18"/>
                        </w:rPr>
                        <w:t xml:space="preserve"> – említést tesz a helyi akciócsoport szintjén végrehajtott innovációhoz kapcsolódó kiegészítő elbírálási kritériumok használatáról (például a helyi akciócsoport által alkalmazott új, több ágazatot érintő projekteket, új folyamatokat/technikákat teszteltek). Kiegészítő eredménymutatót alkalmaztak (új ötletek/megoldások, innovációk – M19). A mutatót számszerűsítették, és az információkat a) a helyi akciócsoportok vezetőivel bonyolított online felmérés; b) kiválasztott helyi akciócsoportokkal bonyolított félig strukturált interjúk segítségével gyűjtötték össze. </w:t>
                      </w:r>
                    </w:p>
                    <w:p w:rsidR="005139CB" w:rsidRPr="00C202EC" w:rsidRDefault="005139CB" w:rsidP="00C202EC">
                      <w:pPr>
                        <w:pStyle w:val="Hlistbullet"/>
                        <w:rPr>
                          <w:sz w:val="18"/>
                          <w:szCs w:val="18"/>
                        </w:rPr>
                      </w:pPr>
                      <w:r>
                        <w:rPr>
                          <w:b/>
                          <w:sz w:val="18"/>
                          <w:szCs w:val="18"/>
                        </w:rPr>
                        <w:t>Cseh Köztársaság</w:t>
                      </w:r>
                      <w:r>
                        <w:rPr>
                          <w:sz w:val="18"/>
                          <w:szCs w:val="18"/>
                        </w:rPr>
                        <w:t xml:space="preserve"> – „az innovációra összpontosító tevékenységeket befejező résztvevők száma” kiegészítő eredménymutatóhoz a műveleteket tartalmazó adatbázisból végzett adatgyűjtést ismerteti. Az innovációval kapcsolatos információgyűjtéshez a támogatott projektek kedvezményezettjei körében végzett felmérésről is említést tesz.</w:t>
                      </w:r>
                    </w:p>
                    <w:p w:rsidR="005139CB" w:rsidRPr="00C202EC" w:rsidRDefault="005139CB" w:rsidP="00142A64">
                      <w:pPr>
                        <w:pStyle w:val="HStandard"/>
                        <w:rPr>
                          <w:b/>
                          <w:sz w:val="18"/>
                          <w:szCs w:val="18"/>
                        </w:rPr>
                      </w:pPr>
                      <w:r>
                        <w:rPr>
                          <w:b/>
                          <w:color w:val="F07E31"/>
                          <w:sz w:val="18"/>
                          <w:szCs w:val="18"/>
                        </w:rPr>
                        <w:t>Módszerekre vonatkozó példák</w:t>
                      </w:r>
                    </w:p>
                    <w:p w:rsidR="005139CB" w:rsidRPr="00C202EC" w:rsidRDefault="005139CB" w:rsidP="00C202EC">
                      <w:pPr>
                        <w:pStyle w:val="Hlistbullet"/>
                        <w:rPr>
                          <w:sz w:val="18"/>
                          <w:szCs w:val="18"/>
                        </w:rPr>
                      </w:pPr>
                      <w:r>
                        <w:rPr>
                          <w:b/>
                          <w:sz w:val="18"/>
                          <w:szCs w:val="18"/>
                        </w:rPr>
                        <w:t>Kasztília és León (Spanyolország)</w:t>
                      </w:r>
                      <w:r>
                        <w:rPr>
                          <w:sz w:val="18"/>
                          <w:szCs w:val="18"/>
                        </w:rPr>
                        <w:t xml:space="preserve"> – azt ajánlja, hogy minden intézkedésvezetővel bonyolítsanak interjút, és kerüljenek kiegészítő adatelemek a monitoringrendszerbe, ami lehetővé teszi annak értékelését, hogy a különböző műveletek hogyan foglalnak magukban innovatív elemeket és hogyan járulnak hozzá az innovációval kapcsolatos célkitűzésekhez.</w:t>
                      </w:r>
                    </w:p>
                    <w:p w:rsidR="005139CB" w:rsidRPr="00C202EC" w:rsidRDefault="005139CB" w:rsidP="00C202EC">
                      <w:pPr>
                        <w:pStyle w:val="Hlistbullet"/>
                      </w:pPr>
                      <w:r>
                        <w:rPr>
                          <w:b/>
                          <w:sz w:val="18"/>
                          <w:szCs w:val="18"/>
                        </w:rPr>
                        <w:t>Kasztília-La Mancha (Spanyolország)</w:t>
                      </w:r>
                      <w:r>
                        <w:rPr>
                          <w:sz w:val="18"/>
                          <w:szCs w:val="18"/>
                        </w:rPr>
                        <w:t xml:space="preserve"> – a képzésben részt vevőknek megküldött felmérést használt többek között a tudásátadási és a tájékoztatási tevékenységek innovációhoz való hozzájárulásának értékeléséhez. A felmérés lehetővé tette az innovatív képzések értékelését.</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Kockázatok és megoldások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Kockázatok</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Megoldások</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Egyes adatelemek (például az együttműködési projektek végleges száma) nem feltétlenül állnak rendelkezésre a programozási időszak vége utánig.</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A létrehozott együttműködési struktúrák/operatív csoportok típusa (jogi struktúra, összetétel, a partnerek kötelezettségvállalási nyilatkozata stb.) elemezhető minőségi szempontú értékelés keretében az együttműködési struktúrák végleges száma helyett.</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Az együttműködési projektekben részt vevő partnereknek vagy az M1 és M2 intézkedés innovációban érdekelt feleinek összetételét és típusát nem feltétlenül rögzítik a monitoringadatok.</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A partnerek összetétele és típusa a támogatott műveletekre vonatkozó felmérésekkel és interjúkkal értékelhető. További lehetőségként a támogatott műveletekre vonatkozó pályázati űrlapok hasznos adatokkal szolgálhatnak.</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A létrejött innováció típusát és alkalmazását nem feltétlenül rögzítik a monitoringtáblázatok.</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A felmérések, a fókuszcsoportok és az operatív csoportokkal bonyolított interjúk segítséget nyújthatnak a létrejött innovációk típusainak becsléséhez.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Következtetések és ajánlások</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 következtetéseknek és az ajánlásoknak legalább az alábbi szakpolitikai kérdésekre kell kitérniük:</w:t>
      </w:r>
    </w:p>
    <w:p w:rsidR="00A45935" w:rsidRPr="00B41573" w:rsidRDefault="00A45935" w:rsidP="00AB16BB">
      <w:pPr>
        <w:pStyle w:val="Hlistbullet"/>
        <w:rPr>
          <w:rFonts w:eastAsia="Calibri"/>
          <w:shd w:val="clear" w:color="auto" w:fill="FFFFFF"/>
        </w:rPr>
      </w:pPr>
      <w:r>
        <w:rPr>
          <w:shd w:val="clear" w:color="auto" w:fill="FFFFFF"/>
        </w:rPr>
        <w:t xml:space="preserve">Az M1, M2, M16 és M19 intézkedés és a meghatározott alintézkedéseik </w:t>
      </w:r>
      <w:r>
        <w:rPr>
          <w:b/>
          <w:shd w:val="clear" w:color="auto" w:fill="FFFFFF"/>
        </w:rPr>
        <w:t>innovációs potenciáljának megvalósítása</w:t>
      </w:r>
      <w:r>
        <w:rPr>
          <w:shd w:val="clear" w:color="auto" w:fill="FFFFFF"/>
        </w:rPr>
        <w:t xml:space="preserve"> (a három irányvonal segítségével).</w:t>
      </w:r>
    </w:p>
    <w:p w:rsidR="00A45935" w:rsidRPr="00B41573" w:rsidRDefault="00A45935" w:rsidP="00AB16BB">
      <w:pPr>
        <w:pStyle w:val="Hlistbullet"/>
        <w:rPr>
          <w:rFonts w:eastAsia="Calibri"/>
          <w:shd w:val="clear" w:color="auto" w:fill="FFFFFF"/>
        </w:rPr>
      </w:pPr>
      <w:r>
        <w:rPr>
          <w:shd w:val="clear" w:color="auto" w:fill="FFFFFF"/>
        </w:rPr>
        <w:t xml:space="preserve">Az M1 intézkedés szerinti </w:t>
      </w:r>
      <w:r>
        <w:rPr>
          <w:b/>
          <w:shd w:val="clear" w:color="auto" w:fill="FFFFFF"/>
        </w:rPr>
        <w:t xml:space="preserve">képzési és tájékoztatási tevékenységek </w:t>
      </w:r>
      <w:r>
        <w:rPr>
          <w:shd w:val="clear" w:color="auto" w:fill="FFFFFF"/>
        </w:rPr>
        <w:t xml:space="preserve">és az M2 intézkedés szerinti tanácsadási szolgáltatások </w:t>
      </w:r>
      <w:r>
        <w:rPr>
          <w:b/>
          <w:shd w:val="clear" w:color="auto" w:fill="FFFFFF"/>
        </w:rPr>
        <w:t>hatása</w:t>
      </w:r>
      <w:r>
        <w:rPr>
          <w:shd w:val="clear" w:color="auto" w:fill="FFFFFF"/>
        </w:rPr>
        <w:t xml:space="preserve"> az innovációs kapacitás kiépítésére.</w:t>
      </w:r>
    </w:p>
    <w:p w:rsidR="00A45935" w:rsidRPr="00B41573" w:rsidRDefault="00A45935" w:rsidP="00AB16BB">
      <w:pPr>
        <w:pStyle w:val="Hlistbullet"/>
        <w:rPr>
          <w:rFonts w:eastAsia="Calibri"/>
          <w:shd w:val="clear" w:color="auto" w:fill="FFFFFF"/>
        </w:rPr>
      </w:pPr>
      <w:r>
        <w:rPr>
          <w:shd w:val="clear" w:color="auto" w:fill="FFFFFF"/>
        </w:rPr>
        <w:t xml:space="preserve">Különösen az operatív csoportok </w:t>
      </w:r>
      <w:r>
        <w:rPr>
          <w:b/>
          <w:shd w:val="clear" w:color="auto" w:fill="FFFFFF"/>
        </w:rPr>
        <w:t xml:space="preserve">együttműködési projektjeinek </w:t>
      </w:r>
      <w:r>
        <w:rPr>
          <w:shd w:val="clear" w:color="auto" w:fill="FFFFFF"/>
        </w:rPr>
        <w:t xml:space="preserve">az innováció támogatására kifejtett </w:t>
      </w:r>
      <w:r>
        <w:rPr>
          <w:b/>
          <w:shd w:val="clear" w:color="auto" w:fill="FFFFFF"/>
        </w:rPr>
        <w:t>hatása</w:t>
      </w:r>
      <w:r>
        <w:rPr>
          <w:shd w:val="clear" w:color="auto" w:fill="FFFFFF"/>
        </w:rPr>
        <w:t>, konkrétabban:</w:t>
      </w:r>
    </w:p>
    <w:p w:rsidR="00A45935" w:rsidRPr="00E05D08" w:rsidRDefault="00A45935" w:rsidP="00AB16BB">
      <w:pPr>
        <w:pStyle w:val="Hlistbullet2"/>
        <w:rPr>
          <w:rFonts w:eastAsia="Calibri"/>
          <w:shd w:val="clear" w:color="auto" w:fill="FFFFFF"/>
        </w:rPr>
      </w:pPr>
      <w:r>
        <w:rPr>
          <w:shd w:val="clear" w:color="auto" w:fill="FFFFFF"/>
        </w:rPr>
        <w:t>Az operatív csoportok projektjeinek száma, alkalmazási köre, tartalma és időtartama hasznos következtetésekkel szolgálhat a gyakorlatba átültetendő innovatív ötletek meghatározásával kapcsolatban.</w:t>
      </w:r>
    </w:p>
    <w:p w:rsidR="00A45935" w:rsidRPr="00E05D08" w:rsidRDefault="00A45935" w:rsidP="00AB16BB">
      <w:pPr>
        <w:pStyle w:val="Hlistbullet2"/>
        <w:rPr>
          <w:rFonts w:eastAsia="Calibri"/>
          <w:shd w:val="clear" w:color="auto" w:fill="FFFFFF"/>
        </w:rPr>
      </w:pPr>
      <w:r>
        <w:rPr>
          <w:shd w:val="clear" w:color="auto" w:fill="FFFFFF"/>
        </w:rPr>
        <w:t>Az operatív csoportok projektjeinek száma és típusa, valamint az innovációban érdekelt felek részvétele releváns következtetésekkel szolgálhat az együttműködési intézkedés által a vidéki térségek innovációs kapacitása terén elért eredményekkel kapcsolatban.</w:t>
      </w:r>
    </w:p>
    <w:p w:rsidR="00A45935" w:rsidRPr="00E05D08" w:rsidRDefault="00A45935" w:rsidP="00AB16BB">
      <w:pPr>
        <w:pStyle w:val="Hlistbullet2"/>
        <w:rPr>
          <w:rFonts w:eastAsia="Calibri"/>
          <w:shd w:val="clear" w:color="auto" w:fill="FFFFFF"/>
        </w:rPr>
      </w:pPr>
      <w:r>
        <w:rPr>
          <w:shd w:val="clear" w:color="auto" w:fill="FFFFFF"/>
        </w:rPr>
        <w:t xml:space="preserve">Arra vonatkozó következtetések, hogy az operatív csoportok projektjei milyen mértékben hoznak létre az innováció létrejöttét elősegítő struktúrákat és eljárásokat.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A helyi akciócsoportok tevékenységei </w:t>
      </w:r>
      <w:r>
        <w:rPr>
          <w:szCs w:val="20"/>
          <w:shd w:val="clear" w:color="auto" w:fill="FFFFFF"/>
        </w:rPr>
        <w:t xml:space="preserve">(többek között a helyi akciócsoportok közötti együttműködés) és a közösségvezérelt helyi fejlesztési stratégiák keretében végrehajtott projektek által kifejtett </w:t>
      </w:r>
      <w:r>
        <w:rPr>
          <w:b/>
          <w:szCs w:val="20"/>
          <w:shd w:val="clear" w:color="auto" w:fill="FFFFFF"/>
        </w:rPr>
        <w:t>hatás</w:t>
      </w:r>
      <w:r>
        <w:rPr>
          <w:szCs w:val="20"/>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További olvasnivalók</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258127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581275"/>
                        </a:xfrm>
                        <a:prstGeom prst="round2DiagRect">
                          <a:avLst>
                            <a:gd name="adj1" fmla="val 11556"/>
                            <a:gd name="adj2" fmla="val 0"/>
                          </a:avLst>
                        </a:prstGeom>
                        <a:noFill/>
                        <a:ln w="25400" cap="flat" cmpd="sng" algn="ctr">
                          <a:solidFill>
                            <a:srgbClr val="59638E"/>
                          </a:solidFill>
                          <a:prstDash val="solid"/>
                        </a:ln>
                        <a:effectLst/>
                      </wps:spPr>
                      <wps:txbx>
                        <w:txbxContent>
                          <w:p w:rsidR="005139CB" w:rsidRDefault="005139CB"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872"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EB3015" w:rsidRDefault="005139CB" w:rsidP="00E05D08">
                            <w:pPr>
                              <w:pStyle w:val="HStandard"/>
                              <w:rPr>
                                <w:color w:val="000000"/>
                                <w:sz w:val="18"/>
                              </w:rPr>
                            </w:pPr>
                            <w:r>
                              <w:rPr>
                                <w:sz w:val="18"/>
                              </w:rPr>
                              <w:t>Az</w:t>
                            </w:r>
                            <w:r>
                              <w:rPr>
                                <w:color w:val="000000"/>
                                <w:sz w:val="18"/>
                              </w:rPr>
                              <w:t xml:space="preserve"> „</w:t>
                            </w:r>
                            <w:hyperlink r:id="rId41" w:history="1">
                              <w:r>
                                <w:rPr>
                                  <w:rStyle w:val="Hyperlink"/>
                                  <w:sz w:val="18"/>
                                </w:rPr>
                                <w:t>Assessment of RDP Results:</w:t>
                              </w:r>
                            </w:hyperlink>
                            <w:hyperlink r:id="rId42" w:history="1">
                              <w:r>
                                <w:rPr>
                                  <w:rStyle w:val="Hyperlink"/>
                                  <w:sz w:val="18"/>
                                </w:rPr>
                                <w:t xml:space="preserve"> How to Prepare for Reporting on Evaluation in 2017</w:t>
                              </w:r>
                            </w:hyperlink>
                            <w:r>
                              <w:t>” (A VFP eredményeinek értékelése: felkészülés a 2017. évi értékelésre vonatkozó jelentéstételre) című iránymutatás 11. melléklete;</w:t>
                            </w:r>
                            <w:r>
                              <w:rPr>
                                <w:color w:val="000000"/>
                                <w:sz w:val="18"/>
                              </w:rPr>
                              <w:t xml:space="preserve"> </w:t>
                            </w:r>
                          </w:p>
                          <w:p w:rsidR="005139CB" w:rsidRPr="00730192" w:rsidRDefault="005139CB" w:rsidP="00E05D08">
                            <w:pPr>
                              <w:pStyle w:val="HStandard"/>
                              <w:rPr>
                                <w:sz w:val="18"/>
                              </w:rPr>
                            </w:pPr>
                            <w:r>
                              <w:rPr>
                                <w:sz w:val="18"/>
                              </w:rPr>
                              <w:t>a „</w:t>
                            </w:r>
                            <w:hyperlink r:id="rId43" w:history="1">
                              <w:r>
                                <w:rPr>
                                  <w:rStyle w:val="Hyperlink"/>
                                  <w:sz w:val="18"/>
                                </w:rPr>
                                <w:t>Cooperation measure</w:t>
                              </w:r>
                            </w:hyperlink>
                            <w:r>
                              <w:rPr>
                                <w:sz w:val="18"/>
                              </w:rPr>
                              <w:t>” (Együttműködési intézkedés) című, „az 1305/2013/EU rendelet 35. cikke” alcímű útmutató dokumentum, 2014. november;</w:t>
                            </w:r>
                          </w:p>
                          <w:p w:rsidR="005139CB" w:rsidRPr="009D62F4" w:rsidRDefault="005139CB" w:rsidP="00E05D08">
                            <w:pPr>
                              <w:pStyle w:val="HStandard"/>
                              <w:rPr>
                                <w:sz w:val="18"/>
                                <w:szCs w:val="18"/>
                              </w:rPr>
                            </w:pPr>
                            <w:r>
                              <w:rPr>
                                <w:sz w:val="18"/>
                              </w:rPr>
                              <w:t xml:space="preserve">az „Együttműködés” tárgyú M16 intézkedésről 2016 júniusában Brüsszelben tartott EVH-műhelytalálkozó dokumentumai: </w:t>
                            </w:r>
                            <w:hyperlink r:id="rId44"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203.25pt;visibility:visible;mso-wrap-style:square;mso-left-percent:-10001;mso-top-percent:-10001;mso-position-horizontal:absolute;mso-position-horizontal-relative:char;mso-position-vertical:absolute;mso-position-vertical-relative:line;mso-left-percent:-10001;mso-top-percent:-10001;v-text-anchor:middle" coordsize="5633634,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" adj="-11796480,,5400" path="m298292,l5633634,r,l5633634,2282983v,164742,-133550,298292,-298292,298292l,2581275r,l,298292c,133550,133550,,298292,xe" filled="f" strokecolor="#59638e" strokeweight="2pt">
                <v:stroke joinstyle="miter"/>
                <v:formulas/>
                <v:path arrowok="t" o:connecttype="custom" o:connectlocs="298292,0;5633634,0;5633634,0;5633634,2282983;5335342,2581275;0,2581275;0,2581275;0,298292;298292,0" o:connectangles="0,0,0,0,0,0,0,0,0" textboxrect="0,0,5633634,2581275"/>
                <v:textbox>
                  <w:txbxContent>
                    <w:p w:rsidR="005139CB" w:rsidRDefault="005139CB"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872"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EB3015" w:rsidRDefault="005139CB" w:rsidP="00E05D08">
                      <w:pPr>
                        <w:pStyle w:val="HStandard"/>
                        <w:rPr>
                          <w:color w:val="000000"/>
                          <w:sz w:val="18"/>
                        </w:rPr>
                      </w:pPr>
                      <w:r>
                        <w:rPr>
                          <w:sz w:val="18"/>
                        </w:rPr>
                        <w:t>Az</w:t>
                      </w:r>
                      <w:r>
                        <w:rPr>
                          <w:color w:val="000000"/>
                          <w:sz w:val="18"/>
                        </w:rPr>
                        <w:t xml:space="preserve"> „</w:t>
                      </w:r>
                      <w:hyperlink r:id="rId45" w:history="1">
                        <w:r>
                          <w:rPr>
                            <w:rStyle w:val="Hyperlink"/>
                            <w:sz w:val="18"/>
                          </w:rPr>
                          <w:t>Assessment of RDP Results:</w:t>
                        </w:r>
                      </w:hyperlink>
                      <w:hyperlink r:id="rId46" w:history="1">
                        <w:r>
                          <w:rPr>
                            <w:rStyle w:val="Hyperlink"/>
                            <w:sz w:val="18"/>
                          </w:rPr>
                          <w:t xml:space="preserve"> How to Prepare for Reporting on Evaluation in 2017</w:t>
                        </w:r>
                      </w:hyperlink>
                      <w:r>
                        <w:t>” (A VFP eredményeinek értékelése: felkészülés a 2017. évi értékelésre vonatkozó jelentéstételre) című iránymutatás 11. melléklete;</w:t>
                      </w:r>
                      <w:r>
                        <w:rPr>
                          <w:color w:val="000000"/>
                          <w:sz w:val="18"/>
                        </w:rPr>
                        <w:t xml:space="preserve"> </w:t>
                      </w:r>
                    </w:p>
                    <w:p w:rsidR="005139CB" w:rsidRPr="00730192" w:rsidRDefault="005139CB" w:rsidP="00E05D08">
                      <w:pPr>
                        <w:pStyle w:val="HStandard"/>
                        <w:rPr>
                          <w:sz w:val="18"/>
                        </w:rPr>
                      </w:pPr>
                      <w:r>
                        <w:rPr>
                          <w:sz w:val="18"/>
                        </w:rPr>
                        <w:t>a „</w:t>
                      </w:r>
                      <w:hyperlink r:id="rId47" w:history="1">
                        <w:r>
                          <w:rPr>
                            <w:rStyle w:val="Hyperlink"/>
                            <w:sz w:val="18"/>
                          </w:rPr>
                          <w:t>Cooperation measure</w:t>
                        </w:r>
                      </w:hyperlink>
                      <w:r>
                        <w:rPr>
                          <w:sz w:val="18"/>
                        </w:rPr>
                        <w:t>” (Együttműködési intézkedés) című, „az 1305/2013/EU rendelet 35. cikke” alcímű útmutató dokumentum, 2014. november;</w:t>
                      </w:r>
                    </w:p>
                    <w:p w:rsidR="005139CB" w:rsidRPr="009D62F4" w:rsidRDefault="005139CB" w:rsidP="00E05D08">
                      <w:pPr>
                        <w:pStyle w:val="HStandard"/>
                        <w:rPr>
                          <w:sz w:val="18"/>
                          <w:szCs w:val="18"/>
                        </w:rPr>
                      </w:pPr>
                      <w:r>
                        <w:rPr>
                          <w:sz w:val="18"/>
                        </w:rPr>
                        <w:t xml:space="preserve">az „Együttműködés” tárgyú M16 intézkedésről 2016 júniusában Brüsszelben tartott EVH-műhelytalálkozó dokumentumai: </w:t>
                      </w:r>
                      <w:hyperlink r:id="rId48"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982267"/>
      <w:r>
        <w:t>2. sz. közös értékelési kérdés: „A vidékfejlesztési program keretében végrehajtott intézkedések milyen mértékben mozdították elő – többek között a környezetgazdálkodás és a környezeti teljesítmény javítása érdekében – a mezőgazdaság, az élelmiszer-termelés és az erdőgazdálkodás, valamint a kutatás és innováció közötti kapcsolatok erősítését?”</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közös értékelési kérdés értelmezése</w:t>
      </w:r>
    </w:p>
    <w:p w:rsidR="00A45935" w:rsidRPr="00E05D08" w:rsidRDefault="00A45935" w:rsidP="00E05D08">
      <w:pPr>
        <w:spacing w:after="120" w:line="280" w:lineRule="atLeast"/>
        <w:mirrorIndents/>
        <w:rPr>
          <w:rFonts w:eastAsia="Times New Roman" w:cs="Times New Roman"/>
          <w:szCs w:val="20"/>
        </w:rPr>
      </w:pPr>
      <w:r>
        <w:t>A 2. sz. közös értékelési kérdés elsősorban az együttműködésről szóló 35. cikk</w:t>
      </w:r>
      <w:r>
        <w:rPr>
          <w:rFonts w:eastAsia="Times New Roman" w:cs="Arial"/>
          <w:szCs w:val="20"/>
          <w:vertAlign w:val="superscript"/>
          <w:lang w:eastAsia="de-DE"/>
        </w:rPr>
        <w:footnoteReference w:id="52"/>
      </w:r>
      <w:r>
        <w:t xml:space="preserve"> szerinti M16 intézkedéshez és annak 10 alintézkedéséhez kapcsolódik. </w:t>
      </w:r>
      <w:r>
        <w:rPr>
          <w:b/>
          <w:szCs w:val="20"/>
        </w:rPr>
        <w:t>A mezőgazdaság, az élelmiszer-termelés, az erdőgazdálkodás, valamint a kutatás és az innováció közötti kapcsolatok</w:t>
      </w:r>
      <w:r>
        <w:t xml:space="preserve"> háromféleképpen mozdíthatók elő</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együttműködés a mezőgazdasági és az erdészeti ágazat, az élelmiszerlánc különféle szereplői, továbbá a vidékfejlesztési politika célkitűzéseihez hozzájáruló egyéb szereplők, valamint a termelői csoportok, a szövetkezetek és a szakmaközi szervezetek között;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klaszterek és hálózatok kiépítése, amelyek konkrétabb, de fontos együttműködési formák;</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az EIP-AGRI operatív csoportjainak létrehozása, amelyek a vidékfejlesztési politika új komponensét jelentik, a kutatás és a gyakorlat egymáshoz közelítésére hivatottak.</w:t>
      </w:r>
    </w:p>
    <w:p w:rsidR="00A45935" w:rsidRPr="00E05D08" w:rsidRDefault="00A45935" w:rsidP="00E05D08">
      <w:pPr>
        <w:spacing w:after="120" w:line="280" w:lineRule="atLeast"/>
        <w:mirrorIndents/>
        <w:rPr>
          <w:rFonts w:eastAsia="Times New Roman" w:cs="Times New Roman"/>
          <w:szCs w:val="20"/>
        </w:rPr>
      </w:pPr>
      <w:r>
        <w:t>A vidékfejlesztési politika által ezekre az együttműködési formákra nyújtott támogatás az idők során változott. Az előző programozási időszakban nagyon konkrét együttműködési formákat (élelmiszer-minőségi rendszereket és termelői csoportokat), illetve (a LEADER keretében) a helyi szintű együttműködést támogatták. A jelenlegi szakpolitika előmozdítja a szereplők szélesebb köre közötti kapcsolatokat, az együttműködési tevékenységek alkalmazási köre és összetétele tekintetében pedig nagyobb rugalmasságot biztosít. A vidékfejlesztési politika a mezőgazdaság, az erdőgazdálkodás és az élelmiszerlánc, valamint a kutatási/innovációs szereplők összekapcsolásával kiemelkedő hangsúlyt helyez az innovációra mint a VFP célkitűzéseinek megvalósításához vezető irányvonalra. Például:</w:t>
      </w:r>
    </w:p>
    <w:p w:rsidR="005459DE" w:rsidRDefault="00A45935" w:rsidP="005459DE">
      <w:pPr>
        <w:pStyle w:val="Hlistbullet"/>
      </w:pPr>
      <w:r>
        <w:lastRenderedPageBreak/>
        <w:t>A kutatás és a gyakorlat összekapcsolása segítséget nyújthat az olyan innováció meghatározásához, amely javíthatja a program végrehajtását és hozzájárulhat a VFP célkitűzéseihez.</w:t>
      </w:r>
      <w:r w:rsidR="00BF732C">
        <w:rPr>
          <w:rStyle w:val="FootnoteReference"/>
          <w:color w:val="FFFFFF" w:themeColor="background1"/>
        </w:rPr>
        <w:footnoteReference w:id="54"/>
      </w:r>
      <w:r w:rsidR="00BF732C">
        <w:rPr>
          <w:color w:val="FFFFFF" w:themeColor="background1"/>
        </w:rPr>
        <w:t xml:space="preserve"> </w:t>
      </w:r>
      <w:r w:rsidR="00BF732C">
        <w:rPr>
          <w:rStyle w:val="FootnoteReference"/>
          <w:color w:val="FFFFFF" w:themeColor="background1"/>
        </w:rPr>
        <w:footnoteReference w:id="55"/>
      </w:r>
      <w:r w:rsidR="00BF732C">
        <w:rPr>
          <w:rStyle w:val="FootnoteReference"/>
          <w:color w:val="FFFFFF" w:themeColor="background1"/>
        </w:rPr>
        <w:footnoteReference w:id="56"/>
      </w:r>
    </w:p>
    <w:p w:rsidR="00EF1B0F" w:rsidRPr="005459DE" w:rsidRDefault="00BF732C" w:rsidP="005459DE">
      <w:pPr>
        <w:pStyle w:val="Hlistbullet"/>
      </w:pPr>
      <w:r>
        <w:rPr>
          <w:noProof/>
          <w:color w:val="auto"/>
          <w:sz w:val="18"/>
          <w:lang w:val="en-GB" w:eastAsia="en-GB"/>
        </w:rPr>
        <mc:AlternateContent>
          <mc:Choice Requires="wps">
            <w:drawing>
              <wp:anchor distT="0" distB="0" distL="114300" distR="114300" simplePos="0" relativeHeight="251652096" behindDoc="0" locked="0" layoutInCell="1" allowOverlap="1" wp14:anchorId="7830311F" wp14:editId="6BD95850">
                <wp:simplePos x="0" y="0"/>
                <wp:positionH relativeFrom="column">
                  <wp:posOffset>-361950</wp:posOffset>
                </wp:positionH>
                <wp:positionV relativeFrom="page">
                  <wp:posOffset>1819275</wp:posOffset>
                </wp:positionV>
                <wp:extent cx="6677025" cy="7124700"/>
                <wp:effectExtent l="0" t="0" r="28575" b="19050"/>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6677025" cy="7124700"/>
                        </a:xfrm>
                        <a:prstGeom prst="round2DiagRect">
                          <a:avLst>
                            <a:gd name="adj1" fmla="val 5422"/>
                            <a:gd name="adj2" fmla="val 0"/>
                          </a:avLst>
                        </a:prstGeom>
                        <a:noFill/>
                        <a:ln w="25400" cap="flat" cmpd="sng" algn="ctr">
                          <a:solidFill>
                            <a:srgbClr val="F07E31"/>
                          </a:solidFill>
                          <a:prstDash val="solid"/>
                        </a:ln>
                        <a:effectLst/>
                      </wps:spPr>
                      <wps:txbx>
                        <w:txbxContent>
                          <w:p w:rsidR="005139CB" w:rsidRPr="007B4A6D" w:rsidRDefault="005139CB" w:rsidP="00E05D08">
                            <w:pPr>
                              <w:pStyle w:val="HStandard"/>
                              <w:ind w:left="567" w:hanging="567"/>
                              <w:rPr>
                                <w:b/>
                                <w:color w:val="648659"/>
                                <w:sz w:val="18"/>
                                <w:szCs w:val="18"/>
                              </w:rPr>
                            </w:pPr>
                            <w:r>
                              <w:rPr>
                                <w:noProof/>
                                <w:sz w:val="18"/>
                                <w:szCs w:val="18"/>
                                <w:lang w:val="en-GB" w:eastAsia="en-GB"/>
                              </w:rPr>
                              <w:drawing>
                                <wp:inline distT="0" distB="0" distL="0" distR="0" wp14:anchorId="6419CB63" wp14:editId="4C9C85EB">
                                  <wp:extent cx="353060" cy="359410"/>
                                  <wp:effectExtent l="0" t="0" r="8890" b="2540"/>
                                  <wp:docPr id="89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Példa: a környezetgazdálkodás javításához alkalmazott együttműködési intézkedések</w:t>
                            </w:r>
                          </w:p>
                          <w:p w:rsidR="005139CB" w:rsidRPr="007B4A6D" w:rsidRDefault="005139CB" w:rsidP="00E05D08">
                            <w:pPr>
                              <w:pStyle w:val="HStandard"/>
                              <w:rPr>
                                <w:sz w:val="18"/>
                                <w:szCs w:val="18"/>
                              </w:rPr>
                            </w:pPr>
                            <w:r>
                              <w:rPr>
                                <w:b/>
                                <w:sz w:val="18"/>
                                <w:szCs w:val="18"/>
                              </w:rPr>
                              <w:t>Finnország</w:t>
                            </w:r>
                            <w:r>
                              <w:rPr>
                                <w:sz w:val="18"/>
                                <w:szCs w:val="18"/>
                              </w:rPr>
                              <w:t xml:space="preserve"> – az M16 intézkedés kiegészíti a P4 és a P5 prioritás célkitűzéseinek megvalósítását célzó egyéb VFP-intézkedéseket:</w:t>
                            </w:r>
                          </w:p>
                          <w:p w:rsidR="005139CB" w:rsidRPr="00055039" w:rsidRDefault="005139CB" w:rsidP="008C0B17">
                            <w:pPr>
                              <w:pStyle w:val="HStandard"/>
                              <w:numPr>
                                <w:ilvl w:val="0"/>
                                <w:numId w:val="24"/>
                              </w:numPr>
                              <w:ind w:left="567" w:hanging="567"/>
                              <w:rPr>
                                <w:sz w:val="18"/>
                                <w:szCs w:val="18"/>
                              </w:rPr>
                            </w:pPr>
                            <w:r>
                              <w:rPr>
                                <w:sz w:val="18"/>
                                <w:szCs w:val="18"/>
                              </w:rPr>
                              <w:t>az M16 intézkedés 58%-át, valamint az M1 és az M2 intézkedés egyes részeit az energiahatékonyság előmozdítása céljára alkalmazzák;</w:t>
                            </w:r>
                          </w:p>
                          <w:p w:rsidR="005139CB" w:rsidRPr="00D66182" w:rsidRDefault="005139CB" w:rsidP="008C0B17">
                            <w:pPr>
                              <w:pStyle w:val="HStandard"/>
                              <w:numPr>
                                <w:ilvl w:val="0"/>
                                <w:numId w:val="24"/>
                              </w:numPr>
                              <w:ind w:left="567" w:hanging="567"/>
                              <w:rPr>
                                <w:sz w:val="18"/>
                                <w:szCs w:val="18"/>
                              </w:rPr>
                            </w:pPr>
                            <w:r>
                              <w:rPr>
                                <w:sz w:val="18"/>
                                <w:szCs w:val="18"/>
                              </w:rPr>
                              <w:t>az M16 intézkedés 49%-át, valamint az M1 és az M2 intézkedés egyes részeit a szénmegkötés és -tárolás céljára alkalmazzák;</w:t>
                            </w:r>
                          </w:p>
                          <w:p w:rsidR="005139CB" w:rsidRPr="000E1D4B" w:rsidRDefault="005139CB" w:rsidP="008C0B17">
                            <w:pPr>
                              <w:pStyle w:val="HStandard"/>
                              <w:numPr>
                                <w:ilvl w:val="0"/>
                                <w:numId w:val="24"/>
                              </w:numPr>
                              <w:ind w:left="567" w:hanging="567"/>
                              <w:rPr>
                                <w:sz w:val="18"/>
                                <w:szCs w:val="18"/>
                              </w:rPr>
                            </w:pPr>
                            <w:r>
                              <w:rPr>
                                <w:sz w:val="18"/>
                                <w:szCs w:val="18"/>
                              </w:rPr>
                              <w:t>az M16 intézkedés 10%-át, az M4 intézkedés 84%-át, valamint az M1 és az M2 intézkedés egyes részeit a megújuló energiaforrások és a hulladékgazdálkodás céljára alkalmazzák;</w:t>
                            </w:r>
                          </w:p>
                          <w:p w:rsidR="005139CB" w:rsidRPr="000E1D4B" w:rsidRDefault="005139CB" w:rsidP="008C0B17">
                            <w:pPr>
                              <w:pStyle w:val="HStandard"/>
                              <w:numPr>
                                <w:ilvl w:val="0"/>
                                <w:numId w:val="24"/>
                              </w:numPr>
                              <w:ind w:left="567" w:hanging="567"/>
                              <w:rPr>
                                <w:sz w:val="18"/>
                                <w:szCs w:val="18"/>
                              </w:rPr>
                            </w:pPr>
                            <w:r>
                              <w:rPr>
                                <w:sz w:val="18"/>
                                <w:szCs w:val="18"/>
                              </w:rPr>
                              <w:t>az M16 intézkedés 5,5%-át, az M4 intézkedés 89%-át, valamint az M1 és az M2 intézkedés egyes részeit az ÜHG- és az ammóniakibocsátás csökkentése céljára alkalmazzák.</w:t>
                            </w:r>
                          </w:p>
                          <w:p w:rsidR="005139CB" w:rsidRPr="000E1D4B" w:rsidRDefault="005139CB" w:rsidP="00E05D08">
                            <w:pPr>
                              <w:pStyle w:val="HStandard"/>
                              <w:rPr>
                                <w:sz w:val="18"/>
                                <w:szCs w:val="18"/>
                              </w:rPr>
                            </w:pPr>
                            <w:r>
                              <w:rPr>
                                <w:sz w:val="18"/>
                                <w:szCs w:val="18"/>
                              </w:rPr>
                              <w:t>Az együttműködési alintézkedések (például az M16.2 alintézkedés szerinti kísérleti projektekhez nyújtott támogatás, az éghajlatváltozás mérséklése vagy az ahhoz való alkalmazkodás céljából végrehajtott közös fellépésekhez, illetve a környezetvédelmi projektekre és környezetvédelmi gyakorlatokra irányuló közös megközelítésekhez nyújtott támogatás, M16.5 alintézkedés) elsődleges hatást fejtenek ki a 4A–C és az 5A–E kiemelt területre.</w:t>
                            </w:r>
                          </w:p>
                          <w:p w:rsidR="005139CB" w:rsidRPr="00AB16BB" w:rsidRDefault="005139CB" w:rsidP="00AB16BB">
                            <w:pPr>
                              <w:pStyle w:val="HSource"/>
                              <w:ind w:right="8"/>
                              <w:jc w:val="right"/>
                              <w:rPr>
                                <w:rFonts w:eastAsia="Calibri"/>
                                <w:sz w:val="14"/>
                                <w:szCs w:val="14"/>
                              </w:rPr>
                            </w:pPr>
                            <w:r>
                              <w:rPr>
                                <w:sz w:val="14"/>
                                <w:szCs w:val="14"/>
                              </w:rPr>
                              <w:t>Forrás: EVH (2016). Az „Együttműködés” tárgyú M16 intézkedésről tartott műhelytalálkozó</w:t>
                            </w:r>
                            <w:r w:rsidRPr="00BF732C">
                              <w:rPr>
                                <w:szCs w:val="14"/>
                                <w:vertAlign w:val="superscript"/>
                              </w:rPr>
                              <w:t>54</w:t>
                            </w:r>
                            <w:r>
                              <w:rPr>
                                <w:sz w:val="14"/>
                                <w:szCs w:val="14"/>
                              </w:rPr>
                              <w:t>.</w:t>
                            </w:r>
                          </w:p>
                          <w:p w:rsidR="005139CB" w:rsidRPr="007B4A6D" w:rsidRDefault="005139CB" w:rsidP="00235D46">
                            <w:pPr>
                              <w:pStyle w:val="HStandard"/>
                              <w:spacing w:after="0"/>
                              <w:ind w:left="567" w:hanging="567"/>
                              <w:rPr>
                                <w:b/>
                                <w:sz w:val="18"/>
                                <w:szCs w:val="18"/>
                              </w:rPr>
                            </w:pPr>
                            <w:r>
                              <w:rPr>
                                <w:b/>
                                <w:color w:val="F07E31"/>
                                <w:sz w:val="18"/>
                                <w:szCs w:val="18"/>
                              </w:rPr>
                              <w:t>Példa:</w:t>
                            </w:r>
                            <w:r>
                              <w:rPr>
                                <w:color w:val="F07E31"/>
                                <w:sz w:val="18"/>
                                <w:szCs w:val="18"/>
                              </w:rPr>
                              <w:t xml:space="preserve"> </w:t>
                            </w:r>
                            <w:r>
                              <w:rPr>
                                <w:b/>
                                <w:color w:val="F07E31"/>
                                <w:sz w:val="18"/>
                                <w:szCs w:val="18"/>
                              </w:rPr>
                              <w:t>a kutatók és a mezőgazdasági termelők összekapcsolása</w:t>
                            </w:r>
                            <w:r>
                              <w:rPr>
                                <w:color w:val="F07E31"/>
                                <w:sz w:val="18"/>
                                <w:szCs w:val="18"/>
                              </w:rPr>
                              <w:t xml:space="preserve"> </w:t>
                            </w:r>
                          </w:p>
                          <w:p w:rsidR="005139CB" w:rsidRPr="00D66182" w:rsidRDefault="005139CB" w:rsidP="00235D46">
                            <w:pPr>
                              <w:pStyle w:val="HStandard"/>
                              <w:rPr>
                                <w:sz w:val="18"/>
                                <w:szCs w:val="18"/>
                              </w:rPr>
                            </w:pPr>
                            <w:r>
                              <w:rPr>
                                <w:b/>
                                <w:sz w:val="18"/>
                                <w:szCs w:val="18"/>
                              </w:rPr>
                              <w:t>Belgium</w:t>
                            </w:r>
                            <w:r>
                              <w:rPr>
                                <w:sz w:val="18"/>
                                <w:szCs w:val="18"/>
                              </w:rPr>
                              <w:t xml:space="preserve"> – egy innovatív sertésistálló segítséget nyújt az ammóniakibocsátás csökkentéséhez. A kutatók és a mezőgazdasági termelők az innovációtámogató szolgálatok közreműködésével történő összekapcsolása elengedhetetlen ahhoz, hogy a sertéstárgyához konkrét baktériumok hozzáadásával alkalmazott ammóniakibocsátás-csökkentési technikákat lehessen kifejleszteni és tesztelni. Ez a VFP környezetvédelmi célkitűzéseinek eléréséhez is hozzájárul. </w:t>
                            </w:r>
                          </w:p>
                          <w:p w:rsidR="005139CB" w:rsidRPr="00AB16BB" w:rsidRDefault="005139CB" w:rsidP="00AB16BB">
                            <w:pPr>
                              <w:pStyle w:val="HStandard"/>
                              <w:jc w:val="right"/>
                              <w:rPr>
                                <w:sz w:val="14"/>
                                <w:szCs w:val="14"/>
                                <w:vertAlign w:val="superscript"/>
                              </w:rPr>
                            </w:pPr>
                            <w:r>
                              <w:rPr>
                                <w:i/>
                                <w:sz w:val="14"/>
                                <w:szCs w:val="14"/>
                              </w:rPr>
                              <w:t>Forrás: Európai innovációs partnerség – Szolgáltató Pont</w:t>
                            </w:r>
                            <w:r w:rsidRPr="00BF732C">
                              <w:rPr>
                                <w:i/>
                                <w:sz w:val="16"/>
                                <w:szCs w:val="14"/>
                                <w:vertAlign w:val="superscript"/>
                              </w:rPr>
                              <w:t>55</w:t>
                            </w:r>
                          </w:p>
                          <w:p w:rsidR="005139CB" w:rsidRPr="007B4A6D" w:rsidRDefault="005139CB" w:rsidP="00235D46">
                            <w:pPr>
                              <w:pStyle w:val="HStandard"/>
                              <w:rPr>
                                <w:b/>
                                <w:color w:val="F07E31"/>
                                <w:sz w:val="18"/>
                                <w:szCs w:val="18"/>
                              </w:rPr>
                            </w:pPr>
                            <w:r>
                              <w:rPr>
                                <w:b/>
                                <w:color w:val="F07E31"/>
                                <w:sz w:val="18"/>
                                <w:szCs w:val="18"/>
                              </w:rPr>
                              <w:t xml:space="preserve">Példa: innovációtámogató szolgálatok </w:t>
                            </w:r>
                          </w:p>
                          <w:p w:rsidR="005139CB" w:rsidRPr="007B4A6D" w:rsidRDefault="005139CB" w:rsidP="00235D46">
                            <w:pPr>
                              <w:pStyle w:val="HStandard"/>
                              <w:spacing w:after="0"/>
                              <w:rPr>
                                <w:b/>
                                <w:sz w:val="18"/>
                                <w:szCs w:val="18"/>
                              </w:rPr>
                            </w:pPr>
                            <w:r>
                              <w:rPr>
                                <w:b/>
                                <w:sz w:val="18"/>
                                <w:szCs w:val="18"/>
                              </w:rPr>
                              <w:t xml:space="preserve">Hessen (Németország) </w:t>
                            </w:r>
                            <w:r>
                              <w:rPr>
                                <w:sz w:val="18"/>
                                <w:szCs w:val="18"/>
                              </w:rPr>
                              <w:t>– az innovációtámogató szolgálatok a következőkkel segítik az innovációs kapacitás kiépítését:</w:t>
                            </w:r>
                          </w:p>
                          <w:p w:rsidR="005139CB" w:rsidRPr="00055039" w:rsidRDefault="005139CB" w:rsidP="00235D46">
                            <w:pPr>
                              <w:pStyle w:val="HStandard"/>
                              <w:numPr>
                                <w:ilvl w:val="0"/>
                                <w:numId w:val="24"/>
                              </w:numPr>
                              <w:ind w:left="567" w:hanging="567"/>
                              <w:rPr>
                                <w:sz w:val="18"/>
                                <w:szCs w:val="18"/>
                              </w:rPr>
                            </w:pPr>
                            <w:r>
                              <w:rPr>
                                <w:sz w:val="18"/>
                                <w:szCs w:val="18"/>
                              </w:rPr>
                              <w:t>az M16 intézkedés végrehajtásának támogatása,</w:t>
                            </w:r>
                          </w:p>
                          <w:p w:rsidR="005139CB" w:rsidRPr="00D66182" w:rsidRDefault="005139CB" w:rsidP="00235D46">
                            <w:pPr>
                              <w:pStyle w:val="HStandard"/>
                              <w:numPr>
                                <w:ilvl w:val="0"/>
                                <w:numId w:val="24"/>
                              </w:numPr>
                              <w:ind w:left="567" w:hanging="567"/>
                              <w:rPr>
                                <w:sz w:val="18"/>
                                <w:szCs w:val="18"/>
                              </w:rPr>
                            </w:pPr>
                            <w:r>
                              <w:rPr>
                                <w:sz w:val="18"/>
                                <w:szCs w:val="18"/>
                              </w:rPr>
                              <w:t>tájékoztatás és nyilvánosság biztosítása a tartományban,</w:t>
                            </w:r>
                          </w:p>
                          <w:p w:rsidR="005139CB" w:rsidRPr="000E1D4B" w:rsidRDefault="005139CB" w:rsidP="00235D46">
                            <w:pPr>
                              <w:pStyle w:val="HStandard"/>
                              <w:numPr>
                                <w:ilvl w:val="0"/>
                                <w:numId w:val="24"/>
                              </w:numPr>
                              <w:ind w:left="567" w:hanging="567"/>
                              <w:rPr>
                                <w:sz w:val="18"/>
                                <w:szCs w:val="18"/>
                              </w:rPr>
                            </w:pPr>
                            <w:r>
                              <w:rPr>
                                <w:sz w:val="18"/>
                                <w:szCs w:val="18"/>
                              </w:rPr>
                              <w:t>a németországi Hessen tartományon belüli együttműködési tevékenységek közötti hálózatépítés,</w:t>
                            </w:r>
                          </w:p>
                          <w:p w:rsidR="005139CB" w:rsidRPr="000E1D4B" w:rsidRDefault="005139CB" w:rsidP="00235D46">
                            <w:pPr>
                              <w:pStyle w:val="HStandard"/>
                              <w:numPr>
                                <w:ilvl w:val="0"/>
                                <w:numId w:val="24"/>
                              </w:numPr>
                              <w:ind w:left="567" w:hanging="567"/>
                              <w:rPr>
                                <w:sz w:val="18"/>
                                <w:szCs w:val="18"/>
                              </w:rPr>
                            </w:pPr>
                            <w:r>
                              <w:rPr>
                                <w:sz w:val="18"/>
                                <w:szCs w:val="18"/>
                              </w:rPr>
                              <w:t>az együttműködési tevékenységek támogatása az előkészítési és a végrehajtási szakaszban.</w:t>
                            </w:r>
                          </w:p>
                          <w:p w:rsidR="005139CB" w:rsidRPr="00AB16BB" w:rsidRDefault="005139CB" w:rsidP="00AB16BB">
                            <w:pPr>
                              <w:pStyle w:val="HSource"/>
                              <w:spacing w:before="0" w:after="0"/>
                              <w:ind w:right="11"/>
                              <w:jc w:val="right"/>
                              <w:rPr>
                                <w:rFonts w:eastAsia="Calibri"/>
                                <w:sz w:val="14"/>
                                <w:szCs w:val="14"/>
                              </w:rPr>
                            </w:pPr>
                            <w:r>
                              <w:rPr>
                                <w:sz w:val="14"/>
                                <w:szCs w:val="14"/>
                              </w:rPr>
                              <w:t xml:space="preserve">Forrás: EVH (2016) </w:t>
                            </w:r>
                          </w:p>
                          <w:p w:rsidR="005139CB" w:rsidRPr="00AB16BB" w:rsidRDefault="005139CB" w:rsidP="00AB16BB">
                            <w:pPr>
                              <w:pStyle w:val="HSource"/>
                              <w:spacing w:before="0" w:after="0"/>
                              <w:ind w:right="11"/>
                              <w:jc w:val="right"/>
                              <w:rPr>
                                <w:sz w:val="14"/>
                                <w:szCs w:val="14"/>
                              </w:rPr>
                            </w:pPr>
                            <w:r>
                              <w:rPr>
                                <w:sz w:val="14"/>
                                <w:szCs w:val="14"/>
                              </w:rPr>
                              <w:t>Az „Együttműködés” tárgyú M16 intézkedésről tartott műhelytalálkozó</w:t>
                            </w:r>
                            <w:r w:rsidRPr="00BF732C">
                              <w:rPr>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311F" id="Rectangle: Diagonal Corners Rounded 24" o:spid="_x0000_s1046" style="position:absolute;left:0;text-align:left;margin-left:-28.5pt;margin-top:143.25pt;width:525.75pt;height:5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677025,712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" adj="-11796480,,5400" path="m362028,l6677025,r,l6677025,6762672v,199943,-162085,362028,-362028,362028l,7124700r,l,362028c,162085,162085,,362028,xe" filled="f" strokecolor="#f07e31" strokeweight="2pt">
                <v:stroke joinstyle="miter"/>
                <v:formulas/>
                <v:path arrowok="t" o:connecttype="custom" o:connectlocs="362028,0;6677025,0;6677025,0;6677025,6762672;6314997,7124700;0,7124700;0,7124700;0,362028;362028,0" o:connectangles="0,0,0,0,0,0,0,0,0" textboxrect="0,0,6677025,7124700"/>
                <v:textbox>
                  <w:txbxContent>
                    <w:p w:rsidR="005139CB" w:rsidRPr="007B4A6D" w:rsidRDefault="005139CB" w:rsidP="00E05D08">
                      <w:pPr>
                        <w:pStyle w:val="HStandard"/>
                        <w:ind w:left="567" w:hanging="567"/>
                        <w:rPr>
                          <w:b/>
                          <w:color w:val="648659"/>
                          <w:sz w:val="18"/>
                          <w:szCs w:val="18"/>
                        </w:rPr>
                      </w:pPr>
                      <w:r>
                        <w:rPr>
                          <w:noProof/>
                          <w:sz w:val="18"/>
                          <w:szCs w:val="18"/>
                          <w:lang w:val="en-GB" w:eastAsia="en-GB"/>
                        </w:rPr>
                        <w:drawing>
                          <wp:inline distT="0" distB="0" distL="0" distR="0" wp14:anchorId="6419CB63" wp14:editId="4C9C85EB">
                            <wp:extent cx="353060" cy="359410"/>
                            <wp:effectExtent l="0" t="0" r="8890" b="2540"/>
                            <wp:docPr id="89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Példa: a környezetgazdálkodás javításához alkalmazott együttműködési intézkedések</w:t>
                      </w:r>
                    </w:p>
                    <w:p w:rsidR="005139CB" w:rsidRPr="007B4A6D" w:rsidRDefault="005139CB" w:rsidP="00E05D08">
                      <w:pPr>
                        <w:pStyle w:val="HStandard"/>
                        <w:rPr>
                          <w:sz w:val="18"/>
                          <w:szCs w:val="18"/>
                        </w:rPr>
                      </w:pPr>
                      <w:r>
                        <w:rPr>
                          <w:b/>
                          <w:sz w:val="18"/>
                          <w:szCs w:val="18"/>
                        </w:rPr>
                        <w:t>Finnország</w:t>
                      </w:r>
                      <w:r>
                        <w:rPr>
                          <w:sz w:val="18"/>
                          <w:szCs w:val="18"/>
                        </w:rPr>
                        <w:t xml:space="preserve"> – az M16 intézkedés kiegészíti a P4 és a P5 prioritás célkitűzéseinek megvalósítását célzó egyéb VFP-intézkedéseket:</w:t>
                      </w:r>
                    </w:p>
                    <w:p w:rsidR="005139CB" w:rsidRPr="00055039" w:rsidRDefault="005139CB" w:rsidP="008C0B17">
                      <w:pPr>
                        <w:pStyle w:val="HStandard"/>
                        <w:numPr>
                          <w:ilvl w:val="0"/>
                          <w:numId w:val="24"/>
                        </w:numPr>
                        <w:ind w:left="567" w:hanging="567"/>
                        <w:rPr>
                          <w:sz w:val="18"/>
                          <w:szCs w:val="18"/>
                        </w:rPr>
                      </w:pPr>
                      <w:r>
                        <w:rPr>
                          <w:sz w:val="18"/>
                          <w:szCs w:val="18"/>
                        </w:rPr>
                        <w:t>az M16 intézkedés 58%-át, valamint az M1 és az M2 intézkedés egyes részeit az energiahatékonyság előmozdítása céljára alkalmazzák;</w:t>
                      </w:r>
                    </w:p>
                    <w:p w:rsidR="005139CB" w:rsidRPr="00D66182" w:rsidRDefault="005139CB" w:rsidP="008C0B17">
                      <w:pPr>
                        <w:pStyle w:val="HStandard"/>
                        <w:numPr>
                          <w:ilvl w:val="0"/>
                          <w:numId w:val="24"/>
                        </w:numPr>
                        <w:ind w:left="567" w:hanging="567"/>
                        <w:rPr>
                          <w:sz w:val="18"/>
                          <w:szCs w:val="18"/>
                        </w:rPr>
                      </w:pPr>
                      <w:r>
                        <w:rPr>
                          <w:sz w:val="18"/>
                          <w:szCs w:val="18"/>
                        </w:rPr>
                        <w:t>az M16 intézkedés 49%-át, valamint az M1 és az M2 intézkedés egyes részeit a szénmegkötés és -tárolás céljára alkalmazzák;</w:t>
                      </w:r>
                    </w:p>
                    <w:p w:rsidR="005139CB" w:rsidRPr="000E1D4B" w:rsidRDefault="005139CB" w:rsidP="008C0B17">
                      <w:pPr>
                        <w:pStyle w:val="HStandard"/>
                        <w:numPr>
                          <w:ilvl w:val="0"/>
                          <w:numId w:val="24"/>
                        </w:numPr>
                        <w:ind w:left="567" w:hanging="567"/>
                        <w:rPr>
                          <w:sz w:val="18"/>
                          <w:szCs w:val="18"/>
                        </w:rPr>
                      </w:pPr>
                      <w:r>
                        <w:rPr>
                          <w:sz w:val="18"/>
                          <w:szCs w:val="18"/>
                        </w:rPr>
                        <w:t>az M16 intézkedés 10%-át, az M4 intézkedés 84%-át, valamint az M1 és az M2 intézkedés egyes részeit a megújuló energiaforrások és a hulladékgazdálkodás céljára alkalmazzák;</w:t>
                      </w:r>
                    </w:p>
                    <w:p w:rsidR="005139CB" w:rsidRPr="000E1D4B" w:rsidRDefault="005139CB" w:rsidP="008C0B17">
                      <w:pPr>
                        <w:pStyle w:val="HStandard"/>
                        <w:numPr>
                          <w:ilvl w:val="0"/>
                          <w:numId w:val="24"/>
                        </w:numPr>
                        <w:ind w:left="567" w:hanging="567"/>
                        <w:rPr>
                          <w:sz w:val="18"/>
                          <w:szCs w:val="18"/>
                        </w:rPr>
                      </w:pPr>
                      <w:r>
                        <w:rPr>
                          <w:sz w:val="18"/>
                          <w:szCs w:val="18"/>
                        </w:rPr>
                        <w:t>az M16 intézkedés 5,5%-át, az M4 intézkedés 89%-át, valamint az M1 és az M2 intézkedés egyes részeit az ÜHG- és az ammóniakibocsátás csökkentése céljára alkalmazzák.</w:t>
                      </w:r>
                    </w:p>
                    <w:p w:rsidR="005139CB" w:rsidRPr="000E1D4B" w:rsidRDefault="005139CB" w:rsidP="00E05D08">
                      <w:pPr>
                        <w:pStyle w:val="HStandard"/>
                        <w:rPr>
                          <w:sz w:val="18"/>
                          <w:szCs w:val="18"/>
                        </w:rPr>
                      </w:pPr>
                      <w:r>
                        <w:rPr>
                          <w:sz w:val="18"/>
                          <w:szCs w:val="18"/>
                        </w:rPr>
                        <w:t>Az együttműködési alintézkedések (például az M16.2 alintézkedés szerinti kísérleti projektekhez nyújtott támogatás, az éghajlatváltozás mérséklése vagy az ahhoz való alkalmazkodás céljából végrehajtott közös fellépésekhez, illetve a környezetvédelmi projektekre és környezetvédelmi gyakorlatokra irányuló közös megközelítésekhez nyújtott támogatás, M16.5 alintézkedés) elsődleges hatást fejtenek ki a 4A–C és az 5A–E kiemelt területre.</w:t>
                      </w:r>
                    </w:p>
                    <w:p w:rsidR="005139CB" w:rsidRPr="00AB16BB" w:rsidRDefault="005139CB" w:rsidP="00AB16BB">
                      <w:pPr>
                        <w:pStyle w:val="HSource"/>
                        <w:ind w:right="8"/>
                        <w:jc w:val="right"/>
                        <w:rPr>
                          <w:rFonts w:eastAsia="Calibri"/>
                          <w:sz w:val="14"/>
                          <w:szCs w:val="14"/>
                        </w:rPr>
                      </w:pPr>
                      <w:r>
                        <w:rPr>
                          <w:sz w:val="14"/>
                          <w:szCs w:val="14"/>
                        </w:rPr>
                        <w:t>Forrás: EVH (2016). Az „Együttműködés” tárgyú M16 intézkedésről tartott műhelytalálkozó</w:t>
                      </w:r>
                      <w:r w:rsidRPr="00BF732C">
                        <w:rPr>
                          <w:szCs w:val="14"/>
                          <w:vertAlign w:val="superscript"/>
                        </w:rPr>
                        <w:t>54</w:t>
                      </w:r>
                      <w:r>
                        <w:rPr>
                          <w:sz w:val="14"/>
                          <w:szCs w:val="14"/>
                        </w:rPr>
                        <w:t>.</w:t>
                      </w:r>
                    </w:p>
                    <w:p w:rsidR="005139CB" w:rsidRPr="007B4A6D" w:rsidRDefault="005139CB" w:rsidP="00235D46">
                      <w:pPr>
                        <w:pStyle w:val="HStandard"/>
                        <w:spacing w:after="0"/>
                        <w:ind w:left="567" w:hanging="567"/>
                        <w:rPr>
                          <w:b/>
                          <w:sz w:val="18"/>
                          <w:szCs w:val="18"/>
                        </w:rPr>
                      </w:pPr>
                      <w:r>
                        <w:rPr>
                          <w:b/>
                          <w:color w:val="F07E31"/>
                          <w:sz w:val="18"/>
                          <w:szCs w:val="18"/>
                        </w:rPr>
                        <w:t>Példa:</w:t>
                      </w:r>
                      <w:r>
                        <w:rPr>
                          <w:color w:val="F07E31"/>
                          <w:sz w:val="18"/>
                          <w:szCs w:val="18"/>
                        </w:rPr>
                        <w:t xml:space="preserve"> </w:t>
                      </w:r>
                      <w:r>
                        <w:rPr>
                          <w:b/>
                          <w:color w:val="F07E31"/>
                          <w:sz w:val="18"/>
                          <w:szCs w:val="18"/>
                        </w:rPr>
                        <w:t>a kutatók és a mezőgazdasági termelők összekapcsolása</w:t>
                      </w:r>
                      <w:r>
                        <w:rPr>
                          <w:color w:val="F07E31"/>
                          <w:sz w:val="18"/>
                          <w:szCs w:val="18"/>
                        </w:rPr>
                        <w:t xml:space="preserve"> </w:t>
                      </w:r>
                    </w:p>
                    <w:p w:rsidR="005139CB" w:rsidRPr="00D66182" w:rsidRDefault="005139CB" w:rsidP="00235D46">
                      <w:pPr>
                        <w:pStyle w:val="HStandard"/>
                        <w:rPr>
                          <w:sz w:val="18"/>
                          <w:szCs w:val="18"/>
                        </w:rPr>
                      </w:pPr>
                      <w:r>
                        <w:rPr>
                          <w:b/>
                          <w:sz w:val="18"/>
                          <w:szCs w:val="18"/>
                        </w:rPr>
                        <w:t>Belgium</w:t>
                      </w:r>
                      <w:r>
                        <w:rPr>
                          <w:sz w:val="18"/>
                          <w:szCs w:val="18"/>
                        </w:rPr>
                        <w:t xml:space="preserve"> – egy innovatív sertésistálló segítséget nyújt az ammóniakibocsátás csökkentéséhez. A kutatók és a mezőgazdasági termelők az innovációtámogató szolgálatok közreműködésével történő összekapcsolása elengedhetetlen ahhoz, hogy a sertéstárgyához konkrét baktériumok hozzáadásával alkalmazott ammóniakibocsátás-csökkentési technikákat lehessen kifejleszteni és tesztelni. Ez a VFP környezetvédelmi célkitűzéseinek eléréséhez is hozzájárul. </w:t>
                      </w:r>
                    </w:p>
                    <w:p w:rsidR="005139CB" w:rsidRPr="00AB16BB" w:rsidRDefault="005139CB" w:rsidP="00AB16BB">
                      <w:pPr>
                        <w:pStyle w:val="HStandard"/>
                        <w:jc w:val="right"/>
                        <w:rPr>
                          <w:sz w:val="14"/>
                          <w:szCs w:val="14"/>
                          <w:vertAlign w:val="superscript"/>
                        </w:rPr>
                      </w:pPr>
                      <w:r>
                        <w:rPr>
                          <w:i/>
                          <w:sz w:val="14"/>
                          <w:szCs w:val="14"/>
                        </w:rPr>
                        <w:t>Forrás: Európai innovációs partnerség – Szolgáltató Pont</w:t>
                      </w:r>
                      <w:r w:rsidRPr="00BF732C">
                        <w:rPr>
                          <w:i/>
                          <w:sz w:val="16"/>
                          <w:szCs w:val="14"/>
                          <w:vertAlign w:val="superscript"/>
                        </w:rPr>
                        <w:t>55</w:t>
                      </w:r>
                    </w:p>
                    <w:p w:rsidR="005139CB" w:rsidRPr="007B4A6D" w:rsidRDefault="005139CB" w:rsidP="00235D46">
                      <w:pPr>
                        <w:pStyle w:val="HStandard"/>
                        <w:rPr>
                          <w:b/>
                          <w:color w:val="F07E31"/>
                          <w:sz w:val="18"/>
                          <w:szCs w:val="18"/>
                        </w:rPr>
                      </w:pPr>
                      <w:r>
                        <w:rPr>
                          <w:b/>
                          <w:color w:val="F07E31"/>
                          <w:sz w:val="18"/>
                          <w:szCs w:val="18"/>
                        </w:rPr>
                        <w:t xml:space="preserve">Példa: innovációtámogató szolgálatok </w:t>
                      </w:r>
                    </w:p>
                    <w:p w:rsidR="005139CB" w:rsidRPr="007B4A6D" w:rsidRDefault="005139CB" w:rsidP="00235D46">
                      <w:pPr>
                        <w:pStyle w:val="HStandard"/>
                        <w:spacing w:after="0"/>
                        <w:rPr>
                          <w:b/>
                          <w:sz w:val="18"/>
                          <w:szCs w:val="18"/>
                        </w:rPr>
                      </w:pPr>
                      <w:r>
                        <w:rPr>
                          <w:b/>
                          <w:sz w:val="18"/>
                          <w:szCs w:val="18"/>
                        </w:rPr>
                        <w:t xml:space="preserve">Hessen (Németország) </w:t>
                      </w:r>
                      <w:r>
                        <w:rPr>
                          <w:sz w:val="18"/>
                          <w:szCs w:val="18"/>
                        </w:rPr>
                        <w:t>– az innovációtámogató szolgálatok a következőkkel segítik az innovációs kapacitás kiépítését:</w:t>
                      </w:r>
                    </w:p>
                    <w:p w:rsidR="005139CB" w:rsidRPr="00055039" w:rsidRDefault="005139CB" w:rsidP="00235D46">
                      <w:pPr>
                        <w:pStyle w:val="HStandard"/>
                        <w:numPr>
                          <w:ilvl w:val="0"/>
                          <w:numId w:val="24"/>
                        </w:numPr>
                        <w:ind w:left="567" w:hanging="567"/>
                        <w:rPr>
                          <w:sz w:val="18"/>
                          <w:szCs w:val="18"/>
                        </w:rPr>
                      </w:pPr>
                      <w:r>
                        <w:rPr>
                          <w:sz w:val="18"/>
                          <w:szCs w:val="18"/>
                        </w:rPr>
                        <w:t>az M16 intézkedés végrehajtásának támogatása,</w:t>
                      </w:r>
                    </w:p>
                    <w:p w:rsidR="005139CB" w:rsidRPr="00D66182" w:rsidRDefault="005139CB" w:rsidP="00235D46">
                      <w:pPr>
                        <w:pStyle w:val="HStandard"/>
                        <w:numPr>
                          <w:ilvl w:val="0"/>
                          <w:numId w:val="24"/>
                        </w:numPr>
                        <w:ind w:left="567" w:hanging="567"/>
                        <w:rPr>
                          <w:sz w:val="18"/>
                          <w:szCs w:val="18"/>
                        </w:rPr>
                      </w:pPr>
                      <w:r>
                        <w:rPr>
                          <w:sz w:val="18"/>
                          <w:szCs w:val="18"/>
                        </w:rPr>
                        <w:t>tájékoztatás és nyilvánosság biztosítása a tartományban,</w:t>
                      </w:r>
                    </w:p>
                    <w:p w:rsidR="005139CB" w:rsidRPr="000E1D4B" w:rsidRDefault="005139CB" w:rsidP="00235D46">
                      <w:pPr>
                        <w:pStyle w:val="HStandard"/>
                        <w:numPr>
                          <w:ilvl w:val="0"/>
                          <w:numId w:val="24"/>
                        </w:numPr>
                        <w:ind w:left="567" w:hanging="567"/>
                        <w:rPr>
                          <w:sz w:val="18"/>
                          <w:szCs w:val="18"/>
                        </w:rPr>
                      </w:pPr>
                      <w:r>
                        <w:rPr>
                          <w:sz w:val="18"/>
                          <w:szCs w:val="18"/>
                        </w:rPr>
                        <w:t>a németországi Hessen tartományon belüli együttműködési tevékenységek közötti hálózatépítés,</w:t>
                      </w:r>
                    </w:p>
                    <w:p w:rsidR="005139CB" w:rsidRPr="000E1D4B" w:rsidRDefault="005139CB" w:rsidP="00235D46">
                      <w:pPr>
                        <w:pStyle w:val="HStandard"/>
                        <w:numPr>
                          <w:ilvl w:val="0"/>
                          <w:numId w:val="24"/>
                        </w:numPr>
                        <w:ind w:left="567" w:hanging="567"/>
                        <w:rPr>
                          <w:sz w:val="18"/>
                          <w:szCs w:val="18"/>
                        </w:rPr>
                      </w:pPr>
                      <w:r>
                        <w:rPr>
                          <w:sz w:val="18"/>
                          <w:szCs w:val="18"/>
                        </w:rPr>
                        <w:t>az együttműködési tevékenységek támogatása az előkészítési és a végrehajtási szakaszban.</w:t>
                      </w:r>
                    </w:p>
                    <w:p w:rsidR="005139CB" w:rsidRPr="00AB16BB" w:rsidRDefault="005139CB" w:rsidP="00AB16BB">
                      <w:pPr>
                        <w:pStyle w:val="HSource"/>
                        <w:spacing w:before="0" w:after="0"/>
                        <w:ind w:right="11"/>
                        <w:jc w:val="right"/>
                        <w:rPr>
                          <w:rFonts w:eastAsia="Calibri"/>
                          <w:sz w:val="14"/>
                          <w:szCs w:val="14"/>
                        </w:rPr>
                      </w:pPr>
                      <w:r>
                        <w:rPr>
                          <w:sz w:val="14"/>
                          <w:szCs w:val="14"/>
                        </w:rPr>
                        <w:t xml:space="preserve">Forrás: EVH (2016) </w:t>
                      </w:r>
                    </w:p>
                    <w:p w:rsidR="005139CB" w:rsidRPr="00AB16BB" w:rsidRDefault="005139CB" w:rsidP="00AB16BB">
                      <w:pPr>
                        <w:pStyle w:val="HSource"/>
                        <w:spacing w:before="0" w:after="0"/>
                        <w:ind w:right="11"/>
                        <w:jc w:val="right"/>
                        <w:rPr>
                          <w:sz w:val="14"/>
                          <w:szCs w:val="14"/>
                        </w:rPr>
                      </w:pPr>
                      <w:r>
                        <w:rPr>
                          <w:sz w:val="14"/>
                          <w:szCs w:val="14"/>
                        </w:rPr>
                        <w:t>Az „Együttműködés” tárgyú M16 intézkedésről tartott műhelytalálkozó</w:t>
                      </w:r>
                      <w:r w:rsidRPr="00BF732C">
                        <w:rPr>
                          <w:szCs w:val="14"/>
                          <w:vertAlign w:val="superscript"/>
                        </w:rPr>
                        <w:t>56</w:t>
                      </w:r>
                      <w:r>
                        <w:rPr>
                          <w:sz w:val="14"/>
                          <w:szCs w:val="14"/>
                        </w:rPr>
                        <w:t xml:space="preserve">. </w:t>
                      </w:r>
                    </w:p>
                  </w:txbxContent>
                </v:textbox>
                <w10:wrap type="square" anchory="page"/>
              </v:shape>
            </w:pict>
          </mc:Fallback>
        </mc:AlternateContent>
      </w:r>
      <w:r w:rsidR="00A45935">
        <w:t xml:space="preserve">A tanácsadók és az innovációtámogató szolgálatok által az együttműködési projektekhez nyújtott támogatásra (többek között a nemzeti vidékfejlesztési hálózatok által nyújtott </w:t>
      </w:r>
      <w:r w:rsidR="00A45935">
        <w:lastRenderedPageBreak/>
        <w:t>támogatásra) helyezett hangsúly hozzájárulhat az innovációs kapacitás kiépítéséhez, valamint a versenyképesség és/vagy a környezet javításához.</w:t>
      </w:r>
    </w:p>
    <w:p w:rsidR="00EF1B0F" w:rsidRDefault="00A45935" w:rsidP="00734B11">
      <w:pPr>
        <w:pStyle w:val="Hlistbullet"/>
      </w:pPr>
      <w:r>
        <w:rPr>
          <w:b/>
        </w:rPr>
        <w:t>A környezetgazdálkodás és a környezeti teljesítmény javítása céljából folytatott együttműködés</w:t>
      </w:r>
      <w:r>
        <w:t xml:space="preserve"> a 2. sz. közös értékelési kérdés másik hangsúlyos eleme. Az együttműködési projektek alkalmazási köre kiterjed az erőforrások (a víz, a talaj, a levegő), a biológiai sokféleség és a természeti környezet védelmére és javítására, valamint az éghajlatváltozás mérséklésére és az ahhoz való alkalmazkodásra. Az éghajlatváltozás mérséklését és az ahhoz való alkalmazkodást célzó környezetgazdálkodás magában foglalhat víz- és energiahatékonysággal és -megtakarítással kapcsolatos tevékenységeket.</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Konkrét kihívások </w:t>
      </w:r>
    </w:p>
    <w:p w:rsidR="00A45935" w:rsidRPr="00183E9B" w:rsidRDefault="00A45935" w:rsidP="00AB16BB">
      <w:pPr>
        <w:pStyle w:val="Hlistbullet"/>
      </w:pPr>
      <w:r>
        <w:rPr>
          <w:b/>
          <w:shd w:val="clear" w:color="auto" w:fill="FFFFFF"/>
        </w:rPr>
        <w:t>Kiegészítő és programspecifikus értékelési elemek kidolgozása</w:t>
      </w:r>
      <w:r>
        <w:rPr>
          <w:shd w:val="clear" w:color="auto" w:fill="FFFFFF"/>
        </w:rPr>
        <w:t xml:space="preserve">: </w:t>
      </w:r>
      <w:r>
        <w:rPr>
          <w:color w:val="545454"/>
          <w:shd w:val="clear" w:color="auto" w:fill="FFFFFF"/>
        </w:rPr>
        <w:t xml:space="preserve">A 2. sz. közös értékelési kérdés egyetlen közös célmutatóhoz kapcsolódik (T2: </w:t>
      </w:r>
      <w:r>
        <w:t xml:space="preserve">az együttműködési intézkedés keretében támogatott együttműködési műveletek teljes száma), </w:t>
      </w:r>
      <w:r>
        <w:rPr>
          <w:color w:val="545454"/>
          <w:shd w:val="clear" w:color="auto" w:fill="FFFFFF"/>
        </w:rPr>
        <w:t>amely nem feltétlenül elegendő a közös értékelési kérdés megválaszolásához.</w:t>
      </w:r>
    </w:p>
    <w:p w:rsidR="00A45935" w:rsidRPr="00183E9B" w:rsidRDefault="00A45935" w:rsidP="00AB16BB">
      <w:pPr>
        <w:pStyle w:val="Hlistbullet"/>
        <w:rPr>
          <w:rFonts w:eastAsia="Calibri"/>
          <w:shd w:val="clear" w:color="auto" w:fill="FFFFFF"/>
        </w:rPr>
      </w:pPr>
      <w:r>
        <w:rPr>
          <w:b/>
          <w:shd w:val="clear" w:color="auto" w:fill="FFFFFF"/>
        </w:rPr>
        <w:t xml:space="preserve">Az észlelt változásoknak </w:t>
      </w:r>
      <w:r>
        <w:rPr>
          <w:shd w:val="clear" w:color="auto" w:fill="FFFFFF"/>
        </w:rPr>
        <w:t xml:space="preserve">a mezőgazdaság, az erdőgazdálkodás, valamint a kutatás és az innováció közötti kapcsolatokra történő </w:t>
      </w:r>
      <w:r>
        <w:rPr>
          <w:b/>
          <w:shd w:val="clear" w:color="auto" w:fill="FFFFFF"/>
        </w:rPr>
        <w:t>visszavezetése</w:t>
      </w:r>
      <w:r>
        <w:rPr>
          <w:shd w:val="clear" w:color="auto" w:fill="FFFFFF"/>
        </w:rPr>
        <w:t xml:space="preserve">. Ezek a változások a környezetgazdálkodáshoz és a környezeti teljesítményhez, az M16 együttműködési intézkedéshez és a VFP célkitűzéseinek eléréséhez való hozzájárulásához kapcsolódnak. </w:t>
      </w:r>
    </w:p>
    <w:p w:rsidR="00A45935" w:rsidRPr="00183E9B" w:rsidRDefault="00A45935" w:rsidP="00AB16BB">
      <w:pPr>
        <w:pStyle w:val="Hlistbullet"/>
        <w:rPr>
          <w:rFonts w:eastAsia="Calibri"/>
          <w:shd w:val="clear" w:color="auto" w:fill="FFFFFF"/>
        </w:rPr>
      </w:pPr>
      <w:r>
        <w:rPr>
          <w:b/>
          <w:shd w:val="clear" w:color="auto" w:fill="FFFFFF"/>
        </w:rPr>
        <w:t>Az 1B kiemelt területtől eltérő kiemelt területekhez programozott</w:t>
      </w:r>
      <w:r>
        <w:rPr>
          <w:shd w:val="clear" w:color="auto" w:fill="FFFFFF"/>
        </w:rPr>
        <w:t xml:space="preserve">, a mezőgazdaság, az erdőgazdálkodás, valamint a kutatás és az innováció közötti kapcsolat megerősítését célzó – nevezetesen a környezetgazdálkodáshoz és a környezeti teljesítményhez kapcsolódó – </w:t>
      </w:r>
      <w:r>
        <w:rPr>
          <w:b/>
          <w:shd w:val="clear" w:color="auto" w:fill="FFFFFF"/>
        </w:rPr>
        <w:t xml:space="preserve">intézkedések </w:t>
      </w:r>
      <w:r>
        <w:rPr>
          <w:shd w:val="clear" w:color="auto" w:fill="FFFFFF"/>
        </w:rPr>
        <w:t xml:space="preserve">(többek között az M16 intézkedés alintézkedései) </w:t>
      </w:r>
      <w:r>
        <w:rPr>
          <w:b/>
          <w:shd w:val="clear" w:color="auto" w:fill="FFFFFF"/>
        </w:rPr>
        <w:t>hozzájárulásának rögzítése</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2. sz. közös értékelési kérdés megválaszolásához javasolt megközelítés</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Beavatkozási logika </w:t>
      </w:r>
    </w:p>
    <w:p w:rsidR="00A45935" w:rsidRPr="00E05D08" w:rsidRDefault="00A45935" w:rsidP="00E05D08">
      <w:pPr>
        <w:spacing w:after="120" w:line="280" w:lineRule="atLeast"/>
        <w:mirrorIndents/>
        <w:rPr>
          <w:rFonts w:eastAsia="Times New Roman" w:cs="Times New Roman"/>
          <w:szCs w:val="20"/>
        </w:rPr>
      </w:pPr>
      <w:r>
        <w:t xml:space="preserve">Az alábbi példában a 2. sz. közös ellenőrzési kérdéshez kapcsolódó beavatkozási logika az M16 intézkedésnek az 1B kiemelt területhez, illetve az 1B kiemelt terület célkitűzéseihez hozzájáruló más kiemelt területekhez programozott alintézkedéseiből áll. </w:t>
      </w:r>
    </w:p>
    <w:p w:rsidR="00A45935" w:rsidRPr="00E05D08" w:rsidRDefault="00A45935" w:rsidP="00E05D08">
      <w:pPr>
        <w:spacing w:after="120" w:line="280" w:lineRule="atLeast"/>
        <w:mirrorIndents/>
        <w:rPr>
          <w:rFonts w:eastAsia="Times New Roman" w:cs="Times New Roman"/>
          <w:szCs w:val="20"/>
        </w:rPr>
      </w:pPr>
      <w:r>
        <w:t xml:space="preserve">A beavatkozási logika felülvizsgálatának lehetséges kiindulópontja annak vizsgálata, hogy az M16 intézkedés alintézkedéseiben rejlik-e innovációs potenciál ahhoz, hogy a három irányvonalon keresztül előmozdítsák az innovációt. </w:t>
      </w:r>
    </w:p>
    <w:p w:rsidR="00A45935" w:rsidRPr="00BC5B1D" w:rsidRDefault="007A7467" w:rsidP="00547012">
      <w:pPr>
        <w:pStyle w:val="HHeadingfigures"/>
      </w:pPr>
      <w:bookmarkStart w:id="113" w:name="_Toc508982300"/>
      <w:r w:rsidRPr="007A7467">
        <w:rPr>
          <w:noProof/>
          <w:lang w:val="en-GB" w:eastAsia="en-GB"/>
        </w:rPr>
        <w:lastRenderedPageBreak/>
        <w:drawing>
          <wp:anchor distT="0" distB="0" distL="114300" distR="114300" simplePos="0" relativeHeight="251672576" behindDoc="0" locked="0" layoutInCell="1" allowOverlap="1">
            <wp:simplePos x="1828800" y="723265"/>
            <wp:positionH relativeFrom="margin">
              <wp:align>center</wp:align>
            </wp:positionH>
            <wp:positionV relativeFrom="margin">
              <wp:align>top</wp:align>
            </wp:positionV>
            <wp:extent cx="5731510" cy="3269615"/>
            <wp:effectExtent l="0" t="0" r="2540" b="6985"/>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269615"/>
                    </a:xfrm>
                    <a:prstGeom prst="rect">
                      <a:avLst/>
                    </a:prstGeom>
                  </pic:spPr>
                </pic:pic>
              </a:graphicData>
            </a:graphic>
          </wp:anchor>
        </w:drawing>
      </w:r>
      <w:r w:rsidR="00BE1F31">
        <w:t>Az M16 intézkedés egyes alintézkedéseinek innovációs potenciáljára vonatkozó példa</w:t>
      </w:r>
      <w:bookmarkEnd w:id="113"/>
    </w:p>
    <w:p w:rsidR="00A45935" w:rsidRPr="00E05D08" w:rsidRDefault="00A45935" w:rsidP="002C2C15">
      <w:pPr>
        <w:spacing w:after="120" w:line="280" w:lineRule="atLeast"/>
        <w:mirrorIndents/>
        <w:jc w:val="center"/>
        <w:rPr>
          <w:rFonts w:eastAsia="Times New Roman" w:cs="Times New Roman"/>
          <w:szCs w:val="20"/>
          <w:lang w:eastAsia="de-DE"/>
        </w:rPr>
      </w:pP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Forrás: Európai vidékfejlesztési értékelési támogató szolgálat,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56192" behindDoc="0" locked="0" layoutInCell="1" allowOverlap="1" wp14:anchorId="0187B8F4" wp14:editId="6D4D0473">
                <wp:simplePos x="0" y="0"/>
                <wp:positionH relativeFrom="column">
                  <wp:posOffset>-47625</wp:posOffset>
                </wp:positionH>
                <wp:positionV relativeFrom="paragraph">
                  <wp:posOffset>811530</wp:posOffset>
                </wp:positionV>
                <wp:extent cx="5733415" cy="24384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438400"/>
                        </a:xfrm>
                        <a:prstGeom prst="round2DiagRect">
                          <a:avLst>
                            <a:gd name="adj1" fmla="val 11556"/>
                            <a:gd name="adj2" fmla="val 0"/>
                          </a:avLst>
                        </a:prstGeom>
                        <a:noFill/>
                        <a:ln w="25400" cap="flat" cmpd="sng" algn="ctr">
                          <a:solidFill>
                            <a:srgbClr val="F07E31"/>
                          </a:solidFill>
                          <a:prstDash val="solid"/>
                        </a:ln>
                        <a:effectLst/>
                      </wps:spPr>
                      <wps:txbx>
                        <w:txbxContent>
                          <w:p w:rsidR="005139CB" w:rsidRPr="00A10ACC" w:rsidRDefault="005139CB" w:rsidP="00E05D08">
                            <w:pPr>
                              <w:pStyle w:val="HStandard"/>
                              <w:rPr>
                                <w:sz w:val="18"/>
                              </w:rPr>
                            </w:pPr>
                            <w:r>
                              <w:rPr>
                                <w:noProof/>
                                <w:lang w:val="en-GB" w:eastAsia="en-GB"/>
                              </w:rPr>
                              <w:drawing>
                                <wp:inline distT="0" distB="0" distL="0" distR="0" wp14:anchorId="55C8DFA3" wp14:editId="16384EED">
                                  <wp:extent cx="353060" cy="359410"/>
                                  <wp:effectExtent l="0" t="0" r="8890" b="2540"/>
                                  <wp:docPr id="87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A példa az M16 intézkedés azon alintézkedéseinek innovációs potenciálját mutatja be (mivel az bármely vidékfejlesztési kiemelt területhez programozható), amelyek hozzájárulnak az 1B kiemelt terület szakpolitikai célkitűzéséhez. Noha az M16 intézkedésnek mind a tíz alintézkedése hozzájárul a mezőgazdaság, az élelmiszer-termelés, az erdőgazdálkodás, a kutatás és az innováció közötti kapcsolatok megerősítéséhez, láthatóan csak az 5., 6. 8. és 9. alintézkedés járulhat hozzá ezeknek a kapcsolatoknak a megerősítéséhez a környezetgazdálkodás és a környezeti teljesítmény esetében. Ami a három innovációs irányvonalat illeti, az 1., 5., 6., 7., 8. alintézkedés előmozdítja az innovatív ötletek felkarolását (az 1. irányvonalat). Az 1. alintézkedés a kapacitásépítést és a támogató környezet létrehozását (a 2. és a 3. irányvonalat) is előmozdítja.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3.75pt;margin-top:63.9pt;width:451.45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" adj="-11796480,,5400" path="m281782,l5733415,r,l5733415,2156618v,155624,-126158,281782,-281782,281782l,2438400r,l,281782c,126158,126158,,281782,xe" filled="f" strokecolor="#f07e31" strokeweight="2pt">
                <v:stroke joinstyle="miter"/>
                <v:formulas/>
                <v:path arrowok="t" o:connecttype="custom" o:connectlocs="281782,0;5733415,0;5733415,0;5733415,2156618;5451633,2438400;0,2438400;0,2438400;0,281782;281782,0" o:connectangles="0,0,0,0,0,0,0,0,0" textboxrect="0,0,5733415,2438400"/>
                <v:textbox>
                  <w:txbxContent>
                    <w:p w:rsidR="005139CB" w:rsidRPr="00A10ACC" w:rsidRDefault="005139CB" w:rsidP="00E05D08">
                      <w:pPr>
                        <w:pStyle w:val="HStandard"/>
                        <w:rPr>
                          <w:sz w:val="18"/>
                        </w:rPr>
                      </w:pPr>
                      <w:r>
                        <w:rPr>
                          <w:noProof/>
                          <w:lang w:val="en-GB" w:eastAsia="en-GB"/>
                        </w:rPr>
                        <w:drawing>
                          <wp:inline distT="0" distB="0" distL="0" distR="0" wp14:anchorId="55C8DFA3" wp14:editId="16384EED">
                            <wp:extent cx="353060" cy="359410"/>
                            <wp:effectExtent l="0" t="0" r="8890" b="2540"/>
                            <wp:docPr id="87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A példa az M16 intézkedés azon alintézkedéseinek innovációs potenciálját mutatja be (mivel az bármely vidékfejlesztési kiemelt területhez programozható), amelyek hozzájárulnak az 1B kiemelt terület szakpolitikai célkitűzéséhez. Noha az M16 intézkedésnek mind a tíz alintézkedése hozzájárul a mezőgazdaság, az élelmiszer-termelés, az erdőgazdálkodás, a kutatás és az innováció közötti kapcsolatok megerősítéséhez, láthatóan csak az 5., 6. 8. és 9. alintézkedés járulhat hozzá ezeknek a kapcsolatoknak a megerősítéséhez a környezetgazdálkodás és a környezeti teljesítmény esetében. Ami a három innovációs irányvonalat illeti, az 1., 5., 6., 7., 8. alintézkedés előmozdítja az innovatív ötletek felkarolását (az 1. irányvonalat). Az 1. alintézkedés a kapacitásépítést és a támogató környezet létrehozását (a 2. és a 3. irányvonalat) is előmozdítja.</w:t>
                      </w:r>
                    </w:p>
                  </w:txbxContent>
                </v:textbox>
                <w10:wrap type="square"/>
              </v:shape>
            </w:pict>
          </mc:Fallback>
        </mc:AlternateContent>
      </w:r>
      <w:r>
        <w:t>Ezenfelül az M16 intézkedésnek az 1B kiemelt területtől eltérő kiemelt területekhez programozott összes alintézkedésére ki kell térni a 2. sz. közös értékelési kérdés innovációval kapcsolatos aspektusainak megvalósítására irányuló értékelés során. Ha például az M16.1 alintézkedést a 2A kiemelt területhez programozzák, a mezőgazdasági termelők, a kutatók és az innovációs tanácsadók közötti kapcsolatok figyelembe vehetők a 2. sz. közös értékelési kérdés értékelése során.</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Értékelési elemek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A 2. sz. közös értékelési kérdéshez kapcsolódó közös elbírálási kritériumok és mutatók az együttműködési intézkedés szerinti műveletek kimeneti szintjén maradnak. Előfordulhat, hogy ezen intézkedések eredményeinek értékeléséhez kiegészítő elbírálási kritériumokat és mutatókat kell kidolgozni. Az alábbi táblázat felsorolja a 2. sz. közös értékelési kérdés megválaszolásához szükséges elbírálási kritériumokat, mutatókat és adatkövetelményeket.</w:t>
      </w:r>
    </w:p>
    <w:p w:rsidR="00A45935" w:rsidRPr="009A2DAD" w:rsidRDefault="00A45935" w:rsidP="009A2DAD">
      <w:pPr>
        <w:pStyle w:val="HHeadingtables"/>
        <w:rPr>
          <w:color w:val="6F6F6F"/>
          <w:sz w:val="18"/>
          <w:szCs w:val="18"/>
        </w:rPr>
      </w:pPr>
      <w:bookmarkStart w:id="114" w:name="_Toc508982276"/>
      <w:r>
        <w:rPr>
          <w:color w:val="6F6F6F"/>
          <w:sz w:val="18"/>
          <w:szCs w:val="18"/>
        </w:rPr>
        <w:lastRenderedPageBreak/>
        <w:t>Elbírálási kritériumok, mutatók, adatszükségletek és adatforrások</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Elbírálási kritériumok</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Mutatók</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Adatszükségletek</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Adatforrások</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Közös értékelési elemek (a közös monitoring- és értékelési rendszer szerinti, valamint a 2014–2020-as időszakra vonatkozó közös értékelési kérdésekről szóló munkadokumentumban javasolt közös értékelési elemek)</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Hosszú távú együttműködés jött létre a mezőgazdasággal, az élelmiszer-termeléssel és az erdőgazdálkodással foglalkozó szervezetek, valamint a kutatással és az innovációval foglalkozó intézmények között.</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az együttműködési intézkedés (1305/2013/EU rendelet 35. cikk) keretében támogatott együttműködési műveletek (csoportok, hálózatok/klaszterek, kísérleti projektek) teljes száma.</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Kiegészítő mutató:</w:t>
            </w:r>
            <w:r>
              <w:rPr>
                <w:color w:val="57825E"/>
                <w:sz w:val="18"/>
                <w:szCs w:val="18"/>
              </w:rPr>
              <w:t xml:space="preserve"> Az együttműködési projektekben részt vevő partnerek száma és típusa, beleértve a szerepüket és a felelősségi körüket.</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EIP-műveletek száma (O16 adatelem).</w:t>
            </w:r>
          </w:p>
          <w:p w:rsidR="00A45935" w:rsidRPr="00385368" w:rsidRDefault="00A45935" w:rsidP="007E63EF">
            <w:pPr>
              <w:spacing w:after="120" w:line="280" w:lineRule="atLeast"/>
              <w:ind w:left="11" w:right="12"/>
              <w:mirrorIndents/>
              <w:jc w:val="left"/>
              <w:rPr>
                <w:rFonts w:cs="Arial"/>
                <w:sz w:val="18"/>
                <w:szCs w:val="18"/>
              </w:rPr>
            </w:pPr>
            <w:r>
              <w:rPr>
                <w:sz w:val="18"/>
                <w:szCs w:val="18"/>
              </w:rPr>
              <w:t>Az „Együttműködés” tárgyú M16 intézkedés keretében támogatandó egyéb együttműködési műveletek (csoportok, hálózatok/klaszterek, kísérleti projektek) száma (O17 adatelem).</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 részt vevő partnerek típusa és száma.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A VFP monitoringrendszere</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kifizetési kérelmei (projektzárás)</w:t>
            </w:r>
          </w:p>
        </w:tc>
      </w:tr>
      <w:tr w:rsidR="00A45935" w:rsidRPr="00E05D08" w:rsidTr="005520BA">
        <w:tc>
          <w:tcPr>
            <w:tcW w:w="3578" w:type="dxa"/>
            <w:tcBorders>
              <w:top w:val="nil"/>
              <w:bottom w:val="single" w:sz="4" w:space="0" w:color="808080"/>
            </w:tcBorders>
          </w:tcPr>
          <w:p w:rsidR="00A45935" w:rsidRPr="00622614"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 támogatott műveletek száma.</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A támogatott műveletek teljes száma.</w:t>
            </w:r>
          </w:p>
          <w:p w:rsidR="00A45935" w:rsidRPr="00385368" w:rsidRDefault="00A45935" w:rsidP="007E63EF">
            <w:pPr>
              <w:spacing w:after="120" w:line="280" w:lineRule="atLeast"/>
              <w:ind w:left="11" w:right="12"/>
              <w:mirrorIndents/>
              <w:jc w:val="left"/>
              <w:rPr>
                <w:rFonts w:cs="Arial"/>
                <w:sz w:val="18"/>
                <w:szCs w:val="18"/>
              </w:rPr>
            </w:pPr>
            <w:r>
              <w:rPr>
                <w:sz w:val="18"/>
                <w:szCs w:val="18"/>
              </w:rPr>
              <w:t>A támogatott együttműködési műveletek száma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A VFP monitoringrendszere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kifizetési kérelmei (projektzárás)</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A mezőgazdaság, az élelmiszer-termelés, az erdőgazdálkodás, valamint a kutatás és az innováció közötti, a környezetgazdálkodás és a környezeti teljesítmény javítását célzó együttműködési műveleteket hajtottak végre.</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az együttműködési intézkedés (1305/2013/EU rendelet 35. cikk) keretében támogatott együttműködési műveletek (csoportok, hálózatok/klaszterek, kísérleti projektek) teljes száma.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Kiegészítő mutató:</w:t>
            </w:r>
            <w:r>
              <w:rPr>
                <w:color w:val="57825E"/>
                <w:sz w:val="18"/>
                <w:szCs w:val="18"/>
              </w:rPr>
              <w:t xml:space="preserve"> A VFP keretében nyújtott támogatást követően folytatódó – többek között a környezetgazdálkodás </w:t>
            </w:r>
            <w:r>
              <w:rPr>
                <w:color w:val="57825E"/>
                <w:sz w:val="18"/>
                <w:szCs w:val="18"/>
              </w:rPr>
              <w:lastRenderedPageBreak/>
              <w:t>és a környezeti teljesítmény javítását célzó – együttműködési műveletek százalékos aránya.</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Kiegészítő mutató:</w:t>
            </w:r>
            <w:r>
              <w:rPr>
                <w:color w:val="57825E"/>
                <w:sz w:val="18"/>
                <w:szCs w:val="18"/>
              </w:rPr>
              <w:t xml:space="preserve"> Az együttműködési projektekben részt vevő partnerek száma és típusa, beleértve a szerepüket és a felelősségi körüket.</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 xml:space="preserve"> A környezetgazdálkodás és a környezeti teljesítmény javításával foglalkozó, támogatott EIP-műveletek száma (O16 adatelem).</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Az „Együttműködés” tárgyú M16 intézkedés keretében támogatandó, a környezetgazdálkodás és a környezeti teljesítmény javításával foglalkozó egyéb együttműködési műveletek (csoportok, </w:t>
            </w:r>
            <w:r>
              <w:rPr>
                <w:sz w:val="18"/>
                <w:szCs w:val="18"/>
              </w:rPr>
              <w:lastRenderedPageBreak/>
              <w:t>hálózatok/klaszterek, kísérleti projektek) száma (O17 adatelem).</w:t>
            </w:r>
          </w:p>
          <w:p w:rsidR="00A45935" w:rsidRPr="00385368" w:rsidRDefault="00A45935" w:rsidP="007E63EF">
            <w:pPr>
              <w:spacing w:after="120" w:line="280" w:lineRule="atLeast"/>
              <w:ind w:left="11" w:right="12"/>
              <w:mirrorIndents/>
              <w:jc w:val="left"/>
              <w:rPr>
                <w:rFonts w:cs="Arial"/>
                <w:sz w:val="18"/>
                <w:szCs w:val="18"/>
              </w:rPr>
            </w:pPr>
            <w:r>
              <w:rPr>
                <w:sz w:val="18"/>
                <w:szCs w:val="18"/>
              </w:rPr>
              <w:t>A részt vevő partnerek típusa és száma.</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A VFP monitoringrendszere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kifizetési kérelmei (projektzárás)</w:t>
            </w:r>
          </w:p>
        </w:tc>
      </w:tr>
      <w:tr w:rsidR="00A45935" w:rsidRPr="00E05D08" w:rsidTr="005520BA">
        <w:tc>
          <w:tcPr>
            <w:tcW w:w="3578" w:type="dxa"/>
            <w:tcBorders>
              <w:top w:val="single" w:sz="4" w:space="0" w:color="808080"/>
            </w:tcBorders>
          </w:tcPr>
          <w:p w:rsidR="00A45935" w:rsidRPr="00622614"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 támogatott műveletek száma.</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A támogatott műveletek teljes száma.</w:t>
            </w:r>
          </w:p>
          <w:p w:rsidR="00A45935" w:rsidRPr="00385368" w:rsidRDefault="00A45935" w:rsidP="007E63EF">
            <w:pPr>
              <w:spacing w:after="120" w:line="280" w:lineRule="atLeast"/>
              <w:ind w:left="11" w:right="12"/>
              <w:mirrorIndents/>
              <w:jc w:val="left"/>
              <w:rPr>
                <w:rFonts w:cs="Arial"/>
                <w:sz w:val="18"/>
                <w:szCs w:val="18"/>
              </w:rPr>
            </w:pPr>
            <w:r>
              <w:rPr>
                <w:sz w:val="18"/>
                <w:szCs w:val="18"/>
              </w:rPr>
              <w:t>A támogatott együttműködési műveletek száma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A VFP monitoringrendszere</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pályázati űrlapjai (projektkezdés)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 kedvezményezettek kifizetési kérelmei (projektzárás)</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Kiegészítő értékelési elemek (választható)</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Az együttműködési projektek javították az innovációs kapacitást, többek között a környezetgazdálkodás és a környezeti teljesítmény területén.</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Az együttműködési projektek – többek között a környezetgazdálkodásra és a környezeti teljesítményre összpontosító együttműködési projektek – révén létrejött innovációk száma és típusa.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A létrejött innovációk száma.</w:t>
            </w:r>
          </w:p>
          <w:p w:rsidR="00A45935" w:rsidRPr="00385368" w:rsidRDefault="00A45935" w:rsidP="007E63EF">
            <w:pPr>
              <w:spacing w:after="120" w:line="280" w:lineRule="atLeast"/>
              <w:ind w:left="11" w:right="12"/>
              <w:mirrorIndents/>
              <w:jc w:val="left"/>
              <w:rPr>
                <w:rFonts w:cs="Arial"/>
                <w:sz w:val="18"/>
                <w:szCs w:val="18"/>
              </w:rPr>
            </w:pPr>
            <w:r>
              <w:rPr>
                <w:sz w:val="18"/>
                <w:szCs w:val="18"/>
              </w:rPr>
              <w:t>A környezetgazdálkodás és a környezeti teljesítmény javítását célzó innovációk száma.</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Felmérések.</w:t>
            </w:r>
          </w:p>
          <w:p w:rsidR="00A45935" w:rsidRPr="00385368" w:rsidRDefault="00A45935" w:rsidP="007E63EF">
            <w:pPr>
              <w:spacing w:after="120" w:line="280" w:lineRule="atLeast"/>
              <w:ind w:right="31"/>
              <w:mirrorIndents/>
              <w:jc w:val="left"/>
              <w:rPr>
                <w:rFonts w:cs="Arial"/>
                <w:sz w:val="18"/>
                <w:szCs w:val="18"/>
              </w:rPr>
            </w:pPr>
            <w:r>
              <w:rPr>
                <w:sz w:val="18"/>
                <w:szCs w:val="18"/>
              </w:rPr>
              <w:t>Az együttműködési projektek résztvevőivel bonyolított interjúk és létrehozott fókuszcsoportok.</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Javasolt értékelési módszertan </w:t>
      </w:r>
    </w:p>
    <w:p w:rsidR="00A45935" w:rsidRPr="00E05D08" w:rsidRDefault="00A45935" w:rsidP="00E05D08">
      <w:pPr>
        <w:spacing w:after="120" w:line="280" w:lineRule="atLeast"/>
        <w:mirrorIndents/>
        <w:rPr>
          <w:rFonts w:eastAsia="Times New Roman" w:cs="Times New Roman"/>
          <w:color w:val="F07E31"/>
          <w:szCs w:val="20"/>
          <w:u w:val="single"/>
        </w:rPr>
      </w:pPr>
      <w:r>
        <w:t>A 2. sz. közös értékelési kérdéshez kapcsolódó közös mutatók kiszámítását az „</w:t>
      </w:r>
      <w:hyperlink r:id="rId50" w:history="1">
        <w:r>
          <w:rPr>
            <w:color w:val="F07E31"/>
            <w:szCs w:val="20"/>
            <w:u w:val="single"/>
          </w:rPr>
          <w:t>Assessment of RDP results: how to prepare for reporting on evaluation in 2017</w:t>
        </w:r>
      </w:hyperlink>
      <w:r>
        <w:t>” (A VFP eredményeinek értékelése: felkészülés a 2017. évi értékelésre vonatkozó jelentéstételre) című iránymutatás 11. melléklete ismerteti.</w:t>
      </w:r>
    </w:p>
    <w:p w:rsidR="00A45935" w:rsidRPr="00E05D08" w:rsidRDefault="00A45935" w:rsidP="00E05D08">
      <w:pPr>
        <w:spacing w:after="120" w:line="280" w:lineRule="atLeast"/>
        <w:mirrorIndents/>
        <w:rPr>
          <w:rFonts w:eastAsia="Times New Roman" w:cs="Times New Roman"/>
          <w:szCs w:val="20"/>
        </w:rPr>
      </w:pPr>
      <w:r>
        <w:t>A 2. sz. közös értékelési kérdés innovációval kapcsolatos részének értékeléséhez javasolt lépések:</w:t>
      </w:r>
    </w:p>
    <w:p w:rsidR="00A45935" w:rsidRPr="008F1F04" w:rsidRDefault="00A45935" w:rsidP="00547012">
      <w:pPr>
        <w:pStyle w:val="Hlistbullet"/>
      </w:pPr>
      <w:r>
        <w:rPr>
          <w:b/>
        </w:rPr>
        <w:t xml:space="preserve">1. LÉPÉS: Határozza meg az M16 intézkedés </w:t>
      </w:r>
      <w:r>
        <w:t xml:space="preserve">és az alintézkedései </w:t>
      </w:r>
      <w:r>
        <w:rPr>
          <w:b/>
        </w:rPr>
        <w:t>kedvezményezettjeit</w:t>
      </w:r>
      <w:r>
        <w:t xml:space="preserve"> az innovációs potenciáljuk meghatározásának eredményeivel összhangban (azokat a kedvezményezetteket, akik/amelyek innovatívként kategorizált műveleteket hajtottak végre). </w:t>
      </w:r>
    </w:p>
    <w:p w:rsidR="00A45935" w:rsidRPr="008F1F04" w:rsidRDefault="00A45935" w:rsidP="00547012">
      <w:pPr>
        <w:pStyle w:val="Hlistbullet"/>
      </w:pPr>
      <w:r>
        <w:rPr>
          <w:b/>
        </w:rPr>
        <w:t>2. LÉPÉS: Számszerűsítse a kimeneti és a célmutatókat</w:t>
      </w:r>
      <w:r>
        <w:t xml:space="preserve"> a VFP műveleteit tartalmazó adatbázis operatív csoportokra vonatkozó monitoringadatai segítségével. A műveleteket tartalmazó adatbázisnak az innováció értékeléséhez történő felhasználása érdekében az irányító hatóságok az operatív csoportokhoz és az innovációhoz kapcsolódó adatelemekkel egészítik ki ezeket az adatokat, és ilyen adatelemeket gyűjtenek. </w:t>
      </w:r>
    </w:p>
    <w:p w:rsidR="00A45935" w:rsidRPr="008F1F04" w:rsidRDefault="00A45935" w:rsidP="00547012">
      <w:pPr>
        <w:pStyle w:val="Hlistbullet"/>
      </w:pPr>
      <w:r>
        <w:rPr>
          <w:b/>
        </w:rPr>
        <w:t xml:space="preserve">3. LÉPÉS: </w:t>
      </w:r>
      <w:r>
        <w:t xml:space="preserve">Meghatározott módszerek segítségével </w:t>
      </w:r>
      <w:r>
        <w:rPr>
          <w:b/>
        </w:rPr>
        <w:t>gyűjtsön bizonyítékokat a közös értékelési kérdés megválaszolásához</w:t>
      </w:r>
      <w:r>
        <w:t>. Az alábbi táblázatban szereplő módszerek (felmérések, fókuszcsoportok és Delphi-módszer) alkalmazásához alakítson ki olyan kiegészítendő kérdéseket, amelyek megfelelnek a javasolt elbírálási kritériumoknak és mutatóknak, valamint az innovációs potenciál meghatározásával kapcsolatos eredményeknek.</w:t>
      </w:r>
    </w:p>
    <w:p w:rsidR="00A45935" w:rsidRPr="008F1F04" w:rsidRDefault="00A45935" w:rsidP="00547012">
      <w:pPr>
        <w:pStyle w:val="Hlistbullet"/>
      </w:pPr>
      <w:r>
        <w:rPr>
          <w:b/>
        </w:rPr>
        <w:t>4. LÉPÉS: Elemezze és értelmezze az összegyűjtött bizonyítékokat</w:t>
      </w:r>
      <w:r>
        <w:t>, és azokat használja fel a 2. sz. közös értékelési kérdésnek az innovációs kapcsolatok erősítése tekintetében történő megválaszolásához.</w:t>
      </w:r>
    </w:p>
    <w:p w:rsidR="00A45935" w:rsidRPr="00897804" w:rsidRDefault="00A45935" w:rsidP="00897804">
      <w:pPr>
        <w:pStyle w:val="HHeadingtables"/>
        <w:rPr>
          <w:color w:val="6F6F6F"/>
          <w:sz w:val="18"/>
          <w:szCs w:val="18"/>
        </w:rPr>
      </w:pPr>
      <w:bookmarkStart w:id="115" w:name="_Toc508982277"/>
      <w:r>
        <w:rPr>
          <w:color w:val="6F6F6F"/>
          <w:sz w:val="18"/>
          <w:szCs w:val="18"/>
        </w:rPr>
        <w:t>A 2. sz. közös értékelési kérdéshez ajánlott módszerek</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Módszerek</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A módszerek alkalmazására vonatkozó ötletek</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Végezzen felmérést az együttműködési projektek és a végső kedvezményezettek körében.</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Válasszon ki együttműködési projektekből álló mintát (például ágazat, az operatív csoportok mérete, földrajzi elhelyezkedés stb. szerint) annak érdekében, hogy a mutatókhoz adatokat és információkat gyűjtsön a kedvezményezettektől a felmérés keretében.</w:t>
            </w:r>
          </w:p>
          <w:p w:rsidR="00A45935" w:rsidRPr="00385368" w:rsidRDefault="00A45935" w:rsidP="008C0B17">
            <w:pPr>
              <w:numPr>
                <w:ilvl w:val="0"/>
                <w:numId w:val="21"/>
              </w:numPr>
              <w:spacing w:before="60" w:after="120" w:line="280" w:lineRule="atLeast"/>
              <w:ind w:left="459"/>
              <w:rPr>
                <w:sz w:val="18"/>
                <w:szCs w:val="18"/>
              </w:rPr>
            </w:pPr>
            <w:r>
              <w:rPr>
                <w:sz w:val="18"/>
                <w:szCs w:val="18"/>
              </w:rPr>
              <w:t>Válassza ki többek között azokat az együttműködési projekteket, amelyek befolyásolhatják a környezetgazdálkodást és a környezeti teljesítményt (például az 5., 6., 8. és 9. alintézkedés vagy az e területen működő operatív csoportok – M16.1):</w:t>
            </w:r>
          </w:p>
          <w:p w:rsidR="00A45935" w:rsidRPr="00385368" w:rsidRDefault="00A45935" w:rsidP="008C0B17">
            <w:pPr>
              <w:numPr>
                <w:ilvl w:val="0"/>
                <w:numId w:val="21"/>
              </w:numPr>
              <w:spacing w:before="60" w:after="120" w:line="280" w:lineRule="atLeast"/>
              <w:ind w:left="459"/>
              <w:rPr>
                <w:sz w:val="18"/>
                <w:szCs w:val="18"/>
              </w:rPr>
            </w:pPr>
            <w:r>
              <w:rPr>
                <w:sz w:val="18"/>
                <w:szCs w:val="18"/>
              </w:rPr>
              <w:t>Állítsa össze a felméréseket, amelyekbe foglaljon bele arra vonatkozó kiegészítendő kérdéseket, hogy az együttműködési projektek hogyan járulnak hozzá: a) az innovatív ötletek megosztásához, b) az innovációs kapacitás kiépítéséhez, c) az innovációt támogató környezet létrehozásához.</w:t>
            </w:r>
          </w:p>
          <w:p w:rsidR="00A45935" w:rsidRPr="00385368" w:rsidRDefault="00A45935" w:rsidP="008C0B17">
            <w:pPr>
              <w:numPr>
                <w:ilvl w:val="0"/>
                <w:numId w:val="21"/>
              </w:numPr>
              <w:spacing w:before="60" w:after="120" w:line="280" w:lineRule="atLeast"/>
              <w:ind w:left="459"/>
            </w:pPr>
            <w:r>
              <w:rPr>
                <w:sz w:val="18"/>
                <w:szCs w:val="18"/>
              </w:rPr>
              <w:t>A felmérések megállapításait használja fel a következőkhöz: értékelje, hogy az együttműködési projektek különböző formái (a különböző szereplők, klaszterek és hálózatok és az operatív csoportok közötti együttműködés) hogyan járulnak hozzá a kutatás/innováció és a gyakorlat közötti szorosabb kapcsolatokhoz.</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Strukturált fókuszcsoportok</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 xml:space="preserve">Irányítson fókuszcsoportokat az innovációs szereplőkkel (például innovációtámogató szolgálatokkal, innovációközvetítőként eljáró </w:t>
            </w:r>
            <w:r>
              <w:rPr>
                <w:sz w:val="18"/>
                <w:szCs w:val="18"/>
              </w:rPr>
              <w:lastRenderedPageBreak/>
              <w:t>tanácsadókkal, kutatókkal és innovációs központokkal stb.).</w:t>
            </w:r>
          </w:p>
          <w:p w:rsidR="00A45935" w:rsidRPr="00385368" w:rsidRDefault="00A45935" w:rsidP="008C0B17">
            <w:pPr>
              <w:numPr>
                <w:ilvl w:val="0"/>
                <w:numId w:val="22"/>
              </w:numPr>
              <w:spacing w:before="60" w:after="120" w:line="280" w:lineRule="atLeast"/>
              <w:ind w:left="459"/>
              <w:rPr>
                <w:sz w:val="18"/>
                <w:szCs w:val="18"/>
              </w:rPr>
            </w:pPr>
            <w:r>
              <w:rPr>
                <w:sz w:val="18"/>
                <w:szCs w:val="18"/>
              </w:rPr>
              <w:t>Elemezze, hogy az érdekelt felek közötti kapcsolatok hogyan befolyásolják az innovációs kapacitást és az innovációt támogató környezet létrehozására való képességet.</w:t>
            </w:r>
          </w:p>
          <w:p w:rsidR="00A45935" w:rsidRPr="00385368" w:rsidRDefault="00A45935" w:rsidP="008C0B17">
            <w:pPr>
              <w:numPr>
                <w:ilvl w:val="0"/>
                <w:numId w:val="22"/>
              </w:numPr>
              <w:spacing w:before="60" w:after="120" w:line="280" w:lineRule="atLeast"/>
              <w:ind w:left="459"/>
              <w:rPr>
                <w:sz w:val="18"/>
                <w:szCs w:val="18"/>
              </w:rPr>
            </w:pPr>
            <w:r>
              <w:rPr>
                <w:sz w:val="18"/>
                <w:szCs w:val="18"/>
              </w:rPr>
              <w:t>Mérlegelje tematikus fókuszcsoportok (együttműködési projektekért felelős, környezetvédelmi projektekkel foglalkozó fókuszcsoport, az EIP operatív csoportjaival foglalkozó másik fókuszcsoport stb.) létrehozásának lehetőségét.</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t>Delphi-módszer</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Szervezzen Delphi-folyamatot innovációs szakértőkkel (például együttműködési projektekben részt vevő innovációs szakértőkkel, ugyanakkor tudományos szakemberekkel stb. is) a releváns kritériumokkal kapcsolatos vélemény kialakításához.</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7C36E865" wp14:editId="23284F1A">
                <wp:extent cx="5707380" cy="492442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924425"/>
                        </a:xfrm>
                        <a:prstGeom prst="round2DiagRect">
                          <a:avLst>
                            <a:gd name="adj1" fmla="val 7299"/>
                            <a:gd name="adj2" fmla="val 0"/>
                          </a:avLst>
                        </a:prstGeom>
                        <a:noFill/>
                        <a:ln w="25400" cap="flat" cmpd="sng" algn="ctr">
                          <a:solidFill>
                            <a:srgbClr val="F07E31"/>
                          </a:solidFill>
                          <a:prstDash val="solid"/>
                        </a:ln>
                        <a:effectLst/>
                      </wps:spPr>
                      <wps:txbx>
                        <w:txbxContent>
                          <w:p w:rsidR="005139CB" w:rsidRPr="001954EB" w:rsidRDefault="005139CB"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87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2017-ben benyújtott éves végrehajtási jelentésekből származó példák</w:t>
                            </w:r>
                          </w:p>
                          <w:p w:rsidR="005139CB" w:rsidRPr="00547012" w:rsidRDefault="005139CB" w:rsidP="00E05D08">
                            <w:pPr>
                              <w:rPr>
                                <w:rFonts w:cs="Arial"/>
                                <w:sz w:val="18"/>
                                <w:szCs w:val="18"/>
                              </w:rPr>
                            </w:pPr>
                            <w:r>
                              <w:rPr>
                                <w:b/>
                                <w:sz w:val="18"/>
                                <w:szCs w:val="18"/>
                              </w:rPr>
                              <w:t>Mecklenburg–Elő-Pomeránia (Németország)</w:t>
                            </w:r>
                            <w:r>
                              <w:rPr>
                                <w:sz w:val="18"/>
                                <w:szCs w:val="18"/>
                              </w:rPr>
                              <w:t xml:space="preserve"> – három elbírálási kritériumot használ az innovációval összefüggésben:</w:t>
                            </w:r>
                          </w:p>
                          <w:p w:rsidR="005139CB" w:rsidRPr="001954EB" w:rsidRDefault="005139CB" w:rsidP="008C0B17">
                            <w:pPr>
                              <w:numPr>
                                <w:ilvl w:val="0"/>
                                <w:numId w:val="57"/>
                              </w:numPr>
                              <w:rPr>
                                <w:rFonts w:cs="Arial"/>
                                <w:sz w:val="18"/>
                                <w:szCs w:val="18"/>
                              </w:rPr>
                            </w:pPr>
                            <w:r>
                              <w:rPr>
                                <w:sz w:val="18"/>
                                <w:szCs w:val="18"/>
                              </w:rPr>
                              <w:t xml:space="preserve">a VFP keretében támogatott folyamatok innovatívak, és a megszerzett ismereteken alapulnak, </w:t>
                            </w:r>
                          </w:p>
                          <w:p w:rsidR="005139CB" w:rsidRPr="001954EB" w:rsidRDefault="005139CB" w:rsidP="008C0B17">
                            <w:pPr>
                              <w:numPr>
                                <w:ilvl w:val="0"/>
                                <w:numId w:val="57"/>
                              </w:numPr>
                              <w:rPr>
                                <w:rFonts w:cs="Arial"/>
                                <w:sz w:val="18"/>
                                <w:szCs w:val="18"/>
                              </w:rPr>
                            </w:pPr>
                            <w:r>
                              <w:rPr>
                                <w:sz w:val="18"/>
                                <w:szCs w:val="18"/>
                              </w:rPr>
                              <w:t>operatív csoportok közreműködésével hajtanak végre és terjesztenek innovatív tevékenységeket,</w:t>
                            </w:r>
                          </w:p>
                          <w:p w:rsidR="005139CB" w:rsidRPr="001954EB" w:rsidRDefault="005139CB" w:rsidP="008C0B17">
                            <w:pPr>
                              <w:numPr>
                                <w:ilvl w:val="0"/>
                                <w:numId w:val="57"/>
                              </w:numPr>
                              <w:rPr>
                                <w:rFonts w:cs="Arial"/>
                                <w:sz w:val="18"/>
                                <w:szCs w:val="18"/>
                              </w:rPr>
                            </w:pPr>
                            <w:r>
                              <w:rPr>
                                <w:sz w:val="18"/>
                                <w:szCs w:val="18"/>
                              </w:rPr>
                              <w:t>az elért eredmények az innováció révén bevont partnerek piaci pozíciójának javulásához vezetnek.</w:t>
                            </w:r>
                          </w:p>
                          <w:p w:rsidR="005139CB" w:rsidRPr="00547012" w:rsidRDefault="005139CB" w:rsidP="00E05D08">
                            <w:pPr>
                              <w:rPr>
                                <w:rFonts w:cs="Arial"/>
                                <w:sz w:val="18"/>
                                <w:szCs w:val="18"/>
                              </w:rPr>
                            </w:pPr>
                            <w:r>
                              <w:rPr>
                                <w:sz w:val="18"/>
                                <w:szCs w:val="18"/>
                              </w:rPr>
                              <w:t>Több módszert alkalmaznak az EIP operatív csoportjai körében végzett információgyűjtéshez. E módszerek az innovációk különböző dimenzióira vonatkoznak, és a céljuk az operatív csoportok minőségének és hatásainak elbírálása:</w:t>
                            </w:r>
                          </w:p>
                          <w:p w:rsidR="005139CB" w:rsidRPr="001954EB" w:rsidRDefault="005139CB" w:rsidP="008C0B17">
                            <w:pPr>
                              <w:numPr>
                                <w:ilvl w:val="0"/>
                                <w:numId w:val="58"/>
                              </w:numPr>
                              <w:rPr>
                                <w:rFonts w:cs="Arial"/>
                                <w:sz w:val="18"/>
                                <w:szCs w:val="18"/>
                              </w:rPr>
                            </w:pPr>
                            <w:r>
                              <w:rPr>
                                <w:sz w:val="18"/>
                                <w:szCs w:val="18"/>
                              </w:rPr>
                              <w:t>az alaphelyzet elemzése (a keretfeltételek értékelése, a szereplőkkel bonyolított interjúk stb.);</w:t>
                            </w:r>
                          </w:p>
                          <w:p w:rsidR="005139CB" w:rsidRPr="001954EB" w:rsidRDefault="005139CB" w:rsidP="008C0B17">
                            <w:pPr>
                              <w:numPr>
                                <w:ilvl w:val="0"/>
                                <w:numId w:val="58"/>
                              </w:numPr>
                              <w:rPr>
                                <w:rFonts w:cs="Arial"/>
                                <w:sz w:val="18"/>
                                <w:szCs w:val="18"/>
                              </w:rPr>
                            </w:pPr>
                            <w:r>
                              <w:rPr>
                                <w:sz w:val="18"/>
                                <w:szCs w:val="18"/>
                              </w:rPr>
                              <w:t xml:space="preserve">az innováció jellemzőinek és típusainak a kiválasztási kritériumok és az esettanulmányok elemzésével történő értékelése; </w:t>
                            </w:r>
                          </w:p>
                          <w:p w:rsidR="005139CB" w:rsidRPr="001954EB" w:rsidRDefault="005139CB" w:rsidP="008C0B17">
                            <w:pPr>
                              <w:numPr>
                                <w:ilvl w:val="0"/>
                                <w:numId w:val="58"/>
                              </w:numPr>
                              <w:rPr>
                                <w:rFonts w:cs="Arial"/>
                                <w:sz w:val="18"/>
                                <w:szCs w:val="18"/>
                              </w:rPr>
                            </w:pPr>
                            <w:r>
                              <w:rPr>
                                <w:sz w:val="18"/>
                                <w:szCs w:val="18"/>
                              </w:rPr>
                              <w:t>az elért eredmények és a terjesztésük elemzése (az operatív csoportok körében végzett felmérés és az operatív csoportok önértékelése).</w:t>
                            </w:r>
                          </w:p>
                          <w:p w:rsidR="005139CB" w:rsidRPr="00547012" w:rsidRDefault="005139CB" w:rsidP="00E05D08">
                            <w:pPr>
                              <w:rPr>
                                <w:rFonts w:cs="Arial"/>
                                <w:sz w:val="18"/>
                                <w:szCs w:val="18"/>
                              </w:rPr>
                            </w:pPr>
                            <w:r>
                              <w:rPr>
                                <w:sz w:val="18"/>
                                <w:szCs w:val="18"/>
                              </w:rPr>
                              <w:t xml:space="preserve">Az adat- és információforrások többek között a monitoringadatok, a pályázati űrlapok, a projektdokumentációk, a felmérések útján összegyűjtött elsődleges statisztikai adatok, a különféle forrásokból származó másodlagos statisztikai adatok. </w:t>
                            </w:r>
                          </w:p>
                          <w:p w:rsidR="005139CB" w:rsidRPr="00547012" w:rsidRDefault="005139CB" w:rsidP="00E05D08">
                            <w:pPr>
                              <w:rPr>
                                <w:rFonts w:cs="Arial"/>
                                <w:sz w:val="18"/>
                                <w:szCs w:val="18"/>
                              </w:rPr>
                            </w:pPr>
                            <w:r>
                              <w:rPr>
                                <w:sz w:val="18"/>
                                <w:szCs w:val="18"/>
                              </w:rPr>
                              <w:t xml:space="preserve">A kedvezményezettek (az EIP operatív csoportjai) körében a beavatkozás előtt és után elvégzik a felmérést. </w:t>
                            </w:r>
                          </w:p>
                          <w:p w:rsidR="005139CB" w:rsidRPr="001954EB" w:rsidRDefault="005139CB" w:rsidP="00E05D08">
                            <w:pPr>
                              <w:pStyle w:val="HStandard"/>
                              <w:rPr>
                                <w:sz w:val="18"/>
                                <w:szCs w:val="18"/>
                              </w:rPr>
                            </w:pPr>
                            <w:r>
                              <w:rPr>
                                <w:b/>
                                <w:sz w:val="18"/>
                                <w:szCs w:val="18"/>
                              </w:rPr>
                              <w:t>Cseh Köztársaság</w:t>
                            </w:r>
                            <w:r>
                              <w:rPr>
                                <w:sz w:val="18"/>
                                <w:szCs w:val="18"/>
                              </w:rPr>
                              <w:t xml:space="preserve"> – esettanulmányokon alapuló megközelítés alkalmazását javasolja az operatív csoportok és az együttműködési projektek innovációval kapcsolatos információinak gyűjtéséhez.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87.75pt;visibility:visible;mso-wrap-style:square;mso-left-percent:-10001;mso-top-percent:-10001;mso-position-horizontal:absolute;mso-position-horizontal-relative:char;mso-position-vertical:absolute;mso-position-vertical-relative:line;mso-left-percent:-10001;mso-top-percent:-10001;v-text-anchor:middle" coordsize="5707380,492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" adj="-11796480,,5400" path="m359434,l5707380,r,l5707380,4564991v,198510,-160924,359434,-359434,359434l,4924425r,l,359434c,160924,160924,,359434,xe" filled="f" strokecolor="#f07e31" strokeweight="2pt">
                <v:stroke joinstyle="miter"/>
                <v:formulas/>
                <v:path arrowok="t" o:connecttype="custom" o:connectlocs="359434,0;5707380,0;5707380,0;5707380,4564991;5347946,4924425;0,4924425;0,4924425;0,359434;359434,0" o:connectangles="0,0,0,0,0,0,0,0,0" textboxrect="0,0,5707380,4924425"/>
                <v:textbox>
                  <w:txbxContent>
                    <w:p w:rsidR="005139CB" w:rsidRPr="001954EB" w:rsidRDefault="005139CB"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87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2017-ben benyújtott éves végrehajtási jelentésekből származó példák</w:t>
                      </w:r>
                    </w:p>
                    <w:p w:rsidR="005139CB" w:rsidRPr="00547012" w:rsidRDefault="005139CB" w:rsidP="00E05D08">
                      <w:pPr>
                        <w:rPr>
                          <w:rFonts w:cs="Arial"/>
                          <w:sz w:val="18"/>
                          <w:szCs w:val="18"/>
                        </w:rPr>
                      </w:pPr>
                      <w:r>
                        <w:rPr>
                          <w:b/>
                          <w:sz w:val="18"/>
                          <w:szCs w:val="18"/>
                        </w:rPr>
                        <w:t>Mecklenburg–Elő-Pomeránia (Németország)</w:t>
                      </w:r>
                      <w:r>
                        <w:rPr>
                          <w:sz w:val="18"/>
                          <w:szCs w:val="18"/>
                        </w:rPr>
                        <w:t xml:space="preserve"> – három elbírálási kritériumot használ az innovációval összefüggésben:</w:t>
                      </w:r>
                    </w:p>
                    <w:p w:rsidR="005139CB" w:rsidRPr="001954EB" w:rsidRDefault="005139CB" w:rsidP="008C0B17">
                      <w:pPr>
                        <w:numPr>
                          <w:ilvl w:val="0"/>
                          <w:numId w:val="57"/>
                        </w:numPr>
                        <w:rPr>
                          <w:rFonts w:cs="Arial"/>
                          <w:sz w:val="18"/>
                          <w:szCs w:val="18"/>
                        </w:rPr>
                      </w:pPr>
                      <w:r>
                        <w:rPr>
                          <w:sz w:val="18"/>
                          <w:szCs w:val="18"/>
                        </w:rPr>
                        <w:t xml:space="preserve">a VFP keretében támogatott folyamatok innovatívak, és a megszerzett ismereteken alapulnak, </w:t>
                      </w:r>
                    </w:p>
                    <w:p w:rsidR="005139CB" w:rsidRPr="001954EB" w:rsidRDefault="005139CB" w:rsidP="008C0B17">
                      <w:pPr>
                        <w:numPr>
                          <w:ilvl w:val="0"/>
                          <w:numId w:val="57"/>
                        </w:numPr>
                        <w:rPr>
                          <w:rFonts w:cs="Arial"/>
                          <w:sz w:val="18"/>
                          <w:szCs w:val="18"/>
                        </w:rPr>
                      </w:pPr>
                      <w:r>
                        <w:rPr>
                          <w:sz w:val="18"/>
                          <w:szCs w:val="18"/>
                        </w:rPr>
                        <w:t>operatív csoportok közreműködésével hajtanak végre és terjesztenek innovatív tevékenységeket,</w:t>
                      </w:r>
                    </w:p>
                    <w:p w:rsidR="005139CB" w:rsidRPr="001954EB" w:rsidRDefault="005139CB" w:rsidP="008C0B17">
                      <w:pPr>
                        <w:numPr>
                          <w:ilvl w:val="0"/>
                          <w:numId w:val="57"/>
                        </w:numPr>
                        <w:rPr>
                          <w:rFonts w:cs="Arial"/>
                          <w:sz w:val="18"/>
                          <w:szCs w:val="18"/>
                        </w:rPr>
                      </w:pPr>
                      <w:r>
                        <w:rPr>
                          <w:sz w:val="18"/>
                          <w:szCs w:val="18"/>
                        </w:rPr>
                        <w:t>az elért eredmények az innováció révén bevont partnerek piaci pozíciójának javulásához vezetnek.</w:t>
                      </w:r>
                    </w:p>
                    <w:p w:rsidR="005139CB" w:rsidRPr="00547012" w:rsidRDefault="005139CB" w:rsidP="00E05D08">
                      <w:pPr>
                        <w:rPr>
                          <w:rFonts w:cs="Arial"/>
                          <w:sz w:val="18"/>
                          <w:szCs w:val="18"/>
                        </w:rPr>
                      </w:pPr>
                      <w:r>
                        <w:rPr>
                          <w:sz w:val="18"/>
                          <w:szCs w:val="18"/>
                        </w:rPr>
                        <w:t>Több módszert alkalmaznak az EIP operatív csoportjai körében végzett információgyűjtéshez. E módszerek az innovációk különböző dimenzióira vonatkoznak, és a céljuk az operatív csoportok minőségének és hatásainak elbírálása:</w:t>
                      </w:r>
                    </w:p>
                    <w:p w:rsidR="005139CB" w:rsidRPr="001954EB" w:rsidRDefault="005139CB" w:rsidP="008C0B17">
                      <w:pPr>
                        <w:numPr>
                          <w:ilvl w:val="0"/>
                          <w:numId w:val="58"/>
                        </w:numPr>
                        <w:rPr>
                          <w:rFonts w:cs="Arial"/>
                          <w:sz w:val="18"/>
                          <w:szCs w:val="18"/>
                        </w:rPr>
                      </w:pPr>
                      <w:r>
                        <w:rPr>
                          <w:sz w:val="18"/>
                          <w:szCs w:val="18"/>
                        </w:rPr>
                        <w:t>az alaphelyzet elemzése (a keretfeltételek értékelése, a szereplőkkel bonyolított interjúk stb.);</w:t>
                      </w:r>
                    </w:p>
                    <w:p w:rsidR="005139CB" w:rsidRPr="001954EB" w:rsidRDefault="005139CB" w:rsidP="008C0B17">
                      <w:pPr>
                        <w:numPr>
                          <w:ilvl w:val="0"/>
                          <w:numId w:val="58"/>
                        </w:numPr>
                        <w:rPr>
                          <w:rFonts w:cs="Arial"/>
                          <w:sz w:val="18"/>
                          <w:szCs w:val="18"/>
                        </w:rPr>
                      </w:pPr>
                      <w:r>
                        <w:rPr>
                          <w:sz w:val="18"/>
                          <w:szCs w:val="18"/>
                        </w:rPr>
                        <w:t xml:space="preserve">az innováció jellemzőinek és típusainak a kiválasztási kritériumok és az esettanulmányok elemzésével történő értékelése; </w:t>
                      </w:r>
                    </w:p>
                    <w:p w:rsidR="005139CB" w:rsidRPr="001954EB" w:rsidRDefault="005139CB" w:rsidP="008C0B17">
                      <w:pPr>
                        <w:numPr>
                          <w:ilvl w:val="0"/>
                          <w:numId w:val="58"/>
                        </w:numPr>
                        <w:rPr>
                          <w:rFonts w:cs="Arial"/>
                          <w:sz w:val="18"/>
                          <w:szCs w:val="18"/>
                        </w:rPr>
                      </w:pPr>
                      <w:r>
                        <w:rPr>
                          <w:sz w:val="18"/>
                          <w:szCs w:val="18"/>
                        </w:rPr>
                        <w:t>az elért eredmények és a terjesztésük elemzése (az operatív csoportok körében végzett felmérés és az operatív csoportok önértékelése).</w:t>
                      </w:r>
                    </w:p>
                    <w:p w:rsidR="005139CB" w:rsidRPr="00547012" w:rsidRDefault="005139CB" w:rsidP="00E05D08">
                      <w:pPr>
                        <w:rPr>
                          <w:rFonts w:cs="Arial"/>
                          <w:sz w:val="18"/>
                          <w:szCs w:val="18"/>
                        </w:rPr>
                      </w:pPr>
                      <w:r>
                        <w:rPr>
                          <w:sz w:val="18"/>
                          <w:szCs w:val="18"/>
                        </w:rPr>
                        <w:t xml:space="preserve">Az adat- és információforrások többek között a monitoringadatok, a pályázati űrlapok, a projektdokumentációk, a felmérések útján összegyűjtött elsődleges statisztikai adatok, a különféle forrásokból származó másodlagos statisztikai adatok. </w:t>
                      </w:r>
                    </w:p>
                    <w:p w:rsidR="005139CB" w:rsidRPr="00547012" w:rsidRDefault="005139CB" w:rsidP="00E05D08">
                      <w:pPr>
                        <w:rPr>
                          <w:rFonts w:cs="Arial"/>
                          <w:sz w:val="18"/>
                          <w:szCs w:val="18"/>
                        </w:rPr>
                      </w:pPr>
                      <w:r>
                        <w:rPr>
                          <w:sz w:val="18"/>
                          <w:szCs w:val="18"/>
                        </w:rPr>
                        <w:t xml:space="preserve">A kedvezményezettek (az EIP operatív csoportjai) körében a beavatkozás előtt és után elvégzik a felmérést. </w:t>
                      </w:r>
                    </w:p>
                    <w:p w:rsidR="005139CB" w:rsidRPr="001954EB" w:rsidRDefault="005139CB" w:rsidP="00E05D08">
                      <w:pPr>
                        <w:pStyle w:val="HStandard"/>
                        <w:rPr>
                          <w:sz w:val="18"/>
                          <w:szCs w:val="18"/>
                        </w:rPr>
                      </w:pPr>
                      <w:r>
                        <w:rPr>
                          <w:b/>
                          <w:sz w:val="18"/>
                          <w:szCs w:val="18"/>
                        </w:rPr>
                        <w:t>Cseh Köztársaság</w:t>
                      </w:r>
                      <w:r>
                        <w:rPr>
                          <w:sz w:val="18"/>
                          <w:szCs w:val="18"/>
                        </w:rPr>
                        <w:t xml:space="preserve"> – esettanulmányokon alapuló megközelítés alkalmazását javasolja az operatív csoportok és az együttműködési projektek innovációval kapcsolatos információinak gyűjtéséhez.</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Kockázatok és megoldások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Kockázatok</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Megoldások</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Egyes mutatókhoz az adatok nem feltétlenül állnak rendelkezésre a programozási időszak vége utánig (például a VFP keretében nyújtott támogatást követően folytatódó együttműködési műveletek száma).</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A létrehozott együttműködési struktúrák típusa (jogi struktúra, összetétel, a partnerek kötelezettségvállalási nyilatkozata stb.) minőségi szempontú értékelés keretében elemezhető (például fókuszcsoportok igénybevételével vagy az operatív csoportok partnereivel bonyolított interjúk segítségével).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Információgyűjtés egyes olyan mutatókhoz, amelyek nem feltétlenül kerültek bele a VFP monitoringrendszerébe (például kiegészítő mutatók).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Az információgyűjtés felmérések és interjúk segítségével végezhető. </w:t>
            </w:r>
          </w:p>
          <w:p w:rsidR="00A45935" w:rsidRPr="00385368" w:rsidRDefault="00A45935" w:rsidP="00E05D08">
            <w:pPr>
              <w:spacing w:after="120" w:line="280" w:lineRule="atLeast"/>
              <w:ind w:left="27" w:right="47"/>
              <w:mirrorIndents/>
              <w:rPr>
                <w:sz w:val="18"/>
                <w:szCs w:val="18"/>
              </w:rPr>
            </w:pPr>
            <w:r>
              <w:rPr>
                <w:sz w:val="18"/>
                <w:szCs w:val="18"/>
              </w:rPr>
              <w:t xml:space="preserve">Másik lehetőségként az irányító hatóságok mérlegelhetik, hogy a kiegészítő mutatókhoz a műveleteket tartalmazó adatbázisból gyűjtenek adatokat.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Következtetések és ajánlások</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 fő következtetéseknek és ajánlásoknak legalább az alábbi szakpolitikai kérdésekre kell kitérniük:</w:t>
      </w:r>
    </w:p>
    <w:p w:rsidR="00A45935" w:rsidRPr="00E54929" w:rsidRDefault="00A45935" w:rsidP="00547012">
      <w:pPr>
        <w:pStyle w:val="Hlistbullet"/>
        <w:rPr>
          <w:rFonts w:eastAsia="Calibri"/>
          <w:shd w:val="clear" w:color="auto" w:fill="FFFFFF"/>
        </w:rPr>
      </w:pPr>
      <w:r>
        <w:rPr>
          <w:b/>
          <w:shd w:val="clear" w:color="auto" w:fill="FFFFFF"/>
        </w:rPr>
        <w:t>Tapasztalható-e az a tendencia, hogy a VFP az együttműködési intézkedést a vidéki térségeken belüli innováció meghatározásához használja fel.</w:t>
      </w:r>
      <w:r>
        <w:rPr>
          <w:shd w:val="clear" w:color="auto" w:fill="FFFFFF"/>
        </w:rPr>
        <w:t xml:space="preserve"> Egy operatív csoport létrehozása például azt jelzi, hogy innovatív ötlet feltárására került sor, és az a kutatás és a </w:t>
      </w:r>
      <w:r>
        <w:rPr>
          <w:shd w:val="clear" w:color="auto" w:fill="FFFFFF"/>
        </w:rPr>
        <w:lastRenderedPageBreak/>
        <w:t>gyakorlat összekapcsolásával végrehajtható. Az operatív csoport által kidolgozott és végrehajtott projekt alkalmazási köre, tartalma és időtartama hasznos információval szolgál az ezzel kapcsolatos további következtetések levonásához.</w:t>
      </w:r>
    </w:p>
    <w:p w:rsidR="00A45935" w:rsidRPr="00E54929" w:rsidRDefault="00A45935" w:rsidP="00547012">
      <w:pPr>
        <w:pStyle w:val="Hlistbullet"/>
        <w:rPr>
          <w:rFonts w:eastAsia="Calibri"/>
          <w:shd w:val="clear" w:color="auto" w:fill="FFFFFF"/>
        </w:rPr>
      </w:pPr>
      <w:r>
        <w:rPr>
          <w:b/>
          <w:shd w:val="clear" w:color="auto" w:fill="FFFFFF"/>
        </w:rPr>
        <w:t>Az együttműködési projektek innovációs kapacitásra kifejtett hatásai.</w:t>
      </w:r>
      <w:r>
        <w:rPr>
          <w:shd w:val="clear" w:color="auto" w:fill="FFFFFF"/>
        </w:rPr>
        <w:t xml:space="preserve"> Az együttműködési projektek számának és típusának elemzése, valamint az innovációban érdekelt felek részvétele releváns következtetésekkel szolgálhat az együttműködési intézkedés által a vidéki térségek innovációs kapacitása terén elért eredményekkel kapcsolatban.</w:t>
      </w:r>
    </w:p>
    <w:p w:rsidR="00A45935" w:rsidRPr="00E54929" w:rsidRDefault="00A45935" w:rsidP="00547012">
      <w:pPr>
        <w:pStyle w:val="Hlistbullet"/>
        <w:rPr>
          <w:rFonts w:eastAsia="Calibri"/>
          <w:shd w:val="clear" w:color="auto" w:fill="FFFFFF"/>
        </w:rPr>
      </w:pPr>
      <w:r>
        <w:rPr>
          <w:b/>
          <w:shd w:val="clear" w:color="auto" w:fill="FFFFFF"/>
        </w:rPr>
        <w:t xml:space="preserve">Az együttműködési projektek által az innovációt támogató környezet kialakítására kifejtett hatások </w:t>
      </w:r>
      <w:r>
        <w:rPr>
          <w:shd w:val="clear" w:color="auto" w:fill="FFFFFF"/>
        </w:rPr>
        <w:t>(azaz az, hogy az együttműködési projektek milyen mértékben teszik lehetővé olyan struktúrák és eljárások kialakítását, amelyek megkönnyítik az innovatív ötletek létrehozását). Ezek magukban foglalják például az innovációközvetítő struktúrákat és módszereket, a kkv-k, az innovációs szolgálatok és a finanszírozó szervek stb. közötti tartós kapcsolatok létrehozását.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További olvasnivalók</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2705100"/>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2705100"/>
                        </a:xfrm>
                        <a:prstGeom prst="round2DiagRect">
                          <a:avLst>
                            <a:gd name="adj1" fmla="val 11556"/>
                            <a:gd name="adj2" fmla="val 0"/>
                          </a:avLst>
                        </a:prstGeom>
                        <a:noFill/>
                        <a:ln w="25400" cap="flat" cmpd="sng" algn="ctr">
                          <a:solidFill>
                            <a:srgbClr val="59638E"/>
                          </a:solidFill>
                          <a:prstDash val="solid"/>
                        </a:ln>
                        <a:effectLst/>
                      </wps:spPr>
                      <wps:txbx>
                        <w:txbxContent>
                          <w:p w:rsidR="005139CB" w:rsidRDefault="005139CB"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876"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0041C9" w:rsidRDefault="005139CB" w:rsidP="00E05D08">
                            <w:pPr>
                              <w:pStyle w:val="HStandard"/>
                              <w:rPr>
                                <w:sz w:val="18"/>
                                <w:szCs w:val="18"/>
                              </w:rPr>
                            </w:pPr>
                            <w:r>
                              <w:t>Az</w:t>
                            </w:r>
                            <w:r>
                              <w:rPr>
                                <w:sz w:val="18"/>
                                <w:szCs w:val="18"/>
                              </w:rPr>
                              <w:t xml:space="preserve"> „</w:t>
                            </w:r>
                            <w:hyperlink r:id="rId51" w:history="1">
                              <w:r>
                                <w:rPr>
                                  <w:rStyle w:val="Hyperlink"/>
                                  <w:sz w:val="18"/>
                                  <w:szCs w:val="18"/>
                                </w:rPr>
                                <w:t>Assessment of RDP Results:</w:t>
                              </w:r>
                            </w:hyperlink>
                            <w:hyperlink r:id="rId52" w:history="1">
                              <w:r>
                                <w:rPr>
                                  <w:rStyle w:val="Hyperlink"/>
                                  <w:sz w:val="18"/>
                                  <w:szCs w:val="18"/>
                                </w:rPr>
                                <w:t xml:space="preserve"> How to Prepare for reporting on evaluation in 2017</w:t>
                              </w:r>
                            </w:hyperlink>
                            <w:r>
                              <w:t>” (A VFP eredményeinek értékelése: felkészülés a 2017. évi értékelésre vonatkozó jelentéstételre) című iránymutatás 11. melléklete;</w:t>
                            </w:r>
                            <w:r>
                              <w:rPr>
                                <w:sz w:val="18"/>
                                <w:szCs w:val="18"/>
                              </w:rPr>
                              <w:t xml:space="preserve"> </w:t>
                            </w:r>
                          </w:p>
                          <w:p w:rsidR="005139CB" w:rsidRDefault="005139CB" w:rsidP="00E05D08">
                            <w:pPr>
                              <w:pStyle w:val="HStandard"/>
                              <w:rPr>
                                <w:sz w:val="18"/>
                                <w:szCs w:val="18"/>
                              </w:rPr>
                            </w:pPr>
                            <w:r>
                              <w:rPr>
                                <w:sz w:val="18"/>
                                <w:szCs w:val="18"/>
                              </w:rPr>
                              <w:t>a „</w:t>
                            </w:r>
                            <w:hyperlink r:id="rId53" w:history="1">
                              <w:r>
                                <w:rPr>
                                  <w:rStyle w:val="Hyperlink"/>
                                  <w:sz w:val="18"/>
                                </w:rPr>
                                <w:t>Cooperation measure</w:t>
                              </w:r>
                            </w:hyperlink>
                            <w:r>
                              <w:rPr>
                                <w:sz w:val="18"/>
                                <w:szCs w:val="18"/>
                              </w:rPr>
                              <w:t>” (Együttműködési intézkedés) című, „az 1305/2013/EU rendelet 35. cikke” alcímű útmutató dokumentum, 2014. november;</w:t>
                            </w:r>
                          </w:p>
                          <w:p w:rsidR="005139CB" w:rsidRPr="000041C9" w:rsidRDefault="005139CB" w:rsidP="00E05D08">
                            <w:pPr>
                              <w:pStyle w:val="HStandard"/>
                              <w:rPr>
                                <w:sz w:val="18"/>
                                <w:szCs w:val="18"/>
                              </w:rPr>
                            </w:pPr>
                            <w:r>
                              <w:rPr>
                                <w:sz w:val="18"/>
                                <w:szCs w:val="18"/>
                              </w:rPr>
                              <w:t xml:space="preserve">az „Együttműködés” tárgyú M16 intézkedésről 2016 júniusában Brüsszelben tartott EVH-műhelytalálkozó dokumentumai: </w:t>
                            </w:r>
                            <w:hyperlink r:id="rId54"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213pt;visibility:visible;mso-wrap-style:square;mso-left-percent:-10001;mso-top-percent:-10001;mso-position-horizontal:absolute;mso-position-horizontal-relative:char;mso-position-vertical:absolute;mso-position-vertical-relative:line;mso-left-percent:-10001;mso-top-percent:-10001;v-text-anchor:middle" coordsize="5633451,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" adj="-11796480,,5400" path="m312601,l5633451,r,l5633451,2392499v,172645,-139956,312601,-312601,312601l,2705100r,l,312601c,139956,139956,,312601,xe" filled="f" strokecolor="#59638e" strokeweight="2pt">
                <v:stroke joinstyle="miter"/>
                <v:formulas/>
                <v:path arrowok="t" o:connecttype="custom" o:connectlocs="312601,0;5633451,0;5633451,0;5633451,2392499;5320850,2705100;0,2705100;0,2705100;0,312601;312601,0" o:connectangles="0,0,0,0,0,0,0,0,0" textboxrect="0,0,5633451,2705100"/>
                <v:textbox>
                  <w:txbxContent>
                    <w:p w:rsidR="005139CB" w:rsidRDefault="005139CB"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876"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0041C9" w:rsidRDefault="005139CB" w:rsidP="00E05D08">
                      <w:pPr>
                        <w:pStyle w:val="HStandard"/>
                        <w:rPr>
                          <w:sz w:val="18"/>
                          <w:szCs w:val="18"/>
                        </w:rPr>
                      </w:pPr>
                      <w:r>
                        <w:t>Az</w:t>
                      </w:r>
                      <w:r>
                        <w:rPr>
                          <w:sz w:val="18"/>
                          <w:szCs w:val="18"/>
                        </w:rPr>
                        <w:t xml:space="preserve"> „</w:t>
                      </w:r>
                      <w:hyperlink r:id="rId55" w:history="1">
                        <w:r>
                          <w:rPr>
                            <w:rStyle w:val="Hyperlink"/>
                            <w:sz w:val="18"/>
                            <w:szCs w:val="18"/>
                          </w:rPr>
                          <w:t>Assessment of RDP Results:</w:t>
                        </w:r>
                      </w:hyperlink>
                      <w:hyperlink r:id="rId56" w:history="1">
                        <w:r>
                          <w:rPr>
                            <w:rStyle w:val="Hyperlink"/>
                            <w:sz w:val="18"/>
                            <w:szCs w:val="18"/>
                          </w:rPr>
                          <w:t xml:space="preserve"> How to Prepare for reporting on evaluation in 2017</w:t>
                        </w:r>
                      </w:hyperlink>
                      <w:r>
                        <w:t>” (A VFP eredményeinek értékelése: felkészülés a 2017. évi értékelésre vonatkozó jelentéstételre) című iránymutatás 11. melléklete;</w:t>
                      </w:r>
                      <w:r>
                        <w:rPr>
                          <w:sz w:val="18"/>
                          <w:szCs w:val="18"/>
                        </w:rPr>
                        <w:t xml:space="preserve"> </w:t>
                      </w:r>
                    </w:p>
                    <w:p w:rsidR="005139CB" w:rsidRDefault="005139CB" w:rsidP="00E05D08">
                      <w:pPr>
                        <w:pStyle w:val="HStandard"/>
                        <w:rPr>
                          <w:sz w:val="18"/>
                          <w:szCs w:val="18"/>
                        </w:rPr>
                      </w:pPr>
                      <w:r>
                        <w:rPr>
                          <w:sz w:val="18"/>
                          <w:szCs w:val="18"/>
                        </w:rPr>
                        <w:t>a „</w:t>
                      </w:r>
                      <w:hyperlink r:id="rId57" w:history="1">
                        <w:r>
                          <w:rPr>
                            <w:rStyle w:val="Hyperlink"/>
                            <w:sz w:val="18"/>
                          </w:rPr>
                          <w:t>Cooperation measure</w:t>
                        </w:r>
                      </w:hyperlink>
                      <w:r>
                        <w:rPr>
                          <w:sz w:val="18"/>
                          <w:szCs w:val="18"/>
                        </w:rPr>
                        <w:t>” (Együttműködési intézkedés) című, „az 1305/2013/EU rendelet 35. cikke” alcímű útmutató dokumentum, 2014. november;</w:t>
                      </w:r>
                    </w:p>
                    <w:p w:rsidR="005139CB" w:rsidRPr="000041C9" w:rsidRDefault="005139CB" w:rsidP="00E05D08">
                      <w:pPr>
                        <w:pStyle w:val="HStandard"/>
                        <w:rPr>
                          <w:sz w:val="18"/>
                          <w:szCs w:val="18"/>
                        </w:rPr>
                      </w:pPr>
                      <w:r>
                        <w:rPr>
                          <w:sz w:val="18"/>
                          <w:szCs w:val="18"/>
                        </w:rPr>
                        <w:t xml:space="preserve">az „Együttműködés” tárgyú M16 intézkedésről 2016 júniusában Brüsszelben tartott EVH-műhelytalálkozó dokumentumai: </w:t>
                      </w:r>
                      <w:hyperlink r:id="rId58"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982268"/>
      <w:bookmarkEnd w:id="117"/>
      <w:r>
        <w:t>21. sz. közös értékelési kérdés: „Milyen mértékben járult hozzá a nemzeti vidékfejlesztési hálózat az 1305/2013/EU rendelet 54. cikkének (2) bekezdésében meghatározott célkitűzések eléréséhez?”</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közös értékelési kérdés értelmezése</w:t>
      </w:r>
    </w:p>
    <w:p w:rsidR="00A45935" w:rsidRPr="00E05D08" w:rsidRDefault="00A45935" w:rsidP="00E05D08">
      <w:pPr>
        <w:spacing w:after="120" w:line="280" w:lineRule="atLeast"/>
        <w:mirrorIndents/>
        <w:rPr>
          <w:rFonts w:eastAsia="Calibri" w:cs="Times New Roman"/>
          <w:szCs w:val="20"/>
        </w:rPr>
      </w:pPr>
      <w:r>
        <w:t>Ez a kérdés a nemzeti vidékfejlesztési hálózat négy célkitűzésének elérésére vonatkozik</w:t>
      </w:r>
      <w:r>
        <w:rPr>
          <w:rFonts w:eastAsia="Times New Roman" w:cs="Times New Roman"/>
          <w:szCs w:val="20"/>
          <w:vertAlign w:val="superscript"/>
          <w:lang w:eastAsia="de-DE"/>
        </w:rPr>
        <w:footnoteReference w:id="57"/>
      </w:r>
      <w:r>
        <w:t>. Ez az iránymutatás</w:t>
      </w:r>
      <w:r>
        <w:rPr>
          <w:rFonts w:eastAsia="Times New Roman" w:cs="Times New Roman"/>
          <w:szCs w:val="20"/>
          <w:vertAlign w:val="superscript"/>
          <w:lang w:eastAsia="de-DE"/>
        </w:rPr>
        <w:footnoteReference w:id="58"/>
      </w:r>
      <w:r>
        <w:t xml:space="preserve"> a 21. sz. közös értékelési kérdést a nemzeti vidékfejlesztési hálózatok által 2019-től előmozdított innováció értékeléséhez a nemzeti vidékfejlesztési hálózat következő célkitűzésével kapcsolatban tárgyalja: „az innováció előmozdítása a mezőgazdaságban, az élelmiszer-termelésben, az erdőgazdálkodásban és a vidéki térségekben”. </w:t>
      </w:r>
    </w:p>
    <w:p w:rsidR="00A45935" w:rsidRPr="00E05D08" w:rsidRDefault="00A45935" w:rsidP="00E05D08">
      <w:pPr>
        <w:spacing w:after="120" w:line="280" w:lineRule="atLeast"/>
        <w:mirrorIndents/>
        <w:rPr>
          <w:rFonts w:eastAsia="Calibri" w:cs="Times New Roman"/>
          <w:szCs w:val="20"/>
        </w:rPr>
      </w:pPr>
      <w:r>
        <w:lastRenderedPageBreak/>
        <w:t>A nemzeti vidékfejlesztési hálózat a cselekvési tervében meghatározott különféle tevékenységcsoportokat végrehajtva működik, érdekelt felek különböző típusait, köztük az innovációs szereplőket is magában foglalja. Ezért fontos annak felismerése, hogy mely tevékenységcsoportok</w:t>
      </w:r>
      <w:r>
        <w:rPr>
          <w:rFonts w:eastAsia="Calibri" w:cs="Times New Roman"/>
          <w:szCs w:val="20"/>
          <w:vertAlign w:val="superscript"/>
        </w:rPr>
        <w:footnoteReference w:id="59"/>
      </w:r>
      <w:r>
        <w:t xml:space="preserve"> mozdíthatják elő az innovációt a három irányvonal segítségével (lásd az </w:t>
      </w:r>
      <w:hyperlink w:anchor="Innovation_RD" w:history="1">
        <w:r>
          <w:rPr>
            <w:rStyle w:val="Hyperlink"/>
            <w:sz w:val="20"/>
            <w:szCs w:val="20"/>
          </w:rPr>
          <w:t>1.1. fejezetet</w:t>
        </w:r>
      </w:hyperlink>
      <w:r>
        <w:t xml:space="preserve">), valamint annak felismerése, hogy az innovációs rendszer érdekelt feleinek mely típusai vesznek részt ezekben a tevékenységekben és az érdekelt felek mely típusait befolyásolhatják ezek a tevékenységek az innováció előmozdítása tekintetében. </w:t>
      </w:r>
    </w:p>
    <w:p w:rsidR="001327F5" w:rsidRDefault="00A45935" w:rsidP="00E05D08">
      <w:pPr>
        <w:spacing w:after="120" w:line="280" w:lineRule="atLeast"/>
        <w:mirrorIndents/>
        <w:rPr>
          <w:rFonts w:eastAsia="Calibri" w:cs="Times New Roman"/>
          <w:szCs w:val="20"/>
        </w:rPr>
      </w:pPr>
      <w:r>
        <w:t>A nemzeti vidékfejlesztési hálózat cselekvési tervében szereplő tevékenységek a rendeletben</w:t>
      </w:r>
      <w:r>
        <w:rPr>
          <w:rFonts w:eastAsia="Calibri" w:cs="Times New Roman"/>
          <w:szCs w:val="20"/>
          <w:vertAlign w:val="superscript"/>
        </w:rPr>
        <w:footnoteReference w:id="60"/>
      </w:r>
      <w:r>
        <w:t xml:space="preserve"> előírt hét tevékenységcsoportba tartoznak. Az alábbi háttérmagyarázatokban találhatók arra vonatkozó példák, hogy ezek a tevékenységek hogyan kapcsolódhatnak az innováció előmozdításához.</w:t>
      </w:r>
    </w:p>
    <w:p w:rsidR="001327F5" w:rsidRPr="00E05D08" w:rsidRDefault="001327F5" w:rsidP="001327F5">
      <w:pPr>
        <w:spacing w:after="120" w:line="280" w:lineRule="atLeast"/>
        <w:mirrorIndents/>
        <w:rPr>
          <w:rFonts w:eastAsia="Calibri" w:cs="Times New Roman"/>
          <w:szCs w:val="20"/>
        </w:rPr>
      </w:pPr>
      <w:r>
        <w:t>A nemzeti vidékfejlesztési hálózatok a technikai segítségnyújtás keretében arra hivatottak, hogy segítsék és támogassák a VFP végrehajtását, és ezzel közvetlenül hozzájáruljanak az innováció átfogó célkitűzésként történő előmozdításához. A nemzeti vidékfejlesztési hálózatok azonban a vidékfejlesztés más innovációs szereplőivel, például a LEADER akciócsoportokkal vagy a mezőgazdaság termelékenységét és fenntarthatóságát célzó európai innovációs partnerséggel is együttműködhetnek.</w:t>
      </w:r>
    </w:p>
    <w:p w:rsidR="00A45935" w:rsidRPr="00E05D08" w:rsidRDefault="00A45935" w:rsidP="00B02F11">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DE2B71" w:rsidP="00E05D08">
      <w:pPr>
        <w:spacing w:before="120"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8480" behindDoc="1" locked="0" layoutInCell="1" allowOverlap="1" wp14:anchorId="00A62CF1" wp14:editId="0216B979">
                <wp:simplePos x="0" y="0"/>
                <wp:positionH relativeFrom="column">
                  <wp:posOffset>-219075</wp:posOffset>
                </wp:positionH>
                <wp:positionV relativeFrom="paragraph">
                  <wp:posOffset>13335</wp:posOffset>
                </wp:positionV>
                <wp:extent cx="5962650" cy="7886700"/>
                <wp:effectExtent l="0" t="0" r="19050" b="19050"/>
                <wp:wrapTight wrapText="bothSides">
                  <wp:wrapPolygon edited="0">
                    <wp:start x="828" y="0"/>
                    <wp:lineTo x="0" y="313"/>
                    <wp:lineTo x="0" y="21600"/>
                    <wp:lineTo x="20841" y="21600"/>
                    <wp:lineTo x="21600" y="21287"/>
                    <wp:lineTo x="21600" y="0"/>
                    <wp:lineTo x="828"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962650" cy="7886700"/>
                        </a:xfrm>
                        <a:prstGeom prst="round2DiagRect">
                          <a:avLst>
                            <a:gd name="adj1" fmla="val 6054"/>
                            <a:gd name="adj2" fmla="val 0"/>
                          </a:avLst>
                        </a:prstGeom>
                        <a:noFill/>
                        <a:ln w="25400" cap="flat" cmpd="sng" algn="ctr">
                          <a:solidFill>
                            <a:srgbClr val="F07E31"/>
                          </a:solidFill>
                          <a:prstDash val="solid"/>
                        </a:ln>
                        <a:effectLst/>
                      </wps:spPr>
                      <wps:txbx>
                        <w:txbxContent>
                          <w:p w:rsidR="005139CB" w:rsidRPr="0079762F" w:rsidRDefault="005139CB" w:rsidP="00E05D08">
                            <w:pPr>
                              <w:pStyle w:val="HStandard"/>
                              <w:ind w:left="567" w:hanging="567"/>
                              <w:rPr>
                                <w:i/>
                                <w:sz w:val="18"/>
                                <w:szCs w:val="18"/>
                              </w:rPr>
                            </w:pPr>
                            <w:r>
                              <w:rPr>
                                <w:noProof/>
                                <w:sz w:val="18"/>
                                <w:szCs w:val="18"/>
                                <w:lang w:val="en-GB" w:eastAsia="en-GB"/>
                              </w:rPr>
                              <w:drawing>
                                <wp:inline distT="0" distB="0" distL="0" distR="0" wp14:anchorId="7B12210F" wp14:editId="018B48F2">
                                  <wp:extent cx="353060" cy="359410"/>
                                  <wp:effectExtent l="0" t="0" r="8890" b="2540"/>
                                  <wp:docPr id="87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Az új ötletek felkarolása és az innovációk megosztása:</w:t>
                            </w:r>
                          </w:p>
                          <w:p w:rsidR="005139CB" w:rsidRPr="0079762F" w:rsidRDefault="005139CB" w:rsidP="008C0B17">
                            <w:pPr>
                              <w:pStyle w:val="HStandard"/>
                              <w:numPr>
                                <w:ilvl w:val="0"/>
                                <w:numId w:val="26"/>
                              </w:numPr>
                              <w:ind w:left="567" w:hanging="567"/>
                              <w:rPr>
                                <w:sz w:val="18"/>
                                <w:szCs w:val="18"/>
                              </w:rPr>
                            </w:pPr>
                            <w:r>
                              <w:rPr>
                                <w:sz w:val="18"/>
                                <w:szCs w:val="18"/>
                              </w:rPr>
                              <w:t>A VFP valamennyi prioritására kiterjedő projektpéldák összegyűjtése: ezek például kiemelhetik az innovatív projekteket vagy az innovatív projekteket tartalmazó adatbázis létrehozását, és ezáltal hozzájárulhatnak az innovációk meghatározásához és megosztásához.</w:t>
                            </w:r>
                          </w:p>
                          <w:p w:rsidR="005139CB" w:rsidRPr="0079762F" w:rsidRDefault="005139CB" w:rsidP="008C0B17">
                            <w:pPr>
                              <w:pStyle w:val="HStandard"/>
                              <w:numPr>
                                <w:ilvl w:val="0"/>
                                <w:numId w:val="26"/>
                              </w:numPr>
                              <w:ind w:left="567" w:hanging="567"/>
                              <w:rPr>
                                <w:sz w:val="18"/>
                                <w:szCs w:val="18"/>
                              </w:rPr>
                            </w:pPr>
                            <w:r>
                              <w:rPr>
                                <w:sz w:val="18"/>
                                <w:szCs w:val="18"/>
                              </w:rPr>
                              <w:t>A tematikus információk és az elemzési eredmények vidékfejlesztésben érdekelt felek közötti cseréjének elősegítése, valamint a megállapítások megosztása és terjesztése. Ezek a cserék az új ötletek felkarolásával és az új ismeretek létrehozásához szükséges feltételek megteremtésével is előmozdíthatják az innovációt.</w:t>
                            </w:r>
                          </w:p>
                          <w:p w:rsidR="005139CB" w:rsidRDefault="005139CB" w:rsidP="008C0B17">
                            <w:pPr>
                              <w:pStyle w:val="HStandard"/>
                              <w:numPr>
                                <w:ilvl w:val="0"/>
                                <w:numId w:val="26"/>
                              </w:numPr>
                              <w:ind w:left="567" w:hanging="567"/>
                              <w:rPr>
                                <w:sz w:val="18"/>
                                <w:szCs w:val="18"/>
                              </w:rPr>
                            </w:pPr>
                            <w:r>
                              <w:rPr>
                                <w:sz w:val="18"/>
                                <w:szCs w:val="18"/>
                              </w:rPr>
                              <w:t>A VFP-re vonatkozó, a szélesebb nyilvánossággal való megismertetésre és a tájékoztatásra irányuló tevékenységek, valamint a szélesebb közönséget megcélzó tájékoztatási és kommunikációs tevékenységek. Ezek többek között a VFP innovációval kapcsolatban elért eredményeire, az EIP operatív csoportjai által elért eredményekre, a közösségvezérelt helyi fejlesztési (CLLD) stratégiák és partnerségek általi innováció-előmozdításra vonatkozó tájékoztatást, valamint az ilyen partnerségek és innovatív LEADER/CLLD partnerségekre vonatkozó példákat stb. foglalhatnak magukban.</w:t>
                            </w:r>
                          </w:p>
                          <w:p w:rsidR="005139CB" w:rsidRPr="00E05D08" w:rsidRDefault="005139CB" w:rsidP="008A0CFF">
                            <w:pPr>
                              <w:pStyle w:val="HStandard"/>
                              <w:rPr>
                                <w:b/>
                                <w:color w:val="F07E31"/>
                                <w:sz w:val="18"/>
                                <w:szCs w:val="18"/>
                              </w:rPr>
                            </w:pPr>
                            <w:r>
                              <w:rPr>
                                <w:b/>
                                <w:color w:val="F07E31"/>
                                <w:sz w:val="18"/>
                                <w:szCs w:val="18"/>
                              </w:rPr>
                              <w:t>Az innovációs kapacitás kiépítése:</w:t>
                            </w:r>
                          </w:p>
                          <w:p w:rsidR="005139CB" w:rsidRPr="0079762F" w:rsidRDefault="005139CB" w:rsidP="008A0CFF">
                            <w:pPr>
                              <w:pStyle w:val="HStandard"/>
                              <w:numPr>
                                <w:ilvl w:val="0"/>
                                <w:numId w:val="26"/>
                              </w:numPr>
                              <w:rPr>
                                <w:sz w:val="18"/>
                                <w:szCs w:val="18"/>
                              </w:rPr>
                            </w:pPr>
                            <w:r>
                              <w:rPr>
                                <w:sz w:val="18"/>
                                <w:szCs w:val="18"/>
                              </w:rPr>
                              <w:t>Tanácsadók és innovációtámogató szolgálatok számára – a mezőgazdaságon, az erdőgazdálkodáson és a VFP más érintett ágazatain belüli innovációra összpontosító – képzési és hálózatépítési tevékenységek biztosítása. A tanácsadók és az innovációtámogató szolgálatok részére nyújtott képzés például elősegítheti az EIP operatív csoportjainak létrehozását, ennélfogva hozzájárulhat a vidéki térségeken belüli innovációs kapacitás kiépítéséhez, ugyanis az operatív csoportok várhatóan kidolgoznak innovatív projekteket.</w:t>
                            </w:r>
                          </w:p>
                          <w:p w:rsidR="005139CB" w:rsidRPr="00ED3BAD" w:rsidRDefault="005139CB" w:rsidP="008A0CFF">
                            <w:pPr>
                              <w:pStyle w:val="HStandard"/>
                              <w:numPr>
                                <w:ilvl w:val="0"/>
                                <w:numId w:val="26"/>
                              </w:numPr>
                              <w:rPr>
                                <w:sz w:val="18"/>
                                <w:szCs w:val="18"/>
                              </w:rPr>
                            </w:pPr>
                            <w:r>
                              <w:rPr>
                                <w:sz w:val="18"/>
                                <w:szCs w:val="18"/>
                              </w:rPr>
                              <w:t>Képzési és hálózatépítési tevékenységek biztosítása a helyi akciócsoportok számára, és különösen technikai segítségnyújtás a régiók közötti és a transznacionális együttműködéshez, a helyi akciócsoportok közötti együttműködés és a partnerkeresés megkönnyítése az (együttműködésre irányuló) M16 intézkedés keretében. A nemzeti vidékfejlesztési hálózat például elősegítheti a kísérletezést és az innovációt támogató együttműködési törekvéseket.</w:t>
                            </w:r>
                          </w:p>
                          <w:p w:rsidR="005139CB" w:rsidRPr="0079762F" w:rsidRDefault="005139CB" w:rsidP="008A0CFF">
                            <w:pPr>
                              <w:pStyle w:val="HStandard"/>
                              <w:ind w:left="567" w:hanging="567"/>
                              <w:rPr>
                                <w:i/>
                                <w:sz w:val="18"/>
                                <w:szCs w:val="18"/>
                              </w:rPr>
                            </w:pPr>
                            <w:r>
                              <w:rPr>
                                <w:b/>
                                <w:color w:val="F07E31"/>
                                <w:sz w:val="18"/>
                                <w:szCs w:val="18"/>
                              </w:rPr>
                              <w:t>Az innovációt támogató környezet kialakítása:</w:t>
                            </w:r>
                          </w:p>
                          <w:p w:rsidR="005139CB" w:rsidRPr="00ED3BAD" w:rsidRDefault="005139CB" w:rsidP="008A0CFF">
                            <w:pPr>
                              <w:pStyle w:val="HStandard"/>
                              <w:numPr>
                                <w:ilvl w:val="0"/>
                                <w:numId w:val="29"/>
                              </w:numPr>
                              <w:ind w:left="567" w:hanging="567"/>
                              <w:rPr>
                                <w:sz w:val="18"/>
                                <w:szCs w:val="18"/>
                              </w:rPr>
                            </w:pPr>
                            <w:r>
                              <w:rPr>
                                <w:sz w:val="18"/>
                                <w:szCs w:val="18"/>
                              </w:rPr>
                              <w:t>Az európai hálózatok tevékenységeiben – nevezetesen az EVH-ban és az EIP-AGRI európai innovációs partnerségben – való részvétel és az azokhoz való hozzájárulás lehetőséget nyújthat arra, hogy e hálózatok közreműködésével innovációt támogató környezetet lehessen létrehozni.</w:t>
                            </w:r>
                          </w:p>
                          <w:p w:rsidR="005139CB" w:rsidRPr="00547012" w:rsidRDefault="005139CB" w:rsidP="00547012">
                            <w:pPr>
                              <w:pStyle w:val="HStandard"/>
                              <w:numPr>
                                <w:ilvl w:val="0"/>
                                <w:numId w:val="29"/>
                              </w:numPr>
                              <w:ind w:left="567" w:hanging="567"/>
                              <w:rPr>
                                <w:sz w:val="18"/>
                                <w:szCs w:val="18"/>
                              </w:rPr>
                            </w:pPr>
                            <w:r>
                              <w:rPr>
                                <w:sz w:val="18"/>
                                <w:szCs w:val="18"/>
                              </w:rPr>
                              <w:t>A nemzeti vidékfejlesztési hálózatok az innovációs szereplők (mezőgazdasági termelők, kutatók, nem kormányzati szervezetek, helyi akciócsoportok stb.) összekapcsolásával, információgyűjtéssel, alulról építkező kezdeményezések szervezésével, az innovatív ötletek finomításának elősegítésével, valamint a partner- és a forráskeresés támogatásával mozdíthatják elő az innovációt; ezek mindegyike hozzájárul az innovációt támogató környezethez.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2CF1" id="Rectangle: Diagonal Corners Rounded 28" o:spid="_x0000_s1050" style="position:absolute;left:0;text-align:left;margin-left:-17.25pt;margin-top:1.05pt;width:469.5pt;height:6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2650,788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" adj="-11796480,,5400" path="m360979,l5962650,r,l5962650,7525721v,199363,-161616,360979,-360979,360979l,7886700r,l,360979c,161616,161616,,360979,xe" filled="f" strokecolor="#f07e31" strokeweight="2pt">
                <v:stroke joinstyle="miter"/>
                <v:formulas/>
                <v:path arrowok="t" o:connecttype="custom" o:connectlocs="360979,0;5962650,0;5962650,0;5962650,7525721;5601671,7886700;0,7886700;0,7886700;0,360979;360979,0" o:connectangles="0,0,0,0,0,0,0,0,0" textboxrect="0,0,5962650,7886700"/>
                <v:textbox>
                  <w:txbxContent>
                    <w:p w:rsidR="005139CB" w:rsidRPr="0079762F" w:rsidRDefault="005139CB" w:rsidP="00E05D08">
                      <w:pPr>
                        <w:pStyle w:val="HStandard"/>
                        <w:ind w:left="567" w:hanging="567"/>
                        <w:rPr>
                          <w:i/>
                          <w:sz w:val="18"/>
                          <w:szCs w:val="18"/>
                        </w:rPr>
                      </w:pPr>
                      <w:r>
                        <w:rPr>
                          <w:noProof/>
                          <w:sz w:val="18"/>
                          <w:szCs w:val="18"/>
                          <w:lang w:val="en-GB" w:eastAsia="en-GB"/>
                        </w:rPr>
                        <w:drawing>
                          <wp:inline distT="0" distB="0" distL="0" distR="0" wp14:anchorId="7B12210F" wp14:editId="018B48F2">
                            <wp:extent cx="353060" cy="359410"/>
                            <wp:effectExtent l="0" t="0" r="8890" b="2540"/>
                            <wp:docPr id="87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Az új ötletek felkarolása és az innovációk megosztása:</w:t>
                      </w:r>
                    </w:p>
                    <w:p w:rsidR="005139CB" w:rsidRPr="0079762F" w:rsidRDefault="005139CB" w:rsidP="008C0B17">
                      <w:pPr>
                        <w:pStyle w:val="HStandard"/>
                        <w:numPr>
                          <w:ilvl w:val="0"/>
                          <w:numId w:val="26"/>
                        </w:numPr>
                        <w:ind w:left="567" w:hanging="567"/>
                        <w:rPr>
                          <w:sz w:val="18"/>
                          <w:szCs w:val="18"/>
                        </w:rPr>
                      </w:pPr>
                      <w:r>
                        <w:rPr>
                          <w:sz w:val="18"/>
                          <w:szCs w:val="18"/>
                        </w:rPr>
                        <w:t>A VFP valamennyi prioritására kiterjedő projektpéldák összegyűjtése: ezek például kiemelhetik az innovatív projekteket vagy az innovatív projekteket tartalmazó adatbázis létrehozását, és ezáltal hozzájárulhatnak az innovációk meghatározásához és megosztásához.</w:t>
                      </w:r>
                    </w:p>
                    <w:p w:rsidR="005139CB" w:rsidRPr="0079762F" w:rsidRDefault="005139CB" w:rsidP="008C0B17">
                      <w:pPr>
                        <w:pStyle w:val="HStandard"/>
                        <w:numPr>
                          <w:ilvl w:val="0"/>
                          <w:numId w:val="26"/>
                        </w:numPr>
                        <w:ind w:left="567" w:hanging="567"/>
                        <w:rPr>
                          <w:sz w:val="18"/>
                          <w:szCs w:val="18"/>
                        </w:rPr>
                      </w:pPr>
                      <w:r>
                        <w:rPr>
                          <w:sz w:val="18"/>
                          <w:szCs w:val="18"/>
                        </w:rPr>
                        <w:t>A tematikus információk és az elemzési eredmények vidékfejlesztésben érdekelt felek közötti cseréjének elősegítése, valamint a megállapítások megosztása és terjesztése. Ezek a cserék az új ötletek felkarolásával és az új ismeretek létrehozásához szükséges feltételek megteremtésével is előmozdíthatják az innovációt.</w:t>
                      </w:r>
                    </w:p>
                    <w:p w:rsidR="005139CB" w:rsidRDefault="005139CB" w:rsidP="008C0B17">
                      <w:pPr>
                        <w:pStyle w:val="HStandard"/>
                        <w:numPr>
                          <w:ilvl w:val="0"/>
                          <w:numId w:val="26"/>
                        </w:numPr>
                        <w:ind w:left="567" w:hanging="567"/>
                        <w:rPr>
                          <w:sz w:val="18"/>
                          <w:szCs w:val="18"/>
                        </w:rPr>
                      </w:pPr>
                      <w:r>
                        <w:rPr>
                          <w:sz w:val="18"/>
                          <w:szCs w:val="18"/>
                        </w:rPr>
                        <w:t>A VFP-re vonatkozó, a szélesebb nyilvánossággal való megismertetésre és a tájékoztatásra irányuló tevékenységek, valamint a szélesebb közönséget megcélzó tájékoztatási és kommunikációs tevékenységek. Ezek többek között a VFP innovációval kapcsolatban elért eredményeire, az EIP operatív csoportjai által elért eredményekre, a közösségvezérelt helyi fejlesztési (CLLD) stratégiák és partnerségek általi innováció-előmozdításra vonatkozó tájékoztatást, valamint az ilyen partnerségek és innovatív LEADER/CLLD partnerségekre vonatkozó példákat stb. foglalhatnak magukban.</w:t>
                      </w:r>
                    </w:p>
                    <w:p w:rsidR="005139CB" w:rsidRPr="00E05D08" w:rsidRDefault="005139CB" w:rsidP="008A0CFF">
                      <w:pPr>
                        <w:pStyle w:val="HStandard"/>
                        <w:rPr>
                          <w:b/>
                          <w:color w:val="F07E31"/>
                          <w:sz w:val="18"/>
                          <w:szCs w:val="18"/>
                        </w:rPr>
                      </w:pPr>
                      <w:r>
                        <w:rPr>
                          <w:b/>
                          <w:color w:val="F07E31"/>
                          <w:sz w:val="18"/>
                          <w:szCs w:val="18"/>
                        </w:rPr>
                        <w:t>Az innovációs kapacitás kiépítése:</w:t>
                      </w:r>
                    </w:p>
                    <w:p w:rsidR="005139CB" w:rsidRPr="0079762F" w:rsidRDefault="005139CB" w:rsidP="008A0CFF">
                      <w:pPr>
                        <w:pStyle w:val="HStandard"/>
                        <w:numPr>
                          <w:ilvl w:val="0"/>
                          <w:numId w:val="26"/>
                        </w:numPr>
                        <w:rPr>
                          <w:sz w:val="18"/>
                          <w:szCs w:val="18"/>
                        </w:rPr>
                      </w:pPr>
                      <w:r>
                        <w:rPr>
                          <w:sz w:val="18"/>
                          <w:szCs w:val="18"/>
                        </w:rPr>
                        <w:t>Tanácsadók és innovációtámogató szolgálatok számára – a mezőgazdaságon, az erdőgazdálkodáson és a VFP más érintett ágazatain belüli innovációra összpontosító – képzési és hálózatépítési tevékenységek biztosítása. A tanácsadók és az innovációtámogató szolgálatok részére nyújtott képzés például elősegítheti az EIP operatív csoportjainak létrehozását, ennélfogva hozzájárulhat a vidéki térségeken belüli innovációs kapacitás kiépítéséhez, ugyanis az operatív csoportok várhatóan kidolgoznak innovatív projekteket.</w:t>
                      </w:r>
                    </w:p>
                    <w:p w:rsidR="005139CB" w:rsidRPr="00ED3BAD" w:rsidRDefault="005139CB" w:rsidP="008A0CFF">
                      <w:pPr>
                        <w:pStyle w:val="HStandard"/>
                        <w:numPr>
                          <w:ilvl w:val="0"/>
                          <w:numId w:val="26"/>
                        </w:numPr>
                        <w:rPr>
                          <w:sz w:val="18"/>
                          <w:szCs w:val="18"/>
                        </w:rPr>
                      </w:pPr>
                      <w:r>
                        <w:rPr>
                          <w:sz w:val="18"/>
                          <w:szCs w:val="18"/>
                        </w:rPr>
                        <w:t>Képzési és hálózatépítési tevékenységek biztosítása a helyi akciócsoportok számára, és különösen technikai segítségnyújtás a régiók közötti és a transznacionális együttműködéshez, a helyi akciócsoportok közötti együttműködés és a partnerkeresés megkönnyítése az (együttműködésre irányuló) M16 intézkedés keretében. A nemzeti vidékfejlesztési hálózat például elősegítheti a kísérletezést és az innovációt támogató együttműködési törekvéseket.</w:t>
                      </w:r>
                    </w:p>
                    <w:p w:rsidR="005139CB" w:rsidRPr="0079762F" w:rsidRDefault="005139CB" w:rsidP="008A0CFF">
                      <w:pPr>
                        <w:pStyle w:val="HStandard"/>
                        <w:ind w:left="567" w:hanging="567"/>
                        <w:rPr>
                          <w:i/>
                          <w:sz w:val="18"/>
                          <w:szCs w:val="18"/>
                        </w:rPr>
                      </w:pPr>
                      <w:r>
                        <w:rPr>
                          <w:b/>
                          <w:color w:val="F07E31"/>
                          <w:sz w:val="18"/>
                          <w:szCs w:val="18"/>
                        </w:rPr>
                        <w:t>Az innovációt támogató környezet kialakítása:</w:t>
                      </w:r>
                    </w:p>
                    <w:p w:rsidR="005139CB" w:rsidRPr="00ED3BAD" w:rsidRDefault="005139CB" w:rsidP="008A0CFF">
                      <w:pPr>
                        <w:pStyle w:val="HStandard"/>
                        <w:numPr>
                          <w:ilvl w:val="0"/>
                          <w:numId w:val="29"/>
                        </w:numPr>
                        <w:ind w:left="567" w:hanging="567"/>
                        <w:rPr>
                          <w:sz w:val="18"/>
                          <w:szCs w:val="18"/>
                        </w:rPr>
                      </w:pPr>
                      <w:r>
                        <w:rPr>
                          <w:sz w:val="18"/>
                          <w:szCs w:val="18"/>
                        </w:rPr>
                        <w:t>Az európai hálózatok tevékenységeiben – nevezetesen az EVH-ban és az EIP-AGRI európai innovációs partnerségben – való részvétel és az azokhoz való hozzájárulás lehetőséget nyújthat arra, hogy e hálózatok közreműködésével innovációt támogató környezetet lehessen létrehozni.</w:t>
                      </w:r>
                    </w:p>
                    <w:p w:rsidR="005139CB" w:rsidRPr="00547012" w:rsidRDefault="005139CB" w:rsidP="00547012">
                      <w:pPr>
                        <w:pStyle w:val="HStandard"/>
                        <w:numPr>
                          <w:ilvl w:val="0"/>
                          <w:numId w:val="29"/>
                        </w:numPr>
                        <w:ind w:left="567" w:hanging="567"/>
                        <w:rPr>
                          <w:sz w:val="18"/>
                          <w:szCs w:val="18"/>
                        </w:rPr>
                      </w:pPr>
                      <w:r>
                        <w:rPr>
                          <w:sz w:val="18"/>
                          <w:szCs w:val="18"/>
                        </w:rPr>
                        <w:t>A nemzeti vidékfejlesztési hálózatok az innovációs szereplők (mezőgazdasági termelők, kutatók, nem kormányzati szervezetek, helyi akciócsoportok stb.) összekapcsolásával, információgyűjtéssel, alulról építkező kezdeményezések szervezésével, az innovatív ötletek finomításának elősegítésével, valamint a partner- és a forráskeresés támogatásával mozdíthatják elő az innovációt; ezek mindegyike hozzájárul az innovációt támogató környezethez.</w:t>
                      </w:r>
                    </w:p>
                  </w:txbxContent>
                </v:textbox>
                <w10:wrap type="tight"/>
              </v:shape>
            </w:pict>
          </mc:Fallback>
        </mc:AlternateContent>
      </w:r>
      <w:r w:rsidR="00A45935">
        <w:t>Megjegyzendő, hogy ez az értékelési kérdés nemcsak a mezőgazdasági innovációt előmozdító nemzeti vidékfejlesztési hálózatokra vonatkozik, hanem a vidéki térségek egészére kiterjed. A nemzeti vidékfejlesztési hálózatok a tevékenységükkel sokféleképpen előmozdíthatják az innovációt, és a következőképpen hozhatnak „újat” a vidéki közösségek számára: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vidéki szervezetekkel és vállalkozásokkal folytatott együttműködés a közös igények kielégítését célzó új ötletek és megközelítések létrehozása érdekében;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a helyes gyakorlatok kiaknázása a vidékfejlesztési szakemberek és a megfelelő szakértők, a tudományos szféra és a kutatóintézetek közötti kapcsolatteremtéssel;</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az innovációval kapcsolatos konkrét témakörökre irányuló képzések biztosítása;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a helyi akciócsoportok és a LEADER érdekelt feleinek segítése az innováció – a helyi fejlesztési stratégiáik kulcsfontosságú alapelve – támogatásában, valamint új ötletek és megközelítések „érlelésében”. </w:t>
      </w:r>
    </w:p>
    <w:p w:rsidR="00A45935" w:rsidRPr="00E05D08" w:rsidRDefault="00A45935" w:rsidP="00E05D08">
      <w:pPr>
        <w:spacing w:after="120" w:line="280" w:lineRule="atLeast"/>
        <w:mirrorIndents/>
        <w:rPr>
          <w:rFonts w:eastAsia="Times New Roman" w:cs="Times New Roman"/>
          <w:szCs w:val="20"/>
        </w:rPr>
      </w:pPr>
      <w:r>
        <w:t>A 21. sz. közös értékelési kérdés megközelítése előtt ezért fontos egyértelművé tenni ezeket az aspektusokat, valamint jól megérteni azt, hogy egy adott nemzeti vidékfejlesztési hálózat hogyan mozdíthatja elő az innovációt a tevékenységeivel.</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Konkrét kihívások </w:t>
      </w:r>
    </w:p>
    <w:p w:rsidR="00A45935" w:rsidRPr="00C9522B" w:rsidRDefault="00A45935" w:rsidP="00547012">
      <w:pPr>
        <w:pStyle w:val="Hlistbullet"/>
      </w:pPr>
      <w:r>
        <w:rPr>
          <w:b/>
          <w:shd w:val="clear" w:color="auto" w:fill="FFFFFF"/>
        </w:rPr>
        <w:t>Kiegészítő és programspecifikus értékelési elemek kidolgozása a nemzeti vidékfejlesztési hálózatokkal összefüggő innováció értékeléséhez</w:t>
      </w:r>
      <w:r>
        <w:rPr>
          <w:shd w:val="clear" w:color="auto" w:fill="FFFFFF"/>
        </w:rPr>
        <w:t xml:space="preserve">. Hogyan </w:t>
      </w:r>
      <w:r>
        <w:t xml:space="preserve">alakíthatók ki és hogyan használhatók kiegészítő mutatók (eredmény- és hatásmutatók) a közös monitoring- és értékelési rendszerben már szereplő kimeneti mutatók mellett </w:t>
      </w:r>
      <w:r>
        <w:rPr>
          <w:shd w:val="clear" w:color="auto" w:fill="FFFFFF"/>
        </w:rPr>
        <w:t>a</w:t>
      </w:r>
      <w:r>
        <w:t xml:space="preserve"> 21. sz. közös értékelési kérdésnek az innováció előmozdítása szempontjából történő megválaszolásához? </w:t>
      </w:r>
    </w:p>
    <w:p w:rsidR="00A45935" w:rsidRPr="00C9522B" w:rsidRDefault="00A45935" w:rsidP="00547012">
      <w:pPr>
        <w:pStyle w:val="Hlistbullet"/>
      </w:pPr>
      <w:r>
        <w:rPr>
          <w:b/>
          <w:shd w:val="clear" w:color="auto" w:fill="FFFFFF"/>
        </w:rPr>
        <w:t xml:space="preserve">Az innovációs folyamatoknak a nemzeti vidékfejlesztési hálózat beavatkozásaira történő visszavezetése. </w:t>
      </w:r>
      <w:r>
        <w:rPr>
          <w:shd w:val="clear" w:color="auto" w:fill="FFFFFF"/>
        </w:rPr>
        <w:t xml:space="preserve">Hogyan mérhető, hogy a vidéki térségekben létrejött innovációs folyamatok milyen mértékben vezethetők vissza közvetlenül vagy </w:t>
      </w:r>
      <w:r>
        <w:t>közvetve</w:t>
      </w:r>
      <w:r>
        <w:rPr>
          <w:shd w:val="clear" w:color="auto" w:fill="FFFFFF"/>
        </w:rPr>
        <w:t xml:space="preserve"> a nemzeti vidékfejlesztési hálózat tevékenységeire?</w:t>
      </w:r>
    </w:p>
    <w:p w:rsidR="00A45935" w:rsidRPr="00C9522B" w:rsidRDefault="00A45935" w:rsidP="00547012">
      <w:pPr>
        <w:pStyle w:val="Hlistbullet"/>
      </w:pPr>
      <w:r>
        <w:rPr>
          <w:b/>
        </w:rPr>
        <w:t>A VFP keretében előmozdított innovációnak a nemzeti vidékfejlesztési hálózatra történő visszavezetése</w:t>
      </w:r>
      <w:r>
        <w:t xml:space="preserve">, mégpedig annak értékelésével, hogy a VFP keretében előmozdított innováció mennyire kapcsolódik a nemzeti vidékfejlesztési hálózat tevékenységeihez. Ez azt jelenti, hogy a nemzeti vidékfejlesztési hálózat tevékenységei által az innováció előmozdítására kifejtett hatásokat el kell különíteni a VFP keretében végrehajtott egyéb beavatkozások (egyéb intézkedések stb.) hatásaitól.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21. sz. közös értékelési kérdés megválaszolásához javasolt megközelítés</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Beavatkozási logika </w:t>
      </w:r>
    </w:p>
    <w:p w:rsidR="00A45935" w:rsidRPr="00E05D08" w:rsidRDefault="00A45935" w:rsidP="00E05D08">
      <w:pPr>
        <w:spacing w:after="120" w:line="280" w:lineRule="atLeast"/>
        <w:mirrorIndents/>
        <w:rPr>
          <w:rFonts w:eastAsia="Times New Roman" w:cs="Times New Roman"/>
          <w:szCs w:val="20"/>
        </w:rPr>
      </w:pPr>
      <w:r>
        <w:t>A VFP innovációval kapcsolatos megközelítése a program megtervezésekor kialakított formájában</w:t>
      </w:r>
      <w:r>
        <w:rPr>
          <w:rFonts w:eastAsia="Times New Roman" w:cs="Times New Roman"/>
          <w:szCs w:val="20"/>
          <w:vertAlign w:val="superscript"/>
          <w:lang w:eastAsia="de-DE"/>
        </w:rPr>
        <w:footnoteReference w:id="61"/>
      </w:r>
      <w:r>
        <w:t xml:space="preserve"> a nemzeti vidékfejlesztési hálózatra is kiterjed. A 2019-ben benyújtandó éves végrehajtási jelentésben közlendő értékelés elkészítése során a nemzeti vidékfejlesztési hálózat cselekvési tervében szereplő tevékenységcsoportot meg kell vizsgálni abból a szempontból, hogy azok a tevékenységek ugyanúgy előmozdíthatják-e az innovációt, mint a VFP intézkedései. Ez arra vonatkozik, hogy a nemzeti vidékfejlesztési hálózat: a) meghatározhat-e és megoszthat-e innovatív ötleteket, b) kiépítheti-e az innovációs kapacitást, c) létrehozhat-e innovációt támogató környezetet. Következésképp a nemzeti vidékfejlesztési hálózat tevékenységcsoportja keretében végrehajtott, innovációs potenciálra utaló összes tevékenység a nemzeti vidékfejlesztési hálózat innovációval kapcsolatos mögöttes beavatkozási logikájának a keretébe tartozik.</w:t>
      </w:r>
    </w:p>
    <w:p w:rsidR="00A45935" w:rsidRPr="00E05D08" w:rsidRDefault="00A45935" w:rsidP="006E2A31">
      <w:pPr>
        <w:pStyle w:val="HStandard"/>
        <w:rPr>
          <w:b/>
          <w:sz w:val="16"/>
        </w:rPr>
      </w:pPr>
      <w:r>
        <w:lastRenderedPageBreak/>
        <w:t xml:space="preserve">Az alábbi ábra a nemzeti vidékfejlesztési hálózat innovációval kapcsolatos beavatkozási logikáját, valamint azt szemlélteti, hogy az hogyan rekonstruálható a nemzeti vidékfejlesztési hálózat meglévő beavatkozási logikája vagy a nemzeti vidékfejlesztési hálózat cselekvési terve alapján. </w:t>
      </w:r>
      <w:r>
        <w:br w:type="page"/>
      </w:r>
    </w:p>
    <w:p w:rsidR="00A45935" w:rsidRPr="00CB68D9" w:rsidRDefault="00A45935" w:rsidP="00676B41">
      <w:pPr>
        <w:pStyle w:val="HHeadingfigures"/>
      </w:pPr>
      <w:bookmarkStart w:id="119" w:name="_Toc508982301"/>
      <w:r>
        <w:lastRenderedPageBreak/>
        <w:t>A nemzeti vidékfejlesztési hálózat innovációval kapcsolatos beavatkozási logikája</w:t>
      </w:r>
      <w:bookmarkEnd w:id="119"/>
    </w:p>
    <w:p w:rsidR="00A45935" w:rsidRPr="00E05D08" w:rsidRDefault="007A7467" w:rsidP="00E05D08">
      <w:pPr>
        <w:spacing w:before="240" w:after="120" w:line="280" w:lineRule="atLeast"/>
        <w:ind w:left="-142"/>
        <w:mirrorIndents/>
        <w:jc w:val="center"/>
        <w:rPr>
          <w:rFonts w:eastAsia="Times New Roman" w:cs="Times New Roman"/>
          <w:b/>
          <w:szCs w:val="20"/>
        </w:rPr>
      </w:pPr>
      <w:r w:rsidRPr="007A7467">
        <w:rPr>
          <w:noProof/>
          <w:lang w:val="en-GB" w:eastAsia="en-GB"/>
        </w:rPr>
        <w:drawing>
          <wp:inline distT="0" distB="0" distL="0" distR="0" wp14:anchorId="2BD78F6D" wp14:editId="07A60F7C">
            <wp:extent cx="5731510" cy="3531770"/>
            <wp:effectExtent l="0" t="0" r="254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531770"/>
                    </a:xfrm>
                    <a:prstGeom prst="rect">
                      <a:avLst/>
                    </a:prstGeom>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Forrás: Európai vidékfejlesztési értékelési támogató szolgálat, 2017</w:t>
      </w:r>
    </w:p>
    <w:p w:rsidR="00A45935" w:rsidRPr="00E05D08" w:rsidRDefault="00A45935" w:rsidP="00E05D08">
      <w:pPr>
        <w:spacing w:before="120" w:after="120" w:line="280" w:lineRule="atLeast"/>
        <w:mirrorIndents/>
        <w:rPr>
          <w:rFonts w:eastAsia="Times New Roman" w:cs="Times New Roman"/>
          <w:szCs w:val="20"/>
        </w:rPr>
      </w:pPr>
      <w:r>
        <w:t>Az ábra alapján a nemzeti vidékfejlesztési hálózat innovációval kapcsolatos beavatkozási logikája a következőképpen rekonstruálható:</w:t>
      </w:r>
    </w:p>
    <w:p w:rsidR="00A45935" w:rsidRPr="00BC2432" w:rsidRDefault="00A45935" w:rsidP="00676B41">
      <w:pPr>
        <w:pStyle w:val="Hlistbullet"/>
      </w:pPr>
      <w:r>
        <w:rPr>
          <w:b/>
        </w:rPr>
        <w:t>1. LÉPÉS</w:t>
      </w:r>
      <w:r>
        <w:t xml:space="preserve">: Határozza meg a VFP vidékfejlesztési hálózatok közreműködésével kezelhető területének igényeit. </w:t>
      </w:r>
    </w:p>
    <w:p w:rsidR="00A45935" w:rsidRPr="00BC2432" w:rsidRDefault="00A45935" w:rsidP="00676B41">
      <w:pPr>
        <w:pStyle w:val="Hlistbullet"/>
      </w:pPr>
      <w:r>
        <w:rPr>
          <w:b/>
        </w:rPr>
        <w:t>2. LÉPÉS:</w:t>
      </w:r>
      <w:r>
        <w:t xml:space="preserve"> Kapcsolja össze a nemzeti vidékfejlesztési hálózat cselekvési tervében felsorolt (és a 2014–2020-as programozási időszak szabályozási keretében</w:t>
      </w:r>
      <w:r>
        <w:rPr>
          <w:rFonts w:cs="Arial"/>
          <w:vertAlign w:val="superscript"/>
        </w:rPr>
        <w:footnoteReference w:id="62"/>
      </w:r>
      <w:r>
        <w:t xml:space="preserve"> előzetesen meghatározott) tevékenységeket a három irányvonallal és következésképp a nemzeti vidékfejlesztési hálózat közreműködésével történő innováció-előmozdításra vonatkozó átfogó célkitűzéssel (az intézkedések innovációs potenciáljára vonatkozó elemzés alapján – lásd a </w:t>
      </w:r>
      <w:hyperlink w:anchor="Screening_Potential" w:history="1">
        <w:r>
          <w:rPr>
            <w:rStyle w:val="Hyperlink"/>
            <w:sz w:val="20"/>
          </w:rPr>
          <w:t>2.2. fejezetet</w:t>
        </w:r>
      </w:hyperlink>
      <w:r>
        <w:t>)</w:t>
      </w:r>
    </w:p>
    <w:p w:rsidR="00A45935" w:rsidRPr="00BC2432" w:rsidRDefault="00A45935" w:rsidP="00676B41">
      <w:pPr>
        <w:pStyle w:val="Hlistbullet"/>
      </w:pPr>
      <w:r>
        <w:rPr>
          <w:b/>
        </w:rPr>
        <w:t>3. LÉPÉS:</w:t>
      </w:r>
      <w:r>
        <w:t xml:space="preserve"> Alkalmazza a változáselméletet a tevékenységekkel létrehozott – a három irányvonalhoz kapcsolódóan a várt eredményekhez vezető – várt kimenetek meghatározásához. A nemzeti vidékfejlesztési hálózat közös célkitűzéseihez és a VFP célkitűzéseihez kapcsolódó hatások.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Értékelési elemek </w:t>
      </w:r>
    </w:p>
    <w:p w:rsidR="00A45935" w:rsidRPr="00E05D08" w:rsidRDefault="00A45935" w:rsidP="00676B41">
      <w:pPr>
        <w:spacing w:after="120" w:line="280" w:lineRule="atLeast"/>
        <w:ind w:left="142"/>
        <w:mirrorIndents/>
        <w:rPr>
          <w:rFonts w:eastAsia="Times New Roman" w:cs="Times New Roman"/>
          <w:szCs w:val="20"/>
        </w:rPr>
      </w:pPr>
      <w:r>
        <w:t>A 21. sz. közös értékelési kérdés megválaszolásához egy elbírálási kritérium tartozik, mégpedig a következő: „a nemzeti vidékfejlesztési hálózat előmozdította az innovációt a mezőgazdaságban, az élelmiszer-termelésben, az erdőgazdálkodásban és a vidéki térségekben”</w:t>
      </w:r>
      <w:r>
        <w:rPr>
          <w:rFonts w:eastAsia="Times New Roman" w:cs="Times New Roman"/>
          <w:szCs w:val="20"/>
          <w:vertAlign w:val="superscript"/>
          <w:lang w:eastAsia="de-DE"/>
        </w:rPr>
        <w:footnoteReference w:id="63"/>
      </w:r>
      <w:r>
        <w:t>. Ezt két közös kimeneti mutató</w:t>
      </w:r>
      <w:r>
        <w:rPr>
          <w:rFonts w:eastAsia="Times New Roman" w:cs="Times New Roman"/>
          <w:szCs w:val="20"/>
          <w:vertAlign w:val="superscript"/>
          <w:lang w:eastAsia="de-DE"/>
        </w:rPr>
        <w:footnoteReference w:id="64"/>
      </w:r>
      <w:r>
        <w:t xml:space="preserve"> támasztja alá:</w:t>
      </w:r>
    </w:p>
    <w:p w:rsidR="00A45935" w:rsidRPr="005D0347" w:rsidRDefault="00A45935" w:rsidP="008C0B17">
      <w:pPr>
        <w:numPr>
          <w:ilvl w:val="0"/>
          <w:numId w:val="95"/>
        </w:numPr>
        <w:tabs>
          <w:tab w:val="left" w:pos="426"/>
        </w:tabs>
        <w:ind w:left="426" w:hanging="284"/>
        <w:mirrorIndents/>
        <w:rPr>
          <w:szCs w:val="20"/>
        </w:rPr>
      </w:pPr>
      <w:r>
        <w:t>A tematikus információk és elemzési eredmények felek közötti, a nemzeti vidékfejlesztési hálózat támogatásával létrejött cseréinek száma (O24)</w:t>
      </w:r>
    </w:p>
    <w:p w:rsidR="00A45935" w:rsidRPr="005D0347" w:rsidRDefault="00A45935" w:rsidP="008C0B17">
      <w:pPr>
        <w:numPr>
          <w:ilvl w:val="0"/>
          <w:numId w:val="95"/>
        </w:numPr>
        <w:tabs>
          <w:tab w:val="left" w:pos="426"/>
        </w:tabs>
        <w:ind w:left="426" w:hanging="284"/>
        <w:mirrorIndents/>
        <w:rPr>
          <w:szCs w:val="20"/>
        </w:rPr>
      </w:pPr>
      <w:r>
        <w:lastRenderedPageBreak/>
        <w:t>A nemzeti vidékfejlesztési hálózat bevonásával végzett EVH-tevékenységek száma (O26)</w:t>
      </w:r>
    </w:p>
    <w:p w:rsidR="00A45935" w:rsidRPr="00E05D08" w:rsidRDefault="00A45935" w:rsidP="00E05D08">
      <w:pPr>
        <w:spacing w:after="120" w:line="280" w:lineRule="atLeast"/>
        <w:mirrorIndents/>
        <w:rPr>
          <w:rFonts w:eastAsia="Times New Roman" w:cs="Times New Roman"/>
          <w:szCs w:val="20"/>
        </w:rPr>
      </w:pPr>
      <w:r>
        <w:t>Kiegészítő elbírálási kritériumokat és mutatókat az 5. táblázat javasol. E célból a meglévő elbírálási kritériumot több elbírálási kritériumra bontottuk a három innovációs irányvonal mentén.</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982278"/>
      <w:r>
        <w:rPr>
          <w:color w:val="6F6F6F"/>
          <w:sz w:val="18"/>
          <w:szCs w:val="18"/>
        </w:rPr>
        <w:lastRenderedPageBreak/>
        <w:t>A 21. sz. közös értékelési kérdés megválaszolásához szükséges kiegészítő elbírálási kritériumok, mutatók és adatok</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Elbírálási kritériumok</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Mutatók</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Szükséges adatok</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Adatforrások</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Közös értékelési elemek (a közös monitoring- és értékelési rendszer szerinti, valamint a 2014–2020-as időszakra vonatkozó közös értékelési kérdésekről szóló munkadokumentumban javasolt közös értékelési elemek)</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előmozdította az innovációt a mezőgazdaságban, az élelmiszer-termelésben, az erdőgazdálkodásban és a vidéki térségekben.</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A tematikus információk és elemzési eredmények felek közötti, a nemzeti vidékfejlesztési hálózat támogatásával létrejött (innovációhoz kapcsolódó) cseréinek száma.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Nemzeti vidékfejlesztési hálózati kommunikációs eszközök száma (az innovációhoz kapcsolódóaké).</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A nemzeti vidékfejlesztési hálózat bevonásával végzett EVH-tevékenységek száma (az innovációhoz kapcsolódóaké).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Kiegészítő mutató:</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A nemzeti vidékfejlesztési hálózat által ösztönzött innovatív projektek százalékos aránya a VFP keretében támogatott innovatív projektek teljes számához viszonyítva.</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tematikus információk és elemzési eredmények nemzeti vidékfejlesztési hálózat által létrehozott cseréire vonatkozó adatok.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által létrehozott, innovációval összefüggő kommunikációs eszközökre vonatkozó adatok.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bevonásával az innovációval összefüggésben végzett EVH-tevékenységekre vonatkozó információk.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által kezdeményezett/támogatott, a VFP keretébe tartozó innovációs projektek száma.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VFP monitoringrendszere.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általi monitoring és önértékelés.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EVH általi monitoring (hálózati statisztikák).</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 nemzeti vidékfejlesztési hálózat által az innováció meghatározásához és megosztásához nyújtott hozzájáruláshoz kapcsolódó kiegészítő értékelési elemek (választható)</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által a VFP keretében végrehajtott innovációra vonatkozóan elvégzett közzétételi, </w:t>
            </w:r>
            <w:r>
              <w:rPr>
                <w:sz w:val="18"/>
                <w:szCs w:val="18"/>
                <w14:textFill>
                  <w14:solidFill>
                    <w14:srgbClr w14:val="373737">
                      <w14:lumMod w14:val="75000"/>
                    </w14:srgbClr>
                  </w14:solidFill>
                </w14:textFill>
              </w:rPr>
              <w:lastRenderedPageBreak/>
              <w:t>tájékoztatási és kommunikációs tevékenységek száma nőtt.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A nemzeti vidékfejlesztési hálózat által az innovációra vonatkozóan végrehajtott közzétételi, tájékoztatási és </w:t>
            </w:r>
            <w:r>
              <w:rPr>
                <w:sz w:val="18"/>
                <w:szCs w:val="18"/>
                <w14:textFill>
                  <w14:solidFill>
                    <w14:srgbClr w14:val="373737">
                      <w14:lumMod w14:val="75000"/>
                    </w14:srgbClr>
                  </w14:solidFill>
                </w14:textFill>
              </w:rPr>
              <w:lastRenderedPageBreak/>
              <w:t>kommunikációs tevékenységek száma.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 közzétételi, tájékoztatási és kommunikációs tevékenységek száma témakörönként.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hálózatok általi monitoring és önértékelés.</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Interjúk.</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 nemzeti vidékfejlesztési hálózat kiadványai.</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Elbírálási kritériumok</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Mutatók</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Szükséges adatok</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Adatforrások</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 nemzeti vidékfejlesztési hálózat innovációs kapacitáshoz való hozzájárulásához kapcsolódó kiegészítő értékelési elemek (választható)</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képzési és hálózatépítési tevékenységeinek száma a következők esetében nőtt: a) tanácsadók és innovációtámogató szolgálatok és/vagy b) helyi akciócsoportok.</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következőknek szánt képzési és hálózatépítési tevékenységeinek száma: a) tanácsadók és innovációtámogató szolgálatok és/vagy b) helyi akciócsoportok.</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képzési és hálózatépítési tevékenységek száma célcsoportonként.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Nemzeti vidékfejlesztési hálózatok (monitoring, önértékelés, interjúk, kiadványok).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Helyi akciócsoportok (interjúk, felmérések, fókuszcsoportok).</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tanácsadók és az innovációtámogató szolgálatok jobban elő tudják segíteni az operatív csoportok létrehozását a nemzeti vidékfejlesztési hálózat tevékenységeinek köszönhetően.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képzési/hálózatépítési tevékenységeiben részesült tanácsadók/innovációtámogató szolgálatok támogatásával létrehozott operatív csoportok száma.</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tanácsadók/innovációtámogató szolgálatok támogatásával létrehozott operatív csoportok száma.</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képzési/hálózatépítési tevékenységeiben részesült tanácsadók/innovációtámogató szolgálatok támogatásával létrehozott operatív csoportok száma.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Nemzeti vidékfejlesztési hálózatok (monitoring, önértékelés, interjúk, kiadványok).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Operatív csoportokkal végzett felmérések/létrehozott fókuszcsoportok.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Tanácsadókkal (innovációtámogató szolgálatokkal) végzett felmérések/azokhoz kirendelt fókuszcsoportok.</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A nemzeti vidékfejlesztési hálózat innovációt támogató környezet kialakításához való hozzájárulásához kapcsolódó kiegészítő értékelési elemek (választható)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innovációval kapcsolatos EVH-tevékenységekben való részvétele nőtt.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bevonásával végzett EVH-tevékenységek száma (O26), azon belül az innovációs témakörökhöz kapcsolódóaké.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bevonásával végzett EVH-tevékenységek száma (O26) témakörönként.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Monitoringtáblázatok.</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Nemzeti vidékfejlesztési hálózatok (monitoring, önértékelés, interjúk, kiadványok).</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európai innovációs partnerségi tevékenységekben való részvétele fokozódott.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által a mezőgazdaság termelékenységét és fenntarthatóságát célzó európai innovációs partnerséghez nyújtott hozzájárulások száma és típusa, </w:t>
            </w:r>
            <w:r>
              <w:rPr>
                <w:sz w:val="18"/>
                <w:szCs w:val="18"/>
                <w14:textFill>
                  <w14:solidFill>
                    <w14:srgbClr w14:val="373737">
                      <w14:lumMod w14:val="75000"/>
                    </w14:srgbClr>
                  </w14:solidFill>
                </w14:textFill>
              </w:rPr>
              <w:lastRenderedPageBreak/>
              <w:t>beleértve a következőket: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innovációra irányuló projektekre/helyes gyakorlatra vonatkozó példák közlése;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innovációval kapcsolatos értekezletek szervezése;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innovációban érdekelt felek – nevezetesen helyi akciócsoportok és operatív csoportok – közötti hálózatépítési események;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határokon átnyúló információcsere a Horizont 2020 keretprogram szerinti projektekről, kutatási kezdeményezésekről, tematikus hálózatokról és finanszírozási lehetőségekről;</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innovációtámogató szolgálatoknak szánt támogatási tevékenységek innovatív tevékenységek szervezéséhez és operatív csoportok létrehozásához;</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partnerkereséshez nyújtott támogatás.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 nemzeti vidékfejlesztési hálózat által az európai innovációs partnerséghez nyújtott hozzájárulások száma típusonként, az 1305/2013/EU rendelet 35. cikke (2) bekezdésének a)–</w:t>
            </w:r>
            <w:r>
              <w:rPr>
                <w:sz w:val="18"/>
                <w:szCs w:val="18"/>
                <w14:textFill>
                  <w14:solidFill>
                    <w14:srgbClr w14:val="373737">
                      <w14:lumMod w14:val="75000"/>
                    </w14:srgbClr>
                  </w14:solidFill>
                </w14:textFill>
              </w:rPr>
              <w:lastRenderedPageBreak/>
              <w:t>f) pontjában előírtak szerint.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Nemzeti vidékfejlesztési hálózatok (monitoring, önértékelés, interjúk, kiadványok).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Az innovációtámogató szolgálatokért felelős, tagállami szintű hálózatépítési </w:t>
            </w:r>
            <w:r>
              <w:rPr>
                <w:sz w:val="18"/>
                <w:szCs w:val="18"/>
                <w14:textFill>
                  <w14:solidFill>
                    <w14:srgbClr w14:val="373737">
                      <w14:lumMod w14:val="75000"/>
                    </w14:srgbClr>
                  </w14:solidFill>
                </w14:textFill>
              </w:rPr>
              <w:lastRenderedPageBreak/>
              <w:t>struktúra (ha elkülönül a nemzeti vidékfejlesztési hálózattól).</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Az EIP Szolgáltató Pontja.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Operatív csoportok projektjeivel kapcsolatos felmérések/fókuszcsoportok.</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Fokozottabb együttműködés, cserék és hálózatépítés az innovációs projektek partnerei körében.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nemzeti vidékfejlesztési hálózat által az innovációs projektek partnerei körében ösztönzött további hálózatok/partnerségek/együttműködési csoportok száma.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által az innovációs projektek partnerei körében támogatott további hálózatok/partnerségek és/vagy együttműködési csoportok száma.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nemzeti vidékfejlesztési hálózat adatbázisa.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Felmérések/fókuszcsoportok.</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Javasolt értékelési módszertan </w:t>
      </w:r>
    </w:p>
    <w:p w:rsidR="00A45935" w:rsidRPr="00E05D08" w:rsidRDefault="00A45935" w:rsidP="00E05D08">
      <w:pPr>
        <w:spacing w:after="120" w:line="280" w:lineRule="atLeast"/>
        <w:mirrorIndents/>
        <w:rPr>
          <w:rFonts w:eastAsia="Times New Roman" w:cs="Arial"/>
          <w:szCs w:val="20"/>
        </w:rPr>
      </w:pPr>
      <w:r>
        <w:t>A 21. sz. közös értékelési kérdés megválaszolásához az alábbi lépéseket ajánljuk:</w:t>
      </w:r>
    </w:p>
    <w:p w:rsidR="00A45935" w:rsidRPr="007707EC" w:rsidRDefault="00A45935" w:rsidP="00676B41">
      <w:pPr>
        <w:pStyle w:val="Hlistbullet"/>
      </w:pPr>
      <w:r>
        <w:rPr>
          <w:b/>
        </w:rPr>
        <w:t xml:space="preserve">1. LÉPÉS: Gyűjtsön információkat </w:t>
      </w:r>
      <w:r>
        <w:t xml:space="preserve">a nemzeti vidékfejlesztési hálózat innovációs potenciállal rendelkező tevékenységeiben részt vevő érdekelt felektől </w:t>
      </w:r>
      <w:r>
        <w:rPr>
          <w:b/>
        </w:rPr>
        <w:t>annak meghatározásához, hogy a nemzeti vidékfejlesztési hálózat hozzájárult-e az innováció előmozdításához</w:t>
      </w:r>
      <w:r>
        <w:t>. Ez elvégezhető az elbírálási kritériumok és a mutatók használatával és az alábbi 6. táblázatban szereplő módszerek végrehajtásával.</w:t>
      </w:r>
    </w:p>
    <w:p w:rsidR="00A45935" w:rsidRPr="007707EC" w:rsidRDefault="00A45935" w:rsidP="00676B41">
      <w:pPr>
        <w:pStyle w:val="Hlistbullet"/>
      </w:pPr>
      <w:r>
        <w:rPr>
          <w:b/>
        </w:rPr>
        <w:t xml:space="preserve">2. LÉPÉS: </w:t>
      </w:r>
      <w:r>
        <w:t xml:space="preserve">A nemzeti vidékfejlesztési hálózat tevékenységeire vonatkozóan a VFP műveleteit tartalmazó adatbázisból és a nemzeti vidékfejlesztési hálózat monitoringrendszeréből nyert monitoringadatok felhasználásával </w:t>
      </w:r>
      <w:r>
        <w:rPr>
          <w:b/>
        </w:rPr>
        <w:t>számszerűsítse az innovációhoz kapcsolódó kimeneti mutatókat és kifejezetten a nemzeti vidékfejlesztési hálózatra vonatkozó mutatókat</w:t>
      </w:r>
      <w:r>
        <w:t xml:space="preserve">. </w:t>
      </w:r>
    </w:p>
    <w:p w:rsidR="00A45935" w:rsidRPr="007707EC" w:rsidRDefault="00A45935" w:rsidP="00676B41">
      <w:pPr>
        <w:pStyle w:val="Hlistbullet"/>
      </w:pPr>
      <w:r>
        <w:rPr>
          <w:b/>
        </w:rPr>
        <w:t xml:space="preserve">3. LÉPÉS: Alkalmazza a változáselméletet ahhoz, hogy összehasonlítsa a megállapításokat </w:t>
      </w:r>
      <w:r>
        <w:t xml:space="preserve">a nemzeti vidékfejlesztési hálózatnak az értékelési folyamat elején meghatározott tevékenységeiben és a nemzeti vidékfejlesztési hálózat végrehajtott tevékenységeiben rejlő </w:t>
      </w:r>
      <w:r>
        <w:rPr>
          <w:b/>
        </w:rPr>
        <w:t>innovációs potenciállal</w:t>
      </w:r>
      <w:r>
        <w:t>. Ennek keretében dolgozzon ki ok-okozati ütemtervet és okfejtést, amelyben ismerteti, hogy a nemzeti vidékfejlesztési hálózat tevékenységei milyen eredményeket értek el az innovációs irányvonalakkal összefüggésben, és ezek az eredmények hogyan jöttek létre (használja fel a monitoringrendszerből származó információkat is).</w:t>
      </w:r>
      <w:r>
        <w:rPr>
          <w:b/>
        </w:rPr>
        <w:t xml:space="preserve"> Validálja</w:t>
      </w:r>
      <w:r>
        <w:t xml:space="preserve"> a fentieket triangulációs technikák alkalmazásával.</w:t>
      </w:r>
    </w:p>
    <w:p w:rsidR="00A45935" w:rsidRPr="007707EC" w:rsidRDefault="00A45935" w:rsidP="00676B41">
      <w:pPr>
        <w:pStyle w:val="Hlistbullet"/>
      </w:pPr>
      <w:r>
        <w:rPr>
          <w:b/>
        </w:rPr>
        <w:t xml:space="preserve">4. LÉPÉS: Válaszolja meg a közös értékelési kérdést, amelyhez </w:t>
      </w:r>
      <w:r>
        <w:t xml:space="preserve">Likert-skála használatával </w:t>
      </w:r>
      <w:r>
        <w:rPr>
          <w:b/>
        </w:rPr>
        <w:t>döntse el, hogy a nemzeti vidékfejlesztési hálózat milyen mértékben járult hozzá az innováció előmozdításához</w:t>
      </w:r>
      <w:r>
        <w:t xml:space="preserve"> a különböző tevékenységcsoportok révén</w:t>
      </w:r>
      <w:r>
        <w:rPr>
          <w:rFonts w:cs="Arial"/>
          <w:vertAlign w:val="superscript"/>
        </w:rPr>
        <w:footnoteReference w:id="65"/>
      </w:r>
      <w:r>
        <w:t>. Az értékelőnek a megállapításokban a felmérésbe/interjúba bevont érdekelt fél konfidenciaszintjét is pontoznia kell egy hasonló ötös skálán. Az adott pontszámokat meg kell indokolni.</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50ACAF5" wp14:editId="58084B3F">
                <wp:extent cx="5828030" cy="381000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810000"/>
                        </a:xfrm>
                        <a:prstGeom prst="round2DiagRect">
                          <a:avLst>
                            <a:gd name="adj1" fmla="val 6942"/>
                            <a:gd name="adj2" fmla="val 0"/>
                          </a:avLst>
                        </a:prstGeom>
                        <a:noFill/>
                        <a:ln w="25400" cap="flat" cmpd="sng" algn="ctr">
                          <a:solidFill>
                            <a:srgbClr val="F07E31"/>
                          </a:solidFill>
                          <a:prstDash val="solid"/>
                        </a:ln>
                        <a:effectLst/>
                      </wps:spPr>
                      <wps:txbx>
                        <w:txbxContent>
                          <w:p w:rsidR="005139CB" w:rsidRPr="00E05D08" w:rsidRDefault="005139CB"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87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2017-ben benyújtott éves végrehajtási jelentésekből származó példák</w:t>
                            </w:r>
                          </w:p>
                          <w:p w:rsidR="005139CB" w:rsidRPr="00EF653F" w:rsidRDefault="005139CB" w:rsidP="00E05D08">
                            <w:pPr>
                              <w:pStyle w:val="HStandard"/>
                              <w:rPr>
                                <w:sz w:val="18"/>
                                <w:szCs w:val="18"/>
                              </w:rPr>
                            </w:pPr>
                            <w:r>
                              <w:rPr>
                                <w:b/>
                                <w:sz w:val="18"/>
                                <w:szCs w:val="18"/>
                              </w:rPr>
                              <w:t xml:space="preserve">Cseh Köztársaság – </w:t>
                            </w:r>
                            <w:r>
                              <w:rPr>
                                <w:sz w:val="18"/>
                                <w:szCs w:val="18"/>
                              </w:rPr>
                              <w:t>innovatív projektek kedvezményezettjeitől gyűjtött információkon alapuló esettanulmányokat említ. Az innovatív projektekre vonatkozó adatoknak az O24 és az O25 kimeneti mutatók tekintetében történő nyomon követését javasolja a műveleteket tartalmazó adatbázis segítségével és a 2019. évi értékelés során történő felhasználásukkal:</w:t>
                            </w:r>
                          </w:p>
                          <w:p w:rsidR="005139CB" w:rsidRPr="00EF653F" w:rsidRDefault="005139CB" w:rsidP="008C0B17">
                            <w:pPr>
                              <w:pStyle w:val="HStandard"/>
                              <w:numPr>
                                <w:ilvl w:val="0"/>
                                <w:numId w:val="49"/>
                              </w:numPr>
                              <w:tabs>
                                <w:tab w:val="left" w:pos="5702"/>
                              </w:tabs>
                              <w:ind w:left="567" w:hanging="567"/>
                              <w:rPr>
                                <w:sz w:val="18"/>
                                <w:szCs w:val="18"/>
                              </w:rPr>
                            </w:pPr>
                            <w:r>
                              <w:rPr>
                                <w:sz w:val="18"/>
                                <w:szCs w:val="18"/>
                              </w:rPr>
                              <w:t xml:space="preserve">O24 – A tematikus információk és elemzési eredmények vidékfejlesztésben érdekelt felek közötti, a nemzeti vidékfejlesztési hálózat támogatásával létrejött cseréinek száma – tanácsadóknak és innovációtámogató szolgálatoknak szánt cserék. </w:t>
                            </w:r>
                          </w:p>
                          <w:p w:rsidR="005139CB" w:rsidRPr="00EF653F" w:rsidRDefault="005139CB" w:rsidP="008C0B17">
                            <w:pPr>
                              <w:pStyle w:val="HStandard"/>
                              <w:numPr>
                                <w:ilvl w:val="0"/>
                                <w:numId w:val="49"/>
                              </w:numPr>
                              <w:tabs>
                                <w:tab w:val="left" w:pos="5702"/>
                              </w:tabs>
                              <w:ind w:left="567" w:hanging="567"/>
                              <w:rPr>
                                <w:sz w:val="18"/>
                                <w:szCs w:val="18"/>
                              </w:rPr>
                            </w:pPr>
                            <w:r>
                              <w:rPr>
                                <w:sz w:val="18"/>
                                <w:szCs w:val="18"/>
                              </w:rPr>
                              <w:t>O25 – Tanácsadóknak és innovációtámogató szolgálatoknak szánt nemzeti vidékfejlesztési hálózati kommunikációs eszközök száma.</w:t>
                            </w:r>
                          </w:p>
                          <w:p w:rsidR="005139CB" w:rsidRDefault="005139CB" w:rsidP="00E05D08">
                            <w:pPr>
                              <w:pStyle w:val="HStandard"/>
                              <w:rPr>
                                <w:sz w:val="18"/>
                                <w:szCs w:val="18"/>
                              </w:rPr>
                            </w:pPr>
                            <w:r>
                              <w:rPr>
                                <w:b/>
                                <w:sz w:val="18"/>
                                <w:szCs w:val="18"/>
                              </w:rPr>
                              <w:t>Szlovákia –</w:t>
                            </w:r>
                            <w:r>
                              <w:rPr>
                                <w:sz w:val="18"/>
                                <w:szCs w:val="18"/>
                              </w:rPr>
                              <w:t xml:space="preserve"> az érintett szereplőkkel (a nemzeti vidékfejlesztési hálózattal, valamint a nemzeti vidékfejlesztési hálózat tevékenységeinek résztvevőivel) a kiegészítő mutatókhoz kapcsolódó adatgyűjtés érdekében bonyolított interjúkat ismerteti: a nemzeti vidékfejlesztési hálózat által támogatott innovatív projektek százalékos aránya a VFP keretében támogatott innovatív projektek teljes számához viszonyítva. </w:t>
                            </w:r>
                          </w:p>
                          <w:p w:rsidR="005139CB" w:rsidRPr="00ED3BAD" w:rsidRDefault="005139CB" w:rsidP="00E05D08">
                            <w:pPr>
                              <w:pStyle w:val="HStandard"/>
                              <w:rPr>
                                <w:sz w:val="18"/>
                                <w:szCs w:val="18"/>
                              </w:rPr>
                            </w:pPr>
                            <w:r>
                              <w:rPr>
                                <w:b/>
                                <w:sz w:val="18"/>
                                <w:szCs w:val="18"/>
                              </w:rPr>
                              <w:t>Kasztília és León</w:t>
                            </w:r>
                            <w:r>
                              <w:rPr>
                                <w:sz w:val="18"/>
                                <w:szCs w:val="18"/>
                              </w:rPr>
                              <w:t xml:space="preserve"> </w:t>
                            </w:r>
                            <w:r>
                              <w:rPr>
                                <w:b/>
                                <w:sz w:val="18"/>
                                <w:szCs w:val="18"/>
                              </w:rPr>
                              <w:t>(Spanyolország) –</w:t>
                            </w:r>
                            <w:r>
                              <w:rPr>
                                <w:sz w:val="18"/>
                                <w:szCs w:val="18"/>
                              </w:rPr>
                              <w:t xml:space="preserve"> azt ajánlja, hogy kerüljön be a monitoringrendszerbe egy olyan mutató, amely az M16 intézkedés szerinti projektek résztvevőinek számát méri.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300pt;visibility:visible;mso-wrap-style:square;mso-left-percent:-10001;mso-top-percent:-10001;mso-position-horizontal:absolute;mso-position-horizontal-relative:char;mso-position-vertical:absolute;mso-position-vertical-relative:line;mso-left-percent:-10001;mso-top-percent:-10001;v-text-anchor:middle" coordsize="5828030,38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" adj="-11796480,,5400" path="m264490,l5828030,r,l5828030,3545510v,146074,-118416,264490,-264490,264490l,3810000r,l,264490c,118416,118416,,264490,xe" filled="f" strokecolor="#f07e31" strokeweight="2pt">
                <v:stroke joinstyle="miter"/>
                <v:formulas/>
                <v:path arrowok="t" o:connecttype="custom" o:connectlocs="264490,0;5828030,0;5828030,0;5828030,3545510;5563540,3810000;0,3810000;0,3810000;0,264490;264490,0" o:connectangles="0,0,0,0,0,0,0,0,0" textboxrect="0,0,5828030,3810000"/>
                <v:textbox>
                  <w:txbxContent>
                    <w:p w:rsidR="005139CB" w:rsidRPr="00E05D08" w:rsidRDefault="005139CB"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87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2017-ben benyújtott éves végrehajtási jelentésekből származó példák</w:t>
                      </w:r>
                    </w:p>
                    <w:p w:rsidR="005139CB" w:rsidRPr="00EF653F" w:rsidRDefault="005139CB" w:rsidP="00E05D08">
                      <w:pPr>
                        <w:pStyle w:val="HStandard"/>
                        <w:rPr>
                          <w:sz w:val="18"/>
                          <w:szCs w:val="18"/>
                        </w:rPr>
                      </w:pPr>
                      <w:r>
                        <w:rPr>
                          <w:b/>
                          <w:sz w:val="18"/>
                          <w:szCs w:val="18"/>
                        </w:rPr>
                        <w:t xml:space="preserve">Cseh Köztársaság – </w:t>
                      </w:r>
                      <w:r>
                        <w:rPr>
                          <w:sz w:val="18"/>
                          <w:szCs w:val="18"/>
                        </w:rPr>
                        <w:t>innovatív projektek kedvezményezettjeitől gyűjtött információkon alapuló esettanulmányokat említ. Az innovatív projektekre vonatkozó adatoknak az O24 és az O25 kimeneti mutatók tekintetében történő nyomon követését javasolja a műveleteket tartalmazó adatbázis segítségével és a 2019. évi értékelés során történő felhasználásukkal:</w:t>
                      </w:r>
                    </w:p>
                    <w:p w:rsidR="005139CB" w:rsidRPr="00EF653F" w:rsidRDefault="005139CB" w:rsidP="008C0B17">
                      <w:pPr>
                        <w:pStyle w:val="HStandard"/>
                        <w:numPr>
                          <w:ilvl w:val="0"/>
                          <w:numId w:val="49"/>
                        </w:numPr>
                        <w:tabs>
                          <w:tab w:val="left" w:pos="5702"/>
                        </w:tabs>
                        <w:ind w:left="567" w:hanging="567"/>
                        <w:rPr>
                          <w:sz w:val="18"/>
                          <w:szCs w:val="18"/>
                        </w:rPr>
                      </w:pPr>
                      <w:r>
                        <w:rPr>
                          <w:sz w:val="18"/>
                          <w:szCs w:val="18"/>
                        </w:rPr>
                        <w:t xml:space="preserve">O24 – A tematikus információk és elemzési eredmények vidékfejlesztésben érdekelt felek közötti, a nemzeti vidékfejlesztési hálózat támogatásával létrejött cseréinek száma – tanácsadóknak és innovációtámogató szolgálatoknak szánt cserék. </w:t>
                      </w:r>
                    </w:p>
                    <w:p w:rsidR="005139CB" w:rsidRPr="00EF653F" w:rsidRDefault="005139CB" w:rsidP="008C0B17">
                      <w:pPr>
                        <w:pStyle w:val="HStandard"/>
                        <w:numPr>
                          <w:ilvl w:val="0"/>
                          <w:numId w:val="49"/>
                        </w:numPr>
                        <w:tabs>
                          <w:tab w:val="left" w:pos="5702"/>
                        </w:tabs>
                        <w:ind w:left="567" w:hanging="567"/>
                        <w:rPr>
                          <w:sz w:val="18"/>
                          <w:szCs w:val="18"/>
                        </w:rPr>
                      </w:pPr>
                      <w:r>
                        <w:rPr>
                          <w:sz w:val="18"/>
                          <w:szCs w:val="18"/>
                        </w:rPr>
                        <w:t>O25 – Tanácsadóknak és innovációtámogató szolgálatoknak szánt nemzeti vidékfejlesztési hálózati kommunikációs eszközök száma.</w:t>
                      </w:r>
                    </w:p>
                    <w:p w:rsidR="005139CB" w:rsidRDefault="005139CB" w:rsidP="00E05D08">
                      <w:pPr>
                        <w:pStyle w:val="HStandard"/>
                        <w:rPr>
                          <w:sz w:val="18"/>
                          <w:szCs w:val="18"/>
                        </w:rPr>
                      </w:pPr>
                      <w:r>
                        <w:rPr>
                          <w:b/>
                          <w:sz w:val="18"/>
                          <w:szCs w:val="18"/>
                        </w:rPr>
                        <w:t>Szlovákia –</w:t>
                      </w:r>
                      <w:r>
                        <w:rPr>
                          <w:sz w:val="18"/>
                          <w:szCs w:val="18"/>
                        </w:rPr>
                        <w:t xml:space="preserve"> az érintett szereplőkkel (a nemzeti vidékfejlesztési hálózattal, valamint a nemzeti vidékfejlesztési hálózat tevékenységeinek résztvevőivel) a kiegészítő mutatókhoz kapcsolódó adatgyűjtés érdekében bonyolított interjúkat ismerteti: a nemzeti vidékfejlesztési hálózat által támogatott innovatív projektek százalékos aránya a VFP keretében támogatott innovatív projektek teljes számához viszonyítva. </w:t>
                      </w:r>
                    </w:p>
                    <w:p w:rsidR="005139CB" w:rsidRPr="00ED3BAD" w:rsidRDefault="005139CB" w:rsidP="00E05D08">
                      <w:pPr>
                        <w:pStyle w:val="HStandard"/>
                        <w:rPr>
                          <w:sz w:val="18"/>
                          <w:szCs w:val="18"/>
                        </w:rPr>
                      </w:pPr>
                      <w:r>
                        <w:rPr>
                          <w:b/>
                          <w:sz w:val="18"/>
                          <w:szCs w:val="18"/>
                        </w:rPr>
                        <w:t>Kasztília és León</w:t>
                      </w:r>
                      <w:r>
                        <w:rPr>
                          <w:sz w:val="18"/>
                          <w:szCs w:val="18"/>
                        </w:rPr>
                        <w:t xml:space="preserve"> </w:t>
                      </w:r>
                      <w:r>
                        <w:rPr>
                          <w:b/>
                          <w:sz w:val="18"/>
                          <w:szCs w:val="18"/>
                        </w:rPr>
                        <w:t>(Spanyolország) –</w:t>
                      </w:r>
                      <w:r>
                        <w:rPr>
                          <w:sz w:val="18"/>
                          <w:szCs w:val="18"/>
                        </w:rPr>
                        <w:t xml:space="preserve"> azt ajánlja, hogy kerüljön be a monitoringrendszerbe egy olyan mutató, amely az M16 intézkedés szerinti projektek résztvevőinek számát méri.</w:t>
                      </w:r>
                    </w:p>
                  </w:txbxContent>
                </v:textbox>
                <w10:anchorlock/>
              </v:shape>
            </w:pict>
          </mc:Fallback>
        </mc:AlternateContent>
      </w:r>
    </w:p>
    <w:p w:rsidR="00A45935" w:rsidRPr="00E05D08" w:rsidRDefault="005139CB" w:rsidP="00E05D08">
      <w:pPr>
        <w:spacing w:after="120" w:line="280" w:lineRule="atLeast"/>
        <w:mirrorIndents/>
        <w:rPr>
          <w:rFonts w:eastAsia="Times New Roman" w:cs="Times New Roman"/>
          <w:szCs w:val="20"/>
        </w:rPr>
      </w:pPr>
      <w:hyperlink r:id="rId60" w:history="1">
        <w:r w:rsidR="00A45935">
          <w:rPr>
            <w:rStyle w:val="Hyperlink"/>
            <w:sz w:val="20"/>
            <w:szCs w:val="20"/>
          </w:rPr>
          <w:t>A nemzeti vidékfejlesztési hálózatok 2014–2020-as időszak alatti értékeléséről</w:t>
        </w:r>
      </w:hyperlink>
      <w:r w:rsidR="00A45935">
        <w:rPr>
          <w:rFonts w:eastAsia="Times New Roman" w:cs="Times New Roman"/>
          <w:szCs w:val="20"/>
          <w:vertAlign w:val="superscript"/>
          <w:lang w:eastAsia="de-DE"/>
        </w:rPr>
        <w:footnoteReference w:id="66"/>
      </w:r>
      <w:r w:rsidR="00A45935">
        <w:t xml:space="preserve"> szóló iránymutatás részletesen ismerteti a nemzeti vidékfejlesztési hálózat értékelésére szolgáló módszereket és eszközöket. Az iránymutatás a minőségi szempontú és a mennyiségi szempontú módszert ötvöző vegyes megközelítést javasol. Ezek viszont felméréseket, párbeszéden alapuló módszereket, analitikai módszereket és diagnosztikai módszereket tartalmaznak. </w:t>
      </w:r>
    </w:p>
    <w:p w:rsidR="00A45935" w:rsidRPr="00E05D08" w:rsidRDefault="00A45935" w:rsidP="00E05D08">
      <w:pPr>
        <w:spacing w:after="120" w:line="280" w:lineRule="atLeast"/>
        <w:mirrorIndents/>
        <w:rPr>
          <w:rFonts w:eastAsia="Times New Roman" w:cs="Times New Roman"/>
          <w:szCs w:val="20"/>
        </w:rPr>
      </w:pPr>
      <w:r>
        <w:t>A következő táblázat rövid áttekintést nyújt a 21. sz. közös értékelési kérdésnek a nemzeti vidékfejlesztési hálózatok d) innovációs célkitűzése tekintetében történő megválaszolásához kapcsolódó módszerekről. E módszerek teljes leírása megtalálható</w:t>
      </w:r>
      <w:r>
        <w:rPr>
          <w:i/>
          <w:szCs w:val="20"/>
        </w:rPr>
        <w:t xml:space="preserve"> </w:t>
      </w:r>
      <w:hyperlink r:id="rId61" w:history="1">
        <w:r>
          <w:rPr>
            <w:rStyle w:val="Hyperlink"/>
            <w:sz w:val="20"/>
            <w:szCs w:val="20"/>
          </w:rPr>
          <w:t>a nemzeti vidékfejlesztési hálózatok 2014–2020-as időszak alatti értékeléséről</w:t>
        </w:r>
      </w:hyperlink>
      <w:r>
        <w:t xml:space="preserve"> szóló iránymutatásban.</w:t>
      </w:r>
    </w:p>
    <w:p w:rsidR="00A45935" w:rsidRPr="00E05D08" w:rsidRDefault="00A45935" w:rsidP="00B421B9">
      <w:pPr>
        <w:pStyle w:val="HHeading1"/>
        <w:rPr>
          <w:b w:val="0"/>
          <w:color w:val="373737"/>
          <w:sz w:val="16"/>
        </w:rPr>
        <w:sectPr w:rsidR="00A45935" w:rsidRPr="00E05D08" w:rsidSect="001F6F07">
          <w:headerReference w:type="first" r:id="rId62"/>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p>
    <w:p w:rsidR="00A45935" w:rsidRPr="00D57D0A" w:rsidRDefault="00A45935" w:rsidP="00D57D0A">
      <w:pPr>
        <w:pStyle w:val="HHeadingtables"/>
        <w:rPr>
          <w:color w:val="6F6F6F"/>
          <w:sz w:val="18"/>
          <w:szCs w:val="18"/>
        </w:rPr>
      </w:pPr>
      <w:bookmarkStart w:id="121" w:name="_Toc508982279"/>
      <w:r>
        <w:rPr>
          <w:color w:val="6F6F6F"/>
          <w:sz w:val="18"/>
          <w:szCs w:val="18"/>
        </w:rPr>
        <w:t>A 21. sz. közös értékelési kérdéshez ajánlott módszerek</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Módszer</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Az egyes módszerek alkalmazására vonatkozó ötletek a 21. sz. közös értékelési kérdés megválaszolásához</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Felmérések</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 monitoringadatbázisokban nem szereplő, innovációra vonatkozó adatok és információk gyűjtéséhez használhatók, különösen a kiegészítő mutatókkal összefüggésben.</w:t>
            </w:r>
          </w:p>
          <w:p w:rsidR="00A45935" w:rsidRPr="00385368" w:rsidRDefault="00A45935" w:rsidP="00E05D08">
            <w:pPr>
              <w:spacing w:after="120" w:line="280" w:lineRule="atLeast"/>
              <w:rPr>
                <w:rFonts w:eastAsia="Calibri" w:cs="Arial"/>
                <w:sz w:val="18"/>
                <w:szCs w:val="18"/>
              </w:rPr>
            </w:pPr>
            <w:r>
              <w:rPr>
                <w:sz w:val="18"/>
                <w:szCs w:val="18"/>
              </w:rPr>
              <w:t>A felmérések célcsoportjai lehetnek a nemzeti vidékfejlesztési hálózatok, az EIP operatív csoportjai, a projektek kedvezményezettjei és az innovációban érdekelt más érdekelt felek.</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Fókuszcsoportok (párbeszéden alapuló módszer)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 fókuszcsoportok a párbeszéden alapuló értékelési módszerek egyik eszközeként vehetők igénybe, a 21. sz. értékelési kérdés esetén a következőképpen szervezhetők meg:</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Kétszintű struktúrában, különböző szinteken fókuszcsoportok (azaz tanácsadók/innovációtámogató szolgálatok és helyi akciócsoportok) létrehozásával. Mindkét szint részesülhet a nemzeti vidékfejlesztési hálózat képzési és hálózatépítési tevékenységeiben. </w:t>
            </w:r>
          </w:p>
          <w:p w:rsidR="00A45935" w:rsidRPr="00385368" w:rsidRDefault="00A45935" w:rsidP="008C0B17">
            <w:pPr>
              <w:numPr>
                <w:ilvl w:val="0"/>
                <w:numId w:val="40"/>
              </w:numPr>
              <w:spacing w:before="60" w:after="120" w:line="280" w:lineRule="atLeast"/>
              <w:ind w:left="317"/>
              <w:rPr>
                <w:rFonts w:cs="Arial"/>
                <w:sz w:val="18"/>
              </w:rPr>
            </w:pPr>
            <w:r>
              <w:rPr>
                <w:sz w:val="18"/>
              </w:rPr>
              <w:t>Az innováció tematikus területére kiélezve (például sokoldalú személyekből álló csoportok létrehozása a nemzeti vidékfejlesztési hálózat innováció-előmozdítást célzó tevékenységeinek validálásához).</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A hálózatok funkcionális elemzése (diagnosztikai módszer)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Az operatív csoportoknak (külön-külön a nemzeti vidékfejlesztési hálózattól valamilyen támogatástípusban – közvetítési funkció, képzés stb. – részesült és a támogatásban nem részesült operatív csoportoknak) szánt online felmérés ötvözése kiválasztott operatív csoportokkal bonyolított részletes interjúsorozattal. További lehetőségként az online felmérés előzetes eredményeire irányuló eszmecsere érdekében is szervezhetők fókuszcsoportok.</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Az érdekelt felek elemzése (diagnosztikai módszer)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Az elemzés a különböző szinteken lévő, innovációban érdekelt felekre irányulhat: a nemzeti vidékfejlesztési hálózatra vagy az innovációtámogató szolgálatokért felelős, tagállami szintű hálózati struktúrára (ha elkülönül a nemzeti vidékfejlesztési hálózattól); a tematikus hálózatok koordinátoraira, az operatív csoportok koordinátoraira, sőt az EIP Szolgáltató Pontjára is. </w:t>
            </w:r>
          </w:p>
          <w:p w:rsidR="00A45935" w:rsidRPr="00385368" w:rsidRDefault="00A45935" w:rsidP="00E05D08">
            <w:pPr>
              <w:spacing w:after="120" w:line="280" w:lineRule="atLeast"/>
              <w:rPr>
                <w:rFonts w:eastAsia="Calibri" w:cs="Arial"/>
                <w:sz w:val="18"/>
                <w:szCs w:val="18"/>
              </w:rPr>
            </w:pPr>
            <w:r>
              <w:rPr>
                <w:sz w:val="18"/>
                <w:szCs w:val="18"/>
              </w:rPr>
              <w:t>Az érdekelt felek elemzése azon mutatókra vonatkozó információk gyűjtéséhez nyújt segítséget, amelyekhez az adatgyűjtés nem a monitoringadatbázis felhasználásával történik. A 21. sz. közös értékelési kérdés esetében csak három kimeneti mutató számszerűsíthető a monitoringadatok segítségével, és még ebben az esetben is előfordulhat, hogy az adatok túl általánosak, és nem térnek ki innovációs elemekre. A tematikus információk és elemzési eredmények felek közötti, a nemzeti vidékfejlesztési hálózat támogatásával létrejött cseréinek száma (O24) például rögzíthető a monitoringadatbázisban, de arra vonatkozó hivatkozás nélkül, hogy e cserék közül melyeknél voltak hangsúlyosak az innovációs témakörök.</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Közösségihálózat-elemzés </w:t>
            </w:r>
            <w:r>
              <w:rPr>
                <w:sz w:val="18"/>
                <w:szCs w:val="18"/>
              </w:rPr>
              <w:t>(diagnosztikai módszer)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Közösségihálózat-elemzés végezhető a tematikus aspektusokra – nevezetesen a nemzeti vidékfejlesztési hálózat innovációs célkitűzéseinek előmozdítására – vonatkozóan, az innovációs hálózat elemeinek vizsgálatával (például a hálózaton belüli kulcsfontosságú innovációs szereplők meghatározásával), a </w:t>
            </w:r>
            <w:r>
              <w:rPr>
                <w:sz w:val="18"/>
                <w:szCs w:val="18"/>
              </w:rPr>
              <w:lastRenderedPageBreak/>
              <w:t>strukturális jellemzőik értékelésével (például az innovációban érdekelt felek központi vagy periferikus elhelyezkedése), a közöttük lévő átfedések értékelésével (például a kulcsfontosságú összekapcsoló elemek meghatározásával), valamint azoknak egy fókuszcsoporton belüli megvitatásával.</w:t>
            </w:r>
          </w:p>
          <w:p w:rsidR="00A45935" w:rsidRPr="00385368" w:rsidRDefault="00A45935" w:rsidP="00E05D08">
            <w:pPr>
              <w:spacing w:after="120" w:line="280" w:lineRule="atLeast"/>
              <w:rPr>
                <w:rFonts w:eastAsia="Calibri" w:cs="Arial"/>
                <w:sz w:val="18"/>
                <w:szCs w:val="18"/>
              </w:rPr>
            </w:pPr>
            <w:r>
              <w:rPr>
                <w:sz w:val="18"/>
                <w:szCs w:val="18"/>
              </w:rPr>
              <w:t>A közösségihálózat-elemzés segítséget nyújthat az innovációban érdekelt felek nemzeti vidékfejlesztési hálózatban való részvételének méréséhez és az innovációval kapcsolatos kimenetek (például innovációval kapcsolatos tematikus információk és elemzési eredmények cseréje, innovációval kapcsolatos képzési és hálózatépítési tevékenységek és innovációval kapcsolatos projektpéldák összegyűjtése) eredményességének értékeléséhez.</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Esettanulmányok</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Az esettanulmányok bármely értékeléshez hozzáigazíthatók és bármely értékelés során alkalmazhatók. Lehetőséget nyújtanak különféle módszerek ötvözésére, kialakításuk pedig igen rugalmas. A 21. sz. közös értékelési kérdés esetében az alábbi, innovációval kapcsolatos kérdések/kritériumok köré javasolt esettanulmányokat kialakítani:</w:t>
            </w:r>
          </w:p>
          <w:p w:rsidR="00A45935" w:rsidRPr="00385368" w:rsidRDefault="00A45935" w:rsidP="008C0B17">
            <w:pPr>
              <w:numPr>
                <w:ilvl w:val="0"/>
                <w:numId w:val="41"/>
              </w:numPr>
              <w:spacing w:before="60" w:after="120" w:line="280" w:lineRule="atLeast"/>
              <w:ind w:left="360"/>
              <w:rPr>
                <w:sz w:val="18"/>
              </w:rPr>
            </w:pPr>
            <w:r>
              <w:rPr>
                <w:sz w:val="18"/>
              </w:rPr>
              <w:t>Elemezze a nemzeti vidékfejlesztési hálózat szerepét az operatív csoportok létrehozásában, és így a mezőgazdaságban, az élelmiszer-termelésben, az erdőgazdálkodásban és a vidéki térségekben végrehajtott innováció előmozdításában.</w:t>
            </w:r>
          </w:p>
          <w:p w:rsidR="00A45935" w:rsidRPr="00385368" w:rsidRDefault="00A45935" w:rsidP="008C0B17">
            <w:pPr>
              <w:numPr>
                <w:ilvl w:val="0"/>
                <w:numId w:val="41"/>
              </w:numPr>
              <w:spacing w:before="60" w:after="120" w:line="280" w:lineRule="atLeast"/>
              <w:ind w:left="360"/>
              <w:rPr>
                <w:sz w:val="18"/>
              </w:rPr>
            </w:pPr>
            <w:r>
              <w:rPr>
                <w:sz w:val="18"/>
              </w:rPr>
              <w:t>Elemezze, hogy a nemzeti vidékfejlesztési hálózat hogyan járult hozzá annak elősegítéséhez, hogy a tanácsadók és az innovációtámogató szolgálatok „coach”-ként vegyenek részt az interaktív innovációs folyamatokban (például gyakorlati ötletek rögzítésével, közvetítőként, facilitátorként és új ismeretek terjesztőjeként történő fellépéssel).</w:t>
            </w:r>
          </w:p>
          <w:p w:rsidR="00A45935" w:rsidRPr="00385368" w:rsidRDefault="00A45935" w:rsidP="008C0B17">
            <w:pPr>
              <w:numPr>
                <w:ilvl w:val="0"/>
                <w:numId w:val="41"/>
              </w:numPr>
              <w:spacing w:before="60" w:after="120" w:line="280" w:lineRule="atLeast"/>
              <w:ind w:left="360"/>
              <w:rPr>
                <w:sz w:val="18"/>
              </w:rPr>
            </w:pPr>
            <w:r>
              <w:rPr>
                <w:sz w:val="18"/>
              </w:rPr>
              <w:t>Elemezze a nemzeti vidékfejlesztési hálózatoknak az operatív csoportokat összekapcsoló tematikus hálózatokban betöltött szerepét, és ezért elemezze a Horizont 2020 keretprogrammal való kapcsolatokat.</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Kockázatok és megoldások</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Kockázatok</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Megoldások</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A három közös kimeneti mutatóra vonatkozó adatoknak rendelkezésre kell állniuk, de azok nagy valószínűséggel nem az innovációra összpontosítanak. A tematikus információk és elemzési eredmények cseréjére vonatkozó adatok gyűjtése például nem feltétlenül témakörök szerint, konkrétabban nem az innováció témaköre szerint történik. Ehhez hasonlóan előfordulhat, hogy a kommunikációs eszközökre vonatkozó adatok nem bonthatók le témakörök (például az innovációs </w:t>
            </w:r>
            <w:r>
              <w:rPr>
                <w:sz w:val="18"/>
                <w:szCs w:val="18"/>
              </w:rPr>
              <w:lastRenderedPageBreak/>
              <w:t>eredmények közlése) szerint.</w:t>
            </w:r>
          </w:p>
        </w:tc>
        <w:tc>
          <w:tcPr>
            <w:tcW w:w="4509" w:type="dxa"/>
          </w:tcPr>
          <w:p w:rsidR="00A45935" w:rsidRPr="00385368" w:rsidRDefault="00A45935" w:rsidP="007E63EF">
            <w:pPr>
              <w:spacing w:after="120" w:line="280" w:lineRule="atLeast"/>
              <w:rPr>
                <w:sz w:val="18"/>
                <w:szCs w:val="18"/>
              </w:rPr>
            </w:pPr>
            <w:r>
              <w:rPr>
                <w:sz w:val="18"/>
                <w:szCs w:val="18"/>
              </w:rPr>
              <w:lastRenderedPageBreak/>
              <w:t>A tagállamok a három közös kimeneti mutatóra vonatkozó innovációs komponenst a monitoringadatbázisban szerepeltethetik</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Minden egyéb javasolt mutató esetében nem gyűjtenek adatokat monitoring céljából, kivéve, ha az irányító hatóság/a nemzeti vidékfejlesztési hálózat emellett döntött a közös adatelemeken felül.</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A végrehajtás korai szakaszában a nemzeti vidékfejlesztési hálózatoknak ki kell emelniük az innováció előmozdítására irányuló tevékenységeiket (például az innovációban érdekelt felek képzése, az innovációval kapcsolatos tematikus cserék, az innovációval kapcsolatos helyes gyakorlatok gyűjtése, operatív csoportok létrehozásának támogatása stb.).</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Egyetlen (mennyiségi vagy minőségi szempontú) módszerre hagyatkozás azon adatok elemzéséhez, amelyek nem feltétlenül eredményeznek megbízható megállapításokat.</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A fentiekhez hasonló értékelési módszerek kombinációjának használata, amelyekkel folyamatosan vagy utólagosan történik információgyűjtés (felmérések, fókuszcsoportok, diagnosztikai módszerek, esettanulmányok), és amelyek lehetővé teszik megbízhatóbb megállapítások triangulációját és elérését.</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Következtetések és ajánlások</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 következtetéseknek és az ajánlásoknak a következőkhöz kell kapcsolódniuk:</w:t>
      </w:r>
    </w:p>
    <w:p w:rsidR="00A45935" w:rsidRPr="00E72529" w:rsidRDefault="00A45935" w:rsidP="00676B41">
      <w:pPr>
        <w:pStyle w:val="Hlistbullet"/>
        <w:rPr>
          <w:rFonts w:eastAsia="Calibri"/>
          <w:shd w:val="clear" w:color="auto" w:fill="FFFFFF"/>
        </w:rPr>
      </w:pPr>
      <w:r>
        <w:rPr>
          <w:b/>
          <w:shd w:val="clear" w:color="auto" w:fill="FFFFFF"/>
        </w:rPr>
        <w:t>a nemzeti vidékfejlesztési hálózatok hozzájárulása</w:t>
      </w:r>
      <w:r>
        <w:rPr>
          <w:shd w:val="clear" w:color="auto" w:fill="FFFFFF"/>
        </w:rPr>
        <w:t xml:space="preserve"> a mezőgazdaságban, az élelmiszer-termelésben, az erdőgazdálkodásban és a vidéki térségekben végrehajtott innovációhoz;</w:t>
      </w:r>
    </w:p>
    <w:p w:rsidR="00A45935" w:rsidRPr="00E72529" w:rsidRDefault="00A45935" w:rsidP="00676B41">
      <w:pPr>
        <w:pStyle w:val="Hlistbullet"/>
        <w:rPr>
          <w:rFonts w:eastAsia="Calibri"/>
          <w:shd w:val="clear" w:color="auto" w:fill="FFFFFF"/>
        </w:rPr>
      </w:pPr>
      <w:r>
        <w:rPr>
          <w:b/>
          <w:shd w:val="clear" w:color="auto" w:fill="FFFFFF"/>
        </w:rPr>
        <w:t>azok a legfontosabb tényezők és feltételek</w:t>
      </w:r>
      <w:r>
        <w:rPr>
          <w:shd w:val="clear" w:color="auto" w:fill="FFFFFF"/>
        </w:rPr>
        <w:t>, amelyek a nemzeti vidékfejlesztési hálózatokat kulcsfontosságú szereplőkké teszik az interaktív innovációs folyamatokban;</w:t>
      </w:r>
    </w:p>
    <w:p w:rsidR="00A45935" w:rsidRPr="00E72529" w:rsidRDefault="00A45935" w:rsidP="00676B41">
      <w:pPr>
        <w:pStyle w:val="Hlistbullet"/>
        <w:rPr>
          <w:rFonts w:eastAsia="Calibri"/>
          <w:shd w:val="clear" w:color="auto" w:fill="FFFFFF"/>
        </w:rPr>
      </w:pPr>
      <w:r>
        <w:rPr>
          <w:b/>
          <w:shd w:val="clear" w:color="auto" w:fill="FFFFFF"/>
        </w:rPr>
        <w:t>a nemzeti vidékfejlesztési hálózatok szerepe az innovációs rendszerben</w:t>
      </w:r>
      <w:r>
        <w:rPr>
          <w:shd w:val="clear" w:color="auto" w:fill="FFFFFF"/>
        </w:rPr>
        <w:t>: 1) a helyes gyakorlatok összegyűjtésével és terjesztésével meghatározzák az innovációt; 2) képzés, hálózatépítés, tematikus információk és elemzési eredmények cseréje segítségével kiépítik az innovációs kapacitást; 3) az EIP operatív csoportjainak támogatásával és szervezésével az innovációt támogató környezetet alakítanak ki.</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További olvasnivalók</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25465" cy="4505325"/>
                <wp:effectExtent l="0" t="0" r="13335" b="28575"/>
                <wp:docPr id="552" name="Rectangle: Diagonal Corners Rounded 552"/>
                <wp:cNvGraphicFramePr/>
                <a:graphic xmlns:a="http://schemas.openxmlformats.org/drawingml/2006/main">
                  <a:graphicData uri="http://schemas.microsoft.com/office/word/2010/wordprocessingShape">
                    <wps:wsp>
                      <wps:cNvSpPr/>
                      <wps:spPr>
                        <a:xfrm>
                          <a:off x="0" y="0"/>
                          <a:ext cx="5625465" cy="4505325"/>
                        </a:xfrm>
                        <a:prstGeom prst="round2DiagRect">
                          <a:avLst>
                            <a:gd name="adj1" fmla="val 9900"/>
                            <a:gd name="adj2" fmla="val 0"/>
                          </a:avLst>
                        </a:prstGeom>
                        <a:noFill/>
                        <a:ln w="25400" cap="flat" cmpd="sng" algn="ctr">
                          <a:solidFill>
                            <a:srgbClr val="59638E"/>
                          </a:solidFill>
                          <a:prstDash val="solid"/>
                        </a:ln>
                        <a:effectLst/>
                      </wps:spPr>
                      <wps:txbx>
                        <w:txbxContent>
                          <w:p w:rsidR="005139CB" w:rsidRDefault="005139CB"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879"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6F1763" w:rsidRDefault="005139CB" w:rsidP="00E05D08">
                            <w:pPr>
                              <w:pStyle w:val="HStandard"/>
                              <w:rPr>
                                <w:sz w:val="18"/>
                                <w:szCs w:val="18"/>
                              </w:rPr>
                            </w:pPr>
                            <w:r>
                              <w:rPr>
                                <w:sz w:val="18"/>
                                <w:szCs w:val="18"/>
                              </w:rPr>
                              <w:t xml:space="preserve">Európai értékelési támogató szolgálat (2016). </w:t>
                            </w:r>
                            <w:r>
                              <w:t>Az</w:t>
                            </w:r>
                            <w:r>
                              <w:rPr>
                                <w:sz w:val="18"/>
                                <w:szCs w:val="18"/>
                              </w:rPr>
                              <w:t xml:space="preserve"> „</w:t>
                            </w:r>
                            <w:hyperlink r:id="rId63" w:history="1">
                              <w:r>
                                <w:rPr>
                                  <w:color w:val="F07E31"/>
                                  <w:sz w:val="18"/>
                                  <w:szCs w:val="18"/>
                                  <w:u w:val="single"/>
                                </w:rPr>
                                <w:t>Assessment of RDP Results:</w:t>
                              </w:r>
                            </w:hyperlink>
                            <w:hyperlink r:id="rId64" w:history="1">
                              <w:r>
                                <w:rPr>
                                  <w:color w:val="F07E31"/>
                                  <w:sz w:val="18"/>
                                  <w:szCs w:val="18"/>
                                  <w:u w:val="single"/>
                                </w:rPr>
                                <w:t xml:space="preserve"> How to Prepare for reporting on evaluation in 2017</w:t>
                              </w:r>
                            </w:hyperlink>
                            <w:r>
                              <w:t>” (A VFP eredményeinek értékelése: felkészülés a 2017. évi értékelésre vonatkozó jelentéstételre) című iránymutatás 11. melléklete</w:t>
                            </w:r>
                            <w:r>
                              <w:rPr>
                                <w:sz w:val="18"/>
                                <w:szCs w:val="18"/>
                              </w:rPr>
                              <w:t xml:space="preserve"> </w:t>
                            </w:r>
                          </w:p>
                          <w:p w:rsidR="005139CB" w:rsidRPr="006F1763" w:rsidRDefault="005139CB" w:rsidP="00E05D08">
                            <w:pPr>
                              <w:pStyle w:val="HStandard"/>
                              <w:rPr>
                                <w:sz w:val="18"/>
                                <w:szCs w:val="18"/>
                              </w:rPr>
                            </w:pPr>
                            <w:r>
                              <w:rPr>
                                <w:sz w:val="18"/>
                                <w:szCs w:val="18"/>
                              </w:rPr>
                              <w:t>EVH (2014).</w:t>
                            </w:r>
                            <w:hyperlink r:id="rId65" w:history="1">
                              <w:r>
                                <w:rPr>
                                  <w:rStyle w:val="Hyperlink"/>
                                  <w:sz w:val="18"/>
                                  <w:szCs w:val="18"/>
                                </w:rPr>
                                <w:t xml:space="preserve"> NRN Guidebook</w:t>
                              </w:r>
                            </w:hyperlink>
                            <w:r>
                              <w:rPr>
                                <w:sz w:val="18"/>
                                <w:szCs w:val="18"/>
                              </w:rPr>
                              <w:t xml:space="preserve"> (A nemzeti vidékfejlesztési hálózatokra vonatkozó útmutató). Luxembourgi Kiadóhivatal</w:t>
                            </w:r>
                          </w:p>
                          <w:p w:rsidR="005139CB" w:rsidRPr="006F1763" w:rsidRDefault="005139CB" w:rsidP="00E05D08">
                            <w:pPr>
                              <w:pStyle w:val="HStandard"/>
                              <w:rPr>
                                <w:sz w:val="18"/>
                                <w:szCs w:val="18"/>
                              </w:rPr>
                            </w:pPr>
                            <w:r>
                              <w:rPr>
                                <w:sz w:val="18"/>
                                <w:szCs w:val="18"/>
                              </w:rPr>
                              <w:t>Az Európai értékelési támogató szolgálat (2016) „</w:t>
                            </w:r>
                            <w:hyperlink r:id="rId66" w:history="1">
                              <w:r>
                                <w:rPr>
                                  <w:rStyle w:val="Hyperlink"/>
                                  <w:sz w:val="18"/>
                                  <w:szCs w:val="18"/>
                                </w:rPr>
                                <w:t>Evaluation of National Rural Networks 2014-2020</w:t>
                              </w:r>
                            </w:hyperlink>
                            <w:r>
                              <w:t>” (A 2014–2020-as időszak nemzeti vidékfejlesztési hálózatainak értékelése) című iránymutatása</w:t>
                            </w:r>
                          </w:p>
                          <w:p w:rsidR="005139CB" w:rsidRPr="006F1763" w:rsidRDefault="005139CB" w:rsidP="00E05D08">
                            <w:pPr>
                              <w:pStyle w:val="HStandard"/>
                              <w:rPr>
                                <w:sz w:val="18"/>
                                <w:szCs w:val="18"/>
                              </w:rPr>
                            </w:pPr>
                            <w:r>
                              <w:rPr>
                                <w:sz w:val="18"/>
                                <w:szCs w:val="18"/>
                              </w:rPr>
                              <w:t xml:space="preserve">Európai Bizottság, DG AGRI (2014). </w:t>
                            </w:r>
                            <w:r>
                              <w:t>„</w:t>
                            </w:r>
                            <w:hyperlink r:id="rId67" w:history="1">
                              <w:r>
                                <w:rPr>
                                  <w:rStyle w:val="Hyperlink"/>
                                  <w:sz w:val="18"/>
                                  <w:szCs w:val="18"/>
                                </w:rPr>
                                <w:t>Guidelines on programming for innovation and the implementation of the EIP for agricultural productivity and sustainability</w:t>
                              </w:r>
                            </w:hyperlink>
                            <w:r>
                              <w:t>” (Iránymutatás az innovációt célzó programozásról, valamint a mezőgazdaság termelékenységét és fenntarthatóságát célzó európai innovációs partnerség megvalósításáról)</w:t>
                            </w:r>
                          </w:p>
                          <w:p w:rsidR="005139CB" w:rsidRPr="006F1763" w:rsidRDefault="005139CB" w:rsidP="00E05D08">
                            <w:pPr>
                              <w:pStyle w:val="HStandard"/>
                              <w:rPr>
                                <w:sz w:val="18"/>
                                <w:szCs w:val="18"/>
                              </w:rPr>
                            </w:pPr>
                            <w:r>
                              <w:rPr>
                                <w:sz w:val="18"/>
                                <w:szCs w:val="18"/>
                              </w:rPr>
                              <w:t xml:space="preserve">Európai értékelési támogató szolgálat (2014). Intervention logic and evaluation framework for 2014-2020 National Rural Networks (Beavatkozási logika és értékelési keretrendszer a 2014–2020 időszak alatti nemzeti vidékfejlesztési hálózatokhoz): A </w:t>
                            </w:r>
                            <w:hyperlink r:id="rId68" w:history="1">
                              <w:r>
                                <w:rPr>
                                  <w:rStyle w:val="Hyperlink"/>
                                  <w:sz w:val="18"/>
                                  <w:szCs w:val="18"/>
                                </w:rPr>
                                <w:t>„Nemzeti vidékfejlesztési hálózatok: Hogyan mutathatók be az előnyeik</w:t>
                              </w:r>
                            </w:hyperlink>
                            <w:r>
                              <w:t>” címmel Rómában (Olaszország) 2014. április 10-én és 11-én bemutatott háttérdokumentum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354.75pt;visibility:visible;mso-wrap-style:square;mso-left-percent:-10001;mso-top-percent:-10001;mso-position-horizontal:absolute;mso-position-horizontal-relative:char;mso-position-vertical:absolute;mso-position-vertical-relative:line;mso-left-percent:-10001;mso-top-percent:-10001;v-text-anchor:middle" coordsize="5625465,450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" adj="-11796480,,5400" path="m446027,l5625465,r,l5625465,4059298v,246334,-199693,446027,-446027,446027l,4505325r,l,446027c,199693,199693,,446027,xe" filled="f" strokecolor="#59638e" strokeweight="2pt">
                <v:stroke joinstyle="miter"/>
                <v:formulas/>
                <v:path arrowok="t" o:connecttype="custom" o:connectlocs="446027,0;5625465,0;5625465,0;5625465,4059298;5179438,4505325;0,4505325;0,4505325;0,446027;446027,0" o:connectangles="0,0,0,0,0,0,0,0,0" textboxrect="0,0,5625465,4505325"/>
                <v:textbox>
                  <w:txbxContent>
                    <w:p w:rsidR="005139CB" w:rsidRDefault="005139CB"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879"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6F1763" w:rsidRDefault="005139CB" w:rsidP="00E05D08">
                      <w:pPr>
                        <w:pStyle w:val="HStandard"/>
                        <w:rPr>
                          <w:sz w:val="18"/>
                          <w:szCs w:val="18"/>
                        </w:rPr>
                      </w:pPr>
                      <w:r>
                        <w:rPr>
                          <w:sz w:val="18"/>
                          <w:szCs w:val="18"/>
                        </w:rPr>
                        <w:t xml:space="preserve">Európai értékelési támogató szolgálat (2016). </w:t>
                      </w:r>
                      <w:r>
                        <w:t>Az</w:t>
                      </w:r>
                      <w:r>
                        <w:rPr>
                          <w:sz w:val="18"/>
                          <w:szCs w:val="18"/>
                        </w:rPr>
                        <w:t xml:space="preserve"> „</w:t>
                      </w:r>
                      <w:hyperlink r:id="rId69" w:history="1">
                        <w:r>
                          <w:rPr>
                            <w:color w:val="F07E31"/>
                            <w:sz w:val="18"/>
                            <w:szCs w:val="18"/>
                            <w:u w:val="single"/>
                          </w:rPr>
                          <w:t>Assessment of RDP Results:</w:t>
                        </w:r>
                      </w:hyperlink>
                      <w:hyperlink r:id="rId70" w:history="1">
                        <w:r>
                          <w:rPr>
                            <w:color w:val="F07E31"/>
                            <w:sz w:val="18"/>
                            <w:szCs w:val="18"/>
                            <w:u w:val="single"/>
                          </w:rPr>
                          <w:t xml:space="preserve"> How to Prepare for reporting on evaluation in 2017</w:t>
                        </w:r>
                      </w:hyperlink>
                      <w:r>
                        <w:t>” (A VFP eredményeinek értékelése: felkészülés a 2017. évi értékelésre vonatkozó jelentéstételre) című iránymutatás 11. melléklete</w:t>
                      </w:r>
                      <w:r>
                        <w:rPr>
                          <w:sz w:val="18"/>
                          <w:szCs w:val="18"/>
                        </w:rPr>
                        <w:t xml:space="preserve"> </w:t>
                      </w:r>
                    </w:p>
                    <w:p w:rsidR="005139CB" w:rsidRPr="006F1763" w:rsidRDefault="005139CB" w:rsidP="00E05D08">
                      <w:pPr>
                        <w:pStyle w:val="HStandard"/>
                        <w:rPr>
                          <w:sz w:val="18"/>
                          <w:szCs w:val="18"/>
                        </w:rPr>
                      </w:pPr>
                      <w:r>
                        <w:rPr>
                          <w:sz w:val="18"/>
                          <w:szCs w:val="18"/>
                        </w:rPr>
                        <w:t>EVH (2014).</w:t>
                      </w:r>
                      <w:hyperlink r:id="rId71" w:history="1">
                        <w:r>
                          <w:rPr>
                            <w:rStyle w:val="Hyperlink"/>
                            <w:sz w:val="18"/>
                            <w:szCs w:val="18"/>
                          </w:rPr>
                          <w:t xml:space="preserve"> NRN Guidebook</w:t>
                        </w:r>
                      </w:hyperlink>
                      <w:r>
                        <w:rPr>
                          <w:sz w:val="18"/>
                          <w:szCs w:val="18"/>
                        </w:rPr>
                        <w:t xml:space="preserve"> (A nemzeti vidékfejlesztési hálózatokra vonatkozó útmutató). Luxembourgi Kiadóhivatal</w:t>
                      </w:r>
                    </w:p>
                    <w:p w:rsidR="005139CB" w:rsidRPr="006F1763" w:rsidRDefault="005139CB" w:rsidP="00E05D08">
                      <w:pPr>
                        <w:pStyle w:val="HStandard"/>
                        <w:rPr>
                          <w:sz w:val="18"/>
                          <w:szCs w:val="18"/>
                        </w:rPr>
                      </w:pPr>
                      <w:r>
                        <w:rPr>
                          <w:sz w:val="18"/>
                          <w:szCs w:val="18"/>
                        </w:rPr>
                        <w:t>Az Európai értékelési támogató szolgálat (2016) „</w:t>
                      </w:r>
                      <w:hyperlink r:id="rId72" w:history="1">
                        <w:r>
                          <w:rPr>
                            <w:rStyle w:val="Hyperlink"/>
                            <w:sz w:val="18"/>
                            <w:szCs w:val="18"/>
                          </w:rPr>
                          <w:t>Evaluation of National Rural Networks 2014-2020</w:t>
                        </w:r>
                      </w:hyperlink>
                      <w:r>
                        <w:t>” (A 2014–2020-as időszak nemzeti vidékfejlesztési hálózatainak értékelése) című iránymutatása</w:t>
                      </w:r>
                    </w:p>
                    <w:p w:rsidR="005139CB" w:rsidRPr="006F1763" w:rsidRDefault="005139CB" w:rsidP="00E05D08">
                      <w:pPr>
                        <w:pStyle w:val="HStandard"/>
                        <w:rPr>
                          <w:sz w:val="18"/>
                          <w:szCs w:val="18"/>
                        </w:rPr>
                      </w:pPr>
                      <w:r>
                        <w:rPr>
                          <w:sz w:val="18"/>
                          <w:szCs w:val="18"/>
                        </w:rPr>
                        <w:t xml:space="preserve">Európai Bizottság, DG AGRI (2014). </w:t>
                      </w:r>
                      <w:r>
                        <w:t>„</w:t>
                      </w:r>
                      <w:hyperlink r:id="rId73" w:history="1">
                        <w:r>
                          <w:rPr>
                            <w:rStyle w:val="Hyperlink"/>
                            <w:sz w:val="18"/>
                            <w:szCs w:val="18"/>
                          </w:rPr>
                          <w:t>Guidelines on programming for innovation and the implementation of the EIP for agricultural productivity and sustainability</w:t>
                        </w:r>
                      </w:hyperlink>
                      <w:r>
                        <w:t>” (Iránymutatás az innovációt célzó programozásról, valamint a mezőgazdaság termelékenységét és fenntarthatóságát célzó európai innovációs partnerség megvalósításáról)</w:t>
                      </w:r>
                    </w:p>
                    <w:p w:rsidR="005139CB" w:rsidRPr="006F1763" w:rsidRDefault="005139CB" w:rsidP="00E05D08">
                      <w:pPr>
                        <w:pStyle w:val="HStandard"/>
                        <w:rPr>
                          <w:sz w:val="18"/>
                          <w:szCs w:val="18"/>
                        </w:rPr>
                      </w:pPr>
                      <w:r>
                        <w:rPr>
                          <w:sz w:val="18"/>
                          <w:szCs w:val="18"/>
                        </w:rPr>
                        <w:t xml:space="preserve">Európai értékelési támogató szolgálat (2014). Intervention logic and evaluation framework for 2014-2020 National Rural Networks (Beavatkozási logika és értékelési keretrendszer a 2014–2020 időszak alatti nemzeti vidékfejlesztési hálózatokhoz): A </w:t>
                      </w:r>
                      <w:hyperlink r:id="rId74" w:history="1">
                        <w:r>
                          <w:rPr>
                            <w:rStyle w:val="Hyperlink"/>
                            <w:sz w:val="18"/>
                            <w:szCs w:val="18"/>
                          </w:rPr>
                          <w:t>„Nemzeti vidékfejlesztési hálózatok: Hogyan mutathatók be az előnyeik</w:t>
                        </w:r>
                      </w:hyperlink>
                      <w:r>
                        <w:t>” címmel Rómában (Olaszország) 2014. április 10-én és 11-én bemutatott háttérdokumentum</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982269"/>
      <w:r>
        <w:t>23. sz. közös értékelési kérdés: „A vidékfejlesztési program milyen mértékben járult hozzá az Európa 2020 stratégia azon kiemelt céljának teljesítéséhez, amely az uniós GDP 3%-ának a kutatás-fejlesztés és az innováció terén való beruházására vonatkozik?”</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A közös értékelési kérdés értelmezése</w:t>
      </w:r>
    </w:p>
    <w:p w:rsidR="00A45935" w:rsidRPr="00E05D08" w:rsidRDefault="00A45935" w:rsidP="00E05D08">
      <w:pPr>
        <w:spacing w:after="120" w:line="280" w:lineRule="atLeast"/>
        <w:mirrorIndents/>
        <w:rPr>
          <w:rFonts w:eastAsia="Times New Roman" w:cs="Times New Roman"/>
          <w:szCs w:val="20"/>
        </w:rPr>
      </w:pPr>
      <w:r>
        <w:t xml:space="preserve">Ez a közös értékelési kérdés az Európa 2020 stratégia öt kiemelt céljának egyikére vonatkozik: „az uniós GDP 3%-ának a kutatás-fejlesztés és az innováció terén való beruházása”. A kérdés értelmezéséhez fel kell ismerni a kiemelt cél kontextusát és mérését, és különösen azt, hogy köz- és magánszektorbeli források ötvözésével az innováció, a kutatás és a fejlesztés feltételeinek javítására hivatott. </w:t>
      </w:r>
    </w:p>
    <w:p w:rsidR="00A45935" w:rsidRPr="00E05D08" w:rsidRDefault="00A45935" w:rsidP="00E05D08">
      <w:pPr>
        <w:spacing w:after="120" w:line="280" w:lineRule="atLeast"/>
        <w:mirrorIndents/>
        <w:rPr>
          <w:rFonts w:eastAsia="Times New Roman" w:cs="Times New Roman"/>
          <w:szCs w:val="20"/>
        </w:rPr>
      </w:pPr>
      <w:r>
        <w:t>A kiemelt cél az Európa 2020 stratégia tudáson és innováción alapuló intelligens, fenntartható és inkluzív növekedésre vonatkozó prioritásaihoz kapcsolódik. Arra kell összpontosítani, hogy a köz- és a magánszektornak egyaránt szüksége van K+F-beruházásokra, de a hangsúly</w:t>
      </w:r>
      <w:r>
        <w:rPr>
          <w:b/>
          <w:szCs w:val="20"/>
        </w:rPr>
        <w:t xml:space="preserve"> inkább az inputon, mint a hatáson van</w:t>
      </w:r>
      <w:r>
        <w:rPr>
          <w:rFonts w:eastAsia="Times New Roman" w:cs="Times New Roman"/>
          <w:szCs w:val="20"/>
          <w:vertAlign w:val="superscript"/>
          <w:lang w:eastAsia="de-DE"/>
        </w:rPr>
        <w:footnoteReference w:id="68"/>
      </w:r>
      <w:r>
        <w:t xml:space="preserve">. Egyértelműen szükséges a K+F-be való magánberuházások feltételeinek javítása az EU-ban, és a stratégiában javasolt intézkedések közül több is erre irányul. Az is egyértelmű, hogy a K+F-et és az innovációt együtt vizsgálva szélesebb kiadási skálát kapnánk, amely jobban illusztrálná az üzletvitelt és a termelékenységet ösztönző tényezőket. A Bizottság azt </w:t>
      </w:r>
      <w:r>
        <w:lastRenderedPageBreak/>
        <w:t xml:space="preserve">javasolja, hogy tartsuk meg a 3 %-os célkitűzést, ugyanakkor dolgozzunk ki egy olyan mutatót, amely együttesen tükrözné a K+F és az innováció intenzitását. </w:t>
      </w:r>
    </w:p>
    <w:p w:rsidR="00A45935" w:rsidRPr="00E05D08" w:rsidRDefault="00A45935" w:rsidP="00E05D08">
      <w:pPr>
        <w:spacing w:after="120" w:line="280" w:lineRule="atLeast"/>
        <w:mirrorIndents/>
        <w:rPr>
          <w:rFonts w:eastAsia="Times New Roman" w:cs="Times New Roman"/>
          <w:szCs w:val="20"/>
        </w:rPr>
      </w:pPr>
      <w:r>
        <w:t>Ezt a kiemelt célt az uniós tagállamok az eltérő helyzetüket és körülményeiket tükröző nemzeti célokká alakították át annak érdekében, hogy ellenőrizhessék az Európa 2020 stratégia céljainak megvalósítása terén elért előrehaladásukat</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Konkrét kihívások </w:t>
      </w:r>
    </w:p>
    <w:p w:rsidR="00A45935" w:rsidRPr="006C63CD" w:rsidRDefault="00A45935" w:rsidP="00676B41">
      <w:pPr>
        <w:pStyle w:val="Hlistbullet"/>
      </w:pPr>
      <w:r>
        <w:rPr>
          <w:b/>
        </w:rPr>
        <w:t xml:space="preserve">A K+F-re és az innovációra vonatkozó minőségi adatok előállítása érdekében végzett adatkezelés: </w:t>
      </w:r>
      <w:r>
        <w:t>Az Eurostat rendszeresen közzéteszi a kiemelt célmutatóra vonatkozó átfogó eredményjelentést</w:t>
      </w:r>
      <w:r>
        <w:rPr>
          <w:vertAlign w:val="superscript"/>
        </w:rPr>
        <w:footnoteReference w:id="70"/>
      </w:r>
      <w:r>
        <w:t>. Az adatgyűjtésre a Frascati-kézikönyv (OECD)</w:t>
      </w:r>
      <w:r>
        <w:rPr>
          <w:vertAlign w:val="superscript"/>
        </w:rPr>
        <w:footnoteReference w:id="71"/>
      </w:r>
      <w:r>
        <w:t xml:space="preserve"> és konkrét uniós jogszabályok</w:t>
      </w:r>
      <w:r>
        <w:rPr>
          <w:vertAlign w:val="superscript"/>
        </w:rPr>
        <w:footnoteReference w:id="72"/>
      </w:r>
      <w:r>
        <w:t xml:space="preserve"> irányadóak. A Frascati-kézikönyv egyúttal a K+F-re fordított bruttó hazai kiadásokat (GERD) mérő, az Eurostat által gyűjtött </w:t>
      </w:r>
      <w:r>
        <w:rPr>
          <w:shd w:val="clear" w:color="auto" w:fill="FFFFFF"/>
        </w:rPr>
        <w:t>kiemelt</w:t>
      </w:r>
      <w:r>
        <w:t xml:space="preserve"> célmutató helyettesítő mutatójára vonatkozó adatok gyűjtésének alapját is képezi</w:t>
      </w:r>
      <w:r>
        <w:rPr>
          <w:vertAlign w:val="superscript"/>
        </w:rPr>
        <w:footnoteReference w:id="73"/>
      </w:r>
      <w:r>
        <w:t xml:space="preserve">. A mutató </w:t>
      </w:r>
      <w:r>
        <w:rPr>
          <w:color w:val="333333"/>
          <w:shd w:val="clear" w:color="auto" w:fill="FFFFFF"/>
        </w:rPr>
        <w:t>a vállalkozások, a felsőoktatási intézmények, valamint a kormányzati és a nonprofit szervezetek kutatásra és fejlesztésre fordított kiadásait foglalja magában.</w:t>
      </w:r>
      <w:r>
        <w:t xml:space="preserve"> A GERD-mutatót az Eurostat a NUTS1 és a NUTS2 régiók szintjén adja meg. Az „összes GERD %-a” mutató a </w:t>
      </w:r>
      <w:r>
        <w:rPr>
          <w:color w:val="333333"/>
          <w:shd w:val="clear" w:color="auto" w:fill="FFFFFF"/>
        </w:rPr>
        <w:t xml:space="preserve">K+F-re fordított különböző források – az ipari, a kormányzati, a felsőoktatási és a nonprofit magánszektortól származó források – relatív részesedését mutatja meg. A bemutatott ötödik forrás a külföldről finanszírozott GERD. </w:t>
      </w:r>
      <w:r>
        <w:t xml:space="preserve">Az Eurostat az </w:t>
      </w:r>
      <w:r>
        <w:rPr>
          <w:color w:val="333333"/>
          <w:shd w:val="clear" w:color="auto" w:fill="FFFFFF"/>
        </w:rPr>
        <w:t>„</w:t>
      </w:r>
      <w:r>
        <w:t>összes GERD %-a”</w:t>
      </w:r>
      <w:r>
        <w:rPr>
          <w:color w:val="333333"/>
          <w:shd w:val="clear" w:color="auto" w:fill="FFFFFF"/>
        </w:rPr>
        <w:t xml:space="preserve"> mutatót a NUTS 1 régiók szintjén adja meg. Bár az Eurostat a legfrissebb adatokat teszi közzé, 2–3 év lemaradása van. </w:t>
      </w:r>
      <w:r>
        <w:t>Az Eurostat nem közöl gazdasági ágazatonkénti (például az élelmiszeriparra, a mezőgazdaságra vonatkozó) adatokat a GERD és az összes GERD %-át kifejező mutatóra. Bár a statisztikák kifejezetten említik a kutatási és fejlesztési kiadásokat, bizonyos mértékben tulajdonképpen az</w:t>
      </w:r>
      <w:r>
        <w:rPr>
          <w:b/>
        </w:rPr>
        <w:t xml:space="preserve"> innovációra fordított kiadásokat</w:t>
      </w:r>
      <w:r>
        <w:t xml:space="preserve"> is tartalmazzák az Európa 2020 stratégiában előírtaknak megfelelően. Az innovációt előmozdító finanszírozási programok </w:t>
      </w:r>
      <w:r>
        <w:rPr>
          <w:color w:val="333333"/>
          <w:shd w:val="clear" w:color="auto" w:fill="FFFFFF"/>
        </w:rPr>
        <w:t>esetében</w:t>
      </w:r>
      <w:r>
        <w:t xml:space="preserve"> a Frascati-kézikönyv a hivatkozási pont. Ez a tudományos, technológiai és innovációs tevékenységeket méri, azonban a K+F- és az innovációs tevékenységek közötti határvonal nem teljesen világos minden esetben. </w:t>
      </w:r>
    </w:p>
    <w:p w:rsidR="00A45935" w:rsidRPr="006C63CD" w:rsidRDefault="00A45935" w:rsidP="00676B41">
      <w:pPr>
        <w:pStyle w:val="Hlistbullet"/>
      </w:pPr>
      <w:r>
        <w:rPr>
          <w:b/>
        </w:rPr>
        <w:t xml:space="preserve">A VFP kiemelt célhoz való hozzájárulásának értékelése: </w:t>
      </w:r>
      <w:r>
        <w:t>Kihívást az jelent, hogy megfelelően és reálisan visszaadjuk a VFP kiemelt célhoz való hozzájárulását, szem előtt tartva, hogy a vidékfejlesztési programok az Európa 2020 stratégia megvalósítására irányulnak. Ezen értékelési feladat keretében figyelembe kell venni az EMVA keretében végrehajtott beavatkozásokat, valamint azoknak a vidéki térségeknek és ágazatoknak a sajátosságait is, amelyekben működnek. Mivel a vidéki térségek általában strukturális szempontból gyengébbek, mint a városi területek, és mivel az Európa 2020 stratégia a növekedéssel jellemzett területeken és ágazatokban végrehajtott beruházásokon alapul, várhatóan alacsonyabb mértékű lesz a VFP-k hozzájárulása más operatív programokhoz viszonyítva</w:t>
      </w:r>
      <w:r>
        <w:rPr>
          <w:vertAlign w:val="superscript"/>
        </w:rPr>
        <w:footnoteReference w:id="74"/>
      </w:r>
      <w:r>
        <w:t xml:space="preserve">. Ami azonban esetleg kevésbé fontosnak tűnik a nemzetgazdaság számára, az kifejezetten értékes lehet a vidéki térségek GDP-je és jövőbeli fejlődése szempontjából. Ezért a VFP-k hozzájárulására vonatkozó kiemelt célt ki kell számítani, és a közös értékelési kérdést meg kell válaszolni.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A 23. sz. közös értékelési kérdés megválaszolásához javasolt megközelítés</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Beavatkozási logika </w:t>
      </w:r>
    </w:p>
    <w:p w:rsidR="00697455" w:rsidRDefault="00A45935" w:rsidP="00E05D08">
      <w:pPr>
        <w:spacing w:after="120" w:line="280" w:lineRule="atLeast"/>
        <w:mirrorIndents/>
        <w:rPr>
          <w:rFonts w:eastAsia="Times New Roman" w:cs="Times New Roman"/>
          <w:szCs w:val="20"/>
        </w:rPr>
      </w:pPr>
      <w:r>
        <w:t xml:space="preserve">A 23. sz. közös értékelési kérdéshez kapcsolódó beavatkozási logika keretében a VFP-k mindazon intézkedéseit/alintézkedéseit figyelembe kell venni, amelyek a három irányvonal segítségével hozzájárulnak a vidéki térségeken belüli innováció előmozdításához, ahogyan az innovációs potenciáljuk vizsgálata során megállapításra került (lásd a </w:t>
      </w:r>
      <w:hyperlink w:anchor="Screening_Potential" w:history="1">
        <w:r>
          <w:rPr>
            <w:rStyle w:val="Hyperlink"/>
            <w:sz w:val="20"/>
            <w:szCs w:val="20"/>
          </w:rPr>
          <w:t>2.2. fejezetet</w:t>
        </w:r>
      </w:hyperlink>
      <w:r>
        <w:t xml:space="preserve">). Ez túlmutat az elsősorban innovációt előmozdító intézkedésnek minősülő intézkedéseken (M1, M2 és M16), és esetlegesen kiterjedhet más olyan beruházási, marketing- és területalapú intézkedésekre, amelyeknek a végrehajtása támogathatja az innovációt (például innovációval kapcsolatos projektkiválasztási kritériumok használatával). Az ezen intézkedések és alintézkedések keretében végrehajtott műveleteket a K+F-re és az innovációra fordított kiadások beszámításához kell figyelembe venni, és a kiemelt cél vagy az azt helyettesítő mutató (GERD) és a kiegészítő mutató értékelését a 23. sz. közös értékelési kérdés megválaszolásához kell alkalmazni (az innovációs potenciál vizsgálata során megállapítottak szerint; lásd a </w:t>
      </w:r>
      <w:hyperlink w:anchor="Screening_Potential" w:history="1">
        <w:r>
          <w:rPr>
            <w:rStyle w:val="Hyperlink"/>
            <w:sz w:val="20"/>
            <w:szCs w:val="20"/>
          </w:rPr>
          <w:t>2.2. fejezetet</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A 23. sz. közös értékelési kérdéshez kapcsolódó értékelési elemek</w:t>
      </w:r>
    </w:p>
    <w:p w:rsidR="00A45935" w:rsidRPr="00E05D08" w:rsidRDefault="00A45935" w:rsidP="00E05D08">
      <w:pPr>
        <w:spacing w:after="120" w:line="280" w:lineRule="atLeast"/>
        <w:mirrorIndents/>
        <w:rPr>
          <w:rFonts w:eastAsia="Times New Roman" w:cs="Times New Roman"/>
          <w:szCs w:val="20"/>
        </w:rPr>
      </w:pPr>
      <w:r>
        <w:t>A „</w:t>
      </w:r>
      <w:hyperlink r:id="rId75" w:history="1">
        <w:r>
          <w:rPr>
            <w:rStyle w:val="Hyperlink"/>
            <w:sz w:val="20"/>
            <w:szCs w:val="20"/>
          </w:rPr>
          <w:t>Common Evaluation Questions for RDPs 2014-2020</w:t>
        </w:r>
      </w:hyperlink>
      <w:r>
        <w:t xml:space="preserve">” (A 2014–2020-as időszakra vonatkozó VFP-k közös értékelési kérdései) című munkadokumentum két elbírálási kritériumot (a K+F-beruházások nőttek és az innovációt előmozdították), a közös monitoring- és értékelési rendszer szerinti két mutatót (T1: a 14. és a 35. cikkhez kapcsolódó kiadások, valamint T2: az együttműködési intézkedés keretében támogatott együttműködési műveletek teljes száma), továbbá egy kiegészítő mutatót (a VFP-k keretében K+F-re fordított kiadások a GDP %-ában) javasol a 23. sz. közös értékelési kérdés megválaszolásához. Ezek az elemek azonban nem tudják teljes mértékben rögzíteni a VFP-k kiemelt célhoz való hozzájárulását. </w:t>
      </w:r>
    </w:p>
    <w:p w:rsidR="00A45935" w:rsidRPr="00E05D08" w:rsidRDefault="00A45935" w:rsidP="00E05D08">
      <w:pPr>
        <w:spacing w:after="120" w:line="280" w:lineRule="atLeast"/>
        <w:mirrorIndents/>
        <w:rPr>
          <w:rFonts w:eastAsia="Times New Roman" w:cs="Times New Roman"/>
          <w:szCs w:val="20"/>
        </w:rPr>
      </w:pPr>
      <w:r>
        <w:t xml:space="preserve">Ezért az az iránymutatás kiegészítő értékelési elemeket javasol a 23. sz. közös értékelési kérdés megválaszolásához (lásd a </w:t>
      </w:r>
      <w:hyperlink w:anchor="JC_Indic_data" w:history="1">
        <w:r>
          <w:rPr>
            <w:rStyle w:val="Hyperlink"/>
            <w:sz w:val="20"/>
            <w:szCs w:val="20"/>
          </w:rPr>
          <w:t>7. táblázatot</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982280"/>
      <w:bookmarkEnd w:id="125"/>
      <w:r>
        <w:rPr>
          <w:color w:val="6F6F6F"/>
          <w:sz w:val="18"/>
          <w:szCs w:val="18"/>
        </w:rPr>
        <w:lastRenderedPageBreak/>
        <w:t>A 23. sz. közös értékelési kérdés megválaszolásához szükséges elbírálási kritériumok, mutatók és adatok</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Elbírálási kritériumok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Mutatók</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Adatszükségletek</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Adatforrások</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Közös értékelési elemek (a közös monitoring- és értékelési rendszer szerinti, valamint a 2014–2020-as időszakra vonatkozó közös értékelési kérdésekről szóló munkadokumentumban javasolt közös értékelési elemek)</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A K+F-re és az innovációra irányuló beruházások nőttek</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Az innovációt előmozdították.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az 1305/2013/EU rendelet 14., 15. és 35. cikke szerinti kiadásoknak a VFP összes kiadásához viszonyított százalékos aránya.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az együttműködési intézkedés (1305/2013/EU rendelet 35. cikk) keretében támogatott együttműködési projektek szerinti műveletek (csoportok, hálózatok/klaszterek, kísérleti projektek) teljes száma.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Kiegészítő mutató:</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A VFP K+F-re fordított kiadásai a GDP %-ában (GERD „vidékfejlesztés”).</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A VFP K+F-re és innovációra fordított kiadásaira vonatkozó adatok.</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 VPF összes kiadására vonatkozó adatok. </w:t>
            </w:r>
          </w:p>
          <w:p w:rsidR="00A45935" w:rsidRPr="00E05D08" w:rsidRDefault="00A45935" w:rsidP="00BA4FCD">
            <w:pPr>
              <w:spacing w:after="120" w:line="280" w:lineRule="atLeast"/>
              <w:jc w:val="left"/>
              <w:rPr>
                <w:rFonts w:eastAsia="Times New Roman" w:cs="Arial"/>
                <w:sz w:val="18"/>
                <w:szCs w:val="18"/>
              </w:rPr>
            </w:pPr>
            <w:r>
              <w:rPr>
                <w:sz w:val="18"/>
                <w:szCs w:val="18"/>
              </w:rPr>
              <w:t>A tagállamok/régiók esetében K+F-re és innovációra fordított kiadásokra vonatkozó adatok.</w:t>
            </w:r>
          </w:p>
          <w:p w:rsidR="00A45935" w:rsidRPr="00E05D08" w:rsidRDefault="00A45935" w:rsidP="00BA4FCD">
            <w:pPr>
              <w:spacing w:after="120" w:line="280" w:lineRule="atLeast"/>
              <w:jc w:val="left"/>
              <w:rPr>
                <w:rFonts w:eastAsia="Times New Roman" w:cs="Arial"/>
                <w:sz w:val="18"/>
                <w:szCs w:val="18"/>
              </w:rPr>
            </w:pPr>
            <w:r>
              <w:rPr>
                <w:sz w:val="18"/>
                <w:szCs w:val="18"/>
              </w:rPr>
              <w:t>A tagállam/régió GDP-jére vonatkozó adatok.</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A VFP monitoringrendszere.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Nemzeti/regionális statisztikák.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Kiegészítő értékelési elemek (választható)</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A K+F-re és az innovációra irányuló beruházások nőttek, és az innovációk száma nőtt.</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Kiegészítő mutatók: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K+F-re fordított bruttó hazai kiadás a bruttó hazai termékhez (GDP) viszonyítva.</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A VFP K+F-re és innovációra fordított kiadásai a VFP összes kiadásának %-ában.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A VFP K+F-re és innovációra fordított kiadásai a K+F-re és innovációra fordított </w:t>
            </w:r>
            <w:r>
              <w:rPr>
                <w:color w:val="57825E"/>
                <w:sz w:val="18"/>
                <w:szCs w:val="18"/>
              </w:rPr>
              <w:lastRenderedPageBreak/>
              <w:t>bruttó hazai kiadások %-ában.</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A K+F-re és az innovációra vonatkozó, a Frascati-kézikönyv szerinti adatok.</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 VFP K+F-re és innovációra fordított kiadásaira vonatkozó adatok, a kedvezményezettek típusa szerinti bontásban.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 VPF összes kiadására vonatkozó adatok.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 tagállamok/régiók esetében K+F-re és </w:t>
            </w:r>
            <w:r>
              <w:rPr>
                <w:sz w:val="18"/>
                <w:szCs w:val="18"/>
              </w:rPr>
              <w:lastRenderedPageBreak/>
              <w:t>innovációra fordított kiadásokra vonatkozó adatok.</w:t>
            </w:r>
          </w:p>
          <w:p w:rsidR="00A45935" w:rsidRPr="00E05D08" w:rsidRDefault="00A45935" w:rsidP="00BA4FCD">
            <w:pPr>
              <w:spacing w:after="120" w:line="280" w:lineRule="atLeast"/>
              <w:jc w:val="left"/>
              <w:rPr>
                <w:rFonts w:eastAsia="Times New Roman" w:cs="Arial"/>
                <w:sz w:val="18"/>
                <w:szCs w:val="18"/>
              </w:rPr>
            </w:pPr>
            <w:r>
              <w:rPr>
                <w:sz w:val="18"/>
                <w:szCs w:val="18"/>
              </w:rPr>
              <w:t>A tagállam/régió GDP-jére vonatkozó adatok.</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A VFP monitoringrendszere.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Nemzeti/regionális statisztikák.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Javasolt értékelési módszertan</w:t>
      </w:r>
    </w:p>
    <w:p w:rsidR="00A45935" w:rsidRPr="00E05D08" w:rsidRDefault="00A45935" w:rsidP="00E05D08">
      <w:pPr>
        <w:spacing w:after="120" w:line="280" w:lineRule="atLeast"/>
        <w:mirrorIndents/>
        <w:rPr>
          <w:rFonts w:eastAsia="Times New Roman" w:cs="Times New Roman"/>
          <w:szCs w:val="20"/>
        </w:rPr>
      </w:pPr>
      <w:r>
        <w:t>A kiemelt célmutatót az Eurostat és nemzeti statisztikák gyűjtik; ez a mutató a GDP-t helyettesítő mutatóra, a K+F-re fordított bruttó hazai kiadásra (GERD) – az ún. K+F-intenzitásra – vonatkozik. A statisztikák négy szektorra vonatkozóan gyűjtenek K+F-kiadásokat: 1.) a vállalkozási szektor, 2.) a kormányzati szektor, 3.) a felsőoktatási szektor és 4.) a nonprofit magánszektor. Az egyes mutatók kiszámításával kapcsolatos részletesebb információkat a 8. táblázat javasol.</w:t>
      </w:r>
    </w:p>
    <w:p w:rsidR="00F73706" w:rsidRPr="0059311F" w:rsidRDefault="00F73706" w:rsidP="00F73706">
      <w:pPr>
        <w:pStyle w:val="Hlistbullet"/>
      </w:pPr>
      <w:r>
        <w:t xml:space="preserve">A T1 és a T2 közös mutatóhoz kapcsolódó adatok gyűjtése közvetlenül a VFP monitoringrendszeréből (a műveleteket tartalmazó adatbázisból) történik. </w:t>
      </w:r>
    </w:p>
    <w:p w:rsidR="00F73706" w:rsidRPr="00F73706" w:rsidRDefault="00F73706" w:rsidP="00F73706">
      <w:pPr>
        <w:pStyle w:val="Hlistbullet"/>
      </w:pPr>
      <w:r>
        <w:rPr>
          <w:i/>
        </w:rPr>
        <w:t>A „K+F-re fordított bruttó hazai kiadás a bruttó hazai termékhez (GDP) viszonyítva</w:t>
      </w:r>
      <w:r>
        <w:t>” kiemelt célmutatóhoz a NUTS 1 és a NUTS 2 régiók szintjén gyűjthetők adatok az Eurostattól.</w:t>
      </w:r>
    </w:p>
    <w:p w:rsidR="00F73706" w:rsidRPr="00F73706" w:rsidRDefault="00F73706" w:rsidP="00F73706">
      <w:pPr>
        <w:pStyle w:val="Hlistbullet"/>
      </w:pPr>
      <w:r>
        <w:t>„</w:t>
      </w:r>
      <w:r>
        <w:rPr>
          <w:i/>
        </w:rPr>
        <w:t>A VFP K+F-re fordított kiadásai a GDP %-ában”</w:t>
      </w:r>
      <w:r>
        <w:t xml:space="preserve"> (a továbbiakban: GERD „vidékfejlesztés”, GERD</w:t>
      </w:r>
      <w:r>
        <w:rPr>
          <w:vertAlign w:val="superscript"/>
        </w:rPr>
        <w:t>VF</w:t>
      </w:r>
      <w:r>
        <w:t>)</w:t>
      </w:r>
      <w:r>
        <w:rPr>
          <w:sz w:val="18"/>
          <w:szCs w:val="18"/>
        </w:rPr>
        <w:t xml:space="preserve"> </w:t>
      </w:r>
      <w:r>
        <w:t>a VFP keretében a releváns intézkedések/alintézkedések alkalmazásával K+F-re fordított kiadásokat mutatja a GDP-hez viszonyítva:</w:t>
      </w:r>
    </w:p>
    <w:p w:rsidR="00F73706" w:rsidRPr="00F73706" w:rsidRDefault="00F73706" w:rsidP="00F73706">
      <w:pPr>
        <w:pStyle w:val="Hlistbullet2"/>
      </w:pPr>
      <w:r>
        <w:t xml:space="preserve">A GDP-re vonatkozó adatok gyűjtése nemzeti statisztikák felhasználásával történik, és azok uniós forrásokból (Eurostat) is rendelkezésre állnak. </w:t>
      </w:r>
    </w:p>
    <w:p w:rsidR="00F73706" w:rsidRPr="00F73706" w:rsidRDefault="00F73706" w:rsidP="00F73706">
      <w:pPr>
        <w:pStyle w:val="Hlistbullet2"/>
      </w:pPr>
      <w:r>
        <w:t xml:space="preserve">A VFP kutatásra, fejlesztésre és innovációra fordított kiadásaira vonatkozó adatok a VFP monitoringrendszeréből szerezhetők, azokat az innovációs potenciállal rendelkező (az innovációs potenciál vizsgálata során megállapítottak szerinti – lásd a </w:t>
      </w:r>
      <w:hyperlink w:anchor="Screening_Potential" w:history="1">
        <w:r>
          <w:rPr>
            <w:rStyle w:val="Hyperlink"/>
            <w:sz w:val="20"/>
          </w:rPr>
          <w:t>2.2. fejezetet</w:t>
        </w:r>
      </w:hyperlink>
      <w:r>
        <w:t xml:space="preserve">) műveletekhez kapcsolódó kiadások száma és a Frascati-kézikönyv előírásai szerint ágazatokhoz rendelt kedvezményezettek szerint lebontva. </w:t>
      </w:r>
    </w:p>
    <w:p w:rsidR="00F73706" w:rsidRPr="00F73706" w:rsidRDefault="00F73706" w:rsidP="00F73706">
      <w:pPr>
        <w:pStyle w:val="Hlistbullet"/>
      </w:pPr>
      <w:r>
        <w:t>„</w:t>
      </w:r>
      <w:r>
        <w:rPr>
          <w:i/>
        </w:rPr>
        <w:t>A VFP K+F-re és innovációra fordított kiadásai a VFP összes kiadásának %-ában”</w:t>
      </w:r>
      <w:r>
        <w:t xml:space="preserve"> kiegészítő mutató a VFP kutatás-, fejlesztés- és innovációtámogatásra szánt költségvetésének volumenét mutatja. Ehhez a mutatóhoz a VFP monitoringrendszeréből is szerezhetők adatok, ha a műveleteket tartalmazó adatbázist oly módon átalakítják, hogy azzal az értékelés előtti vizsgálat szerint kiemelkedő innovációs potenciállal rendelkező projektekre vonatkozó információk is nyomon követhetőek legyenek.</w:t>
      </w:r>
    </w:p>
    <w:p w:rsidR="00A45935" w:rsidRPr="00E05D08" w:rsidRDefault="00F73706" w:rsidP="00F73706">
      <w:pPr>
        <w:pStyle w:val="Hlistbullet"/>
      </w:pPr>
      <w:r>
        <w:t>„</w:t>
      </w:r>
      <w:r>
        <w:rPr>
          <w:i/>
        </w:rPr>
        <w:t>A VFP K+F-re és innovációra fordított kiadásai a K+F-re és innovációra fordított bruttó hazai kiadások %-ában”</w:t>
      </w:r>
      <w:r>
        <w:t xml:space="preserve"> kiegészítő mutató a VFP kutatásra, fejlesztésre és innovációra irányuló beruházásai és a K+F-re fordított bruttó hazai kiadások közötti összefüggést mutatja meg. Adatok a VFP monitoringrendszeréből, nemzeti és regionális statisztikákból, valamint az Eurostattól szerezhetők.</w:t>
      </w:r>
    </w:p>
    <w:p w:rsidR="00A45935" w:rsidRPr="00E05D08" w:rsidRDefault="00A45935" w:rsidP="00E05D08">
      <w:pPr>
        <w:spacing w:after="120" w:line="280" w:lineRule="atLeast"/>
        <w:mirrorIndents/>
        <w:rPr>
          <w:rFonts w:eastAsia="Times New Roman" w:cs="Times New Roman"/>
          <w:szCs w:val="20"/>
        </w:rPr>
      </w:pPr>
      <w:r>
        <w:t>A mutatókhoz előzetesen kiszámíthatók számadatok (tervezett hozzájárulások), valamint a 2019-ben benyújtott éves értékelési jelentéshez kapcsolódó értékeléskor és az utólagos értékeléskor is kiszámíthatók a számadatok (az értékelés idején tényleges hozzájárulások), amelyek ezt követően lehetővé teszik a tervezett és a tényleges hozzájárulások összehasonlítását. A 8. táblázatban szereplő példa a közös és a kiegészítő mutatók tervezett és tényleges értékeit mutatja be:</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8982281"/>
      <w:r>
        <w:rPr>
          <w:color w:val="6F6F6F"/>
          <w:sz w:val="18"/>
          <w:szCs w:val="18"/>
        </w:rPr>
        <w:lastRenderedPageBreak/>
        <w:t>A közös és a kiegészítő mutatók tervezett és tényleges értékeire vonatkozó példa</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582"/>
        <w:gridCol w:w="3638"/>
        <w:gridCol w:w="1494"/>
        <w:gridCol w:w="1493"/>
        <w:gridCol w:w="92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Mutatók</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Tervezett</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Tényleges</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Számítás</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 VFP bemeneti adatai (műveleteket tartalmazó adatbázis)</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 VFP összes kiadása (összesített adat).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 VFP összes kiadása az 1305/2013/EU rendelet 14., 15. és 35. cikke alapján (összesített adat).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 VFP kiadásai a VFP K+F-beruházásra irányuló és az innováció előmozdítására képes összes intézkedése/alintézkedése (összesített adat).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Háttéradatok</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Nemzeti/regionális GDP (az összes ágazat szerinti bontásban) (évente).</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K+F-re fordított bruttó hazai kiadás (GERD) az összes ágazat szerinti bontásban (évente).</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A kiegészítő célmutatók értékei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az 1305/2013/EU rendelet 14., 15. és 35. cikke szerinti kiadásoknak a VFP összes kiadásához viszonyított százalékos aránya.</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az együttműködési intézkedés (1305/2013/EU rendelet 35. cikk) keretében támogatott együttműködési projektek szerinti műveletek (csoportok, hálózatok/klaszterek, kísérleti projektek) teljes száma.</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A kiegészítő eredménymutatók értékei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K+F-re fordított bruttó hazai kiadás a bruttó hazai termékhez (GDP) viszonyítva.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A VFP K+F-re fordított kiadásai a GDP %-ában (GERD „vidékfejlesztés”).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A VFP K+F-re és innovációra fordított kiadásai a VFP összes kiadásának %-ában.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A VFP K+F-re és innovációra fordított kiadásai a K+F-re és innovációra fordított bruttó hazai kiadások %-ában.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Kockázatok és megoldások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Kockázat</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Megoldás</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A VFP vidéki térségeken belüli innováció előmozdítását célzó különféle intézkedéseiben – főként az M1 intézkedéshez hasonló, tipikus „innovációs intézkedéseken” kívüli intézkedésekben) rejlő potenciál helytelen becslése. M2, M16, M19 vagy M20 intézkedés, amelyek hibákat okozhatnak a VFP K+F-hez és innovációhoz kapcsolódó kiadásainak kiszámítása során.</w:t>
            </w:r>
          </w:p>
          <w:p w:rsidR="00A45935" w:rsidRPr="00622614"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Ez a kockázat részben felszámolható, ha az értékelés megkezdése előtt alaposan felmérik a VFP innovációs potenciálját. Az VFP esetlegesen kiemelkedő innovációs potenciált jelző intézkedéseinek megjelölése megkönnyíti annak értékelését, hogy kiemelkedő innovációs potenciállal rendelkeznek-e. Ha például az értékelők tudják, hogy mely intézkedések fejthetnek ki erőteljes hatást az új ötletek létrehozására, az értékeléskor ellenőrizniük kell ezeknek az intézkedéseknek az „innovációs potenciálját”, és a megfelelő mutatók kiszámításakor </w:t>
            </w:r>
            <w:r>
              <w:rPr>
                <w:sz w:val="18"/>
                <w:szCs w:val="18"/>
              </w:rPr>
              <w:lastRenderedPageBreak/>
              <w:t xml:space="preserve">figyelembe kell venniük az azokra fordított kiadásokat.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A nemzeti és a regionális statisztikákban nem állnak rendelkezésre a K+F-re és az innovációra vonatkozó minőségi adatok. Amennyiben hiányoznak a minőségi adatok, fennáll az a kockázat, hogy az értékelők esetlegesen nem megfelelő technikákat alkalmaznak a K+F-re és innovációra fordított kiadások becsléséhez. Ez veszélyeztetheti, hogy a javasolt kiegészítő mutatókra reális értékeket kapjanak.</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E kockázat elkerülése érdekében fontos, hogy az értékelők rendelkezzenek a statisztikai adatok nemzeti/regionális szinten történő becsléséhez szükséges kapacitással és eszközökkel (például együtthatókkal).</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Következtetések és ajánlások </w:t>
      </w:r>
    </w:p>
    <w:p w:rsidR="00A45935" w:rsidRPr="00E05D08" w:rsidRDefault="00A45935" w:rsidP="00E05D08">
      <w:pPr>
        <w:spacing w:after="120" w:line="280" w:lineRule="atLeast"/>
        <w:mirrorIndents/>
        <w:rPr>
          <w:rFonts w:eastAsia="Times New Roman" w:cs="Times New Roman"/>
          <w:szCs w:val="20"/>
        </w:rPr>
      </w:pPr>
      <w:r>
        <w:t>A 23. sz. közös értékelési kérdéshez kapcsolódó következtetéseknek és ajánlásoknak a következőkre kell tekintettel lenniük:</w:t>
      </w:r>
    </w:p>
    <w:p w:rsidR="00A45935" w:rsidRPr="00545C6C" w:rsidRDefault="00A45935" w:rsidP="000026C6">
      <w:pPr>
        <w:pStyle w:val="Hlistbullet"/>
      </w:pPr>
      <w:r>
        <w:t xml:space="preserve">A VFP keretében végrehajtott, </w:t>
      </w:r>
      <w:r>
        <w:rPr>
          <w:b/>
        </w:rPr>
        <w:t>K+F-re és innovációra irányuló beruházások szintje</w:t>
      </w:r>
      <w:r>
        <w:t xml:space="preserve"> a K+F-re és innovációra irányuló beruházások tagállami/regionális általános helyzetéhez viszonyítva.</w:t>
      </w:r>
    </w:p>
    <w:p w:rsidR="00A45935" w:rsidRPr="00545C6C" w:rsidRDefault="00A45935" w:rsidP="000026C6">
      <w:pPr>
        <w:pStyle w:val="Hlistbullet"/>
      </w:pPr>
      <w:r>
        <w:t>A mezőgazdaságban, az élelmiszer-termelésben, az erdőgazdálkodásban és a vidéki térségekben végrehajtandó</w:t>
      </w:r>
      <w:r>
        <w:rPr>
          <w:b/>
        </w:rPr>
        <w:t xml:space="preserve"> K+F-re és innovációra irányuló beruházást célzó egyedi intézkedésekben rejlő potenciál</w:t>
      </w:r>
      <w:r>
        <w:t xml:space="preserve">. </w:t>
      </w:r>
    </w:p>
    <w:p w:rsidR="00A45935" w:rsidRPr="00E05D08" w:rsidRDefault="00A45935" w:rsidP="00F31494">
      <w:pPr>
        <w:pStyle w:val="HHeading4"/>
        <w:rPr>
          <w:rFonts w:eastAsia="Calibri"/>
        </w:rPr>
      </w:pPr>
      <w:r>
        <w:t>További olvasnivalók</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330517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3305175"/>
                        </a:xfrm>
                        <a:prstGeom prst="round2DiagRect">
                          <a:avLst>
                            <a:gd name="adj1" fmla="val 9341"/>
                            <a:gd name="adj2" fmla="val 0"/>
                          </a:avLst>
                        </a:prstGeom>
                        <a:noFill/>
                        <a:ln w="25400" cap="flat" cmpd="sng" algn="ctr">
                          <a:solidFill>
                            <a:srgbClr val="59638E"/>
                          </a:solidFill>
                          <a:prstDash val="solid"/>
                        </a:ln>
                        <a:effectLst/>
                      </wps:spPr>
                      <wps:txbx>
                        <w:txbxContent>
                          <w:p w:rsidR="005139CB" w:rsidRDefault="005139CB"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88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8D17C8" w:rsidRDefault="005139CB" w:rsidP="00E05D08">
                            <w:pPr>
                              <w:pStyle w:val="HStandard"/>
                              <w:rPr>
                                <w:sz w:val="18"/>
                                <w:szCs w:val="18"/>
                              </w:rPr>
                            </w:pPr>
                            <w:r>
                              <w:t xml:space="preserve">Európai Bizottság (2010), Európa 2020 – </w:t>
                            </w:r>
                            <w:hyperlink r:id="rId76" w:history="1">
                              <w:r>
                                <w:rPr>
                                  <w:rStyle w:val="Hyperlink"/>
                                  <w:sz w:val="18"/>
                                  <w:szCs w:val="18"/>
                                </w:rPr>
                                <w:t>Az intelligens, fenntartható és inkluzív növekedés stratégiája</w:t>
                              </w:r>
                            </w:hyperlink>
                          </w:p>
                          <w:p w:rsidR="005139CB" w:rsidRPr="008D17C8" w:rsidRDefault="005139CB" w:rsidP="00E05D08">
                            <w:pPr>
                              <w:pStyle w:val="HStandard"/>
                              <w:rPr>
                                <w:sz w:val="18"/>
                                <w:szCs w:val="18"/>
                              </w:rPr>
                            </w:pPr>
                            <w:r>
                              <w:rPr>
                                <w:sz w:val="18"/>
                                <w:szCs w:val="18"/>
                              </w:rPr>
                              <w:t xml:space="preserve">Eurostat (2017) </w:t>
                            </w:r>
                            <w:hyperlink r:id="rId77" w:history="1">
                              <w:r>
                                <w:rPr>
                                  <w:rStyle w:val="Hyperlink"/>
                                  <w:sz w:val="18"/>
                                  <w:szCs w:val="18"/>
                                </w:rPr>
                                <w:t>Smarter, greener, more inclusive?</w:t>
                              </w:r>
                            </w:hyperlink>
                            <w:hyperlink r:id="rId78" w:history="1">
                              <w:r>
                                <w:rPr>
                                  <w:rStyle w:val="Hyperlink"/>
                                  <w:sz w:val="18"/>
                                  <w:szCs w:val="18"/>
                                </w:rPr>
                                <w:t xml:space="preserve"> Indicators to support the Europe 2020 Strategy</w:t>
                              </w:r>
                            </w:hyperlink>
                            <w:r>
                              <w:t xml:space="preserve"> (Intelligensebb, környezetbarátabb, inkluzívabb? Az Európa 2020 stratégiát támogató mutatók)</w:t>
                            </w:r>
                          </w:p>
                          <w:p w:rsidR="005139CB" w:rsidRPr="008D17C8" w:rsidRDefault="005139CB" w:rsidP="00E05D08">
                            <w:pPr>
                              <w:pStyle w:val="HStandard"/>
                              <w:rPr>
                                <w:sz w:val="18"/>
                                <w:szCs w:val="18"/>
                              </w:rPr>
                            </w:pPr>
                            <w:r>
                              <w:rPr>
                                <w:sz w:val="18"/>
                                <w:szCs w:val="18"/>
                              </w:rPr>
                              <w:t>Dietz S. (2017) „</w:t>
                            </w:r>
                            <w:hyperlink r:id="rId79" w:history="1">
                              <w:r>
                                <w:rPr>
                                  <w:rStyle w:val="Hyperlink"/>
                                  <w:sz w:val="18"/>
                                  <w:szCs w:val="18"/>
                                </w:rPr>
                                <w:t>ELER im Kontext der Strategie „Europa 2020</w:t>
                              </w:r>
                            </w:hyperlink>
                            <w:r>
                              <w:rPr>
                                <w:sz w:val="18"/>
                                <w:szCs w:val="18"/>
                              </w:rPr>
                              <w:t>”; a MEN-D 2017-es éves rendezvényén tartott előadás</w:t>
                            </w:r>
                          </w:p>
                          <w:p w:rsidR="005139CB" w:rsidRPr="00385368" w:rsidRDefault="005139CB" w:rsidP="00E05D08">
                            <w:pPr>
                              <w:pStyle w:val="HStandard"/>
                              <w:rPr>
                                <w:sz w:val="18"/>
                                <w:szCs w:val="18"/>
                              </w:rPr>
                            </w:pPr>
                            <w:r>
                              <w:rPr>
                                <w:sz w:val="18"/>
                                <w:szCs w:val="18"/>
                              </w:rPr>
                              <w:t xml:space="preserve">MEN-D (2015) </w:t>
                            </w:r>
                            <w:hyperlink r:id="rId80" w:history="1">
                              <w:r>
                                <w:rPr>
                                  <w:rStyle w:val="Hyperlink"/>
                                  <w:sz w:val="18"/>
                                  <w:szCs w:val="18"/>
                                </w:rPr>
                                <w:t>Monitoring und Evaluierung der ELER-Förderperiode 2014 – 2020: Auswertung der Methoden und Erfahrungen der Ex-Ante Bewertung.</w:t>
                              </w:r>
                            </w:hyperlink>
                          </w:p>
                          <w:p w:rsidR="005139CB" w:rsidRPr="000041C9" w:rsidRDefault="005139CB" w:rsidP="00E05D08">
                            <w:pPr>
                              <w:pStyle w:val="HStandard"/>
                              <w:rPr>
                                <w:sz w:val="18"/>
                                <w:szCs w:val="18"/>
                              </w:rPr>
                            </w:pPr>
                            <w:r>
                              <w:rPr>
                                <w:sz w:val="18"/>
                                <w:szCs w:val="18"/>
                              </w:rPr>
                              <w:t xml:space="preserve">MEN-D (2017) </w:t>
                            </w:r>
                            <w:hyperlink r:id="rId81" w:history="1">
                              <w:r>
                                <w:rPr>
                                  <w:rStyle w:val="Hyperlink"/>
                                  <w:sz w:val="18"/>
                                  <w:szCs w:val="18"/>
                                </w:rPr>
                                <w:t>Az EMVA az Európa 2020 stratégia összefüggésében – a hozzájárulások és a jövőbeli kihívások értékelése</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260.25pt;visibility:visible;mso-wrap-style:square;mso-left-percent:-10001;mso-top-percent:-10001;mso-position-horizontal:absolute;mso-position-horizontal-relative:char;mso-position-vertical:absolute;mso-position-vertical-relative:line;mso-left-percent:-10001;mso-top-percent:-10001;v-text-anchor:middle" coordsize="5765165,330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" adj="-11796480,,5400" path="m308736,l5765165,r,l5765165,2996439v,170510,-138226,308736,-308736,308736l,3305175r,l,308736c,138226,138226,,308736,xe" filled="f" strokecolor="#59638e" strokeweight="2pt">
                <v:stroke joinstyle="miter"/>
                <v:formulas/>
                <v:path arrowok="t" o:connecttype="custom" o:connectlocs="308736,0;5765165,0;5765165,0;5765165,2996439;5456429,3305175;0,3305175;0,3305175;0,308736;308736,0" o:connectangles="0,0,0,0,0,0,0,0,0" textboxrect="0,0,5765165,3305175"/>
                <v:textbox>
                  <w:txbxContent>
                    <w:p w:rsidR="005139CB" w:rsidRDefault="005139CB"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88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8D17C8" w:rsidRDefault="005139CB" w:rsidP="00E05D08">
                      <w:pPr>
                        <w:pStyle w:val="HStandard"/>
                        <w:rPr>
                          <w:sz w:val="18"/>
                          <w:szCs w:val="18"/>
                        </w:rPr>
                      </w:pPr>
                      <w:r>
                        <w:t xml:space="preserve">Európai Bizottság (2010), Európa 2020 – </w:t>
                      </w:r>
                      <w:hyperlink r:id="rId82" w:history="1">
                        <w:r>
                          <w:rPr>
                            <w:rStyle w:val="Hyperlink"/>
                            <w:sz w:val="18"/>
                            <w:szCs w:val="18"/>
                          </w:rPr>
                          <w:t>Az intelligens, fenntartható és inkluzív növekedés stratégiája</w:t>
                        </w:r>
                      </w:hyperlink>
                    </w:p>
                    <w:p w:rsidR="005139CB" w:rsidRPr="008D17C8" w:rsidRDefault="005139CB" w:rsidP="00E05D08">
                      <w:pPr>
                        <w:pStyle w:val="HStandard"/>
                        <w:rPr>
                          <w:sz w:val="18"/>
                          <w:szCs w:val="18"/>
                        </w:rPr>
                      </w:pPr>
                      <w:r>
                        <w:rPr>
                          <w:sz w:val="18"/>
                          <w:szCs w:val="18"/>
                        </w:rPr>
                        <w:t xml:space="preserve">Eurostat (2017) </w:t>
                      </w:r>
                      <w:hyperlink r:id="rId83" w:history="1">
                        <w:r>
                          <w:rPr>
                            <w:rStyle w:val="Hyperlink"/>
                            <w:sz w:val="18"/>
                            <w:szCs w:val="18"/>
                          </w:rPr>
                          <w:t>Smarter, greener, more inclusive?</w:t>
                        </w:r>
                      </w:hyperlink>
                      <w:hyperlink r:id="rId84" w:history="1">
                        <w:r>
                          <w:rPr>
                            <w:rStyle w:val="Hyperlink"/>
                            <w:sz w:val="18"/>
                            <w:szCs w:val="18"/>
                          </w:rPr>
                          <w:t xml:space="preserve"> Indicators to support the Europe 2020 Strategy</w:t>
                        </w:r>
                      </w:hyperlink>
                      <w:r>
                        <w:t xml:space="preserve"> (Intelligensebb, környezetbarátabb, inkluzívabb? Az Európa 2020 stratégiát támogató mutatók)</w:t>
                      </w:r>
                    </w:p>
                    <w:p w:rsidR="005139CB" w:rsidRPr="008D17C8" w:rsidRDefault="005139CB" w:rsidP="00E05D08">
                      <w:pPr>
                        <w:pStyle w:val="HStandard"/>
                        <w:rPr>
                          <w:sz w:val="18"/>
                          <w:szCs w:val="18"/>
                        </w:rPr>
                      </w:pPr>
                      <w:r>
                        <w:rPr>
                          <w:sz w:val="18"/>
                          <w:szCs w:val="18"/>
                        </w:rPr>
                        <w:t>Dietz S. (2017) „</w:t>
                      </w:r>
                      <w:hyperlink r:id="rId85" w:history="1">
                        <w:r>
                          <w:rPr>
                            <w:rStyle w:val="Hyperlink"/>
                            <w:sz w:val="18"/>
                            <w:szCs w:val="18"/>
                          </w:rPr>
                          <w:t>ELER im Kontext der Strategie „Europa 2020</w:t>
                        </w:r>
                      </w:hyperlink>
                      <w:r>
                        <w:rPr>
                          <w:sz w:val="18"/>
                          <w:szCs w:val="18"/>
                        </w:rPr>
                        <w:t>”; a MEN-D 2017-es éves rendezvényén tartott előadás</w:t>
                      </w:r>
                    </w:p>
                    <w:p w:rsidR="005139CB" w:rsidRPr="00385368" w:rsidRDefault="005139CB" w:rsidP="00E05D08">
                      <w:pPr>
                        <w:pStyle w:val="HStandard"/>
                        <w:rPr>
                          <w:sz w:val="18"/>
                          <w:szCs w:val="18"/>
                        </w:rPr>
                      </w:pPr>
                      <w:r>
                        <w:rPr>
                          <w:sz w:val="18"/>
                          <w:szCs w:val="18"/>
                        </w:rPr>
                        <w:t xml:space="preserve">MEN-D (2015) </w:t>
                      </w:r>
                      <w:hyperlink r:id="rId86" w:history="1">
                        <w:r>
                          <w:rPr>
                            <w:rStyle w:val="Hyperlink"/>
                            <w:sz w:val="18"/>
                            <w:szCs w:val="18"/>
                          </w:rPr>
                          <w:t>Monitoring und Evaluierung der ELER-Förderperiode 2014 – 2020: Auswertung der Methoden und Erfahrungen der Ex-Ante Bewertung.</w:t>
                        </w:r>
                      </w:hyperlink>
                    </w:p>
                    <w:p w:rsidR="005139CB" w:rsidRPr="000041C9" w:rsidRDefault="005139CB" w:rsidP="00E05D08">
                      <w:pPr>
                        <w:pStyle w:val="HStandard"/>
                        <w:rPr>
                          <w:sz w:val="18"/>
                          <w:szCs w:val="18"/>
                        </w:rPr>
                      </w:pPr>
                      <w:r>
                        <w:rPr>
                          <w:sz w:val="18"/>
                          <w:szCs w:val="18"/>
                        </w:rPr>
                        <w:t xml:space="preserve">MEN-D (2017) </w:t>
                      </w:r>
                      <w:hyperlink r:id="rId87" w:history="1">
                        <w:r>
                          <w:rPr>
                            <w:rStyle w:val="Hyperlink"/>
                            <w:sz w:val="18"/>
                            <w:szCs w:val="18"/>
                          </w:rPr>
                          <w:t>Az EMVA az Európa 2020 stratégia összefüggésében – a hozzájárulások és a jövőbeli kihívások értékelése</w:t>
                        </w:r>
                      </w:hyperlink>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982270"/>
      <w:r>
        <w:lastRenderedPageBreak/>
        <w:t>30. sz. közös értékelési kérdés: „A vidékfejlesztési program keretében végrehajtott beavatkozások milyen mértékben járultak hozzá az innováció ösztönzéséhez?”</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 közös értékelési kérdés értelmezése</w:t>
      </w:r>
    </w:p>
    <w:p w:rsidR="00A45935" w:rsidRPr="00E05D08" w:rsidRDefault="00A45935" w:rsidP="00E05D08">
      <w:pPr>
        <w:spacing w:after="120" w:line="280" w:lineRule="atLeast"/>
        <w:mirrorIndents/>
        <w:rPr>
          <w:rFonts w:eastAsia="Times New Roman" w:cs="Arial"/>
          <w:szCs w:val="20"/>
        </w:rPr>
      </w:pPr>
      <w:r>
        <w:t xml:space="preserve">A 30. sz. közös értékelési kérdés az innováció előmozdításának folyamatára vonatkozik. A kérdés ezáltal fogalmilag nagyon tág, mivel </w:t>
      </w:r>
      <w:r>
        <w:rPr>
          <w:b/>
          <w:szCs w:val="20"/>
        </w:rPr>
        <w:t xml:space="preserve">az innováció az innovációs rendszeren belüli szereplők kölcsönhatásai nyomán jön létre. </w:t>
      </w:r>
      <w:r>
        <w:t xml:space="preserve">A folyamatok értékelése időigényes, ezért a kérdés csak azt követően válaszolható meg, hogy a VFP keretében végrehajtott beavatkozás jelentős előrehaladást ért el (a 2019-ben benyújtandó éves végrehajtási jelentésben), vagy lezárult (utólagos értékelés keretében). </w:t>
      </w:r>
    </w:p>
    <w:p w:rsidR="00A45935" w:rsidRPr="00E05D08" w:rsidRDefault="00A45935" w:rsidP="00E05D08">
      <w:pPr>
        <w:spacing w:after="120" w:line="280" w:lineRule="atLeast"/>
        <w:mirrorIndents/>
        <w:rPr>
          <w:rFonts w:eastAsia="Times New Roman" w:cs="Arial"/>
          <w:szCs w:val="20"/>
        </w:rPr>
      </w:pPr>
      <w:r>
        <w:t xml:space="preserve">Az EU érdeklődik az iránt, hogy a VFP milyen mértékben járul hozzá a nagyléptékű innovációhoz, azaz azokhoz a sikeres innovációs folyamatokhoz, amelyek viszonylag nagy horderejű változásokat eredményeznek (például viszonylag sok mezőgazdasági termelő alkalmaz egy-egy új technológiát): A 30. sz. közös értékelési kérdés kiindulópontjaként ezért meg kell határozni azokat a nagy horderejű változásokat, amelyek esetében a VFP azt állítja, hogy hozzájárult azokhoz, és amelyek esetében a hozzájárulásnak legalább egy részét az innováció előmozdításával érte el. Ezek a nagy horderejű változások a hatásmutatók értékelésével és további információk gyűjtésével határozhatók meg (például dokumentumalapú ellenőrzésekkel és az innovációs potenciál meghatározásának eredményeit követően az érdekelt felekkel bonyolított interjúk segítségével, lásd a </w:t>
      </w:r>
      <w:r>
        <w:rPr>
          <w:color w:val="F07E31"/>
          <w:szCs w:val="20"/>
        </w:rPr>
        <w:t>2.2. fejezetet</w:t>
      </w:r>
      <w:r>
        <w:t xml:space="preserve">). A megállapításokat a 30. sz. közös értékelési kérdéstől eltérő közös értékelési kérdések (a 24–29. közös értékelési kérdés) megválaszolásakor is fel kell használni. </w:t>
      </w:r>
    </w:p>
    <w:p w:rsidR="00A45935" w:rsidRPr="00E05D08" w:rsidRDefault="00A45935" w:rsidP="00E05D08">
      <w:pPr>
        <w:spacing w:after="120" w:line="280" w:lineRule="atLeast"/>
        <w:mirrorIndents/>
        <w:rPr>
          <w:rFonts w:eastAsia="Times New Roman" w:cs="Arial"/>
          <w:szCs w:val="20"/>
        </w:rPr>
      </w:pPr>
      <w:r>
        <w:t xml:space="preserve">Az 1.1. fejezet alapján eleve feltételezhető, hogy a VFP intézkedései/alintézkedései a három, egymással összekapcsolódó irányvonal segítségével hozzájárulnak az </w:t>
      </w:r>
      <w:r>
        <w:rPr>
          <w:b/>
          <w:szCs w:val="20"/>
        </w:rPr>
        <w:t>innováció előmozdításához</w:t>
      </w:r>
      <w:r>
        <w:t xml:space="preserve"> (lásd az </w:t>
      </w:r>
      <w:hyperlink w:anchor="Pathways" w:history="1">
        <w:r>
          <w:rPr>
            <w:rStyle w:val="Hyperlink"/>
            <w:sz w:val="20"/>
            <w:szCs w:val="20"/>
          </w:rPr>
          <w:t>1. ábrát</w:t>
        </w:r>
      </w:hyperlink>
      <w:r>
        <w:t xml:space="preserve">). A három irányvonal azért értékes, mert segítik az értékelőt az innovációs folyamat elemzésében és jobb megértésében. Ezért az iránymutatás a 30. sz. közös értékelési kérdéshez három alkérdést javasol, amelyek megfelelnek az irányvonalaknak: </w:t>
      </w:r>
    </w:p>
    <w:p w:rsidR="00A45935" w:rsidRPr="00BE70EE" w:rsidRDefault="00A45935" w:rsidP="000026C6">
      <w:pPr>
        <w:pStyle w:val="Hlistbullet"/>
      </w:pPr>
      <w:r>
        <w:t>A vidékfejlesztési program milyen mértékben mozdította elő az innovációt az innovációs potenciál támogatásával? (1. irányvonal)</w:t>
      </w:r>
    </w:p>
    <w:p w:rsidR="00A45935" w:rsidRPr="00BE70EE" w:rsidRDefault="00A45935" w:rsidP="000026C6">
      <w:pPr>
        <w:pStyle w:val="Hlistbullet"/>
      </w:pPr>
      <w:r>
        <w:t>A vidékfejlesztési program milyen mértékben mozdította elő az innovációt az innovációs kapacitás kiépítésével? (2. irányvonal)</w:t>
      </w:r>
    </w:p>
    <w:p w:rsidR="00A45935" w:rsidRPr="00BE70EE" w:rsidRDefault="00A45935" w:rsidP="000026C6">
      <w:pPr>
        <w:pStyle w:val="Hlistbullet"/>
      </w:pPr>
      <w:r>
        <w:t>A vidékfejlesztési program milyen mértékben mozdította elő az innovációt az azt támogató környezet kialakításával? (3. irányvonal)</w:t>
      </w:r>
    </w:p>
    <w:p w:rsidR="00A45935" w:rsidRPr="00E05D08" w:rsidRDefault="00A45935" w:rsidP="00690E70">
      <w:pPr>
        <w:spacing w:after="120" w:line="280" w:lineRule="atLeast"/>
        <w:mirrorIndents/>
        <w:rPr>
          <w:rFonts w:eastAsia="Times New Roman" w:cs="Arial"/>
          <w:szCs w:val="20"/>
        </w:rPr>
      </w:pPr>
      <w:r>
        <w:t xml:space="preserve">Az irányvonalak közötti kölcsönhatás szintén fontos. Az innovációs potenciál együttműködésen alapuló támogatásának folyamata (például új technológia kifejlesztése és bevezetése) kiépíti az érintett egyének és szervezetek innovációs kapacitását, valamint magát az innovációs rendszert. A három alkérdés és a 30. sz. közös értékelési kérdés megválaszolásakor ki kell térni az irányvonalak közötti kölcsönhatásra.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Konkrét kihívások </w:t>
      </w:r>
    </w:p>
    <w:p w:rsidR="00A45935" w:rsidRPr="00241663" w:rsidRDefault="00A45935" w:rsidP="000026C6">
      <w:pPr>
        <w:pStyle w:val="Hlistbullet"/>
      </w:pPr>
      <w:r>
        <w:rPr>
          <w:b/>
        </w:rPr>
        <w:t>Kiegészítő értékelési elemek kidolgozása</w:t>
      </w:r>
      <w:r>
        <w:t xml:space="preserve"> a 30. sz. közös értékelési kérdés megválaszolásához (minőségi és mennyiségi szempontú elbírálási kritériumok és mutatók). </w:t>
      </w:r>
    </w:p>
    <w:p w:rsidR="00A45935" w:rsidRPr="00241663" w:rsidRDefault="00A45935" w:rsidP="000026C6">
      <w:pPr>
        <w:pStyle w:val="Hlistbullet"/>
      </w:pPr>
      <w:r>
        <w:t xml:space="preserve">Olyan </w:t>
      </w:r>
      <w:r>
        <w:rPr>
          <w:b/>
        </w:rPr>
        <w:t>értékelési módszerek alkalmazása</w:t>
      </w:r>
      <w:r>
        <w:t xml:space="preserve">, amelyek lehetővé tennék, hogy a vidéki térségeken belüli innovációs rendszer </w:t>
      </w:r>
      <w:r>
        <w:rPr>
          <w:u w:val="single"/>
        </w:rPr>
        <w:t>mindhárom</w:t>
      </w:r>
      <w:r>
        <w:t xml:space="preserve"> irányvonalánál észlelt változásokat a VFP keretében végrehajtott beavatkozásokra lehessen visszavezetni. </w:t>
      </w:r>
    </w:p>
    <w:p w:rsidR="00A45935" w:rsidRPr="00241663" w:rsidRDefault="00A45935" w:rsidP="000026C6">
      <w:pPr>
        <w:pStyle w:val="Hlistbullet"/>
      </w:pPr>
      <w:r>
        <w:t xml:space="preserve">A VFP által támogatott innovációk miatt bekövetkezett </w:t>
      </w:r>
      <w:r>
        <w:rPr>
          <w:b/>
        </w:rPr>
        <w:t>változások értékelése</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A 30. sz. közös értékelési kérdés megválaszolásához javasolt megközelítés</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Beavatkozási logika </w:t>
      </w:r>
    </w:p>
    <w:p w:rsidR="00A45935" w:rsidRDefault="00A45935" w:rsidP="00E05D08">
      <w:pPr>
        <w:spacing w:after="120" w:line="280" w:lineRule="atLeast"/>
        <w:mirrorIndents/>
        <w:rPr>
          <w:rFonts w:eastAsia="Times New Roman" w:cs="Arial"/>
          <w:szCs w:val="20"/>
        </w:rPr>
      </w:pPr>
      <w:r>
        <w:t>A VFP innovációval kapcsolatos megközelítését a program megtervezésekor alakítják ki</w:t>
      </w:r>
      <w:r>
        <w:rPr>
          <w:rFonts w:eastAsia="Times New Roman" w:cs="Times New Roman"/>
          <w:szCs w:val="20"/>
          <w:vertAlign w:val="superscript"/>
          <w:lang w:eastAsia="de-DE"/>
        </w:rPr>
        <w:footnoteReference w:id="76"/>
      </w:r>
      <w:r>
        <w:t xml:space="preserve">. A VFP intézkedéseiben/alintézkedéseiben rejlő innovációs potenciálnak az értékelés előkészítő szakaszában történő vizsgálata során minden intézkedés/alintézkedés (nemcsak az M1, M2, M16, M19 és a technikai segítségnyújtás) esetén sor kerül annak vizsgálatára, hogy felkarolhatnak-e ötleteket, kiépíthetnek-e kapacitásokat és létrehozhatnak-e támogató környezetet. Következésképp várható, hogy </w:t>
      </w:r>
      <w:r>
        <w:rPr>
          <w:b/>
          <w:szCs w:val="20"/>
        </w:rPr>
        <w:t xml:space="preserve">a VFP jelentős innovációs potenciált jelző összes intézkedése és alintézkedése </w:t>
      </w:r>
      <w:r>
        <w:t xml:space="preserve">a VFP innováció-orientált végrehajtására irányadó, innovációval kapcsolatos beavatkozási logikájának részévé válik. Az értékelő ezt a logikát használja alapul annak bizonyításához, hogy a VFP hogyan járult hozzá az innovációhoz (lásd a </w:t>
      </w:r>
      <w:hyperlink w:anchor="Example_IL" w:history="1">
        <w:r>
          <w:rPr>
            <w:rStyle w:val="Hyperlink"/>
            <w:sz w:val="20"/>
            <w:szCs w:val="20"/>
          </w:rPr>
          <w:t>11. ábrát</w:t>
        </w:r>
      </w:hyperlink>
      <w:r>
        <w:t>).</w:t>
      </w:r>
    </w:p>
    <w:p w:rsidR="00A45935" w:rsidRPr="00916AB5" w:rsidRDefault="007A7467" w:rsidP="000026C6">
      <w:pPr>
        <w:pStyle w:val="HHeadingfigures"/>
      </w:pPr>
      <w:bookmarkStart w:id="131" w:name="Example_IL"/>
      <w:bookmarkStart w:id="132" w:name="_Toc508982302"/>
      <w:bookmarkEnd w:id="131"/>
      <w:r w:rsidRPr="007A7467">
        <w:rPr>
          <w:noProof/>
          <w:lang w:val="en-GB" w:eastAsia="en-GB"/>
        </w:rPr>
        <w:drawing>
          <wp:anchor distT="0" distB="0" distL="114300" distR="114300" simplePos="0" relativeHeight="251673600" behindDoc="0" locked="0" layoutInCell="1" allowOverlap="1">
            <wp:simplePos x="1828800" y="3028950"/>
            <wp:positionH relativeFrom="margin">
              <wp:align>center</wp:align>
            </wp:positionH>
            <wp:positionV relativeFrom="margin">
              <wp:align>center</wp:align>
            </wp:positionV>
            <wp:extent cx="5732145" cy="3108960"/>
            <wp:effectExtent l="0" t="0" r="1905" b="0"/>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732145" cy="3108960"/>
                    </a:xfrm>
                    <a:prstGeom prst="rect">
                      <a:avLst/>
                    </a:prstGeom>
                  </pic:spPr>
                </pic:pic>
              </a:graphicData>
            </a:graphic>
          </wp:anchor>
        </w:drawing>
      </w:r>
      <w:r w:rsidR="00BE1F31">
        <w:t>A 30. sz. közös értékelési kérdéshez kapcsolódó beavatkozási logikára vonatkozó példa</w:t>
      </w:r>
      <w:bookmarkEnd w:id="132"/>
    </w:p>
    <w:p w:rsidR="00A45935" w:rsidRPr="00E05D08" w:rsidRDefault="00A45935" w:rsidP="002C2C15">
      <w:pPr>
        <w:suppressAutoHyphens/>
        <w:spacing w:before="60" w:after="140" w:line="240" w:lineRule="auto"/>
        <w:mirrorIndents/>
        <w:jc w:val="center"/>
        <w:rPr>
          <w:rFonts w:eastAsia="Times New Roman" w:cs="Times New Roman"/>
          <w:i/>
          <w:noProof/>
          <w:sz w:val="16"/>
          <w:szCs w:val="20"/>
          <w:lang w:eastAsia="en-GB"/>
        </w:rPr>
      </w:pP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Forrás: Európai vidékfejlesztési értékelési támogató szolgálat,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4860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486025"/>
                        </a:xfrm>
                        <a:prstGeom prst="round2DiagRect">
                          <a:avLst>
                            <a:gd name="adj1" fmla="val 11556"/>
                            <a:gd name="adj2" fmla="val 0"/>
                          </a:avLst>
                        </a:prstGeom>
                        <a:noFill/>
                        <a:ln w="25400" cap="flat" cmpd="sng" algn="ctr">
                          <a:solidFill>
                            <a:srgbClr val="F07E31"/>
                          </a:solidFill>
                          <a:prstDash val="solid"/>
                        </a:ln>
                        <a:effectLst/>
                      </wps:spPr>
                      <wps:txbx>
                        <w:txbxContent>
                          <w:p w:rsidR="005139CB" w:rsidRPr="0079762F" w:rsidRDefault="005139CB"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88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Ebben a példában a kiemelt területek (téglalapok) keretébe tartozó intézkedések (körök) várhatóan önmagukban vagy más intézkedésekkel ötvözve különféleképpen mozdítják elő az innovációt (a három irányvonalat piktogram ábrázolja). A 3A kiemelt területhez (az elsődleges termelők integrálása az élelmiszerláncba) és az 5A kiemelt területhez (vízhatékonyság) programozott M16 és M2 intézkedés várhatóan együttesen mozdítja elő az innovációt mindhárom irányvonal segítségével. Másik esetben, az 5B kiemelt területnél mindkét intézkedés az M4 intézkedéssel ötvözve várhatóan együttműködésen alapuló kapacitásépítéssel mozdítja elő az innovációt.  </w:t>
                            </w:r>
                          </w:p>
                          <w:p w:rsidR="005139CB" w:rsidRPr="00ED3BAD" w:rsidRDefault="005139CB" w:rsidP="00E05D08">
                            <w:pPr>
                              <w:pStyle w:val="HStandard"/>
                              <w:rPr>
                                <w:sz w:val="18"/>
                                <w:szCs w:val="18"/>
                              </w:rPr>
                            </w:pPr>
                            <w:r>
                              <w:rPr>
                                <w:sz w:val="18"/>
                              </w:rPr>
                              <w:t>Az innovációs potenciállal rendelkező intézkedéseknek várhatóan olyan eredménye lesz, hogy a három irányvonal segítségével előmozdítják az innovációt, és végül befolyásolják a szakpolitikai célkitűzések elérését.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95.75pt;visibility:visible;mso-wrap-style:square;mso-left-percent:-10001;mso-top-percent:-10001;mso-position-horizontal:absolute;mso-position-horizontal-relative:char;mso-position-vertical:absolute;mso-position-vertical-relative:line;mso-left-percent:-10001;mso-top-percent:-10001;v-text-anchor:middle" coordsize="5732145,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" adj="-11796480,,5400" path="m287285,l5732145,r,l5732145,2198740v,158663,-128622,287285,-287285,287285l,2486025r,l,287285c,128622,128622,,287285,xe" filled="f" strokecolor="#f07e31" strokeweight="2pt">
                <v:stroke joinstyle="miter"/>
                <v:formulas/>
                <v:path arrowok="t" o:connecttype="custom" o:connectlocs="287285,0;5732145,0;5732145,0;5732145,2198740;5444860,2486025;0,2486025;0,2486025;0,287285;287285,0" o:connectangles="0,0,0,0,0,0,0,0,0" textboxrect="0,0,5732145,2486025"/>
                <v:textbox>
                  <w:txbxContent>
                    <w:p w:rsidR="005139CB" w:rsidRPr="0079762F" w:rsidRDefault="005139CB"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88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Ebben a példában a kiemelt területek (téglalapok) keretébe tartozó intézkedések (körök) várhatóan önmagukban vagy más intézkedésekkel ötvözve különféleképpen mozdítják elő az innovációt (a három irányvonalat piktogram ábrázolja). A 3A kiemelt területhez (az elsődleges termelők integrálása az élelmiszerláncba) és az 5A kiemelt területhez (vízhatékonyság) programozott M16 és M2 intézkedés várhatóan együttesen mozdítja elő az innovációt mindhárom irányvonal segítségével. Másik esetben, az 5B kiemelt területnél mindkét intézkedés az M4 intézkedéssel ötvözve várhatóan együttműködésen alapuló kapacitásépítéssel mozdítja elő az innovációt.  </w:t>
                      </w:r>
                    </w:p>
                    <w:p w:rsidR="005139CB" w:rsidRPr="00ED3BAD" w:rsidRDefault="005139CB" w:rsidP="00E05D08">
                      <w:pPr>
                        <w:pStyle w:val="HStandard"/>
                        <w:rPr>
                          <w:sz w:val="18"/>
                          <w:szCs w:val="18"/>
                        </w:rPr>
                      </w:pPr>
                      <w:r>
                        <w:rPr>
                          <w:sz w:val="18"/>
                        </w:rPr>
                        <w:t>Az innovációs potenciállal rendelkező intézkedéseknek várhatóan olyan eredménye lesz, hogy a három irányvonal segítségével előmozdítják az innovációt, és végül befolyásolják a szakpolitikai célkitűzések elérését.</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89"/>
          <w:headerReference w:type="first" r:id="rId90"/>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lastRenderedPageBreak/>
        <w:t>Az innováció összetettsége és újszerűsége miatt feltételezhető, hogy az előre</w:t>
      </w:r>
      <w:r w:rsidR="00D000D3">
        <w:t xml:space="preserve"> </w:t>
      </w:r>
      <w:r>
        <w:t>jelzett innovációs potenciál és a VFP változást eredményező beavatkozásai nem fognak tökéletesen igazodni egymáshoz. Ezért az értékeléskor az értékelőnek az a feladata, hogy összehasonlítsa a VFP előre</w:t>
      </w:r>
      <w:r w:rsidR="00D000D3">
        <w:t xml:space="preserve"> </w:t>
      </w:r>
      <w:r>
        <w:t>jelzett innovációs potenciálját a változáshoz való tényleges hozzájárulással.</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Értékelési elemek </w:t>
      </w:r>
    </w:p>
    <w:p w:rsidR="00A45935" w:rsidRPr="00E05D08" w:rsidRDefault="00A45935" w:rsidP="00E05D08">
      <w:pPr>
        <w:spacing w:after="120" w:line="280" w:lineRule="atLeast"/>
        <w:mirrorIndents/>
        <w:rPr>
          <w:rFonts w:eastAsia="Times New Roman" w:cs="Times New Roman"/>
          <w:szCs w:val="20"/>
        </w:rPr>
      </w:pPr>
      <w:r>
        <w:t>A „</w:t>
      </w:r>
      <w:hyperlink r:id="rId91" w:history="1">
        <w:r>
          <w:rPr>
            <w:rStyle w:val="Hyperlink"/>
            <w:sz w:val="20"/>
            <w:szCs w:val="20"/>
          </w:rPr>
          <w:t>Common Evaluation Questions for RDPs 2014-2020</w:t>
        </w:r>
      </w:hyperlink>
      <w:r>
        <w:t xml:space="preserve">” (A 2014–2020-as időszakra vonatkozó VFP-k közös értékelési kérdései) című munkadokumentum egy elbírálási kritériumot (a vidéki térségekben és ágazatokban előmozdították az innovációt) és egy közös mutatót (T1: a 14., 15. és 35. cikkhez kapcsolódó kiadások) javasol. A munkadokumentum a 30. sz. közös értékelési kérdés megválaszolásához az innovációval kapcsolatos további, mennyiségi és minőségi szempontú információk gyűjtését is ajánlja. Ezek az elemek azonban nem tudják teljes mértékben rögzíteni a VFP innováció-előmozdításhoz való hozzájárulását. </w:t>
      </w:r>
    </w:p>
    <w:p w:rsidR="00A45935" w:rsidRPr="00E05D08" w:rsidRDefault="00A45935" w:rsidP="00E05D08">
      <w:pPr>
        <w:spacing w:after="120" w:line="280" w:lineRule="atLeast"/>
        <w:mirrorIndents/>
        <w:rPr>
          <w:rFonts w:eastAsia="Times New Roman" w:cs="Times New Roman"/>
          <w:szCs w:val="20"/>
        </w:rPr>
      </w:pPr>
      <w:r>
        <w:t xml:space="preserve">Ezért ez az iránymutatás a 30. sz. közös értékelési kérdés megválaszolásához kiegészítő értékelési elemek használatát javasolja (lásd a </w:t>
      </w:r>
      <w:hyperlink w:anchor="CEQ_fostering" w:history="1">
        <w:r>
          <w:rPr>
            <w:rStyle w:val="Hyperlink"/>
            <w:sz w:val="20"/>
            <w:szCs w:val="20"/>
          </w:rPr>
          <w:t>9. táblázatot</w:t>
        </w:r>
      </w:hyperlink>
      <w:r>
        <w:t xml:space="preserve">). A 30. sz. közös értékelési kérdés esetében az értékelési elemek az innovációs folyamat három irányvonalának megfelelő három alkérdéshez kapcsolódnak. A javasolt elbírálási kritériumok az egyes irányvonalak jellemzőihez kapcsolódnak. Ezzel megfigyelhető, hogy a VFP intézkedéseinek végrehajtása során követték-e az irányvonalat az innovációs potenciál vizsgálata során meghatározottak szerint. </w:t>
      </w:r>
    </w:p>
    <w:p w:rsidR="00A45935" w:rsidRPr="00E05D08" w:rsidRDefault="00A45935" w:rsidP="00E05D08">
      <w:pPr>
        <w:spacing w:after="120" w:line="280" w:lineRule="atLeast"/>
        <w:mirrorIndents/>
        <w:rPr>
          <w:rFonts w:eastAsia="Times New Roman" w:cs="Times New Roman"/>
          <w:szCs w:val="20"/>
        </w:rPr>
      </w:pPr>
      <w:r>
        <w:t xml:space="preserve">A közös mutatóktól eltekintve a javasolt elemek nem kötelező érvényűek, és a tagállami érdekelt felek kidolgozhatják a saját elbírálási kritériumaikat és kiegészítő mutatóikat.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982282"/>
      <w:bookmarkEnd w:id="133"/>
      <w:r>
        <w:rPr>
          <w:color w:val="6F6F6F"/>
          <w:sz w:val="18"/>
          <w:szCs w:val="18"/>
        </w:rPr>
        <w:lastRenderedPageBreak/>
        <w:t>A 30. sz. közös értékelési kérdéshez kapcsolódó értékelési elemek</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A </w:t>
      </w:r>
      <w:r>
        <w:t>„</w:t>
      </w:r>
      <w:hyperlink r:id="rId92" w:history="1">
        <w:r>
          <w:rPr>
            <w:rStyle w:val="Hyperlink"/>
            <w:sz w:val="20"/>
            <w:szCs w:val="20"/>
          </w:rPr>
          <w:t>Common Evaluation Questions for RDPs 2014-2020</w:t>
        </w:r>
      </w:hyperlink>
      <w:r>
        <w:rPr>
          <w:i/>
          <w:szCs w:val="20"/>
        </w:rPr>
        <w:t xml:space="preserve"> ” (A 2014–2020-as időszakra vonatkozó VFP-k közös értékelési kérdései) című munkadokumentumból kimásolt értékelési elemeken kívüli értékelési elemek (alkérdések, elbírálási kritériumok és mutatók) dőlt betűvel szerepelnek.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Alkérdések</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Elbírálási kritériumok</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Eredménymutatók</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Adat- és információszükségletek</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Adatforrások</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A vidékfejlesztési program milyen mértékben mozdította elő az innovációt az innovációs potenciál támogatásával (1. irányvonal)?</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Kiegészítő elbírálási kritérium: A VFP által bevezetett innovatív ötletek, folyamatok, modellek és/vagy technológiák elfogadása</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az 1305/2013/EU rendelet 14., 15. és 35. cikke szerinti kiadásoknak a VFP összes kiadásához viszonyított százalékos aránya. </w:t>
            </w:r>
          </w:p>
          <w:p w:rsidR="001275FF" w:rsidRPr="00622614" w:rsidRDefault="001275FF"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Az EIP operatív csoportjai által végrehajtott és terjesztett, támogatásban részesülő innovatív tevékenységek száma.</w:t>
            </w:r>
          </w:p>
          <w:p w:rsidR="001275FF" w:rsidRPr="00622614" w:rsidRDefault="001275FF"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Kiegészítő eredménymutató</w:t>
            </w:r>
            <w:r>
              <w:rPr>
                <w:i/>
                <w:color w:val="57825E"/>
                <w:sz w:val="18"/>
                <w:szCs w:val="16"/>
              </w:rPr>
              <w:t xml:space="preserve">: Az érdekelt felek által bevezetett új ötletek, folyamatok, modellek és/vagy technológiák elfogadásának szintje. </w:t>
            </w:r>
          </w:p>
        </w:tc>
        <w:tc>
          <w:tcPr>
            <w:tcW w:w="2715" w:type="dxa"/>
          </w:tcPr>
          <w:p w:rsidR="00A45935" w:rsidRPr="00385368" w:rsidRDefault="00A45935" w:rsidP="00F73706">
            <w:pPr>
              <w:spacing w:line="220" w:lineRule="atLeast"/>
              <w:jc w:val="left"/>
              <w:rPr>
                <w:rFonts w:cs="Arial"/>
                <w:sz w:val="18"/>
                <w:szCs w:val="16"/>
              </w:rPr>
            </w:pPr>
            <w:r>
              <w:rPr>
                <w:sz w:val="18"/>
                <w:szCs w:val="16"/>
              </w:rPr>
              <w:t>Az M1, M2 és M16 intézkedés keretében végrehajtott műveletekre fordított kiadásokra vonatkozó adatok.</w:t>
            </w: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Az európai innovációs partnerség operatív csoportja által végrehajtott innovatív tevékenységekre vonatkozó adatok. </w:t>
            </w: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A létrejött innovatív ötletekre, modellekre, technológiákra vonatkozó adatok és információk. </w:t>
            </w: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A VFP monitoringrendszere. </w:t>
            </w: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A VFP monitoringrendszere és interjúk.</w:t>
            </w: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62261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A VFP monitoringrendszere, felmérések és interjúk.</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A vidékfejlesztési program milyen mértékben mozdította elő az innovációt az innovációs kapacitás kiépítésével (2. irányvonal)?</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Kiegészítő elbírálási kritérium: A VFP révén több funkcionális kapcsolat jött létre a különböző szereplőtípusok között. </w:t>
            </w:r>
          </w:p>
          <w:p w:rsidR="00A45935" w:rsidRPr="00622614" w:rsidRDefault="00A45935" w:rsidP="00F73706">
            <w:pPr>
              <w:spacing w:line="220" w:lineRule="atLeast"/>
              <w:jc w:val="left"/>
              <w:rPr>
                <w:rFonts w:eastAsia="Calibri" w:cs="Arial"/>
                <w:i/>
                <w:sz w:val="18"/>
                <w:szCs w:val="16"/>
              </w:rPr>
            </w:pPr>
          </w:p>
          <w:p w:rsidR="00A45935" w:rsidRPr="00622614" w:rsidRDefault="00A45935" w:rsidP="00F73706">
            <w:pPr>
              <w:spacing w:line="220" w:lineRule="atLeast"/>
              <w:jc w:val="left"/>
              <w:rPr>
                <w:rFonts w:eastAsia="Calibri" w:cs="Arial"/>
                <w:i/>
                <w:sz w:val="18"/>
                <w:szCs w:val="16"/>
              </w:rPr>
            </w:pPr>
          </w:p>
          <w:p w:rsidR="00A45935" w:rsidRPr="00622614" w:rsidRDefault="00A45935" w:rsidP="00F73706">
            <w:pPr>
              <w:spacing w:line="220" w:lineRule="atLeast"/>
              <w:jc w:val="left"/>
              <w:rPr>
                <w:rFonts w:eastAsia="Calibri" w:cs="Arial"/>
                <w:i/>
                <w:sz w:val="18"/>
                <w:szCs w:val="16"/>
              </w:rPr>
            </w:pPr>
          </w:p>
          <w:p w:rsidR="00A45935" w:rsidRPr="00622614" w:rsidRDefault="00A45935" w:rsidP="00F73706">
            <w:pPr>
              <w:spacing w:line="220" w:lineRule="atLeast"/>
              <w:jc w:val="left"/>
              <w:rPr>
                <w:rFonts w:eastAsia="Calibri" w:cs="Arial"/>
                <w:i/>
                <w:sz w:val="18"/>
                <w:szCs w:val="16"/>
              </w:rPr>
            </w:pPr>
          </w:p>
          <w:p w:rsidR="00A45935" w:rsidRPr="00622614" w:rsidRDefault="00A45935" w:rsidP="00F73706">
            <w:pPr>
              <w:spacing w:line="220" w:lineRule="atLeast"/>
              <w:jc w:val="left"/>
              <w:rPr>
                <w:rFonts w:eastAsia="Calibri" w:cs="Arial"/>
                <w:i/>
                <w:sz w:val="18"/>
                <w:szCs w:val="16"/>
              </w:rPr>
            </w:pPr>
          </w:p>
          <w:p w:rsidR="00A45935" w:rsidRPr="0062261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lastRenderedPageBreak/>
              <w:t>Kiegészítő elbírálási kritérium: Létrejöttek és megerősödtek a tanulási platformok, valamint az ismeretmegosztást, az eszmecserét és a tanulást lehetővé tevő egyéb intézményi terek típusai.</w:t>
            </w:r>
          </w:p>
          <w:p w:rsidR="00A45935" w:rsidRPr="00622614"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Kiegészítő elbírálási kritérium: A változással érintett innovációs rendszeren belüli különféle szereplők közötti információáramlás.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Kiegészítő eredménymutató:</w:t>
            </w:r>
            <w:r>
              <w:rPr>
                <w:i/>
                <w:color w:val="57825E"/>
                <w:sz w:val="18"/>
                <w:szCs w:val="16"/>
              </w:rPr>
              <w:t xml:space="preserve"> A VFP által közvetített formális partnerségek száma azon vidékfejlesztési prioritások változásaihoz kapcsolódóan, amelyekhez a VFP hozzájárult. </w:t>
            </w:r>
          </w:p>
          <w:p w:rsidR="00A45935" w:rsidRPr="0062261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Az együttműködési projektekben részt vevő partnerek számának és típusának %-os növekedése (a 2014–2020-as időszakra vonatkozó VFP-k közös értékelési kérdéseiről szóló </w:t>
            </w:r>
            <w:r>
              <w:rPr>
                <w:sz w:val="18"/>
                <w:szCs w:val="16"/>
              </w:rPr>
              <w:lastRenderedPageBreak/>
              <w:t xml:space="preserve">munkadokumentum). </w:t>
            </w:r>
          </w:p>
          <w:p w:rsidR="00A45935" w:rsidRPr="00622614"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Kiegészítő eredménymutató:</w:t>
            </w:r>
            <w:r>
              <w:rPr>
                <w:i/>
                <w:color w:val="57825E"/>
                <w:sz w:val="18"/>
                <w:szCs w:val="16"/>
              </w:rPr>
              <w:t xml:space="preserve"> A VFP által létrehozott vagy megerősített innovációtámogató platformok és „terek”, például szakemberközösségek, innovációs platformok, eszmecsere és tanulás céljával tartott rendezvények száma és minősége. </w:t>
            </w:r>
          </w:p>
          <w:p w:rsidR="00A45935" w:rsidRPr="00622614" w:rsidRDefault="00A45935" w:rsidP="00F73706">
            <w:pPr>
              <w:spacing w:line="220" w:lineRule="atLeast"/>
              <w:jc w:val="left"/>
              <w:rPr>
                <w:rFonts w:eastAsia="Calibri" w:cs="Arial"/>
                <w:color w:val="57825E"/>
                <w:sz w:val="18"/>
                <w:szCs w:val="16"/>
              </w:rPr>
            </w:pPr>
          </w:p>
          <w:p w:rsidR="00560E46" w:rsidRPr="00622614" w:rsidRDefault="00560E46" w:rsidP="00F73706">
            <w:pPr>
              <w:spacing w:line="220" w:lineRule="atLeast"/>
              <w:jc w:val="left"/>
              <w:rPr>
                <w:rFonts w:eastAsia="Calibri" w:cs="Arial"/>
                <w:color w:val="57825E"/>
                <w:sz w:val="18"/>
                <w:szCs w:val="16"/>
              </w:rPr>
            </w:pPr>
          </w:p>
          <w:p w:rsidR="00560E46" w:rsidRPr="00622614"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Kiegészítő eredménymutató: </w:t>
            </w:r>
            <w:r>
              <w:rPr>
                <w:i/>
                <w:color w:val="57825E"/>
                <w:sz w:val="18"/>
                <w:szCs w:val="16"/>
              </w:rPr>
              <w:t xml:space="preserve">A hálózati útvonal átlagos hosszának és a hálózat sokféleségének csökkenése (közösségihálózat-elemzési intézkedések).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Hivatalos kapcsolatokra vonatkozó információk.</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Az együttműködési projektekben részt vevő partnerek számára és típusára vonatkozó adatok. </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A VFP által létrehozott platformokra vonatkozó információk.</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560E46" w:rsidRPr="00622614" w:rsidRDefault="00560E46" w:rsidP="00F73706">
            <w:pPr>
              <w:spacing w:line="220" w:lineRule="atLeast"/>
              <w:jc w:val="left"/>
              <w:rPr>
                <w:rFonts w:eastAsia="Calibri" w:cs="Arial"/>
                <w:sz w:val="18"/>
                <w:szCs w:val="16"/>
              </w:rPr>
            </w:pPr>
          </w:p>
          <w:p w:rsidR="00560E46" w:rsidRPr="00622614"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A hálózatokra vonatkozó információk.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Interjúk és fókuszcsoportok. </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A VFP monitoringrendszere.</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Interjúk és fókuszcsoportok. </w:t>
            </w: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A45935" w:rsidRPr="00622614" w:rsidRDefault="00A45935" w:rsidP="00F73706">
            <w:pPr>
              <w:spacing w:line="220" w:lineRule="atLeast"/>
              <w:jc w:val="left"/>
              <w:rPr>
                <w:rFonts w:eastAsia="Calibri" w:cs="Arial"/>
                <w:sz w:val="18"/>
                <w:szCs w:val="16"/>
              </w:rPr>
            </w:pPr>
          </w:p>
          <w:p w:rsidR="00560E46" w:rsidRPr="00622614" w:rsidRDefault="00560E46" w:rsidP="00F73706">
            <w:pPr>
              <w:spacing w:line="220" w:lineRule="atLeast"/>
              <w:jc w:val="left"/>
              <w:rPr>
                <w:rFonts w:eastAsia="Calibri" w:cs="Arial"/>
                <w:sz w:val="18"/>
                <w:szCs w:val="16"/>
              </w:rPr>
            </w:pPr>
          </w:p>
          <w:p w:rsidR="00560E46" w:rsidRPr="00622614"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A közösségihálózat-elemzésből származó információk.</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A vidékfejlesztési program milyen mértékben mozdította elő az innovációt az azt támogató környezet kialakításával (3. irányvonal)?</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Kiegészítő elbírálási kritérium: A VFP tájékoztatta azokat a szakpolitikákat, amelyek támogatják a VFP hozzájárulásával előidézett változásokat.</w:t>
            </w:r>
          </w:p>
          <w:p w:rsidR="00A45935" w:rsidRPr="0062261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Kiegészítő elbírálási kritérium: A VFP lehetőséget teremtett képzésre és innovatív gyakorlatok cseréjére. </w:t>
            </w:r>
          </w:p>
          <w:p w:rsidR="00A45935" w:rsidRPr="0062261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Kiegészítő elbírálási kritérium: A VFP lehetővé tette a (nemzeti/nemzetközi) szereplők innováció-előmozdítást célzó kölcsönhatását. </w:t>
            </w:r>
          </w:p>
          <w:p w:rsidR="00A45935" w:rsidRPr="00622614"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Kiegészítő elbírálási kritérium: A VFP támogatta az új technológiákat a vidéki térségekben.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Kiegészítő eredménymutató:</w:t>
            </w:r>
            <w:r>
              <w:rPr>
                <w:i/>
                <w:color w:val="57825E"/>
                <w:sz w:val="18"/>
                <w:szCs w:val="16"/>
              </w:rPr>
              <w:t xml:space="preserve"> Azon szakpolitikák száma és típusa, amelyekre a VFP befolyást gyakorolt a részt vevő szervezetek és a tágabb támogató környezet szintjén. </w:t>
            </w:r>
          </w:p>
          <w:p w:rsidR="00A45935" w:rsidRPr="0062261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Kiegészítő eredménymutató:</w:t>
            </w:r>
            <w:r>
              <w:rPr>
                <w:i/>
                <w:color w:val="57825E"/>
                <w:sz w:val="18"/>
                <w:szCs w:val="16"/>
              </w:rPr>
              <w:t xml:space="preserve"> Innovatív gyakorlatok cseréjét célzó képzések és események száma, valamint a VFP által támogatott képzések/események teljes számához viszonyított részarányuk. </w:t>
            </w:r>
          </w:p>
          <w:p w:rsidR="00A45935" w:rsidRPr="0062261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Kiegészítő eredménymutató:</w:t>
            </w:r>
            <w:r>
              <w:rPr>
                <w:i/>
                <w:color w:val="57825E"/>
                <w:sz w:val="18"/>
                <w:szCs w:val="16"/>
              </w:rPr>
              <w:t xml:space="preserve"> A VFP keretében támogatott innovációs szereplők közötti kapcsolatteremtésre összpontosító események száma. </w:t>
            </w:r>
          </w:p>
          <w:p w:rsidR="00A45935" w:rsidRPr="00622614" w:rsidRDefault="00A45935" w:rsidP="00F73706">
            <w:pPr>
              <w:spacing w:line="220" w:lineRule="atLeast"/>
              <w:jc w:val="left"/>
              <w:rPr>
                <w:rFonts w:eastAsia="Calibri" w:cs="Arial"/>
                <w:i/>
                <w:color w:val="57825E"/>
                <w:sz w:val="18"/>
                <w:szCs w:val="16"/>
              </w:rPr>
            </w:pPr>
          </w:p>
          <w:p w:rsidR="00A45935" w:rsidRPr="00622614" w:rsidRDefault="00A45935" w:rsidP="00F73706">
            <w:pPr>
              <w:spacing w:line="220" w:lineRule="atLeast"/>
              <w:jc w:val="left"/>
              <w:rPr>
                <w:rFonts w:eastAsia="Calibri" w:cs="Arial"/>
                <w:i/>
                <w:color w:val="57825E"/>
                <w:sz w:val="18"/>
                <w:szCs w:val="16"/>
              </w:rPr>
            </w:pPr>
          </w:p>
          <w:p w:rsidR="00560E46" w:rsidRPr="00622614"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Kiegészítő eredménymutató:</w:t>
            </w:r>
            <w:r>
              <w:rPr>
                <w:i/>
                <w:color w:val="57825E"/>
                <w:sz w:val="18"/>
                <w:szCs w:val="16"/>
              </w:rPr>
              <w:t xml:space="preserve"> A VFP keretében támogatott vidéki térségekben alkalmazott új technológiák száma típusonkénti bontásban.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A szakpolitikákra vonatkozó információk. </w:t>
            </w:r>
          </w:p>
          <w:p w:rsidR="00A45935" w:rsidRPr="00622614" w:rsidRDefault="00A45935" w:rsidP="00560E46">
            <w:pPr>
              <w:spacing w:line="220" w:lineRule="atLeast"/>
              <w:jc w:val="left"/>
              <w:rPr>
                <w:rFonts w:eastAsia="Calibri" w:cs="Arial"/>
                <w:sz w:val="18"/>
                <w:szCs w:val="16"/>
              </w:rPr>
            </w:pPr>
          </w:p>
          <w:p w:rsidR="00A45935" w:rsidRPr="00622614" w:rsidRDefault="00A45935" w:rsidP="00560E46">
            <w:pPr>
              <w:spacing w:line="220" w:lineRule="atLeast"/>
              <w:jc w:val="left"/>
              <w:rPr>
                <w:rFonts w:eastAsia="Calibri" w:cs="Arial"/>
                <w:sz w:val="18"/>
                <w:szCs w:val="16"/>
              </w:rPr>
            </w:pPr>
          </w:p>
          <w:p w:rsidR="00560E46" w:rsidRPr="00622614" w:rsidRDefault="00560E46" w:rsidP="00560E46">
            <w:pPr>
              <w:spacing w:line="220" w:lineRule="atLeast"/>
              <w:jc w:val="left"/>
              <w:rPr>
                <w:rFonts w:eastAsia="Calibri" w:cs="Arial"/>
                <w:sz w:val="18"/>
                <w:szCs w:val="16"/>
              </w:rPr>
            </w:pPr>
          </w:p>
          <w:p w:rsidR="00560E46" w:rsidRPr="00622614" w:rsidRDefault="00560E46" w:rsidP="00560E46">
            <w:pPr>
              <w:spacing w:line="220" w:lineRule="atLeast"/>
              <w:jc w:val="left"/>
              <w:rPr>
                <w:rFonts w:eastAsia="Calibri" w:cs="Arial"/>
                <w:sz w:val="18"/>
                <w:szCs w:val="16"/>
              </w:rPr>
            </w:pPr>
          </w:p>
          <w:p w:rsidR="00560E46" w:rsidRPr="00622614"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Képzésekre és eseményekre vonatkozó információk.</w:t>
            </w:r>
          </w:p>
          <w:p w:rsidR="00A45935" w:rsidRPr="00622614" w:rsidRDefault="00A45935" w:rsidP="00560E46">
            <w:pPr>
              <w:spacing w:line="220" w:lineRule="atLeast"/>
              <w:jc w:val="left"/>
              <w:rPr>
                <w:rFonts w:eastAsia="Calibri" w:cs="Arial"/>
                <w:sz w:val="18"/>
                <w:szCs w:val="16"/>
              </w:rPr>
            </w:pPr>
          </w:p>
          <w:p w:rsidR="00A45935" w:rsidRPr="00622614" w:rsidRDefault="00A45935" w:rsidP="00560E46">
            <w:pPr>
              <w:spacing w:line="220" w:lineRule="atLeast"/>
              <w:jc w:val="left"/>
              <w:rPr>
                <w:rFonts w:eastAsia="Calibri" w:cs="Arial"/>
                <w:sz w:val="18"/>
                <w:szCs w:val="16"/>
              </w:rPr>
            </w:pPr>
          </w:p>
          <w:p w:rsidR="00A45935" w:rsidRPr="00622614" w:rsidRDefault="00A45935" w:rsidP="00560E46">
            <w:pPr>
              <w:spacing w:line="220" w:lineRule="atLeast"/>
              <w:jc w:val="left"/>
              <w:rPr>
                <w:rFonts w:eastAsia="Calibri" w:cs="Arial"/>
                <w:sz w:val="18"/>
                <w:szCs w:val="16"/>
              </w:rPr>
            </w:pPr>
          </w:p>
          <w:p w:rsidR="00A45935" w:rsidRPr="00622614"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Az új technológiákra vonatkozó információk.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Interjúk és fókuszcsoportok (például eredménygyűjtés). </w:t>
            </w:r>
          </w:p>
          <w:p w:rsidR="00A45935" w:rsidRPr="00622614" w:rsidRDefault="00A45935" w:rsidP="00560E46">
            <w:pPr>
              <w:spacing w:line="220" w:lineRule="atLeast"/>
              <w:jc w:val="left"/>
              <w:rPr>
                <w:rFonts w:eastAsia="Calibri" w:cs="Arial"/>
                <w:sz w:val="18"/>
                <w:szCs w:val="18"/>
              </w:rPr>
            </w:pPr>
          </w:p>
          <w:p w:rsidR="00A45935" w:rsidRPr="00622614" w:rsidRDefault="00A45935" w:rsidP="00560E46">
            <w:pPr>
              <w:spacing w:line="220" w:lineRule="atLeast"/>
              <w:jc w:val="left"/>
              <w:rPr>
                <w:rFonts w:eastAsia="Calibri" w:cs="Arial"/>
                <w:sz w:val="18"/>
                <w:szCs w:val="18"/>
              </w:rPr>
            </w:pPr>
          </w:p>
          <w:p w:rsidR="00560E46" w:rsidRPr="00622614" w:rsidRDefault="00560E46" w:rsidP="00560E46">
            <w:pPr>
              <w:spacing w:line="220" w:lineRule="atLeast"/>
              <w:jc w:val="left"/>
              <w:rPr>
                <w:rFonts w:eastAsia="Calibri" w:cs="Arial"/>
                <w:sz w:val="18"/>
                <w:szCs w:val="18"/>
              </w:rPr>
            </w:pPr>
          </w:p>
          <w:p w:rsidR="00560E46" w:rsidRPr="00622614"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A VFP monitoringrendszere.</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Javasolt értékelési módszertan</w:t>
      </w:r>
    </w:p>
    <w:p w:rsidR="00A45935" w:rsidRPr="00E05D08" w:rsidRDefault="00A45935" w:rsidP="00E05D08">
      <w:pPr>
        <w:spacing w:after="120" w:line="280" w:lineRule="atLeast"/>
        <w:mirrorIndents/>
        <w:rPr>
          <w:rFonts w:eastAsia="Times New Roman" w:cs="Arial"/>
          <w:szCs w:val="20"/>
        </w:rPr>
      </w:pPr>
      <w:r>
        <w:t xml:space="preserve">A 30. sz. közös értékelési kérdés megválaszolásához javasolt értékelési módszer az </w:t>
      </w:r>
      <w:r>
        <w:rPr>
          <w:b/>
          <w:szCs w:val="20"/>
        </w:rPr>
        <w:t>esettanulmányokon alapuló módszer</w:t>
      </w:r>
      <w:r>
        <w:t>. Az értékelők számára az értékelés elvégzéséhez az alábbi lépések ajánlottak:</w:t>
      </w:r>
    </w:p>
    <w:p w:rsidR="00A45935" w:rsidRDefault="00A45935" w:rsidP="000026C6">
      <w:pPr>
        <w:pStyle w:val="Hlistbullet"/>
      </w:pPr>
      <w:r>
        <w:rPr>
          <w:b/>
        </w:rPr>
        <w:t>1. LÉPÉS – Határozza meg az(oka)t a jelentős változás(oka)t, amely(ek)ről a VFP azt állíthatja, hogy ahhoz (azokhoz) hozzájárult a három irányvonal közül egy vagy több segítségével megvalósított innováció-előmozdítással</w:t>
      </w:r>
      <w:r>
        <w:t>. Ez elvégezhető a 22–29. sz. közös értékelési kérdés (az Európa 2020 stratégia és a KAP átfogó célkitűzéseihez kapcsolódó közös értékelési kérdések) megválaszolásával, az alkalmazottak körében bonyolított interjúkkal és/vagy a projektdokumentáción alapuló ellenőrzéssel. Előfordulhat például, hogy a VFP azt állítja, hogy azzal járult hozzá a mezőgazdasági üzem jövedelmezőségének jelentős megváltozásához, hogy új mezőgazdasági gépet fejlesztett ki, amelyet a későbbiekben a mezőgazdasági termelők széles körben elfogadtak és alkalmaztak. A jelentős változások keresésekor figyelembe kell venni az innovációs potenciál program eleji meghatározásakor a valószínűsíthető elfogadásra vonatkozóan megfogalmazott előrejelzéseket.</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554980" cy="3600450"/>
                <wp:effectExtent l="0" t="0" r="26670" b="19050"/>
                <wp:docPr id="719" name="Rectangle: Diagonal Corners Rounded 719"/>
                <wp:cNvGraphicFramePr/>
                <a:graphic xmlns:a="http://schemas.openxmlformats.org/drawingml/2006/main">
                  <a:graphicData uri="http://schemas.microsoft.com/office/word/2010/wordprocessingShape">
                    <wps:wsp>
                      <wps:cNvSpPr/>
                      <wps:spPr>
                        <a:xfrm>
                          <a:off x="0" y="0"/>
                          <a:ext cx="5554980" cy="3600450"/>
                        </a:xfrm>
                        <a:prstGeom prst="round2DiagRect">
                          <a:avLst>
                            <a:gd name="adj1" fmla="val 3961"/>
                            <a:gd name="adj2" fmla="val 0"/>
                          </a:avLst>
                        </a:prstGeom>
                        <a:noFill/>
                        <a:ln w="25400" cap="flat" cmpd="sng" algn="ctr">
                          <a:solidFill>
                            <a:srgbClr val="F07E31"/>
                          </a:solidFill>
                          <a:prstDash val="solid"/>
                        </a:ln>
                        <a:effectLst/>
                      </wps:spPr>
                      <wps:txbx>
                        <w:txbxContent>
                          <w:p w:rsidR="005139CB" w:rsidRPr="00253803" w:rsidRDefault="005139CB"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88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jelentős természeti értéket képviselő gazdálkodással foglalkozó tematikus hálózat.</w:t>
                            </w:r>
                          </w:p>
                          <w:p w:rsidR="005139CB" w:rsidRPr="00253803" w:rsidRDefault="005139CB" w:rsidP="00320AA0">
                            <w:pPr>
                              <w:spacing w:line="280" w:lineRule="atLeast"/>
                              <w:rPr>
                                <w:rFonts w:cs="Arial"/>
                                <w:sz w:val="18"/>
                                <w:szCs w:val="18"/>
                              </w:rPr>
                            </w:pPr>
                            <w:r>
                              <w:rPr>
                                <w:sz w:val="18"/>
                                <w:szCs w:val="18"/>
                              </w:rPr>
                              <w:t xml:space="preserve">A Horizont 2020 kutatási projekt keretében: </w:t>
                            </w:r>
                            <w:r>
                              <w:t>A jelentős természeti értékekkel foglalkozó, „</w:t>
                            </w:r>
                            <w:hyperlink r:id="rId93" w:history="1">
                              <w:r>
                                <w:rPr>
                                  <w:rStyle w:val="Hyperlink"/>
                                  <w:sz w:val="18"/>
                                  <w:szCs w:val="18"/>
                                </w:rPr>
                                <w:t>HNV link</w:t>
                              </w:r>
                            </w:hyperlink>
                            <w:r>
                              <w:rPr>
                                <w:rStyle w:val="Hyperlink"/>
                                <w:sz w:val="18"/>
                                <w:szCs w:val="18"/>
                              </w:rPr>
                              <w:t>”</w:t>
                            </w:r>
                            <w:r>
                              <w:rPr>
                                <w:sz w:val="18"/>
                                <w:szCs w:val="18"/>
                              </w:rPr>
                              <w:t xml:space="preserve"> elnevezésű kutatócsoport értékelési keretrendszert dolgozott ki azon jelentős természeti értéket képviselő területek alaphelyzetének elemzésére, amelyekhez az innováció hozzájárulhat. Az alaphelyzet elemzése a következőkhöz kapcsolódó több jellegzetesség elemzésére terjed ki: </w:t>
                            </w:r>
                          </w:p>
                          <w:p w:rsidR="005139CB" w:rsidRPr="00253803" w:rsidRDefault="005139CB" w:rsidP="00320AA0">
                            <w:pPr>
                              <w:numPr>
                                <w:ilvl w:val="0"/>
                                <w:numId w:val="63"/>
                              </w:numPr>
                              <w:ind w:left="567" w:hanging="567"/>
                              <w:contextualSpacing/>
                              <w:rPr>
                                <w:rFonts w:cs="Arial"/>
                                <w:sz w:val="18"/>
                                <w:szCs w:val="18"/>
                              </w:rPr>
                            </w:pPr>
                            <w:r>
                              <w:rPr>
                                <w:sz w:val="18"/>
                                <w:szCs w:val="18"/>
                              </w:rPr>
                              <w:t>agrár-ökoszisztéma (talaj, éghajlat és helyettesítési feltételek);</w:t>
                            </w:r>
                          </w:p>
                          <w:p w:rsidR="005139CB" w:rsidRPr="00253803" w:rsidRDefault="005139CB" w:rsidP="00320AA0">
                            <w:pPr>
                              <w:numPr>
                                <w:ilvl w:val="0"/>
                                <w:numId w:val="63"/>
                              </w:numPr>
                              <w:ind w:left="567" w:hanging="567"/>
                              <w:contextualSpacing/>
                              <w:rPr>
                                <w:rFonts w:cs="Arial"/>
                                <w:sz w:val="18"/>
                                <w:szCs w:val="18"/>
                              </w:rPr>
                            </w:pPr>
                            <w:r>
                              <w:rPr>
                                <w:sz w:val="18"/>
                                <w:szCs w:val="18"/>
                              </w:rPr>
                              <w:t>gazdálkodási rendszerek és az agárrendszereken belüli dinamikájuk;</w:t>
                            </w:r>
                          </w:p>
                          <w:p w:rsidR="005139CB" w:rsidRPr="00253803" w:rsidRDefault="005139CB" w:rsidP="00320AA0">
                            <w:pPr>
                              <w:numPr>
                                <w:ilvl w:val="0"/>
                                <w:numId w:val="63"/>
                              </w:numPr>
                              <w:ind w:left="567" w:hanging="567"/>
                              <w:contextualSpacing/>
                              <w:rPr>
                                <w:rFonts w:cs="Arial"/>
                                <w:sz w:val="18"/>
                                <w:szCs w:val="18"/>
                              </w:rPr>
                            </w:pPr>
                            <w:r>
                              <w:rPr>
                                <w:sz w:val="18"/>
                                <w:szCs w:val="18"/>
                              </w:rPr>
                              <w:t xml:space="preserve">a vidéki háttér és a tágabb ösztönző tényezők (szakpolitikák, technológiák, társadalmi változások); </w:t>
                            </w:r>
                          </w:p>
                          <w:p w:rsidR="005139CB" w:rsidRPr="00253803" w:rsidRDefault="005139CB" w:rsidP="00320AA0">
                            <w:pPr>
                              <w:numPr>
                                <w:ilvl w:val="0"/>
                                <w:numId w:val="63"/>
                              </w:numPr>
                              <w:ind w:left="567" w:hanging="567"/>
                              <w:contextualSpacing/>
                              <w:rPr>
                                <w:rFonts w:cs="Arial"/>
                                <w:sz w:val="18"/>
                                <w:szCs w:val="18"/>
                              </w:rPr>
                            </w:pPr>
                            <w:r>
                              <w:rPr>
                                <w:sz w:val="18"/>
                                <w:szCs w:val="18"/>
                              </w:rPr>
                              <w:t>átfogó kérdések (szereplők és társadalmi szerveződés).</w:t>
                            </w:r>
                          </w:p>
                          <w:p w:rsidR="005139CB" w:rsidRPr="000E5745" w:rsidRDefault="005139CB" w:rsidP="00320AA0">
                            <w:pPr>
                              <w:pStyle w:val="Hlistbullet"/>
                              <w:numPr>
                                <w:ilvl w:val="0"/>
                                <w:numId w:val="0"/>
                              </w:numPr>
                              <w:rPr>
                                <w:sz w:val="18"/>
                                <w:szCs w:val="18"/>
                              </w:rPr>
                            </w:pPr>
                            <w:r>
                              <w:rPr>
                                <w:sz w:val="18"/>
                                <w:szCs w:val="18"/>
                              </w:rPr>
                              <w:t xml:space="preserve">Az alaphelyzet meghatározásához különböző módszereket ötvöztek: 1) az agrár-ökoszisztéma értékelését, 2) az agrár- és a gazdálkodási rendszer elemzését, 3) a vidéki térségek elemzését, 4) a szereplők elemzését. A módszertan segítséget nyújt a jelentős természeti értéket képviselő területeken végrehajtott innovációk folyamatainak és hatásainak értékelését célzó kontrafaktuális helyzet meghatározásához. E módszer alkalmazására vonatkozó példa itt található: </w:t>
                            </w:r>
                            <w:hyperlink r:id="rId94"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37.4pt;height:283.5pt;visibility:visible;mso-wrap-style:square;mso-left-percent:-10001;mso-top-percent:-10001;mso-position-horizontal:absolute;mso-position-horizontal-relative:char;mso-position-vertical:absolute;mso-position-vertical-relative:line;mso-left-percent:-10001;mso-top-percent:-10001;v-text-anchor:middle" coordsize="5554980,360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" adj="-11796480,,5400" path="m142614,l5554980,r,l5554980,3457836v,78764,-63850,142614,-142614,142614l,3600450r,l,142614c,63850,63850,,142614,xe" filled="f" strokecolor="#f07e31" strokeweight="2pt">
                <v:stroke joinstyle="miter"/>
                <v:formulas/>
                <v:path arrowok="t" o:connecttype="custom" o:connectlocs="142614,0;5554980,0;5554980,0;5554980,3457836;5412366,3600450;0,3600450;0,3600450;0,142614;142614,0" o:connectangles="0,0,0,0,0,0,0,0,0" textboxrect="0,0,5554980,3600450"/>
                <v:textbox>
                  <w:txbxContent>
                    <w:p w:rsidR="005139CB" w:rsidRPr="00253803" w:rsidRDefault="005139CB"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88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 jelentős természeti értéket képviselő gazdálkodással foglalkozó tematikus hálózat.</w:t>
                      </w:r>
                    </w:p>
                    <w:p w:rsidR="005139CB" w:rsidRPr="00253803" w:rsidRDefault="005139CB" w:rsidP="00320AA0">
                      <w:pPr>
                        <w:spacing w:line="280" w:lineRule="atLeast"/>
                        <w:rPr>
                          <w:rFonts w:cs="Arial"/>
                          <w:sz w:val="18"/>
                          <w:szCs w:val="18"/>
                        </w:rPr>
                      </w:pPr>
                      <w:r>
                        <w:rPr>
                          <w:sz w:val="18"/>
                          <w:szCs w:val="18"/>
                        </w:rPr>
                        <w:t xml:space="preserve">A Horizont 2020 kutatási projekt keretében: </w:t>
                      </w:r>
                      <w:r>
                        <w:t>A jelentős természeti értékekkel foglalkozó, „</w:t>
                      </w:r>
                      <w:hyperlink r:id="rId95" w:history="1">
                        <w:r>
                          <w:rPr>
                            <w:rStyle w:val="Hyperlink"/>
                            <w:sz w:val="18"/>
                            <w:szCs w:val="18"/>
                          </w:rPr>
                          <w:t>HNV link</w:t>
                        </w:r>
                      </w:hyperlink>
                      <w:r>
                        <w:rPr>
                          <w:rStyle w:val="Hyperlink"/>
                          <w:sz w:val="18"/>
                          <w:szCs w:val="18"/>
                        </w:rPr>
                        <w:t>”</w:t>
                      </w:r>
                      <w:r>
                        <w:rPr>
                          <w:sz w:val="18"/>
                          <w:szCs w:val="18"/>
                        </w:rPr>
                        <w:t xml:space="preserve"> elnevezésű kutatócsoport értékelési keretrendszert dolgozott ki azon jelentős természeti értéket képviselő területek alaphelyzetének elemzésére, amelyekhez az innováció hozzájárulhat. Az alaphelyzet elemzése a következőkhöz kapcsolódó több jellegzetesség elemzésére terjed ki: </w:t>
                      </w:r>
                    </w:p>
                    <w:p w:rsidR="005139CB" w:rsidRPr="00253803" w:rsidRDefault="005139CB" w:rsidP="00320AA0">
                      <w:pPr>
                        <w:numPr>
                          <w:ilvl w:val="0"/>
                          <w:numId w:val="63"/>
                        </w:numPr>
                        <w:ind w:left="567" w:hanging="567"/>
                        <w:contextualSpacing/>
                        <w:rPr>
                          <w:rFonts w:cs="Arial"/>
                          <w:sz w:val="18"/>
                          <w:szCs w:val="18"/>
                        </w:rPr>
                      </w:pPr>
                      <w:r>
                        <w:rPr>
                          <w:sz w:val="18"/>
                          <w:szCs w:val="18"/>
                        </w:rPr>
                        <w:t>agrár-ökoszisztéma (talaj, éghajlat és helyettesítési feltételek);</w:t>
                      </w:r>
                    </w:p>
                    <w:p w:rsidR="005139CB" w:rsidRPr="00253803" w:rsidRDefault="005139CB" w:rsidP="00320AA0">
                      <w:pPr>
                        <w:numPr>
                          <w:ilvl w:val="0"/>
                          <w:numId w:val="63"/>
                        </w:numPr>
                        <w:ind w:left="567" w:hanging="567"/>
                        <w:contextualSpacing/>
                        <w:rPr>
                          <w:rFonts w:cs="Arial"/>
                          <w:sz w:val="18"/>
                          <w:szCs w:val="18"/>
                        </w:rPr>
                      </w:pPr>
                      <w:r>
                        <w:rPr>
                          <w:sz w:val="18"/>
                          <w:szCs w:val="18"/>
                        </w:rPr>
                        <w:t>gazdálkodási rendszerek és az agárrendszereken belüli dinamikájuk;</w:t>
                      </w:r>
                    </w:p>
                    <w:p w:rsidR="005139CB" w:rsidRPr="00253803" w:rsidRDefault="005139CB" w:rsidP="00320AA0">
                      <w:pPr>
                        <w:numPr>
                          <w:ilvl w:val="0"/>
                          <w:numId w:val="63"/>
                        </w:numPr>
                        <w:ind w:left="567" w:hanging="567"/>
                        <w:contextualSpacing/>
                        <w:rPr>
                          <w:rFonts w:cs="Arial"/>
                          <w:sz w:val="18"/>
                          <w:szCs w:val="18"/>
                        </w:rPr>
                      </w:pPr>
                      <w:r>
                        <w:rPr>
                          <w:sz w:val="18"/>
                          <w:szCs w:val="18"/>
                        </w:rPr>
                        <w:t xml:space="preserve">a vidéki háttér és a tágabb ösztönző tényezők (szakpolitikák, technológiák, társadalmi változások); </w:t>
                      </w:r>
                    </w:p>
                    <w:p w:rsidR="005139CB" w:rsidRPr="00253803" w:rsidRDefault="005139CB" w:rsidP="00320AA0">
                      <w:pPr>
                        <w:numPr>
                          <w:ilvl w:val="0"/>
                          <w:numId w:val="63"/>
                        </w:numPr>
                        <w:ind w:left="567" w:hanging="567"/>
                        <w:contextualSpacing/>
                        <w:rPr>
                          <w:rFonts w:cs="Arial"/>
                          <w:sz w:val="18"/>
                          <w:szCs w:val="18"/>
                        </w:rPr>
                      </w:pPr>
                      <w:r>
                        <w:rPr>
                          <w:sz w:val="18"/>
                          <w:szCs w:val="18"/>
                        </w:rPr>
                        <w:t>átfogó kérdések (szereplők és társadalmi szerveződés).</w:t>
                      </w:r>
                    </w:p>
                    <w:p w:rsidR="005139CB" w:rsidRPr="000E5745" w:rsidRDefault="005139CB" w:rsidP="00320AA0">
                      <w:pPr>
                        <w:pStyle w:val="Hlistbullet"/>
                        <w:numPr>
                          <w:ilvl w:val="0"/>
                          <w:numId w:val="0"/>
                        </w:numPr>
                        <w:rPr>
                          <w:sz w:val="18"/>
                          <w:szCs w:val="18"/>
                        </w:rPr>
                      </w:pPr>
                      <w:r>
                        <w:rPr>
                          <w:sz w:val="18"/>
                          <w:szCs w:val="18"/>
                        </w:rPr>
                        <w:t xml:space="preserve">Az alaphelyzet meghatározásához különböző módszereket ötvöztek: 1) az agrár-ökoszisztéma értékelését, 2) az agrár- és a gazdálkodási rendszer elemzését, 3) a vidéki térségek elemzését, 4) a szereplők elemzését. A módszertan segítséget nyújt a jelentős természeti értéket képviselő területeken végrehajtott innovációk folyamatainak és hatásainak értékelését célzó kontrafaktuális helyzet meghatározásához. E módszer alkalmazására vonatkozó példa itt található: </w:t>
                      </w:r>
                      <w:hyperlink r:id="rId96"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2. LÉPÉS – Gyűjtsön információt arról, hogy a VFP milyen teljesítményt ért el az elbírálási kritériumokhoz és a mutatókhoz képest</w:t>
      </w:r>
      <w:r>
        <w:t xml:space="preserve"> (a fenti értékelési elemeket tartalmazó 9. táblázatban javasoltak szerint) az arra vonatkozó három alkérdés esetén, hogy a VFP milyen mértékben fejtett ki hatást a három irányvonalra. </w:t>
      </w:r>
    </w:p>
    <w:p w:rsidR="00A45935" w:rsidRPr="00717885" w:rsidRDefault="00037CA6" w:rsidP="000026C6">
      <w:pPr>
        <w:pStyle w:val="Hlistbullet2"/>
      </w:pPr>
      <w:r>
        <w:t xml:space="preserve">Az </w:t>
      </w:r>
      <w:r>
        <w:rPr>
          <w:b/>
        </w:rPr>
        <w:t>1. irányvonal</w:t>
      </w:r>
      <w:r>
        <w:t xml:space="preserve"> elbírálási kritériuma: „a VFP által bevezetett innovatív ötletek, folyamatok, modellek és/vagy technológiák elfogadása”. Ez a 9. táblázatban javasolt közös és kiegészítő mutatókkal mérhető. A közös mutatókhoz a műveleteket tartalmazó adatbázisból gyűjthetők adatok. A kiegészítő mutatókhoz az értékelő által szervezett és lebonyolított felméréssel gyűjthetők adatok és információk (lásd az alábbi példát):</w:t>
      </w:r>
    </w:p>
    <w:p w:rsidR="00A45935" w:rsidRPr="00717885" w:rsidRDefault="00A45935" w:rsidP="000026C6">
      <w:pPr>
        <w:pStyle w:val="Hlistbullet2"/>
      </w:pPr>
      <w:r>
        <w:t xml:space="preserve">A </w:t>
      </w:r>
      <w:r>
        <w:rPr>
          <w:b/>
        </w:rPr>
        <w:t>2. irányvonalnak</w:t>
      </w:r>
      <w:r>
        <w:t xml:space="preserve"> három elbírálási kritériuma van, amelyekhez eredménymutatók társulnak: </w:t>
      </w:r>
    </w:p>
    <w:p w:rsidR="00A45935" w:rsidRPr="00E05D08" w:rsidRDefault="00D10682" w:rsidP="000026C6">
      <w:pPr>
        <w:numPr>
          <w:ilvl w:val="3"/>
          <w:numId w:val="44"/>
        </w:numPr>
        <w:spacing w:before="60" w:after="120" w:line="280" w:lineRule="atLeast"/>
        <w:ind w:left="1701" w:hanging="567"/>
        <w:rPr>
          <w:rFonts w:eastAsia="Times New Roman" w:cs="Arial"/>
          <w:szCs w:val="20"/>
        </w:rPr>
      </w:pPr>
      <w:r>
        <w:rPr>
          <w:noProof/>
          <w:highlight w:val="yellow"/>
          <w:lang w:val="en-GB" w:eastAsia="en-GB"/>
        </w:rPr>
        <w:lastRenderedPageBreak/>
        <mc:AlternateContent>
          <mc:Choice Requires="wps">
            <w:drawing>
              <wp:anchor distT="0" distB="0" distL="114300" distR="114300" simplePos="0" relativeHeight="251669504" behindDoc="0" locked="0" layoutInCell="1" allowOverlap="1" wp14:anchorId="4C84AE66" wp14:editId="19234C3C">
                <wp:simplePos x="0" y="0"/>
                <wp:positionH relativeFrom="column">
                  <wp:posOffset>95250</wp:posOffset>
                </wp:positionH>
                <wp:positionV relativeFrom="paragraph">
                  <wp:posOffset>152400</wp:posOffset>
                </wp:positionV>
                <wp:extent cx="5972175" cy="2324100"/>
                <wp:effectExtent l="0" t="0" r="28575" b="1905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972175" cy="2324100"/>
                        </a:xfrm>
                        <a:prstGeom prst="round2DiagRect">
                          <a:avLst>
                            <a:gd name="adj1" fmla="val 7843"/>
                            <a:gd name="adj2" fmla="val 0"/>
                          </a:avLst>
                        </a:prstGeom>
                        <a:noFill/>
                        <a:ln w="25400" cap="flat" cmpd="sng" algn="ctr">
                          <a:solidFill>
                            <a:srgbClr val="BE4A35"/>
                          </a:solidFill>
                          <a:prstDash val="solid"/>
                        </a:ln>
                        <a:effectLst/>
                      </wps:spPr>
                      <wps:txbx>
                        <w:txbxContent>
                          <w:p w:rsidR="005139CB" w:rsidRPr="003D7EC4" w:rsidRDefault="005139CB" w:rsidP="00E05D08">
                            <w:pPr>
                              <w:pStyle w:val="HStandard"/>
                              <w:rPr>
                                <w:rFonts w:cs="Arial"/>
                                <w:sz w:val="18"/>
                              </w:rPr>
                            </w:pPr>
                            <w:r>
                              <w:rPr>
                                <w:noProof/>
                                <w:lang w:val="en-GB" w:eastAsia="en-GB"/>
                              </w:rPr>
                              <w:drawing>
                                <wp:inline distT="0" distB="0" distL="0" distR="0" wp14:anchorId="5DAB0ECC" wp14:editId="06638E2A">
                                  <wp:extent cx="664845" cy="487680"/>
                                  <wp:effectExtent l="0" t="0" r="0" b="7620"/>
                                  <wp:docPr id="883"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 VFP által bevezetett innovatív ötletek, folyamatok, modellek és/vagy technológiák elfogadása az újdonságok elfogadásának szintjét és mértékét mérő és az újdonság forrását megállapító </w:t>
                            </w:r>
                            <w:r>
                              <w:rPr>
                                <w:b/>
                                <w:sz w:val="18"/>
                              </w:rPr>
                              <w:t>felmérésekkel</w:t>
                            </w:r>
                            <w:r>
                              <w:rPr>
                                <w:sz w:val="18"/>
                              </w:rPr>
                              <w:t xml:space="preserve"> értékelhető. A felmérésekre vonatkozó követelmények:</w:t>
                            </w:r>
                          </w:p>
                          <w:p w:rsidR="005139CB" w:rsidRPr="003D7EC4" w:rsidRDefault="005139CB" w:rsidP="008C0B17">
                            <w:pPr>
                              <w:pStyle w:val="HStandard"/>
                              <w:numPr>
                                <w:ilvl w:val="3"/>
                                <w:numId w:val="43"/>
                              </w:numPr>
                            </w:pPr>
                            <w:r>
                              <w:rPr>
                                <w:sz w:val="18"/>
                              </w:rPr>
                              <w:t>ki kell terjedniük az újdonság elfogadóira és elvetőire is, és arra kell törekedniük, hogy: a) megértsék az elfogadás hiányának az okait, valamint b) megállapítsák, hogy léteznek-e alternatív módszerek az újdonság által kezelt probléma megoldására;</w:t>
                            </w:r>
                          </w:p>
                          <w:p w:rsidR="005139CB" w:rsidRPr="000E5745" w:rsidRDefault="005139CB" w:rsidP="008C0B17">
                            <w:pPr>
                              <w:pStyle w:val="HStandard"/>
                              <w:numPr>
                                <w:ilvl w:val="3"/>
                                <w:numId w:val="43"/>
                              </w:numPr>
                            </w:pPr>
                            <w:r>
                              <w:rPr>
                                <w:sz w:val="18"/>
                              </w:rPr>
                              <w:t>azokat részletezni kell az új ötletek elfogadói és elvetői körében, amennyiben ismert, hogy ötletek elfogadásra kerültek, továbbá részletezni kell azokon a területeken, amelyekről az innovációs potenciál értékelése során megállapítást nyert, hogy ígéretesek (lásd a</w:t>
                            </w:r>
                            <w:hyperlink w:anchor="Screening_Potential" w:history="1">
                              <w:r>
                                <w:rPr>
                                  <w:rStyle w:val="Hyperlink"/>
                                  <w:sz w:val="18"/>
                                </w:rPr>
                                <w:t>2.2. fejezetet</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AE66" id="Rectangle: Diagonal Corners Rounded 562" o:spid="_x0000_s1056" style="position:absolute;left:0;text-align:left;margin-left:7.5pt;margin-top:12pt;width:470.2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2175,232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" adj="-11796480,,5400" path="m182279,l5972175,r,l5972175,2141821v,100670,-81609,182279,-182279,182279l,2324100r,l,182279c,81609,81609,,182279,xe" filled="f" strokecolor="#be4a35" strokeweight="2pt">
                <v:stroke joinstyle="miter"/>
                <v:formulas/>
                <v:path arrowok="t" o:connecttype="custom" o:connectlocs="182279,0;5972175,0;5972175,0;5972175,2141821;5789896,2324100;0,2324100;0,2324100;0,182279;182279,0" o:connectangles="0,0,0,0,0,0,0,0,0" textboxrect="0,0,5972175,2324100"/>
                <v:textbox>
                  <w:txbxContent>
                    <w:p w:rsidR="005139CB" w:rsidRPr="003D7EC4" w:rsidRDefault="005139CB" w:rsidP="00E05D08">
                      <w:pPr>
                        <w:pStyle w:val="HStandard"/>
                        <w:rPr>
                          <w:rFonts w:cs="Arial"/>
                          <w:sz w:val="18"/>
                        </w:rPr>
                      </w:pPr>
                      <w:r>
                        <w:rPr>
                          <w:noProof/>
                          <w:lang w:val="en-GB" w:eastAsia="en-GB"/>
                        </w:rPr>
                        <w:drawing>
                          <wp:inline distT="0" distB="0" distL="0" distR="0" wp14:anchorId="5DAB0ECC" wp14:editId="06638E2A">
                            <wp:extent cx="664845" cy="487680"/>
                            <wp:effectExtent l="0" t="0" r="0" b="7620"/>
                            <wp:docPr id="883"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 VFP által bevezetett innovatív ötletek, folyamatok, modellek és/vagy technológiák elfogadása az újdonságok elfogadásának szintjét és mértékét mérő és az újdonság forrását megállapító </w:t>
                      </w:r>
                      <w:r>
                        <w:rPr>
                          <w:b/>
                          <w:sz w:val="18"/>
                        </w:rPr>
                        <w:t>felmérésekkel</w:t>
                      </w:r>
                      <w:r>
                        <w:rPr>
                          <w:sz w:val="18"/>
                        </w:rPr>
                        <w:t xml:space="preserve"> értékelhető. A felmérésekre vonatkozó követelmények:</w:t>
                      </w:r>
                    </w:p>
                    <w:p w:rsidR="005139CB" w:rsidRPr="003D7EC4" w:rsidRDefault="005139CB" w:rsidP="008C0B17">
                      <w:pPr>
                        <w:pStyle w:val="HStandard"/>
                        <w:numPr>
                          <w:ilvl w:val="3"/>
                          <w:numId w:val="43"/>
                        </w:numPr>
                      </w:pPr>
                      <w:r>
                        <w:rPr>
                          <w:sz w:val="18"/>
                        </w:rPr>
                        <w:t>ki kell terjedniük az újdonság elfogadóira és elvetőire is, és arra kell törekedniük, hogy: a) megértsék az elfogadás hiányának az okait, valamint b) megállapítsák, hogy léteznek-e alternatív módszerek az újdonság által kezelt probléma megoldására;</w:t>
                      </w:r>
                    </w:p>
                    <w:p w:rsidR="005139CB" w:rsidRPr="000E5745" w:rsidRDefault="005139CB" w:rsidP="008C0B17">
                      <w:pPr>
                        <w:pStyle w:val="HStandard"/>
                        <w:numPr>
                          <w:ilvl w:val="3"/>
                          <w:numId w:val="43"/>
                        </w:numPr>
                      </w:pPr>
                      <w:r>
                        <w:rPr>
                          <w:sz w:val="18"/>
                        </w:rPr>
                        <w:t>azokat részletezni kell az új ötletek elfogadói és elvetői körében, amennyiben ismert, hogy ötletek elfogadásra kerültek, továbbá részletezni kell azokon a területeken, amelyekről az innovációs potenciál értékelése során megállapítást nyert, hogy ígéretesek (lásd a</w:t>
                      </w:r>
                      <w:hyperlink w:anchor="Screening_Potential" w:history="1">
                        <w:r>
                          <w:rPr>
                            <w:rStyle w:val="Hyperlink"/>
                            <w:sz w:val="18"/>
                          </w:rPr>
                          <w:t>2.2. fejezetet</w:t>
                        </w:r>
                      </w:hyperlink>
                      <w:r>
                        <w:rPr>
                          <w:sz w:val="18"/>
                        </w:rPr>
                        <w:t xml:space="preserve">). </w:t>
                      </w:r>
                    </w:p>
                  </w:txbxContent>
                </v:textbox>
                <w10:wrap type="square"/>
              </v:shape>
            </w:pict>
          </mc:Fallback>
        </mc:AlternateContent>
      </w:r>
      <w:r w:rsidR="00A45935">
        <w:t xml:space="preserve">Az első a VFP hozzájárulásával előidézett változásokban érintett szereplők közötti fokozott együttműködés és információmegosztás. Ennek keretében a következő kiegészítő mutatók segítségével meghatározzák a VFP által közvetített partneri megállapodásokat: „A VFP által közvetített formális partnerségek száma azon vidékfejlesztési prioritások változásaihoz kapcsolódóan, amelyekhez a VFP hozzájárult” és „az együttműködési projektekben részt vevő partnerek számának és típusának %-os növekedése” (lásd a </w:t>
      </w:r>
      <w:hyperlink r:id="rId97" w:history="1">
        <w:r w:rsidR="00A45935">
          <w:rPr>
            <w:color w:val="F07E31"/>
            <w:szCs w:val="20"/>
            <w:u w:val="single"/>
          </w:rPr>
          <w:t>2014–2020-as időszakra vonatkozó VFP-k közös értékelési kérdéseiről</w:t>
        </w:r>
      </w:hyperlink>
      <w:r w:rsidR="00A45935">
        <w:t xml:space="preserve"> szóló munkadokumentumot). Az első kiegészítő mutatóhoz az értékelők az értékelés során interjúk lebonyolításával és a létrejött partnerségekben részt vevő partnerekkel kialakított fókuszcsoportok közreműködésével gyűjthetnek adatokat és információkat. A második kiegészítő mutatóhoz közvetlenül a műveleteket tartalmazó adatbázisból gyűjthetik az adatokat. </w:t>
      </w:r>
    </w:p>
    <w:p w:rsidR="00A45935" w:rsidRPr="00E05D08" w:rsidRDefault="00D10682"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70528" behindDoc="0" locked="0" layoutInCell="1" allowOverlap="1" wp14:anchorId="24A1BA36" wp14:editId="295E4E0C">
                <wp:simplePos x="0" y="0"/>
                <wp:positionH relativeFrom="column">
                  <wp:posOffset>2800350</wp:posOffset>
                </wp:positionH>
                <wp:positionV relativeFrom="paragraph">
                  <wp:posOffset>1508125</wp:posOffset>
                </wp:positionV>
                <wp:extent cx="2981325" cy="2190750"/>
                <wp:effectExtent l="0" t="0" r="28575"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981325" cy="2190750"/>
                        </a:xfrm>
                        <a:prstGeom prst="round2DiagRect">
                          <a:avLst>
                            <a:gd name="adj1" fmla="val 7843"/>
                            <a:gd name="adj2" fmla="val 0"/>
                          </a:avLst>
                        </a:prstGeom>
                        <a:noFill/>
                        <a:ln w="25400" cap="flat" cmpd="sng" algn="ctr">
                          <a:solidFill>
                            <a:srgbClr val="BE4A35"/>
                          </a:solidFill>
                          <a:prstDash val="solid"/>
                        </a:ln>
                        <a:effectLst/>
                      </wps:spPr>
                      <wps:txbx>
                        <w:txbxContent>
                          <w:p w:rsidR="005139CB" w:rsidRPr="000E5745" w:rsidRDefault="005139CB" w:rsidP="00E05D08">
                            <w:pPr>
                              <w:pStyle w:val="HStandard"/>
                            </w:pPr>
                            <w:r>
                              <w:rPr>
                                <w:noProof/>
                                <w:lang w:val="en-GB" w:eastAsia="en-GB"/>
                              </w:rPr>
                              <w:drawing>
                                <wp:inline distT="0" distB="0" distL="0" distR="0" wp14:anchorId="109C23B3" wp14:editId="511235DC">
                                  <wp:extent cx="664845" cy="487680"/>
                                  <wp:effectExtent l="0" t="0" r="0" b="7620"/>
                                  <wp:docPr id="884"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Az </w:t>
                            </w:r>
                            <w:r>
                              <w:rPr>
                                <w:b/>
                                <w:color w:val="BE4A35"/>
                                <w:sz w:val="18"/>
                              </w:rPr>
                              <w:t>eredménygyűjtés</w:t>
                            </w:r>
                            <w:r>
                              <w:rPr>
                                <w:color w:val="BE4A35"/>
                                <w:sz w:val="18"/>
                              </w:rPr>
                              <w:t xml:space="preserve"> </w:t>
                            </w:r>
                            <w:r>
                              <w:rPr>
                                <w:sz w:val="18"/>
                              </w:rPr>
                              <w:t>olyan módszer, amely arra kéri a VFP hozzájárulásával előidézett változások szereplőit (a VFP szakpolitikai szerepvállalásában érintetteket), hogy nevezzék meg azokat a szakpolitikai változásokat, amelyekhez a VFP hozzájárult, ezt követően pedig jól informált, de független személyeket kér ezeknek az állításoknak a validálására.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20.5pt;margin-top:118.75pt;width:234.7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325,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" adj="-11796480,,5400" path="m171821,l2981325,r,l2981325,2018929v,94894,-76927,171821,-171821,171821l,2190750r,l,171821c,76927,76927,,171821,xe" filled="f" strokecolor="#be4a35" strokeweight="2pt">
                <v:stroke joinstyle="miter"/>
                <v:formulas/>
                <v:path arrowok="t" o:connecttype="custom" o:connectlocs="171821,0;2981325,0;2981325,0;2981325,2018929;2809504,2190750;0,2190750;0,2190750;0,171821;171821,0" o:connectangles="0,0,0,0,0,0,0,0,0" textboxrect="0,0,2981325,2190750"/>
                <v:textbox>
                  <w:txbxContent>
                    <w:p w:rsidR="005139CB" w:rsidRPr="000E5745" w:rsidRDefault="005139CB" w:rsidP="00E05D08">
                      <w:pPr>
                        <w:pStyle w:val="HStandard"/>
                      </w:pPr>
                      <w:r>
                        <w:rPr>
                          <w:noProof/>
                          <w:lang w:val="en-GB" w:eastAsia="en-GB"/>
                        </w:rPr>
                        <w:drawing>
                          <wp:inline distT="0" distB="0" distL="0" distR="0" wp14:anchorId="109C23B3" wp14:editId="511235DC">
                            <wp:extent cx="664845" cy="487680"/>
                            <wp:effectExtent l="0" t="0" r="0" b="7620"/>
                            <wp:docPr id="884"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Az </w:t>
                      </w:r>
                      <w:r>
                        <w:rPr>
                          <w:b/>
                          <w:color w:val="BE4A35"/>
                          <w:sz w:val="18"/>
                        </w:rPr>
                        <w:t>eredménygyűjtés</w:t>
                      </w:r>
                      <w:r>
                        <w:rPr>
                          <w:color w:val="BE4A35"/>
                          <w:sz w:val="18"/>
                        </w:rPr>
                        <w:t xml:space="preserve"> </w:t>
                      </w:r>
                      <w:r>
                        <w:rPr>
                          <w:sz w:val="18"/>
                        </w:rPr>
                        <w:t>olyan módszer, amely arra kéri a VFP hozzájárulásával előidézett változások szereplőit (a VFP szakpolitikai szerepvállalásában érintetteket), hogy nevezzék meg azokat a szakpolitikai változásokat, amelyekhez a VFP hozzájárult, ezt követően pedig jól informált, de független személyeket kér ezeknek az állításoknak a validálására.</w:t>
                      </w:r>
                    </w:p>
                  </w:txbxContent>
                </v:textbox>
                <w10:wrap type="square"/>
              </v:shape>
            </w:pict>
          </mc:Fallback>
        </mc:AlternateContent>
      </w:r>
      <w:r w:rsidR="00A45935">
        <w:t>A második kiegészítő mutató arra vonatkozik, hogy a VFP hogyan járul hozzá a fokozottabb tanuláshoz, eszmecseréhez és ismeretmegosztáshoz. Ennek keretében meg kell határozni azokat a virtuális és személyes platformokat (például szakemberközösségeket), csoportokat és intézményi „terek” egyéb formáit (például a fellépés utáni felülvizsgálatokat), amelyek lehetővé teszik az innovációs folyamat résztvevői számára a tapasztalatcserét, a tapasztalatok jelentéséről és értékéről folytatott eszmecserét, a tanulást és a további fellépést. Javasolt, hogy: „a VFP által létrehozott vagy megerősített innovációtámogató platformok és »terek«” kiegészítő eredménymutatót az ezen elbírálási kritériummal meghatározott siker méréséhez használják</w:t>
      </w:r>
      <w:r w:rsidR="00A45935">
        <w:rPr>
          <w:i/>
          <w:sz w:val="18"/>
          <w:szCs w:val="16"/>
        </w:rPr>
        <w:t xml:space="preserve">. </w:t>
      </w:r>
      <w:r w:rsidR="00A45935">
        <w:t xml:space="preserve">Az értékelőknek a mennyiségi és a minőségi információkat az értékelés során kell összegyűjteniük (például a fenti platformok/terek résztvevőivel kialakított fókuszcsoportokkal bonyolított interjúkkal).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lastRenderedPageBreak/>
        <w:t>A harmadik kiegészítő mutató a változással érintett innovációs rendszeren belüli információáramlás javulására és a rendszeren belüli szervezettípusok sokféleségének növekedésére vonatkozik. Bizonyítékok a következő eredménymutatóval gyűjthetők: „a hálózati útvonal átlagos hosszának és a hálózat sokféleségének csökkenése”. Ez az értékelő által az értékelés során végzendő közösségihálózat-elemzéssel mérhető.</w:t>
      </w:r>
      <w:r>
        <w:rPr>
          <w:b/>
          <w:i/>
          <w:color w:val="BE4A35"/>
          <w:szCs w:val="20"/>
        </w:rPr>
        <w:t xml:space="preserve"> </w:t>
      </w:r>
      <w:r>
        <w:t xml:space="preserve">A </w:t>
      </w:r>
      <w:r>
        <w:rPr>
          <w:b/>
          <w:i/>
          <w:color w:val="BE4A35"/>
          <w:szCs w:val="20"/>
        </w:rPr>
        <w:t>közösségihálózat-elemzés</w:t>
      </w:r>
      <w:r>
        <w:rPr>
          <w:rFonts w:eastAsia="Calibri" w:cs="Times New Roman"/>
          <w:szCs w:val="20"/>
          <w:vertAlign w:val="superscript"/>
        </w:rPr>
        <w:footnoteReference w:id="77"/>
      </w:r>
      <w:r>
        <w:t xml:space="preserve"> a kapcsolódó mutatókhoz két időpontban történő bizonyítékgyűjtéshez alkalmazandó módszer, amellyel ki kell számítani az átlagos útvonalhossz és a különböző érintett szereplők számában bekövetkezett változásokat. A változásokat ezt követően az ok-okozati kapcsolatra vonatkozó állítások igazolására vagy figyelmen kívül hagyására képes, jól informált, de független kulcsinformátorokkal bonyolított </w:t>
      </w:r>
      <w:r>
        <w:rPr>
          <w:b/>
          <w:i/>
          <w:szCs w:val="20"/>
        </w:rPr>
        <w:t>interjúkkal</w:t>
      </w:r>
      <w:r>
        <w:t xml:space="preserve"> vissza kell vezetni a VFP keretében végrehajtott beavatkozásra. Ideális esetben az alaphelyzet az innovációs potenciálnak a VFP kezdetén történő becslése keretében már megállapításra került.</w:t>
      </w:r>
    </w:p>
    <w:p w:rsidR="00A45935" w:rsidRPr="00E34FAC" w:rsidRDefault="00A45935" w:rsidP="00A847F8">
      <w:pPr>
        <w:pStyle w:val="Hlistbullet2"/>
      </w:pPr>
      <w:r>
        <w:t xml:space="preserve">A </w:t>
      </w:r>
      <w:r>
        <w:rPr>
          <w:b/>
        </w:rPr>
        <w:t>3. irányvonalnak</w:t>
      </w:r>
      <w:r>
        <w:t xml:space="preserve"> több elbírálási kritériuma van a támogató környezetek 1.1. fejezetben ismertetett különféle típusaihoz kapcsolódóan:</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Az első arra vonatkozik, hogy a VFP milyen mértékben nyújtott tájékoztatást azokhoz a szakpolitikákhoz, amelyek támogatták a VFP hozzájárulásával előidézett változást. Ez szükségessé teszi azoknak a szakpolitikáknak a meghatározását, amelyekről a VFP azt állíthatja, hogy befolyásolta azokat, ezután ezen állítások jogosságának megállapítását célzó bizonyítási folyamatnak kell következnie. Az értékelés során a bizonyítékgyűjtés a következő kiegészítő eredménymutató segítségével történhet: „azon szakpolitikák száma és típusa, amelyekre a VFP befolyást gyakorolt a részt vevő szervezetek és a tágabb támogató környezet szintjén”. Az eredménygyűjtés</w:t>
      </w:r>
      <w:r>
        <w:rPr>
          <w:rFonts w:eastAsia="Times New Roman" w:cs="Arial"/>
          <w:szCs w:val="20"/>
          <w:vertAlign w:val="superscript"/>
          <w:lang w:eastAsia="de-DE"/>
        </w:rPr>
        <w:footnoteReference w:id="78"/>
      </w:r>
      <w:r>
        <w:t xml:space="preserve"> a VFP szakpolitikai szerepvállalásának értékeléséhez jól igazodó megközelítés.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A második elbírálási kritérium a VFP által támogatott képzési lehetőségekre és innovatív gyakorlatok cseréjére vonatkozik. A bizonyítékgyűjtéshez javasolt kiegészítő eredménymutató a következő: „innovatív gyakorlatok cseréjét célzó képzések és események száma, valamint a VFP által támogatott képzések/események teljes számához viszonyított részarányuk”. A mutatóhoz a műveleteket tartalmazó adatbázisból gyűjthetők adatok a képzési tevékenységekre és eseményekre vonatkozó információk innovációval való összefüggésbe hozását követően.</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A harmadik elbírálási kritérium az innovációs szereplők közötti támogató kölcsönhatásokhoz kapcsolódik. Az ezen elbírálási kritériumhoz kapcsolódó siker méréséhez a következő kiegészítő eredménymutató használata ajánlott: „a VFP keretében támogatott innovációs szereplők közötti kapcsolatteremtésre összpontosító, szervezett események száma”. Ehhez a mutatóhoz a műveleteket tartalmazó adatbázisból gyűjthetők adatok (például az események monitoringjához a VFP által támogatott innovációs szereplőkre vonatkozó információk hozzáadásával). </w:t>
      </w:r>
    </w:p>
    <w:p w:rsidR="001275FF" w:rsidRDefault="00A45935" w:rsidP="00A847F8">
      <w:pPr>
        <w:numPr>
          <w:ilvl w:val="0"/>
          <w:numId w:val="48"/>
        </w:numPr>
        <w:spacing w:before="60" w:after="120" w:line="280" w:lineRule="atLeast"/>
        <w:ind w:left="1701" w:hanging="567"/>
        <w:rPr>
          <w:rFonts w:eastAsia="Calibri" w:cs="Arial"/>
          <w:szCs w:val="20"/>
        </w:rPr>
      </w:pPr>
      <w:r>
        <w:lastRenderedPageBreak/>
        <w:t xml:space="preserve">A negyedik elbírálási kritérium arra vonatkozik, hogy a VFP hogyan hoz létre támogató környezetet új technológiák bevezetéséhez. A következő kiegészítő eredménymutatóval mérhető: „a VFP keretében támogatott vidéki térségekben alkalmazott új technológiák száma típusonkénti bontásban”. Az e mutatóhoz szükséges információk a műveleteket tartalmazó adatbázisból gyűjthetők, megfelelő kiigazítás esetén.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46976" behindDoc="0" locked="0" layoutInCell="1" allowOverlap="1" wp14:anchorId="7C1AB931" wp14:editId="3771719A">
                <wp:simplePos x="0" y="0"/>
                <wp:positionH relativeFrom="column">
                  <wp:posOffset>38100</wp:posOffset>
                </wp:positionH>
                <wp:positionV relativeFrom="paragraph">
                  <wp:posOffset>1895475</wp:posOffset>
                </wp:positionV>
                <wp:extent cx="5670550" cy="272415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24150"/>
                        </a:xfrm>
                        <a:prstGeom prst="round2DiagRect">
                          <a:avLst>
                            <a:gd name="adj1" fmla="val 7843"/>
                            <a:gd name="adj2" fmla="val 0"/>
                          </a:avLst>
                        </a:prstGeom>
                        <a:noFill/>
                        <a:ln w="25400" cap="flat" cmpd="sng" algn="ctr">
                          <a:solidFill>
                            <a:srgbClr val="BE4A35"/>
                          </a:solidFill>
                          <a:prstDash val="solid"/>
                        </a:ln>
                        <a:effectLst/>
                      </wps:spPr>
                      <wps:txbx>
                        <w:txbxContent>
                          <w:p w:rsidR="005139CB" w:rsidRPr="00EF653F" w:rsidRDefault="005139CB"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885"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Az okfejtés kidolgozására és az eredmények pontozására szolgáló technikák</w:t>
                            </w:r>
                          </w:p>
                          <w:p w:rsidR="005139CB" w:rsidRPr="00EF653F" w:rsidRDefault="005139CB" w:rsidP="00E05D08">
                            <w:pPr>
                              <w:pStyle w:val="HStandard"/>
                              <w:rPr>
                                <w:rFonts w:cs="Arial"/>
                                <w:sz w:val="18"/>
                                <w:szCs w:val="18"/>
                              </w:rPr>
                            </w:pPr>
                            <w:r>
                              <w:rPr>
                                <w:sz w:val="18"/>
                                <w:szCs w:val="18"/>
                              </w:rPr>
                              <w:t xml:space="preserve">Az okfejtés kidolgozása során az értékelő több </w:t>
                            </w:r>
                            <w:r>
                              <w:rPr>
                                <w:b/>
                                <w:sz w:val="18"/>
                                <w:szCs w:val="18"/>
                              </w:rPr>
                              <w:t>technikát</w:t>
                            </w:r>
                            <w:r>
                              <w:rPr>
                                <w:sz w:val="18"/>
                                <w:szCs w:val="18"/>
                              </w:rPr>
                              <w:t xml:space="preserve"> alkalmazhat </w:t>
                            </w:r>
                            <w:r>
                              <w:rPr>
                                <w:b/>
                                <w:sz w:val="18"/>
                                <w:szCs w:val="18"/>
                              </w:rPr>
                              <w:t xml:space="preserve">az eset triangulációjára és alátámasztására. </w:t>
                            </w:r>
                            <w:r>
                              <w:rPr>
                                <w:sz w:val="18"/>
                                <w:szCs w:val="18"/>
                              </w:rPr>
                              <w:t>Ezek a technikák többek között a következők: a hozzájárulás elemzése, amelynek során az értékelő meghatározza a változás alátámasztásához szükséges és elégséges ok-okozati rendszert</w:t>
                            </w:r>
                            <w:r>
                              <w:rPr>
                                <w:sz w:val="18"/>
                                <w:szCs w:val="18"/>
                                <w:vertAlign w:val="superscript"/>
                              </w:rPr>
                              <w:t>82</w:t>
                            </w:r>
                            <w:r>
                              <w:rPr>
                                <w:sz w:val="18"/>
                                <w:szCs w:val="18"/>
                              </w:rPr>
                              <w:t>; alternatív okfejtések meghatározása és figyelmen kívül hagyása</w:t>
                            </w:r>
                            <w:r>
                              <w:rPr>
                                <w:sz w:val="18"/>
                                <w:szCs w:val="18"/>
                                <w:vertAlign w:val="superscript"/>
                              </w:rPr>
                              <w:t>83</w:t>
                            </w:r>
                            <w:r>
                              <w:rPr>
                                <w:sz w:val="18"/>
                                <w:szCs w:val="18"/>
                              </w:rPr>
                              <w:t xml:space="preserve"> és/vagy a VFP hozzájárulása melletti érvekhez összeállított bizonyítéklánc kulcselemeinek meghatározása és alátámasztása</w:t>
                            </w:r>
                            <w:r>
                              <w:rPr>
                                <w:sz w:val="18"/>
                                <w:szCs w:val="18"/>
                                <w:vertAlign w:val="superscript"/>
                              </w:rPr>
                              <w:t>84</w:t>
                            </w:r>
                            <w:r>
                              <w:rPr>
                                <w:sz w:val="18"/>
                                <w:szCs w:val="18"/>
                              </w:rPr>
                              <w:t>.</w:t>
                            </w:r>
                          </w:p>
                          <w:p w:rsidR="005139CB" w:rsidRPr="000E5745" w:rsidRDefault="005139CB" w:rsidP="00E05D08">
                            <w:pPr>
                              <w:pStyle w:val="HStandard"/>
                            </w:pPr>
                            <w:r>
                              <w:rPr>
                                <w:sz w:val="18"/>
                                <w:szCs w:val="18"/>
                              </w:rPr>
                              <w:t>A VFP hozzájárulásának mértékét Likert-skálán</w:t>
                            </w:r>
                            <w:r>
                              <w:rPr>
                                <w:sz w:val="18"/>
                                <w:szCs w:val="18"/>
                                <w:vertAlign w:val="superscript"/>
                              </w:rPr>
                              <w:t>85</w:t>
                            </w:r>
                            <w:r>
                              <w:rPr>
                                <w:sz w:val="18"/>
                                <w:szCs w:val="18"/>
                              </w:rPr>
                              <w:t xml:space="preserve"> kell eldönteni: nincs, kevés, néhány, jelentősen hozzájáruló tényező, egyetlen hozzájáruló tényező. Az értékelőnek a megállapításokban a saját konfidenciaszintjét is pontoznia kell egy hasonló ötös skálán. Az adott pontszámot meg kell indokolni.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49.25pt;width:446.5pt;height:2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2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" adj="-11796480,,5400" path="m213655,l5670550,r,l5670550,2510495v,117998,-95657,213655,-213655,213655l,2724150r,l,213655c,95657,95657,,213655,xe" filled="f" strokecolor="#be4a35" strokeweight="2pt">
                <v:stroke joinstyle="miter"/>
                <v:formulas/>
                <v:path arrowok="t" o:connecttype="custom" o:connectlocs="213655,0;5670550,0;5670550,0;5670550,2510495;5456895,2724150;0,2724150;0,2724150;0,213655;213655,0" o:connectangles="0,0,0,0,0,0,0,0,0" textboxrect="0,0,5670550,2724150"/>
                <v:textbox>
                  <w:txbxContent>
                    <w:p w:rsidR="005139CB" w:rsidRPr="00EF653F" w:rsidRDefault="005139CB"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885"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Az okfejtés kidolgozására és az eredmények pontozására szolgáló technikák</w:t>
                      </w:r>
                    </w:p>
                    <w:p w:rsidR="005139CB" w:rsidRPr="00EF653F" w:rsidRDefault="005139CB" w:rsidP="00E05D08">
                      <w:pPr>
                        <w:pStyle w:val="HStandard"/>
                        <w:rPr>
                          <w:rFonts w:cs="Arial"/>
                          <w:sz w:val="18"/>
                          <w:szCs w:val="18"/>
                        </w:rPr>
                      </w:pPr>
                      <w:r>
                        <w:rPr>
                          <w:sz w:val="18"/>
                          <w:szCs w:val="18"/>
                        </w:rPr>
                        <w:t xml:space="preserve">Az okfejtés kidolgozása során az értékelő több </w:t>
                      </w:r>
                      <w:r>
                        <w:rPr>
                          <w:b/>
                          <w:sz w:val="18"/>
                          <w:szCs w:val="18"/>
                        </w:rPr>
                        <w:t>technikát</w:t>
                      </w:r>
                      <w:r>
                        <w:rPr>
                          <w:sz w:val="18"/>
                          <w:szCs w:val="18"/>
                        </w:rPr>
                        <w:t xml:space="preserve"> alkalmazhat </w:t>
                      </w:r>
                      <w:r>
                        <w:rPr>
                          <w:b/>
                          <w:sz w:val="18"/>
                          <w:szCs w:val="18"/>
                        </w:rPr>
                        <w:t xml:space="preserve">az eset triangulációjára és alátámasztására. </w:t>
                      </w:r>
                      <w:r>
                        <w:rPr>
                          <w:sz w:val="18"/>
                          <w:szCs w:val="18"/>
                        </w:rPr>
                        <w:t>Ezek a technikák többek között a következők: a hozzájárulás elemzése, amelynek során az értékelő meghatározza a változás alátámasztásához szükséges és elégséges ok-okozati rendszert</w:t>
                      </w:r>
                      <w:r>
                        <w:rPr>
                          <w:sz w:val="18"/>
                          <w:szCs w:val="18"/>
                          <w:vertAlign w:val="superscript"/>
                        </w:rPr>
                        <w:t>82</w:t>
                      </w:r>
                      <w:r>
                        <w:rPr>
                          <w:sz w:val="18"/>
                          <w:szCs w:val="18"/>
                        </w:rPr>
                        <w:t>; alternatív okfejtések meghatározása és figyelmen kívül hagyása</w:t>
                      </w:r>
                      <w:r>
                        <w:rPr>
                          <w:sz w:val="18"/>
                          <w:szCs w:val="18"/>
                          <w:vertAlign w:val="superscript"/>
                        </w:rPr>
                        <w:t>83</w:t>
                      </w:r>
                      <w:r>
                        <w:rPr>
                          <w:sz w:val="18"/>
                          <w:szCs w:val="18"/>
                        </w:rPr>
                        <w:t xml:space="preserve"> és/vagy a VFP hozzájárulása melletti érvekhez összeállított bizonyítéklánc kulcselemeinek meghatározása és alátámasztása</w:t>
                      </w:r>
                      <w:r>
                        <w:rPr>
                          <w:sz w:val="18"/>
                          <w:szCs w:val="18"/>
                          <w:vertAlign w:val="superscript"/>
                        </w:rPr>
                        <w:t>84</w:t>
                      </w:r>
                      <w:r>
                        <w:rPr>
                          <w:sz w:val="18"/>
                          <w:szCs w:val="18"/>
                        </w:rPr>
                        <w:t>.</w:t>
                      </w:r>
                    </w:p>
                    <w:p w:rsidR="005139CB" w:rsidRPr="000E5745" w:rsidRDefault="005139CB" w:rsidP="00E05D08">
                      <w:pPr>
                        <w:pStyle w:val="HStandard"/>
                      </w:pPr>
                      <w:r>
                        <w:rPr>
                          <w:sz w:val="18"/>
                          <w:szCs w:val="18"/>
                        </w:rPr>
                        <w:t>A VFP hozzájárulásának mértékét Likert-skálán</w:t>
                      </w:r>
                      <w:r>
                        <w:rPr>
                          <w:sz w:val="18"/>
                          <w:szCs w:val="18"/>
                          <w:vertAlign w:val="superscript"/>
                        </w:rPr>
                        <w:t>85</w:t>
                      </w:r>
                      <w:r>
                        <w:rPr>
                          <w:sz w:val="18"/>
                          <w:szCs w:val="18"/>
                        </w:rPr>
                        <w:t xml:space="preserve"> kell eldönteni: nincs, kevés, néhány, jelentősen hozzájáruló tényező, egyetlen hozzájáruló tényező. Az értékelőnek a megállapításokban a saját konfidenciaszintjét is pontoznia kell egy hasonló ötös skálán. Az adott pontszámot meg kell indokolni.</w:t>
                      </w:r>
                    </w:p>
                  </w:txbxContent>
                </v:textbox>
                <w10:wrap type="square"/>
              </v:shape>
            </w:pict>
          </mc:Fallback>
        </mc:AlternateContent>
      </w:r>
      <w:r>
        <w:rPr>
          <w:b/>
        </w:rPr>
        <w:t>3. LÉPÉS – Dolgozzon ki ok-okozati ütemtervet és okfejtést</w:t>
      </w:r>
      <w:r>
        <w:t xml:space="preserve"> arról, hogy hogyan idéződött (idéződtek) elő az 1. lépésben meghatározott változás(ok). Az okfejtés eleve azt feltételezi, hogy a változás(oka)t a három irányvonal közül egy vagy több és a közöttük lévő kölcsönhatások idézték elő (lásd az </w:t>
      </w:r>
      <w:hyperlink w:anchor="Pathways" w:history="1">
        <w:r>
          <w:rPr>
            <w:rStyle w:val="Hyperlink"/>
            <w:sz w:val="20"/>
          </w:rPr>
          <w:t>1. ábrát</w:t>
        </w:r>
      </w:hyperlink>
      <w:r>
        <w:t>). Az ütemtervnek és az okfejtésnek a változást kiváltó összes fontos eseményre és folyamatra, nemcsak a VFP tevékenységéből fakadó eseményekre és folyamatokra ki kell térnie. Ez a megközelítés esettanulmányon alapuló módszerre</w:t>
      </w:r>
      <w:r>
        <w:rPr>
          <w:rFonts w:cs="Arial"/>
          <w:vertAlign w:val="superscript"/>
        </w:rPr>
        <w:footnoteReference w:id="79"/>
      </w:r>
      <w:r>
        <w:t xml:space="preserve"> épül. Hasznos konkrét módszer lehet a folyamatkövetés (az eredmény és az okai közötti elméleti útvonal kialakítása több alternatíva figyelembevételével)</w:t>
      </w:r>
      <w:r>
        <w:rPr>
          <w:rFonts w:cs="Arial"/>
          <w:vertAlign w:val="superscript"/>
        </w:rPr>
        <w:footnoteReference w:id="80"/>
      </w:r>
      <w:r>
        <w:t xml:space="preserve"> és az innovációs történetek összeállítása (innovációs folyamatok rögzítésére és átgondolására szolgáló módszer)</w:t>
      </w:r>
      <w:r>
        <w:rPr>
          <w:vertAlign w:val="superscript"/>
        </w:rPr>
        <w:t xml:space="preserve"> </w:t>
      </w:r>
      <w:r>
        <w:rPr>
          <w:rFonts w:cs="Arial"/>
          <w:vertAlign w:val="superscript"/>
        </w:rPr>
        <w:footnoteReference w:id="81"/>
      </w:r>
      <w:r>
        <w:t>. Az adatok az előző lépésekből, a VFP dokumentációjának felülvizsgálatából és/vagy a programban részt vevő munkatársakkal és érdekelt felekkel bonyolított kulcsinformátori interjúkból származnak</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4. LÉPÉS – Hasonlítsa össze az értékelés előtt meghatározott innovációs potenciált a VFP hozzájárulásával.</w:t>
      </w:r>
      <w:r>
        <w:t xml:space="preserve"> Munkahipotézisünk az, hogy lesznek olyan eltérések, amelyek segítséget nyújtanak az érintettek számára annak megértésében, hogy az innováció olyan újonnan megjelenő és előrejelezhetetlen folyamat, amely ennek ellenére felkarolható, ha a VFP keretében működnek tanulási és adaptív irányítási mechanizmusok.</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Kockázatok és megoldások</w:t>
      </w:r>
      <w:r>
        <w:t xml:space="preserve"> </w:t>
      </w:r>
    </w:p>
    <w:p w:rsidR="00E05D08" w:rsidRPr="00AB6603" w:rsidRDefault="00AB6603" w:rsidP="00A847F8">
      <w:pPr>
        <w:spacing w:before="120" w:after="120" w:line="280" w:lineRule="atLeast"/>
        <w:mirrorIndents/>
        <w:rPr>
          <w:rFonts w:eastAsia="Times New Roman" w:cs="Times New Roman"/>
          <w:b/>
          <w:szCs w:val="20"/>
        </w:rPr>
      </w:pPr>
      <w:r>
        <w:t>A legnagyobb kockázatot az jelenti, hogy az esettanulmány fent ismertetett értékelése nem kellően magas színvonalú ahhoz, hogy a következtetései meggyőzőek legyenek.</w:t>
      </w:r>
    </w:p>
    <w:p w:rsidR="00E05D08" w:rsidRDefault="00E05D08" w:rsidP="00E05D08">
      <w:pPr>
        <w:spacing w:after="120" w:line="280" w:lineRule="atLeast"/>
        <w:mirrorIndents/>
        <w:rPr>
          <w:rFonts w:eastAsia="Times New Roman" w:cs="Arial"/>
          <w:szCs w:val="20"/>
        </w:rPr>
      </w:pPr>
      <w:r>
        <w:lastRenderedPageBreak/>
        <w:t xml:space="preserve">Másfelől az esettanulmányon alapuló megközelítés alkalmazásának elmaradása esetén az a kockázat áll fenn, hogy a 30. sz. közös értékelési kérdést nem csak az elbírálási szempontok és a mutatók tekintetében kell értékelni, ami nem fogja lehetővé tenni annak értékelését, hogy milyen mértékű a VFP hozzájárulása, és az érintettek számára sem teszi lehetővé annak kiderítését, hogy a változás hogyan következik be összetett rendszerekben.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Következtetések és ajánlások</w:t>
      </w:r>
    </w:p>
    <w:p w:rsidR="00E05D08" w:rsidRPr="00E05D08" w:rsidRDefault="00E05D08" w:rsidP="00E05D08">
      <w:pPr>
        <w:spacing w:after="120" w:line="280" w:lineRule="atLeast"/>
        <w:mirrorIndents/>
        <w:rPr>
          <w:rFonts w:eastAsia="Times New Roman" w:cs="Arial"/>
          <w:szCs w:val="20"/>
        </w:rPr>
      </w:pPr>
      <w:r>
        <w:t>A 30. sz. közös értékelési kérdéshez kapcsolódó következtetéseknek és ajánlásoknak a következőkre kell tekintettel lenniük:</w:t>
      </w:r>
    </w:p>
    <w:p w:rsidR="00E05D08" w:rsidRPr="00812586" w:rsidRDefault="00E05D08" w:rsidP="00320AA0">
      <w:pPr>
        <w:pStyle w:val="Hlistbullet"/>
      </w:pPr>
      <w:r>
        <w:t xml:space="preserve">azok a konkrét intézkedések (és kombinációik), amelyek a legeredményesebbek és leghatékonyabbak voltak a vidéki térségeken belüli innováció VFP keretében történő előmozdításához; </w:t>
      </w:r>
    </w:p>
    <w:p w:rsidR="00E05D08" w:rsidRPr="00812586" w:rsidRDefault="00E05D08" w:rsidP="00320AA0">
      <w:pPr>
        <w:pStyle w:val="Hlistbullet"/>
      </w:pPr>
      <w:r>
        <w:t xml:space="preserve">a VFP miként mozdította elő az innovációt a három irányvonalhoz kapcsolódóan; </w:t>
      </w:r>
    </w:p>
    <w:p w:rsidR="00E05D08" w:rsidRPr="00812586" w:rsidRDefault="00E05D08" w:rsidP="00320AA0">
      <w:pPr>
        <w:pStyle w:val="Hlistbullet"/>
      </w:pPr>
      <w:r>
        <w:t xml:space="preserve">azok a szakpolitikai célkitűzések, amelyekhez az előmozdított innováció a legjelentősebben hozzájárult; </w:t>
      </w:r>
    </w:p>
    <w:p w:rsidR="000E0FE4" w:rsidRDefault="00E05D08" w:rsidP="00320AA0">
      <w:pPr>
        <w:pStyle w:val="Hlistbullet"/>
      </w:pPr>
      <w:r>
        <w:t xml:space="preserve">azok az érdekelt felek és a VFP azon kedvezményezettjei, akik/amelyek a legeredményesebb innovációhordozók voltak. </w:t>
      </w:r>
      <w:r>
        <w:br w:type="page"/>
      </w:r>
    </w:p>
    <w:p w:rsidR="000E0FE4" w:rsidRDefault="000E0FE4" w:rsidP="000E0FE4">
      <w:pPr>
        <w:ind w:left="720"/>
        <w:mirrorIndents/>
        <w:rPr>
          <w:szCs w:val="20"/>
        </w:rPr>
        <w:sectPr w:rsidR="000E0FE4" w:rsidSect="001F6F07">
          <w:headerReference w:type="first" r:id="rId98"/>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48000" behindDoc="0" locked="0" layoutInCell="1" allowOverlap="1" wp14:anchorId="2604CA04" wp14:editId="29E715E4">
                <wp:simplePos x="0" y="0"/>
                <wp:positionH relativeFrom="column">
                  <wp:posOffset>-57150</wp:posOffset>
                </wp:positionH>
                <wp:positionV relativeFrom="paragraph">
                  <wp:posOffset>323850</wp:posOffset>
                </wp:positionV>
                <wp:extent cx="5811864" cy="582930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5829300"/>
                        </a:xfrm>
                        <a:prstGeom prst="round2DiagRect">
                          <a:avLst>
                            <a:gd name="adj1" fmla="val 6996"/>
                            <a:gd name="adj2" fmla="val 0"/>
                          </a:avLst>
                        </a:prstGeom>
                        <a:noFill/>
                        <a:ln w="25400" cap="flat" cmpd="sng" algn="ctr">
                          <a:solidFill>
                            <a:srgbClr val="59638E"/>
                          </a:solidFill>
                          <a:prstDash val="solid"/>
                        </a:ln>
                        <a:effectLst/>
                      </wps:spPr>
                      <wps:txbx>
                        <w:txbxContent>
                          <w:p w:rsidR="005139CB" w:rsidRDefault="005139CB"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88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BA450C" w:rsidRDefault="005139CB" w:rsidP="00BA450C">
                            <w:pPr>
                              <w:pStyle w:val="HStandard"/>
                              <w:rPr>
                                <w:sz w:val="18"/>
                                <w:szCs w:val="18"/>
                              </w:rPr>
                            </w:pPr>
                            <w:r>
                              <w:rPr>
                                <w:sz w:val="18"/>
                                <w:szCs w:val="18"/>
                              </w:rPr>
                              <w:t xml:space="preserve">Allen, I.E. és Seaman, C.A. (2007). </w:t>
                            </w:r>
                            <w:hyperlink r:id="rId99" w:history="1">
                              <w:r>
                                <w:rPr>
                                  <w:rStyle w:val="Hyperlink"/>
                                  <w:sz w:val="18"/>
                                  <w:szCs w:val="18"/>
                                </w:rPr>
                                <w:t>Likert scales and data analyses</w:t>
                              </w:r>
                            </w:hyperlink>
                            <w:r>
                              <w:rPr>
                                <w:sz w:val="18"/>
                                <w:szCs w:val="18"/>
                              </w:rPr>
                              <w:t xml:space="preserve"> (Likert-skálák és adatelemzések). Quality progress, 40(7), 64. o.</w:t>
                            </w:r>
                          </w:p>
                          <w:p w:rsidR="005139CB" w:rsidRPr="00BA450C" w:rsidRDefault="005139CB" w:rsidP="00BA450C">
                            <w:pPr>
                              <w:pStyle w:val="HStandard"/>
                              <w:jc w:val="left"/>
                              <w:rPr>
                                <w:sz w:val="18"/>
                                <w:szCs w:val="18"/>
                              </w:rPr>
                            </w:pPr>
                            <w:r>
                              <w:rPr>
                                <w:sz w:val="18"/>
                                <w:szCs w:val="18"/>
                              </w:rPr>
                              <w:t xml:space="preserve">Collier, D., 2011. </w:t>
                            </w:r>
                            <w:r>
                              <w:t>„</w:t>
                            </w:r>
                            <w:hyperlink r:id="rId100" w:history="1">
                              <w:r>
                                <w:rPr>
                                  <w:rStyle w:val="Hyperlink"/>
                                  <w:sz w:val="18"/>
                                  <w:szCs w:val="18"/>
                                </w:rPr>
                                <w:t>Understanding process tracing.</w:t>
                              </w:r>
                            </w:hyperlink>
                            <w:r>
                              <w:t>” (A folyamatkövetés megértése)</w:t>
                            </w:r>
                            <w:r>
                              <w:rPr>
                                <w:sz w:val="18"/>
                                <w:szCs w:val="18"/>
                              </w:rPr>
                              <w:t> PS: Political Science &amp; Politics 44.04: 823–830.</w:t>
                            </w:r>
                          </w:p>
                          <w:p w:rsidR="005139CB" w:rsidRPr="00BA450C" w:rsidRDefault="005139CB" w:rsidP="00BA450C">
                            <w:pPr>
                              <w:pStyle w:val="HStandard"/>
                              <w:jc w:val="left"/>
                              <w:rPr>
                                <w:sz w:val="18"/>
                                <w:szCs w:val="18"/>
                              </w:rPr>
                            </w:pPr>
                            <w:r>
                              <w:rPr>
                                <w:sz w:val="18"/>
                                <w:szCs w:val="18"/>
                              </w:rPr>
                              <w:t xml:space="preserve">Douthwaite, B. és Ashby, J., 2005. Innovation histories: a method from learning from experience. Institutional Learning and Change Initiative. (Innovációs történetek: a tanulástól a tapasztalatszerzésig terjedő módszer. Intézményi tanulást és változást célzó kezdeményezés.) Letöltés időpontja: május 15. a következő helyről: </w:t>
                            </w:r>
                            <w:hyperlink r:id="rId101" w:history="1">
                              <w:r>
                                <w:rPr>
                                  <w:rStyle w:val="Hyperlink"/>
                                  <w:sz w:val="18"/>
                                  <w:szCs w:val="18"/>
                                </w:rPr>
                                <w:t>http://ageconsearch.umn.edu/bitstream/52515/2/ILAC_Brief05_Histories.pdf</w:t>
                              </w:r>
                            </w:hyperlink>
                          </w:p>
                          <w:p w:rsidR="005139CB" w:rsidRPr="00BA450C" w:rsidRDefault="005139CB" w:rsidP="00BA450C">
                            <w:pPr>
                              <w:pStyle w:val="HStandard"/>
                              <w:jc w:val="left"/>
                              <w:rPr>
                                <w:sz w:val="18"/>
                                <w:szCs w:val="18"/>
                              </w:rPr>
                            </w:pPr>
                            <w:r>
                              <w:rPr>
                                <w:sz w:val="18"/>
                                <w:szCs w:val="18"/>
                              </w:rPr>
                              <w:t xml:space="preserve">GAO (General Accounts Office) (1987) </w:t>
                            </w:r>
                            <w:hyperlink r:id="rId102" w:history="1">
                              <w:r>
                                <w:rPr>
                                  <w:rStyle w:val="Hyperlink"/>
                                  <w:sz w:val="18"/>
                                  <w:szCs w:val="18"/>
                                </w:rPr>
                                <w:t>Case study evaluation.</w:t>
                              </w:r>
                            </w:hyperlink>
                            <w:hyperlink r:id="rId103" w:history="1">
                              <w:r>
                                <w:rPr>
                                  <w:rStyle w:val="Hyperlink"/>
                                  <w:sz w:val="18"/>
                                  <w:szCs w:val="18"/>
                                </w:rPr>
                                <w:t xml:space="preserve"> Program Evaluation and Methodology</w:t>
                              </w:r>
                            </w:hyperlink>
                            <w:r>
                              <w:rPr>
                                <w:sz w:val="18"/>
                                <w:szCs w:val="18"/>
                              </w:rPr>
                              <w:t>. (Esettanulmány-értékelés: Programértékelés és módszertan) Division, Transfer Paper 9. Washington DC: GAO.</w:t>
                            </w:r>
                          </w:p>
                          <w:p w:rsidR="005139CB" w:rsidRPr="00BA450C" w:rsidRDefault="005139CB" w:rsidP="00BA450C">
                            <w:pPr>
                              <w:pStyle w:val="HStandard"/>
                              <w:jc w:val="left"/>
                              <w:rPr>
                                <w:sz w:val="18"/>
                                <w:szCs w:val="18"/>
                              </w:rPr>
                            </w:pPr>
                            <w:r>
                              <w:rPr>
                                <w:sz w:val="18"/>
                                <w:szCs w:val="18"/>
                              </w:rPr>
                              <w:t xml:space="preserve">Hilton, D.J., 1996. </w:t>
                            </w:r>
                            <w:hyperlink r:id="rId104" w:history="1">
                              <w:r>
                                <w:rPr>
                                  <w:rStyle w:val="Hyperlink"/>
                                  <w:sz w:val="18"/>
                                  <w:szCs w:val="18"/>
                                </w:rPr>
                                <w:t>Mental models and causal explanation:</w:t>
                              </w:r>
                            </w:hyperlink>
                            <w:hyperlink r:id="rId105" w:history="1">
                              <w:r>
                                <w:rPr>
                                  <w:rStyle w:val="Hyperlink"/>
                                  <w:sz w:val="18"/>
                                  <w:szCs w:val="18"/>
                                </w:rPr>
                                <w:t xml:space="preserve"> Judgments of probable cause and explanatory relevance</w:t>
                              </w:r>
                            </w:hyperlink>
                            <w:r>
                              <w:rPr>
                                <w:sz w:val="18"/>
                                <w:szCs w:val="18"/>
                              </w:rPr>
                              <w:t>. (Mentális modellek és okfejtés: A valószínűsíthető oknak és a magyarázat relevanciájának eldöntése) Thinking &amp; Reasoning, 2(4), 273–308. o.</w:t>
                            </w:r>
                          </w:p>
                          <w:p w:rsidR="005139CB" w:rsidRPr="00BA450C" w:rsidRDefault="005139CB" w:rsidP="00BA450C">
                            <w:pPr>
                              <w:pStyle w:val="HStandard"/>
                              <w:jc w:val="left"/>
                              <w:rPr>
                                <w:sz w:val="18"/>
                                <w:szCs w:val="18"/>
                              </w:rPr>
                            </w:pPr>
                            <w:r>
                              <w:rPr>
                                <w:sz w:val="18"/>
                                <w:szCs w:val="18"/>
                              </w:rPr>
                              <w:t xml:space="preserve">Mayne, J., 2012. </w:t>
                            </w:r>
                            <w:hyperlink r:id="rId106" w:history="1">
                              <w:r>
                                <w:rPr>
                                  <w:rStyle w:val="Hyperlink"/>
                                  <w:sz w:val="18"/>
                                  <w:szCs w:val="18"/>
                                </w:rPr>
                                <w:t>Contribution analysis:</w:t>
                              </w:r>
                            </w:hyperlink>
                            <w:hyperlink r:id="rId107" w:history="1">
                              <w:r>
                                <w:rPr>
                                  <w:rStyle w:val="Hyperlink"/>
                                  <w:sz w:val="18"/>
                                  <w:szCs w:val="18"/>
                                </w:rPr>
                                <w:t xml:space="preserve"> Coming of age?</w:t>
                              </w:r>
                            </w:hyperlink>
                            <w:r>
                              <w:t xml:space="preserve"> (A hozzájárulás elemzése: Nagykorúság?)</w:t>
                            </w:r>
                            <w:hyperlink r:id="rId108" w:history="1">
                              <w:r>
                                <w:rPr>
                                  <w:rStyle w:val="Hyperlink"/>
                                  <w:sz w:val="18"/>
                                  <w:szCs w:val="18"/>
                                </w:rPr>
                                <w:t> </w:t>
                              </w:r>
                            </w:hyperlink>
                            <w:r>
                              <w:rPr>
                                <w:sz w:val="18"/>
                                <w:szCs w:val="18"/>
                              </w:rPr>
                              <w:t>Evaluation 18.3 (2012): 270–280.</w:t>
                            </w:r>
                          </w:p>
                          <w:p w:rsidR="005139CB" w:rsidRPr="00BA450C" w:rsidRDefault="005139CB" w:rsidP="00BA450C">
                            <w:pPr>
                              <w:pStyle w:val="HStandard"/>
                              <w:jc w:val="left"/>
                              <w:rPr>
                                <w:sz w:val="18"/>
                                <w:szCs w:val="18"/>
                              </w:rPr>
                            </w:pPr>
                            <w:r>
                              <w:rPr>
                                <w:sz w:val="18"/>
                                <w:szCs w:val="18"/>
                              </w:rPr>
                              <w:t xml:space="preserve">Pawson, R., Greenhalgh, T., Harvey, G. és Walshe, K., 2005. </w:t>
                            </w:r>
                            <w:hyperlink r:id="rId109" w:history="1">
                              <w:r>
                                <w:rPr>
                                  <w:rStyle w:val="Hyperlink"/>
                                  <w:sz w:val="18"/>
                                  <w:szCs w:val="18"/>
                                </w:rPr>
                                <w:t>Realist review–a new method of systematic review designed for complex policy interventions.</w:t>
                              </w:r>
                            </w:hyperlink>
                            <w:r>
                              <w:t xml:space="preserve"> (Realista felülvizsgálat – Összetett szakpolitikai beavatkozásokhoz kialakított szisztematikus felülvizsgálat új módszere)</w:t>
                            </w:r>
                            <w:r>
                              <w:rPr>
                                <w:sz w:val="18"/>
                                <w:szCs w:val="18"/>
                              </w:rPr>
                              <w:t> Journal of health services research &amp; policy, 10 (1. kiegészítés), 21–34. o.</w:t>
                            </w:r>
                          </w:p>
                          <w:p w:rsidR="005139CB" w:rsidRPr="00BA450C" w:rsidRDefault="005139CB" w:rsidP="00BA450C">
                            <w:pPr>
                              <w:pStyle w:val="HStandard"/>
                              <w:jc w:val="left"/>
                              <w:rPr>
                                <w:sz w:val="18"/>
                                <w:szCs w:val="18"/>
                              </w:rPr>
                            </w:pPr>
                            <w:r>
                              <w:rPr>
                                <w:sz w:val="18"/>
                                <w:szCs w:val="18"/>
                              </w:rPr>
                              <w:t>Wilson-Grau, R. (2015) </w:t>
                            </w:r>
                            <w:r>
                              <w:rPr>
                                <w:i/>
                                <w:sz w:val="18"/>
                                <w:szCs w:val="18"/>
                              </w:rPr>
                              <w:t>Outcome Harvesting</w:t>
                            </w:r>
                            <w:r>
                              <w:rPr>
                                <w:sz w:val="18"/>
                                <w:szCs w:val="18"/>
                              </w:rPr>
                              <w:t>. (Eredménygyűjtés) Better Evaluation. Letöltés a következő helyről: </w:t>
                            </w:r>
                            <w:hyperlink r:id="rId110"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4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582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" adj="-11796480,,5400" path="m406598,l5811864,r,l5811864,5422702v,224558,-182040,406598,-406598,406598l,5829300r,l,406598c,182040,182040,,406598,xe" filled="f" strokecolor="#59638e" strokeweight="2pt">
                <v:stroke joinstyle="miter"/>
                <v:formulas/>
                <v:path arrowok="t" o:connecttype="custom" o:connectlocs="406598,0;5811864,0;5811864,0;5811864,5422702;5405266,5829300;0,5829300;0,5829300;0,406598;406598,0" o:connectangles="0,0,0,0,0,0,0,0,0" textboxrect="0,0,5811864,5829300"/>
                <v:textbox>
                  <w:txbxContent>
                    <w:p w:rsidR="005139CB" w:rsidRDefault="005139CB"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88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139CB" w:rsidRPr="00BA450C" w:rsidRDefault="005139CB" w:rsidP="00BA450C">
                      <w:pPr>
                        <w:pStyle w:val="HStandard"/>
                        <w:rPr>
                          <w:sz w:val="18"/>
                          <w:szCs w:val="18"/>
                        </w:rPr>
                      </w:pPr>
                      <w:r>
                        <w:rPr>
                          <w:sz w:val="18"/>
                          <w:szCs w:val="18"/>
                        </w:rPr>
                        <w:t xml:space="preserve">Allen, I.E. és Seaman, C.A. (2007). </w:t>
                      </w:r>
                      <w:hyperlink r:id="rId111" w:history="1">
                        <w:r>
                          <w:rPr>
                            <w:rStyle w:val="Hyperlink"/>
                            <w:sz w:val="18"/>
                            <w:szCs w:val="18"/>
                          </w:rPr>
                          <w:t>Likert scales and data analyses</w:t>
                        </w:r>
                      </w:hyperlink>
                      <w:r>
                        <w:rPr>
                          <w:sz w:val="18"/>
                          <w:szCs w:val="18"/>
                        </w:rPr>
                        <w:t xml:space="preserve"> (Likert-skálák és adatelemzések). Quality progress, 40(7), 64. o.</w:t>
                      </w:r>
                    </w:p>
                    <w:p w:rsidR="005139CB" w:rsidRPr="00BA450C" w:rsidRDefault="005139CB" w:rsidP="00BA450C">
                      <w:pPr>
                        <w:pStyle w:val="HStandard"/>
                        <w:jc w:val="left"/>
                        <w:rPr>
                          <w:sz w:val="18"/>
                          <w:szCs w:val="18"/>
                        </w:rPr>
                      </w:pPr>
                      <w:r>
                        <w:rPr>
                          <w:sz w:val="18"/>
                          <w:szCs w:val="18"/>
                        </w:rPr>
                        <w:t xml:space="preserve">Collier, D., 2011. </w:t>
                      </w:r>
                      <w:r>
                        <w:t>„</w:t>
                      </w:r>
                      <w:hyperlink r:id="rId112" w:history="1">
                        <w:r>
                          <w:rPr>
                            <w:rStyle w:val="Hyperlink"/>
                            <w:sz w:val="18"/>
                            <w:szCs w:val="18"/>
                          </w:rPr>
                          <w:t>Understanding process tracing.</w:t>
                        </w:r>
                      </w:hyperlink>
                      <w:r>
                        <w:t>” (A folyamatkövetés megértése)</w:t>
                      </w:r>
                      <w:r>
                        <w:rPr>
                          <w:sz w:val="18"/>
                          <w:szCs w:val="18"/>
                        </w:rPr>
                        <w:t> PS: Political Science &amp; Politics 44.04: 823–830.</w:t>
                      </w:r>
                    </w:p>
                    <w:p w:rsidR="005139CB" w:rsidRPr="00BA450C" w:rsidRDefault="005139CB" w:rsidP="00BA450C">
                      <w:pPr>
                        <w:pStyle w:val="HStandard"/>
                        <w:jc w:val="left"/>
                        <w:rPr>
                          <w:sz w:val="18"/>
                          <w:szCs w:val="18"/>
                        </w:rPr>
                      </w:pPr>
                      <w:r>
                        <w:rPr>
                          <w:sz w:val="18"/>
                          <w:szCs w:val="18"/>
                        </w:rPr>
                        <w:t xml:space="preserve">Douthwaite, B. és Ashby, J., 2005. Innovation histories: a method from learning from experience. Institutional Learning and Change Initiative. (Innovációs történetek: a tanulástól a tapasztalatszerzésig terjedő módszer. Intézményi tanulást és változást célzó kezdeményezés.) Letöltés időpontja: május 15. a következő helyről: </w:t>
                      </w:r>
                      <w:hyperlink r:id="rId113" w:history="1">
                        <w:r>
                          <w:rPr>
                            <w:rStyle w:val="Hyperlink"/>
                            <w:sz w:val="18"/>
                            <w:szCs w:val="18"/>
                          </w:rPr>
                          <w:t>http://ageconsearch.umn.edu/bitstream/52515/2/ILAC_Brief05_Histories.pdf</w:t>
                        </w:r>
                      </w:hyperlink>
                    </w:p>
                    <w:p w:rsidR="005139CB" w:rsidRPr="00BA450C" w:rsidRDefault="005139CB" w:rsidP="00BA450C">
                      <w:pPr>
                        <w:pStyle w:val="HStandard"/>
                        <w:jc w:val="left"/>
                        <w:rPr>
                          <w:sz w:val="18"/>
                          <w:szCs w:val="18"/>
                        </w:rPr>
                      </w:pPr>
                      <w:r>
                        <w:rPr>
                          <w:sz w:val="18"/>
                          <w:szCs w:val="18"/>
                        </w:rPr>
                        <w:t xml:space="preserve">GAO (General Accounts Office) (1987) </w:t>
                      </w:r>
                      <w:hyperlink r:id="rId114" w:history="1">
                        <w:r>
                          <w:rPr>
                            <w:rStyle w:val="Hyperlink"/>
                            <w:sz w:val="18"/>
                            <w:szCs w:val="18"/>
                          </w:rPr>
                          <w:t>Case study evaluation.</w:t>
                        </w:r>
                      </w:hyperlink>
                      <w:hyperlink r:id="rId115" w:history="1">
                        <w:r>
                          <w:rPr>
                            <w:rStyle w:val="Hyperlink"/>
                            <w:sz w:val="18"/>
                            <w:szCs w:val="18"/>
                          </w:rPr>
                          <w:t xml:space="preserve"> Program Evaluation and Methodology</w:t>
                        </w:r>
                      </w:hyperlink>
                      <w:r>
                        <w:rPr>
                          <w:sz w:val="18"/>
                          <w:szCs w:val="18"/>
                        </w:rPr>
                        <w:t>. (Esettanulmány-értékelés: Programértékelés és módszertan) Division, Transfer Paper 9. Washington DC: GAO.</w:t>
                      </w:r>
                    </w:p>
                    <w:p w:rsidR="005139CB" w:rsidRPr="00BA450C" w:rsidRDefault="005139CB" w:rsidP="00BA450C">
                      <w:pPr>
                        <w:pStyle w:val="HStandard"/>
                        <w:jc w:val="left"/>
                        <w:rPr>
                          <w:sz w:val="18"/>
                          <w:szCs w:val="18"/>
                        </w:rPr>
                      </w:pPr>
                      <w:r>
                        <w:rPr>
                          <w:sz w:val="18"/>
                          <w:szCs w:val="18"/>
                        </w:rPr>
                        <w:t xml:space="preserve">Hilton, D.J., 1996. </w:t>
                      </w:r>
                      <w:hyperlink r:id="rId116" w:history="1">
                        <w:r>
                          <w:rPr>
                            <w:rStyle w:val="Hyperlink"/>
                            <w:sz w:val="18"/>
                            <w:szCs w:val="18"/>
                          </w:rPr>
                          <w:t>Mental models and causal explanation:</w:t>
                        </w:r>
                      </w:hyperlink>
                      <w:hyperlink r:id="rId117" w:history="1">
                        <w:r>
                          <w:rPr>
                            <w:rStyle w:val="Hyperlink"/>
                            <w:sz w:val="18"/>
                            <w:szCs w:val="18"/>
                          </w:rPr>
                          <w:t xml:space="preserve"> Judgments of probable cause and explanatory relevance</w:t>
                        </w:r>
                      </w:hyperlink>
                      <w:r>
                        <w:rPr>
                          <w:sz w:val="18"/>
                          <w:szCs w:val="18"/>
                        </w:rPr>
                        <w:t>. (Mentális modellek és okfejtés: A valószínűsíthető oknak és a magyarázat relevanciájának eldöntése) Thinking &amp; Reasoning, 2(4), 273–308. o.</w:t>
                      </w:r>
                    </w:p>
                    <w:p w:rsidR="005139CB" w:rsidRPr="00BA450C" w:rsidRDefault="005139CB" w:rsidP="00BA450C">
                      <w:pPr>
                        <w:pStyle w:val="HStandard"/>
                        <w:jc w:val="left"/>
                        <w:rPr>
                          <w:sz w:val="18"/>
                          <w:szCs w:val="18"/>
                        </w:rPr>
                      </w:pPr>
                      <w:r>
                        <w:rPr>
                          <w:sz w:val="18"/>
                          <w:szCs w:val="18"/>
                        </w:rPr>
                        <w:t xml:space="preserve">Mayne, J., 2012. </w:t>
                      </w:r>
                      <w:hyperlink r:id="rId118" w:history="1">
                        <w:r>
                          <w:rPr>
                            <w:rStyle w:val="Hyperlink"/>
                            <w:sz w:val="18"/>
                            <w:szCs w:val="18"/>
                          </w:rPr>
                          <w:t>Contribution analysis:</w:t>
                        </w:r>
                      </w:hyperlink>
                      <w:hyperlink r:id="rId119" w:history="1">
                        <w:r>
                          <w:rPr>
                            <w:rStyle w:val="Hyperlink"/>
                            <w:sz w:val="18"/>
                            <w:szCs w:val="18"/>
                          </w:rPr>
                          <w:t xml:space="preserve"> Coming of age?</w:t>
                        </w:r>
                      </w:hyperlink>
                      <w:r>
                        <w:t xml:space="preserve"> (A hozzájárulás elemzése: Nagykorúság?)</w:t>
                      </w:r>
                      <w:hyperlink r:id="rId120" w:history="1">
                        <w:r>
                          <w:rPr>
                            <w:rStyle w:val="Hyperlink"/>
                            <w:sz w:val="18"/>
                            <w:szCs w:val="18"/>
                          </w:rPr>
                          <w:t> </w:t>
                        </w:r>
                      </w:hyperlink>
                      <w:r>
                        <w:rPr>
                          <w:sz w:val="18"/>
                          <w:szCs w:val="18"/>
                        </w:rPr>
                        <w:t>Evaluation 18.3 (2012): 270–280.</w:t>
                      </w:r>
                    </w:p>
                    <w:p w:rsidR="005139CB" w:rsidRPr="00BA450C" w:rsidRDefault="005139CB" w:rsidP="00BA450C">
                      <w:pPr>
                        <w:pStyle w:val="HStandard"/>
                        <w:jc w:val="left"/>
                        <w:rPr>
                          <w:sz w:val="18"/>
                          <w:szCs w:val="18"/>
                        </w:rPr>
                      </w:pPr>
                      <w:r>
                        <w:rPr>
                          <w:sz w:val="18"/>
                          <w:szCs w:val="18"/>
                        </w:rPr>
                        <w:t xml:space="preserve">Pawson, R., Greenhalgh, T., Harvey, G. és Walshe, K., 2005. </w:t>
                      </w:r>
                      <w:hyperlink r:id="rId121" w:history="1">
                        <w:r>
                          <w:rPr>
                            <w:rStyle w:val="Hyperlink"/>
                            <w:sz w:val="18"/>
                            <w:szCs w:val="18"/>
                          </w:rPr>
                          <w:t>Realist review–a new method of systematic review designed for complex policy interventions.</w:t>
                        </w:r>
                      </w:hyperlink>
                      <w:r>
                        <w:t xml:space="preserve"> (Realista felülvizsgálat – Összetett szakpolitikai beavatkozásokhoz kialakított szisztematikus felülvizsgálat új módszere)</w:t>
                      </w:r>
                      <w:r>
                        <w:rPr>
                          <w:sz w:val="18"/>
                          <w:szCs w:val="18"/>
                        </w:rPr>
                        <w:t> Journal of health services research &amp; policy, 10 (1. kiegészítés), 21–34. o.</w:t>
                      </w:r>
                    </w:p>
                    <w:p w:rsidR="005139CB" w:rsidRPr="00BA450C" w:rsidRDefault="005139CB" w:rsidP="00BA450C">
                      <w:pPr>
                        <w:pStyle w:val="HStandard"/>
                        <w:jc w:val="left"/>
                        <w:rPr>
                          <w:sz w:val="18"/>
                          <w:szCs w:val="18"/>
                        </w:rPr>
                      </w:pPr>
                      <w:r>
                        <w:rPr>
                          <w:sz w:val="18"/>
                          <w:szCs w:val="18"/>
                        </w:rPr>
                        <w:t>Wilson-Grau, R. (2015) </w:t>
                      </w:r>
                      <w:r>
                        <w:rPr>
                          <w:i/>
                          <w:sz w:val="18"/>
                          <w:szCs w:val="18"/>
                        </w:rPr>
                        <w:t>Outcome Harvesting</w:t>
                      </w:r>
                      <w:r>
                        <w:rPr>
                          <w:sz w:val="18"/>
                          <w:szCs w:val="18"/>
                        </w:rPr>
                        <w:t>. (Eredménygyűjtés) Better Evaluation. Letöltés a következő helyről: </w:t>
                      </w:r>
                      <w:hyperlink r:id="rId122"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További olvasnivalók</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982271"/>
      <w:r>
        <w:lastRenderedPageBreak/>
        <w:t>MELLÉKLETEK</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982272"/>
      <w:bookmarkEnd w:id="138"/>
      <w:bookmarkEnd w:id="139"/>
      <w:bookmarkEnd w:id="140"/>
      <w:bookmarkEnd w:id="141"/>
      <w:r>
        <w:t>Glosszárium</w:t>
      </w:r>
      <w:bookmarkEnd w:id="142"/>
      <w:bookmarkEnd w:id="143"/>
      <w:bookmarkEnd w:id="144"/>
    </w:p>
    <w:p w:rsidR="00F613DE" w:rsidRDefault="00F613DE" w:rsidP="00F613DE">
      <w:pPr>
        <w:jc w:val="left"/>
        <w:rPr>
          <w:rFonts w:eastAsia="Arial" w:cs="Arial"/>
          <w:b/>
          <w:color w:val="57825E"/>
          <w:szCs w:val="20"/>
        </w:rPr>
      </w:pPr>
      <w:r>
        <w:rPr>
          <w:b/>
          <w:color w:val="57825E"/>
          <w:szCs w:val="20"/>
        </w:rPr>
        <w:t>A mezőgazdaság termelékenységét és fenntarthatóságát célzó európai innovációs partnerség (EIP-AGRI)</w:t>
      </w:r>
    </w:p>
    <w:p w:rsidR="00F613DE" w:rsidRDefault="00F613DE" w:rsidP="00F613DE">
      <w:pPr>
        <w:rPr>
          <w:rFonts w:cs="Arial"/>
          <w:szCs w:val="20"/>
        </w:rPr>
      </w:pPr>
      <w:r>
        <w:t>Az Európai Bizottság által 2012-ben elindított EIP-AGRI a mezőgazdasági és az erdőgazdálkodási ágazatra összpontosító európai innovációs partnerség. Az EIP-AGRI az innovációs szereplőket tömöríti, valamint szinergiákat hoz létre a meglévő szakpolitikák között. Átfogó célja, hogy előmozdítsa a versenyképességet és a fenntarthatóságot ezekben az ágazatokban, ezáltal hozzájárul: a folyamatos élelmiszer-, takarmány- és bioanyag-ellátás biztosításához, valamint a gazdálkodáshoz és erdőgazdálkodáshoz nélkülözhetetlen alapvető természeti erőforrásokkal való fenntartható gazdálkodáshoz, miközben összhangban van a környezettel.</w:t>
      </w:r>
    </w:p>
    <w:p w:rsidR="00F613DE" w:rsidRPr="00D5702B" w:rsidRDefault="00F613DE" w:rsidP="00F613DE">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Hivatkozás</w:t>
      </w:r>
      <w:r>
        <w:rPr>
          <w:i/>
          <w:color w:val="404040" w:themeColor="background1" w:themeShade="40"/>
          <w:sz w:val="16"/>
          <w:szCs w:val="16"/>
        </w:rPr>
        <w:t xml:space="preserve">: Evaluation study of the implementation of the European Innovation Partnership for Agricultural Productivity and Sustainability </w:t>
      </w:r>
      <w:r>
        <w:rPr>
          <w:i/>
          <w:sz w:val="16"/>
          <w:szCs w:val="16"/>
        </w:rPr>
        <w:t xml:space="preserve">(Értékelő jelentés a mezőgazdaság termelékenységét és fenntarthatóságát célzó európai innovációs partnerség megvalósításáról) </w:t>
      </w:r>
      <w:r>
        <w:rPr>
          <w:i/>
          <w:color w:val="F07E31"/>
          <w:sz w:val="16"/>
          <w:szCs w:val="16"/>
          <w:u w:val="single"/>
        </w:rPr>
        <w:t>https://ec.europa.eu/agriculture/external-studies/2016-eip_en</w:t>
      </w:r>
    </w:p>
    <w:p w:rsidR="00F613DE" w:rsidRPr="00D5702B" w:rsidRDefault="00F613DE" w:rsidP="00F613DE">
      <w:pPr>
        <w:jc w:val="left"/>
        <w:rPr>
          <w:rFonts w:eastAsia="Times New Roman" w:cs="Arial"/>
          <w:i/>
          <w:szCs w:val="20"/>
        </w:rPr>
      </w:pPr>
      <w:r>
        <w:rPr>
          <w:i/>
          <w:color w:val="404040" w:themeColor="background1" w:themeShade="40"/>
          <w:sz w:val="16"/>
          <w:szCs w:val="16"/>
        </w:rPr>
        <w:t xml:space="preserve">A Bizottság jelentése az Európai Parlamentnek és a Tanácsnak a „Mezőgazdasági termelékenység és fenntarthatóság” európai innovációs partnerségről (2012) </w:t>
      </w:r>
      <w:hyperlink r:id="rId123" w:history="1">
        <w:r>
          <w:rPr>
            <w:rStyle w:val="Hyperlink"/>
            <w:i/>
            <w:szCs w:val="16"/>
          </w:rPr>
          <w:t>http://eur-lex.europa.eu/legal-content/HU/TXT/PDF/?uri=CELEX:52012DC0079&amp;qid=1521112756443&amp;from=HU</w:t>
        </w:r>
      </w:hyperlink>
    </w:p>
    <w:p w:rsidR="00F613DE" w:rsidRPr="009125CD" w:rsidRDefault="00F613DE" w:rsidP="00F613DE">
      <w:pPr>
        <w:rPr>
          <w:rFonts w:eastAsia="Arial" w:cs="Arial"/>
          <w:b/>
          <w:color w:val="57825E"/>
          <w:szCs w:val="20"/>
        </w:rPr>
      </w:pPr>
      <w:r>
        <w:rPr>
          <w:b/>
          <w:color w:val="57825E"/>
          <w:szCs w:val="20"/>
        </w:rPr>
        <w:t xml:space="preserve">A VFP innovációs potenciálja </w:t>
      </w:r>
    </w:p>
    <w:p w:rsidR="00F613DE" w:rsidRDefault="00F613DE" w:rsidP="00F613DE">
      <w:pPr>
        <w:rPr>
          <w:rFonts w:cs="Arial"/>
          <w:color w:val="404040" w:themeColor="background1" w:themeShade="40"/>
          <w:szCs w:val="20"/>
        </w:rPr>
      </w:pPr>
      <w:r>
        <w:rPr>
          <w:color w:val="404040" w:themeColor="background1" w:themeShade="40"/>
          <w:szCs w:val="20"/>
        </w:rPr>
        <w:t xml:space="preserve">A VFP innovációs potenciálja azt mutatja meg, hogy a VFP konkrét innovációs megközelítése milyen mértékben mozdíthatja elő az innovációt, és milyen mértékben valósíthatja meg egy-egy adott innovációs rendszer vagy háttér mellett a szakpolitikai célkitűzéseket a vidéki térségekben. </w:t>
      </w:r>
    </w:p>
    <w:p w:rsidR="00F613DE" w:rsidRPr="00A05F6E" w:rsidRDefault="00F613DE" w:rsidP="00F613DE">
      <w:pPr>
        <w:rPr>
          <w:rFonts w:eastAsia="Arial"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4. tematikus munkacsoport.</w:t>
      </w:r>
    </w:p>
    <w:p w:rsidR="005A6A66" w:rsidRDefault="005A6A66" w:rsidP="005A6A66">
      <w:pPr>
        <w:rPr>
          <w:rFonts w:eastAsia="Arial" w:cs="Arial"/>
          <w:b/>
          <w:color w:val="57825E"/>
          <w:szCs w:val="20"/>
        </w:rPr>
      </w:pPr>
      <w:r>
        <w:rPr>
          <w:b/>
          <w:color w:val="57825E"/>
          <w:szCs w:val="20"/>
        </w:rPr>
        <w:t>Európai innovációs partnerség</w:t>
      </w:r>
    </w:p>
    <w:p w:rsidR="005A6A66" w:rsidRDefault="005A6A66" w:rsidP="005A6A66">
      <w:pPr>
        <w:rPr>
          <w:rFonts w:cs="Arial"/>
          <w:color w:val="404040" w:themeColor="background1" w:themeShade="40"/>
          <w:szCs w:val="20"/>
        </w:rPr>
      </w:pPr>
      <w:r>
        <w:rPr>
          <w:color w:val="404040" w:themeColor="background1" w:themeShade="40"/>
          <w:szCs w:val="20"/>
        </w:rPr>
        <w:t xml:space="preserve">Az európai innovációs partnerség az uniós kutatás és innováció megközelítése az „Innovatív Unió” kiemelt kezdeményezés keretében. Kihívások vezérlik, a kutatási és innovációs lánc egészében fejti ki tevékenységét, észszerűsíti, egyszerűsíti és </w:t>
      </w:r>
      <w:r>
        <w:rPr>
          <w:color w:val="404040" w:themeColor="background1" w:themeShade="40"/>
          <w:szCs w:val="20"/>
        </w:rPr>
        <w:t>jobban koordinálja a meglévő eszközöket és kezdeményezéseket.</w:t>
      </w:r>
    </w:p>
    <w:p w:rsidR="005A6A66" w:rsidRPr="00A05F6E" w:rsidRDefault="005A6A66" w:rsidP="005A6A66">
      <w:pPr>
        <w:rPr>
          <w:rFonts w:eastAsia="Times New Roman"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xml:space="preserve">: A Bizottság közleménye az Európai Parlamentnek, a Tanácsnak, az Európai Gazdasági és Szociális Bizottságnak és a Régiók Bizottságának – „Az Európa 2020 stratégia kiemelt kezdeményezése: Innovatív Unió” (2010) </w:t>
      </w:r>
      <w:hyperlink r:id="rId124" w:history="1">
        <w:r>
          <w:rPr>
            <w:rStyle w:val="Hyperlink"/>
            <w:i/>
            <w:szCs w:val="16"/>
          </w:rPr>
          <w:t>http://eur-lex.europa.eu/legal-content/HU/TXT/PDF/?uri=CELEX:52010DC0546&amp;qid=1521111921957&amp;from=HU</w:t>
        </w:r>
      </w:hyperlink>
    </w:p>
    <w:p w:rsidR="005A6A66" w:rsidRPr="009125CD" w:rsidRDefault="005A6A66" w:rsidP="005A6A66">
      <w:pPr>
        <w:rPr>
          <w:rFonts w:eastAsia="Arial" w:cs="Arial"/>
          <w:b/>
          <w:color w:val="57825E"/>
          <w:szCs w:val="20"/>
        </w:rPr>
      </w:pPr>
      <w:r>
        <w:rPr>
          <w:b/>
          <w:color w:val="57825E"/>
          <w:szCs w:val="20"/>
        </w:rPr>
        <w:t xml:space="preserve">Innovációs eredmény </w:t>
      </w:r>
    </w:p>
    <w:p w:rsidR="005A6A66" w:rsidRDefault="005A6A66" w:rsidP="005A6A66">
      <w:pPr>
        <w:rPr>
          <w:rFonts w:cs="Arial"/>
          <w:color w:val="404040" w:themeColor="background1" w:themeShade="40"/>
          <w:szCs w:val="20"/>
        </w:rPr>
      </w:pPr>
      <w:r>
        <w:rPr>
          <w:color w:val="404040" w:themeColor="background1" w:themeShade="40"/>
          <w:szCs w:val="20"/>
        </w:rPr>
        <w:t>Az innovációs eredmények a támogató eredményekből (például új gyakorlatokból, nagyobb jövedelemből, fenntarthatóbb gazdálkodási gyakorlatok alkalmazásából) fakadnak.</w:t>
      </w:r>
    </w:p>
    <w:p w:rsidR="005A6A66" w:rsidRPr="009125CD" w:rsidRDefault="005A6A66" w:rsidP="005A6A66">
      <w:pPr>
        <w:rPr>
          <w:rFonts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4. tematikus munkacsoport, 11. o.</w:t>
      </w:r>
    </w:p>
    <w:p w:rsidR="005A6A66" w:rsidRPr="009125CD" w:rsidRDefault="005A6A66" w:rsidP="005A6A66">
      <w:pPr>
        <w:rPr>
          <w:rFonts w:eastAsia="Arial" w:cs="Arial"/>
          <w:b/>
          <w:color w:val="57825E"/>
          <w:szCs w:val="20"/>
        </w:rPr>
      </w:pPr>
      <w:r>
        <w:rPr>
          <w:b/>
          <w:color w:val="57825E"/>
          <w:szCs w:val="20"/>
        </w:rPr>
        <w:t>Innovációs irányvonal</w:t>
      </w:r>
    </w:p>
    <w:p w:rsidR="005A6A66" w:rsidRDefault="005A6A66" w:rsidP="005A6A66">
      <w:pPr>
        <w:rPr>
          <w:rFonts w:cs="Arial"/>
          <w:color w:val="404040" w:themeColor="background1" w:themeShade="40"/>
          <w:szCs w:val="20"/>
        </w:rPr>
      </w:pPr>
      <w:r>
        <w:rPr>
          <w:color w:val="404040" w:themeColor="background1" w:themeShade="40"/>
          <w:szCs w:val="20"/>
        </w:rPr>
        <w:t>Az a folyamat, amelynek közvetítésével a VFP tevékenységei olyan kimeneteket, eredményeket és hatásokat idéznek elő, amelyek hozzájárulnak a VFP célkitűzéseinek eléréséhez, a keretét adó innovációs rendszerrel kölcsönhatásban.</w:t>
      </w:r>
    </w:p>
    <w:p w:rsidR="005A6A66" w:rsidRPr="009125CD" w:rsidRDefault="005A6A66" w:rsidP="005A6A66">
      <w:pPr>
        <w:rPr>
          <w:rFonts w:eastAsia="Arial"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4. tematikus munkacsoport, 5. o.</w:t>
      </w:r>
    </w:p>
    <w:p w:rsidR="005A6A66" w:rsidRPr="009125CD" w:rsidRDefault="005A6A66" w:rsidP="005A6A66">
      <w:pPr>
        <w:rPr>
          <w:rFonts w:eastAsia="Arial" w:cs="Arial"/>
          <w:b/>
          <w:color w:val="57825E"/>
          <w:szCs w:val="20"/>
        </w:rPr>
      </w:pPr>
      <w:r>
        <w:rPr>
          <w:b/>
          <w:color w:val="57825E"/>
          <w:szCs w:val="20"/>
        </w:rPr>
        <w:t>Innovációs kapacitás</w:t>
      </w:r>
    </w:p>
    <w:p w:rsidR="005A6A66" w:rsidRPr="005E61D0" w:rsidRDefault="005A6A66" w:rsidP="005A6A66">
      <w:pPr>
        <w:rPr>
          <w:rFonts w:cs="Arial"/>
          <w:szCs w:val="20"/>
        </w:rPr>
      </w:pPr>
      <w:r>
        <w:t>„Különböző ismerettípusok ötvözésére és alkalmazására való folyamatos képesség”.</w:t>
      </w:r>
    </w:p>
    <w:p w:rsidR="005A6A66" w:rsidRPr="005E61D0" w:rsidRDefault="005A6A66" w:rsidP="005A6A66">
      <w:pPr>
        <w:rPr>
          <w:rFonts w:cs="Arial"/>
          <w:i/>
          <w:color w:val="404040" w:themeColor="background1" w:themeShade="40"/>
          <w:sz w:val="16"/>
          <w:szCs w:val="16"/>
        </w:rPr>
      </w:pPr>
      <w:r>
        <w:rPr>
          <w:i/>
          <w:color w:val="404040" w:themeColor="background1" w:themeShade="40"/>
          <w:sz w:val="16"/>
          <w:szCs w:val="16"/>
          <w:u w:val="single"/>
        </w:rPr>
        <w:t>Hivatkozás</w:t>
      </w:r>
      <w:r>
        <w:rPr>
          <w:i/>
          <w:color w:val="404040" w:themeColor="background1" w:themeShade="40"/>
          <w:sz w:val="16"/>
          <w:szCs w:val="16"/>
        </w:rPr>
        <w:t xml:space="preserve">: Chuluunbaatar, D. és LeGrand, S., 2015. Enabling the capacity to innovate with a system-wide assessment process. Occasional Papers in Innovation in Family Farming. (Az innovációs kapacitás kiaknázásának lehetővé tétele rendszerszintű értékelési folyamattal. A családi gazdaságokon belüli innovációról szóló időszakos kiadványok) FAO, Róma. </w:t>
      </w:r>
      <w:r>
        <w:rPr>
          <w:rStyle w:val="Hyperlink"/>
          <w:i/>
          <w:szCs w:val="16"/>
        </w:rPr>
        <w:t>http://www.fao.org/3/a-i5097e.pdf</w:t>
      </w:r>
    </w:p>
    <w:p w:rsidR="005A6A66" w:rsidRPr="009125CD" w:rsidRDefault="005A6A66" w:rsidP="005A6A66">
      <w:pPr>
        <w:rPr>
          <w:rFonts w:eastAsia="Arial" w:cs="Arial"/>
          <w:b/>
          <w:color w:val="57825E"/>
          <w:szCs w:val="20"/>
        </w:rPr>
      </w:pPr>
      <w:r>
        <w:rPr>
          <w:b/>
          <w:color w:val="57825E"/>
          <w:szCs w:val="20"/>
        </w:rPr>
        <w:t>Innovációs rendszer</w:t>
      </w:r>
    </w:p>
    <w:p w:rsidR="005A6A66" w:rsidRDefault="005A6A66" w:rsidP="005A6A66">
      <w:pPr>
        <w:rPr>
          <w:rFonts w:cs="Arial"/>
          <w:color w:val="404040" w:themeColor="background1" w:themeShade="40"/>
          <w:szCs w:val="20"/>
        </w:rPr>
      </w:pPr>
      <w:r>
        <w:rPr>
          <w:color w:val="404040" w:themeColor="background1" w:themeShade="40"/>
          <w:szCs w:val="20"/>
        </w:rPr>
        <w:t>„Gazdasági-társadalmi jelentőségű ismeretek létrehozásában, terjesztésében, adaptálásában és felhasználásában részt vevő szervezetek és egyének csoportjai, valamint az az intézményi háttér, amely e kölcsönhatások és folyamatok bekövetkezését irányítja.”</w:t>
      </w:r>
    </w:p>
    <w:p w:rsidR="005A6A66" w:rsidRDefault="005A6A66" w:rsidP="005A6A66">
      <w:pPr>
        <w:rPr>
          <w:rFonts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Hall, A., S. Rasheed, N. Clark, és B. Yoganand. 2003. From measuring impact to learning institutional lessons: an innovation system’s perspective on improving the management of international agricultural research. (A hatás mérésétől az intézményi tanulságok levonásáig: egy innovációs rendszer jövőképe a nemzetközi agrártudományi kutatás irányításának javításával kapcsolatban) Agricultural Systems 78: 213–241.</w:t>
      </w:r>
    </w:p>
    <w:p w:rsidR="005A6A66" w:rsidRDefault="005A6A66" w:rsidP="005A6A66">
      <w:pPr>
        <w:rPr>
          <w:rFonts w:eastAsia="Arial" w:cs="Arial"/>
          <w:b/>
          <w:color w:val="57825E"/>
          <w:szCs w:val="20"/>
        </w:rPr>
      </w:pPr>
      <w:r>
        <w:rPr>
          <w:b/>
          <w:color w:val="57825E"/>
          <w:szCs w:val="20"/>
        </w:rPr>
        <w:t>Innovációtámogató szolgálatok</w:t>
      </w:r>
    </w:p>
    <w:p w:rsidR="005A6A66" w:rsidRDefault="005A6A66" w:rsidP="005A6A66">
      <w:pPr>
        <w:rPr>
          <w:rFonts w:cs="Arial"/>
          <w:color w:val="404040" w:themeColor="background1" w:themeShade="40"/>
          <w:szCs w:val="20"/>
        </w:rPr>
      </w:pPr>
      <w:r>
        <w:rPr>
          <w:color w:val="404040" w:themeColor="background1" w:themeShade="40"/>
          <w:szCs w:val="20"/>
        </w:rPr>
        <w:lastRenderedPageBreak/>
        <w:t>Az innovációtámogató szolgálatok a helyi feltételekhez igazodó modelleket alkalmaznak, és fontos szerepet tölthetnek be a megfelelő személyek projektekbe való bevonásában, a mezőgazdasági termelők és a tanácsadók kutatókkal való kapcsolatának megteremtésében és a finanszírozási lehetőségek meghatározásában.</w:t>
      </w:r>
    </w:p>
    <w:p w:rsidR="005A6A66" w:rsidRPr="009125CD" w:rsidRDefault="005A6A66" w:rsidP="005A6A66">
      <w:pPr>
        <w:rPr>
          <w:rFonts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xml:space="preserve">: az EIP-AGRI tájékoztató füzete az innovációtámogató szolgálatokról: </w:t>
      </w:r>
      <w:hyperlink r:id="rId125" w:history="1">
        <w:r>
          <w:rPr>
            <w:rStyle w:val="Hyperlink"/>
            <w:i/>
            <w:szCs w:val="16"/>
          </w:rPr>
          <w:t>https://ec.europa.eu/eip/agriculture/en/content/innovation-support-services</w:t>
        </w:r>
      </w:hyperlink>
      <w:r>
        <w:rPr>
          <w:i/>
          <w:color w:val="404040" w:themeColor="background1" w:themeShade="40"/>
          <w:sz w:val="16"/>
          <w:szCs w:val="16"/>
        </w:rPr>
        <w:t>.</w:t>
      </w:r>
    </w:p>
    <w:p w:rsidR="005A6A66" w:rsidRDefault="005A6A66" w:rsidP="005A6A66">
      <w:pPr>
        <w:rPr>
          <w:rFonts w:eastAsia="Arial" w:cs="Arial"/>
          <w:b/>
          <w:color w:val="57825E"/>
          <w:szCs w:val="20"/>
        </w:rPr>
      </w:pPr>
      <w:r>
        <w:rPr>
          <w:b/>
          <w:color w:val="57825E"/>
          <w:szCs w:val="20"/>
        </w:rPr>
        <w:t>Interaktív innováció</w:t>
      </w:r>
    </w:p>
    <w:p w:rsidR="005A6A66" w:rsidRDefault="005A6A66" w:rsidP="005A6A66">
      <w:pPr>
        <w:rPr>
          <w:rFonts w:cs="Arial"/>
          <w:color w:val="404040" w:themeColor="background1" w:themeShade="40"/>
          <w:szCs w:val="20"/>
        </w:rPr>
      </w:pPr>
      <w:r>
        <w:rPr>
          <w:color w:val="404040" w:themeColor="background1" w:themeShade="40"/>
          <w:szCs w:val="20"/>
        </w:rPr>
        <w:t>Az interaktív (rendszer)innovációban az innováció alkotóelemei várhatóan a tudomány területéről, ugyanakkor a gyakorlatból és az alulról építkező folyamat szereplőinek minősülő közvetítőktől (többek között a mezőgazdasági termelőktől, a tanácsadó szolgálatoktól, a nem kormányzati szervezetektől, a kutatóktól stb.) is származnak. Az interaktív innováció a meglévő (néha hallgatólagos), nem mindig tisztán tudományos ismereteket foglalja magában.</w:t>
      </w:r>
    </w:p>
    <w:p w:rsidR="005A6A66" w:rsidRPr="00A05F6E" w:rsidRDefault="005A6A66" w:rsidP="005A6A66">
      <w:pPr>
        <w:jc w:val="left"/>
        <w:rPr>
          <w:rFonts w:eastAsia="Times New Roman"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xml:space="preserve">: Guidelines on programming for innovation and the implementation of the EIP for agricultural productivity and sustainability (Iránymutatás az innovációt célzó programozásról, valamint a mezőgazdaság termelékenységét és fenntarthatóságát célzó európai innovációs partnerség megvalósításáról): </w:t>
      </w:r>
      <w:hyperlink r:id="rId126" w:history="1">
        <w:r>
          <w:rPr>
            <w:rStyle w:val="Hyperlink"/>
            <w:i/>
            <w:szCs w:val="16"/>
          </w:rPr>
          <w:t>http://ec.europa.eu/eip/agriculture/sites/agri-eip/files/eip-guidelines-july-2014_en.pdf</w:t>
        </w:r>
      </w:hyperlink>
      <w:r>
        <w:rPr>
          <w:i/>
          <w:color w:val="404040" w:themeColor="background1" w:themeShade="40"/>
          <w:sz w:val="16"/>
          <w:szCs w:val="16"/>
        </w:rPr>
        <w:t>.</w:t>
      </w:r>
    </w:p>
    <w:p w:rsidR="0025413B" w:rsidRDefault="0025413B" w:rsidP="0025413B">
      <w:pPr>
        <w:rPr>
          <w:rFonts w:eastAsia="Arial" w:cs="Arial"/>
          <w:b/>
          <w:color w:val="57825E"/>
          <w:szCs w:val="20"/>
        </w:rPr>
      </w:pPr>
      <w:r>
        <w:rPr>
          <w:b/>
          <w:color w:val="57825E"/>
          <w:szCs w:val="20"/>
        </w:rPr>
        <w:t>Klaszter</w:t>
      </w:r>
    </w:p>
    <w:p w:rsidR="0025413B" w:rsidRDefault="0025413B" w:rsidP="0025413B">
      <w:pPr>
        <w:rPr>
          <w:rFonts w:cs="Arial"/>
          <w:color w:val="404040" w:themeColor="background1" w:themeShade="40"/>
          <w:szCs w:val="20"/>
        </w:rPr>
      </w:pPr>
      <w:r>
        <w:rPr>
          <w:color w:val="404040" w:themeColor="background1" w:themeShade="40"/>
          <w:szCs w:val="20"/>
        </w:rPr>
        <w:t>Független vállalkozások – ideértve az induló vállalkozásokat, a kis-, közép-, és nagyvállalkozásokat, valamint a tanácsadó és/vagy kutatási szervezeteket is – csoportosulásai, amelyek célja a gazdasági/innovációs tevékenység ösztönzése az intenzív együttműködésnek, az eszközök megosztásának, a tudás és a szakértelem cseréjének előmozdításán keresztül, valamint hatékonyan hozzájárulva a klaszterhez tartozó vállalkozások közötti tudásátadáshoz, hálózatépítéshez és információterjesztéshez.</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Hivatkozás</w:t>
      </w:r>
      <w:r>
        <w:rPr>
          <w:i/>
          <w:color w:val="404040" w:themeColor="background1" w:themeShade="40"/>
          <w:sz w:val="16"/>
          <w:szCs w:val="16"/>
        </w:rPr>
        <w:t xml:space="preserve">: Az „Együttműködés” tárgyú intézkedésről szóló, 2014. novemberi útmutató dokumentum: </w:t>
      </w:r>
      <w:hyperlink r:id="rId127" w:history="1">
        <w:r>
          <w:rPr>
            <w:rStyle w:val="Hyperlink"/>
            <w:i/>
            <w:szCs w:val="16"/>
          </w:rPr>
          <w:t>http://ec.europa.eu/eip/agriculture/sites/agri-eip/files/16_measure_fiche_art_35_co-operation.pdf</w:t>
        </w:r>
      </w:hyperlink>
    </w:p>
    <w:p w:rsidR="00724CF6" w:rsidRDefault="00724CF6" w:rsidP="00724CF6">
      <w:pPr>
        <w:rPr>
          <w:rFonts w:eastAsia="Arial" w:cs="Arial"/>
          <w:b/>
          <w:color w:val="57825E"/>
          <w:szCs w:val="20"/>
        </w:rPr>
      </w:pPr>
      <w:r>
        <w:rPr>
          <w:b/>
          <w:color w:val="57825E"/>
          <w:szCs w:val="20"/>
        </w:rPr>
        <w:t>Operatív csoportok</w:t>
      </w:r>
    </w:p>
    <w:p w:rsidR="00724CF6" w:rsidRDefault="00724CF6" w:rsidP="00724CF6">
      <w:pPr>
        <w:rPr>
          <w:rFonts w:cs="Arial"/>
          <w:color w:val="404040" w:themeColor="background1" w:themeShade="40"/>
          <w:szCs w:val="20"/>
        </w:rPr>
      </w:pPr>
      <w:r>
        <w:rPr>
          <w:color w:val="404040" w:themeColor="background1" w:themeShade="40"/>
          <w:szCs w:val="20"/>
        </w:rPr>
        <w:t xml:space="preserve">Konkrét célkitűzésekkel rendelkező gyakorlati innovációs projekten együtt dolgozó </w:t>
      </w:r>
      <w:r>
        <w:rPr>
          <w:color w:val="404040" w:themeColor="background1" w:themeShade="40"/>
          <w:szCs w:val="20"/>
        </w:rPr>
        <w:t>személyek (például mezőgazdasági termelők, kutatók, tanácsadók stb.) csoportja.</w:t>
      </w:r>
    </w:p>
    <w:p w:rsidR="00724CF6" w:rsidRPr="00A05F6E" w:rsidRDefault="00724CF6" w:rsidP="00724CF6">
      <w:pPr>
        <w:rPr>
          <w:rFonts w:eastAsia="Times New Roman"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xml:space="preserve">: az EIP-AGRI tájékoztató füzete az innovációtámogató szolgálatokról: </w:t>
      </w:r>
      <w:hyperlink r:id="rId128"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Támogató eredmény</w:t>
      </w:r>
    </w:p>
    <w:p w:rsidR="0025413B" w:rsidRDefault="0025413B" w:rsidP="0025413B">
      <w:pPr>
        <w:rPr>
          <w:rFonts w:cs="Arial"/>
          <w:color w:val="404040" w:themeColor="background1" w:themeShade="40"/>
          <w:szCs w:val="20"/>
        </w:rPr>
      </w:pPr>
      <w:r>
        <w:rPr>
          <w:color w:val="404040" w:themeColor="background1" w:themeShade="40"/>
          <w:szCs w:val="20"/>
        </w:rPr>
        <w:t>A három innovációs irányvonalhoz, például a következőkhöz kapcsolódó eredmény: 1.) potenciálisan innovatív ötletek meghatározása és felkarolása; 2.) innovációs kapacitás kiépítése; és 3.) innovációt támogató környezet kialakítása. Az újonnan megjelenő innovatív ötletek arányának és minőségének megváltozásaként; az innovációs kapacitás megváltozásaként; és a támogató környezet megváltozásaként fejezhető ki.</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Hivatkozás</w:t>
      </w:r>
      <w:r>
        <w:rPr>
          <w:i/>
          <w:color w:val="404040" w:themeColor="background1" w:themeShade="40"/>
          <w:sz w:val="16"/>
          <w:szCs w:val="16"/>
        </w:rPr>
        <w:t>: 4. tematikus munkacsoport.</w:t>
      </w:r>
    </w:p>
    <w:p w:rsidR="0025413B" w:rsidRPr="009125CD" w:rsidRDefault="0025413B" w:rsidP="0025413B">
      <w:pPr>
        <w:rPr>
          <w:rFonts w:eastAsia="Arial" w:cs="Arial"/>
          <w:b/>
          <w:color w:val="57825E"/>
          <w:szCs w:val="20"/>
        </w:rPr>
      </w:pPr>
      <w:r>
        <w:rPr>
          <w:b/>
          <w:color w:val="57825E"/>
          <w:szCs w:val="20"/>
        </w:rPr>
        <w:t>Társadalmi innováció</w:t>
      </w:r>
    </w:p>
    <w:p w:rsidR="0025413B" w:rsidRDefault="0025413B" w:rsidP="0025413B">
      <w:pPr>
        <w:rPr>
          <w:rFonts w:cs="Arial"/>
          <w:color w:val="404040" w:themeColor="background1" w:themeShade="40"/>
          <w:szCs w:val="20"/>
        </w:rPr>
      </w:pPr>
      <w:r>
        <w:rPr>
          <w:color w:val="404040" w:themeColor="background1" w:themeShade="40"/>
          <w:szCs w:val="20"/>
        </w:rPr>
        <w:t>A társadalmi innováció új ötleteknek (termékeknek, szolgáltatásoknak és modelleknek) a társadalmi igények kielégítése, valamint új társadalmi kapcsolatok és együttműködések létrehozása érdekében történő továbbfejlesztéseként és végrehajtásaként határozható meg.</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DG REGIO, DG EMPL, DG AGRI stb. (2013): Guide to Social Innovation. (Útmutató a társadalmi innovációhoz).</w:t>
      </w:r>
    </w:p>
    <w:p w:rsidR="0025413B" w:rsidRPr="009125CD" w:rsidRDefault="0025413B" w:rsidP="0025413B">
      <w:pPr>
        <w:rPr>
          <w:rFonts w:eastAsia="Arial" w:cs="Arial"/>
          <w:b/>
          <w:color w:val="57825E"/>
          <w:szCs w:val="20"/>
        </w:rPr>
      </w:pPr>
      <w:r>
        <w:rPr>
          <w:b/>
          <w:color w:val="57825E"/>
          <w:szCs w:val="20"/>
        </w:rPr>
        <w:t>Tematikus információk és elemzési eredmények cseréje</w:t>
      </w:r>
    </w:p>
    <w:p w:rsidR="0025413B" w:rsidRDefault="0025413B" w:rsidP="0025413B">
      <w:pPr>
        <w:rPr>
          <w:rFonts w:cs="Arial"/>
          <w:color w:val="404040" w:themeColor="background1" w:themeShade="40"/>
          <w:szCs w:val="20"/>
        </w:rPr>
      </w:pPr>
      <w:r>
        <w:rPr>
          <w:color w:val="404040" w:themeColor="background1" w:themeShade="40"/>
          <w:szCs w:val="20"/>
        </w:rPr>
        <w:t>A nemzeti vidékfejlesztési hálózatok különböző formában mozdíthatnak elő cseréket. A tematikus információk nemzeti vidékfejlesztési hálózatok által kialakított cseréjének legelterjedtebb formáját az állandó, illetve az eseti tematikus munkacsoportok jelentik. A nemzeti vidékfejlesztési hálózatok tematikus munkacsoportjai különféle érdekelt feleket tömörítenek közös témakörökre vonatkozó információk megvitatása, elemzése és megosztása érdekében, és ennek eredményeként gyakran a VFP végrehajtásával és programozásával kapcsolatos ajánlásokat fogalmaznak meg.</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Hivatkozás</w:t>
      </w:r>
      <w:r>
        <w:rPr>
          <w:i/>
          <w:color w:val="404040" w:themeColor="background1" w:themeShade="40"/>
          <w:sz w:val="16"/>
          <w:szCs w:val="16"/>
        </w:rPr>
        <w:t xml:space="preserve">: NRN Guidebook (A nemzeti vidékfejlesztési hálózatokra vonatkozó útmutató): </w:t>
      </w:r>
      <w:hyperlink r:id="rId129" w:history="1">
        <w:r>
          <w:rPr>
            <w:rStyle w:val="Hyperlink"/>
            <w:i/>
            <w:szCs w:val="16"/>
          </w:rPr>
          <w:t>http://enrd.ec.europa.eu/enrd-static/app_templates/enrd_assets/pdf/guidebook/nrn_handbook_webversion.pdf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622614" w:rsidRDefault="00E05D08" w:rsidP="00E05D08">
      <w:pPr>
        <w:spacing w:before="60" w:after="140" w:line="220" w:lineRule="atLeast"/>
        <w:rPr>
          <w:rFonts w:eastAsia="Times New Roman" w:cs="Times New Roman"/>
          <w:sz w:val="18"/>
          <w:szCs w:val="24"/>
          <w:lang w:eastAsia="de-DE"/>
        </w:rPr>
        <w:sectPr w:rsidR="00E05D08" w:rsidRPr="00622614"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982273"/>
      <w:r>
        <w:lastRenderedPageBreak/>
        <w:t>A VFP innovációs potenciáljának meghatározása lépésről lépésre</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347"/>
        <w:gridCol w:w="2893"/>
        <w:gridCol w:w="2268"/>
        <w:gridCol w:w="2693"/>
        <w:gridCol w:w="2268"/>
        <w:gridCol w:w="2410"/>
      </w:tblGrid>
      <w:tr w:rsidR="00E05D08" w:rsidRPr="00E05D08" w:rsidTr="00B0435B">
        <w:trPr>
          <w:trHeight w:val="294"/>
        </w:trPr>
        <w:tc>
          <w:tcPr>
            <w:tcW w:w="2347"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Lépések</w:t>
            </w:r>
          </w:p>
        </w:tc>
        <w:tc>
          <w:tcPr>
            <w:tcW w:w="28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Megválaszolandó legfőbb kérdés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A VFP-n belül hol?</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Példák</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A lépéshez kapcsolódó kockázatok</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Megoldások</w:t>
            </w:r>
          </w:p>
        </w:tc>
      </w:tr>
      <w:tr w:rsidR="00E05D08" w:rsidRPr="00E05D08" w:rsidTr="00B0435B">
        <w:tc>
          <w:tcPr>
            <w:tcW w:w="2347" w:type="dxa"/>
          </w:tcPr>
          <w:p w:rsidR="00E05D08" w:rsidRPr="00F31494" w:rsidRDefault="00E05D08" w:rsidP="00F31494">
            <w:pPr>
              <w:jc w:val="left"/>
              <w:rPr>
                <w:rFonts w:cs="Arial"/>
                <w:color w:val="F07E31"/>
                <w:sz w:val="18"/>
                <w:szCs w:val="18"/>
              </w:rPr>
            </w:pPr>
            <w:r>
              <w:rPr>
                <w:color w:val="F07E31"/>
                <w:sz w:val="18"/>
                <w:szCs w:val="18"/>
              </w:rPr>
              <w:t xml:space="preserve">1. lépés: Határozza meg az innovációval kapcsolatos igények és az intézkedés/alintézkedés közötti kapcsolatokat </w:t>
            </w:r>
          </w:p>
        </w:tc>
        <w:tc>
          <w:tcPr>
            <w:tcW w:w="2893" w:type="dxa"/>
          </w:tcPr>
          <w:p w:rsidR="00E05D08" w:rsidRPr="00E05D08" w:rsidRDefault="00AA5817" w:rsidP="00F31494">
            <w:pPr>
              <w:spacing w:after="120"/>
              <w:jc w:val="left"/>
              <w:rPr>
                <w:rFonts w:cs="Arial"/>
                <w:sz w:val="16"/>
                <w:szCs w:val="16"/>
              </w:rPr>
            </w:pPr>
            <w:r>
              <w:rPr>
                <w:sz w:val="16"/>
                <w:szCs w:val="16"/>
              </w:rPr>
              <w:t>Milyen innovációval kapcsolatos igényeket határoztak meg az intézkedéshez/alintézkedéshez kapcsolódó igényfelmérés során?</w:t>
            </w:r>
          </w:p>
          <w:p w:rsidR="00E05D08" w:rsidRPr="00E05D08" w:rsidRDefault="00E05D08" w:rsidP="00F31494">
            <w:pPr>
              <w:spacing w:after="120"/>
              <w:jc w:val="left"/>
              <w:rPr>
                <w:rFonts w:cs="Arial"/>
                <w:sz w:val="16"/>
                <w:szCs w:val="16"/>
              </w:rPr>
            </w:pPr>
            <w:r>
              <w:rPr>
                <w:sz w:val="16"/>
                <w:szCs w:val="16"/>
              </w:rPr>
              <w:t>Az intézkedés/alintézkedés hogyan tér ki ezekre az igényekre a három irányvonal figyelembevételével?</w:t>
            </w:r>
          </w:p>
        </w:tc>
        <w:tc>
          <w:tcPr>
            <w:tcW w:w="2268" w:type="dxa"/>
          </w:tcPr>
          <w:p w:rsidR="00E05D08" w:rsidRPr="00E05D08" w:rsidRDefault="00E05D08" w:rsidP="00F31494">
            <w:pPr>
              <w:jc w:val="left"/>
              <w:rPr>
                <w:rFonts w:cs="Arial"/>
                <w:sz w:val="16"/>
                <w:szCs w:val="16"/>
              </w:rPr>
            </w:pPr>
            <w:r>
              <w:rPr>
                <w:sz w:val="16"/>
                <w:szCs w:val="16"/>
              </w:rPr>
              <w:t>4. szakasz – GYELV-elemzés és igényelemzés</w:t>
            </w:r>
          </w:p>
          <w:p w:rsidR="00E05D08" w:rsidRPr="00E05D08" w:rsidRDefault="00E05D08" w:rsidP="00F31494">
            <w:pPr>
              <w:jc w:val="left"/>
              <w:rPr>
                <w:rFonts w:cs="Arial"/>
                <w:sz w:val="16"/>
                <w:szCs w:val="16"/>
              </w:rPr>
            </w:pPr>
            <w:r>
              <w:rPr>
                <w:sz w:val="16"/>
                <w:szCs w:val="16"/>
              </w:rPr>
              <w:t>5. szakasz – A stratégia ismertetése</w:t>
            </w:r>
          </w:p>
          <w:p w:rsidR="00E05D08" w:rsidRPr="00E05D08" w:rsidRDefault="00E05D08" w:rsidP="00F31494">
            <w:pPr>
              <w:jc w:val="left"/>
              <w:rPr>
                <w:rFonts w:cs="Arial"/>
                <w:sz w:val="16"/>
                <w:szCs w:val="16"/>
              </w:rPr>
            </w:pPr>
            <w:r>
              <w:rPr>
                <w:sz w:val="16"/>
                <w:szCs w:val="16"/>
              </w:rPr>
              <w:t>8. szakasz – Az intézkedések és az alintézkedések ismertetése</w:t>
            </w:r>
          </w:p>
        </w:tc>
        <w:tc>
          <w:tcPr>
            <w:tcW w:w="2693" w:type="dxa"/>
          </w:tcPr>
          <w:p w:rsidR="00E05D08" w:rsidRPr="00E05D08" w:rsidRDefault="00E05D08" w:rsidP="00F31494">
            <w:pPr>
              <w:jc w:val="left"/>
              <w:rPr>
                <w:rFonts w:cs="Arial"/>
                <w:sz w:val="16"/>
                <w:szCs w:val="16"/>
              </w:rPr>
            </w:pPr>
            <w:r>
              <w:rPr>
                <w:sz w:val="16"/>
                <w:szCs w:val="16"/>
              </w:rPr>
              <w:t>Tökéletesíteni kell a K+F+I-rendszert. Tökéletesíteni kell a tudásátadási mechanizmusokat. Elő kell mozdítani az innovációs kultúrát az agár-élelmiszeripari ágazat szereplői körében.</w:t>
            </w:r>
          </w:p>
        </w:tc>
        <w:tc>
          <w:tcPr>
            <w:tcW w:w="2268" w:type="dxa"/>
          </w:tcPr>
          <w:p w:rsidR="00E05D08" w:rsidRPr="00E05D08" w:rsidRDefault="00AA5817" w:rsidP="00963A81">
            <w:pPr>
              <w:jc w:val="left"/>
              <w:rPr>
                <w:rFonts w:cs="Arial"/>
                <w:sz w:val="16"/>
                <w:szCs w:val="16"/>
              </w:rPr>
            </w:pPr>
            <w:r>
              <w:rPr>
                <w:sz w:val="16"/>
                <w:szCs w:val="16"/>
              </w:rPr>
              <w:t xml:space="preserve">Az innovációval kapcsolatos igényeket nem juttatták egyértelműen kifejezésre a GYELV-elemzésben és az igényfelmérésben. </w:t>
            </w:r>
          </w:p>
        </w:tc>
        <w:tc>
          <w:tcPr>
            <w:tcW w:w="2410" w:type="dxa"/>
          </w:tcPr>
          <w:p w:rsidR="00E05D08" w:rsidRPr="00E05D08" w:rsidRDefault="00E05D08" w:rsidP="00F31494">
            <w:pPr>
              <w:jc w:val="left"/>
              <w:rPr>
                <w:rFonts w:cs="Arial"/>
                <w:sz w:val="16"/>
                <w:szCs w:val="16"/>
              </w:rPr>
            </w:pPr>
            <w:r>
              <w:rPr>
                <w:sz w:val="16"/>
                <w:szCs w:val="16"/>
              </w:rPr>
              <w:t>Vizsgálja felül a GYELV-elemzést és az igényfelmérést az innovációval kapcsolatos igények szempontjából.</w:t>
            </w:r>
          </w:p>
        </w:tc>
      </w:tr>
      <w:tr w:rsidR="00E05D08" w:rsidRPr="00E05D08" w:rsidTr="00B0435B">
        <w:tc>
          <w:tcPr>
            <w:tcW w:w="2347" w:type="dxa"/>
          </w:tcPr>
          <w:p w:rsidR="00E05D08" w:rsidRPr="00F31494" w:rsidRDefault="00AA5817" w:rsidP="00F31494">
            <w:pPr>
              <w:spacing w:after="120"/>
              <w:jc w:val="left"/>
              <w:rPr>
                <w:rFonts w:cs="Arial"/>
                <w:color w:val="F07E31"/>
                <w:sz w:val="18"/>
                <w:szCs w:val="18"/>
              </w:rPr>
            </w:pPr>
            <w:r>
              <w:rPr>
                <w:color w:val="F07E31"/>
                <w:sz w:val="18"/>
                <w:szCs w:val="18"/>
              </w:rPr>
              <w:t>2. lépés: Határozza meg az intézkedés/alintézkedés célkitűzéseinek innovációval kapcsolatos részeit</w:t>
            </w:r>
          </w:p>
        </w:tc>
        <w:tc>
          <w:tcPr>
            <w:tcW w:w="2893" w:type="dxa"/>
          </w:tcPr>
          <w:p w:rsidR="00E05D08" w:rsidRPr="00E05D08" w:rsidRDefault="00E05D08" w:rsidP="00F31494">
            <w:pPr>
              <w:spacing w:after="120"/>
              <w:jc w:val="left"/>
              <w:rPr>
                <w:rFonts w:cs="Arial"/>
                <w:sz w:val="16"/>
                <w:szCs w:val="16"/>
              </w:rPr>
            </w:pPr>
            <w:r>
              <w:rPr>
                <w:sz w:val="16"/>
                <w:szCs w:val="16"/>
              </w:rPr>
              <w:t>Az intézkedés/alintézkedés célkitűzései milyen mértékben térnek ki az innovációval kapcsolatos igényekre?</w:t>
            </w:r>
          </w:p>
          <w:p w:rsidR="00E05D08" w:rsidRPr="00E05D08" w:rsidRDefault="00E05D08" w:rsidP="00F31494">
            <w:pPr>
              <w:spacing w:after="120"/>
              <w:jc w:val="left"/>
              <w:rPr>
                <w:rFonts w:cs="Arial"/>
                <w:sz w:val="16"/>
                <w:szCs w:val="16"/>
              </w:rPr>
            </w:pPr>
            <w:r>
              <w:rPr>
                <w:sz w:val="16"/>
                <w:szCs w:val="16"/>
              </w:rPr>
              <w:t>Hogyan van(nak) megfogalmazva az innovációval kapcsolatos célkitűzés(ek)?</w:t>
            </w:r>
          </w:p>
        </w:tc>
        <w:tc>
          <w:tcPr>
            <w:tcW w:w="2268" w:type="dxa"/>
          </w:tcPr>
          <w:p w:rsidR="00E05D08" w:rsidRPr="00E05D08" w:rsidRDefault="00E05D08" w:rsidP="00F31494">
            <w:pPr>
              <w:jc w:val="left"/>
              <w:rPr>
                <w:rFonts w:cs="Arial"/>
                <w:sz w:val="16"/>
                <w:szCs w:val="16"/>
              </w:rPr>
            </w:pPr>
            <w:r>
              <w:rPr>
                <w:sz w:val="16"/>
                <w:szCs w:val="16"/>
              </w:rPr>
              <w:t>5. szakasz – A stratégia ismertetése</w:t>
            </w:r>
          </w:p>
          <w:p w:rsidR="00E05D08" w:rsidRPr="00E05D08" w:rsidRDefault="00E05D08" w:rsidP="00F31494">
            <w:pPr>
              <w:jc w:val="left"/>
              <w:rPr>
                <w:rFonts w:cs="Arial"/>
                <w:sz w:val="16"/>
                <w:szCs w:val="16"/>
              </w:rPr>
            </w:pPr>
            <w:r>
              <w:rPr>
                <w:sz w:val="16"/>
                <w:szCs w:val="16"/>
              </w:rPr>
              <w:t>8. szakasz – Az intézkedések és az alintézkedések ismertetése</w:t>
            </w:r>
          </w:p>
        </w:tc>
        <w:tc>
          <w:tcPr>
            <w:tcW w:w="2693" w:type="dxa"/>
          </w:tcPr>
          <w:p w:rsidR="00E05D08" w:rsidRPr="00E05D08" w:rsidRDefault="00E05D08" w:rsidP="00F31494">
            <w:pPr>
              <w:jc w:val="left"/>
              <w:rPr>
                <w:rFonts w:cs="Arial"/>
                <w:sz w:val="16"/>
                <w:szCs w:val="16"/>
              </w:rPr>
            </w:pPr>
            <w:r>
              <w:rPr>
                <w:sz w:val="16"/>
                <w:szCs w:val="16"/>
              </w:rPr>
              <w:t>Öntözési rendszerekkel kapcsolatos új technológiák előmozdítása. Új növényvédelmi és -feldolgozási ismeretek bevezetése. A vidéki vállalkozások gazdasági eredményeinek javítása innováció segítségével.</w:t>
            </w:r>
          </w:p>
        </w:tc>
        <w:tc>
          <w:tcPr>
            <w:tcW w:w="2268" w:type="dxa"/>
          </w:tcPr>
          <w:p w:rsidR="00E05D08" w:rsidRPr="00E05D08" w:rsidRDefault="00AA5817" w:rsidP="00F31494">
            <w:pPr>
              <w:jc w:val="left"/>
              <w:rPr>
                <w:rFonts w:cs="Arial"/>
                <w:sz w:val="16"/>
                <w:szCs w:val="16"/>
              </w:rPr>
            </w:pPr>
            <w:r>
              <w:rPr>
                <w:sz w:val="16"/>
                <w:szCs w:val="16"/>
              </w:rPr>
              <w:t>Az innovációval kapcsolatos célkitűzések nem nyilvánvalóak az intézkedés és az alintézkedések általános leírásában.</w:t>
            </w:r>
          </w:p>
        </w:tc>
        <w:tc>
          <w:tcPr>
            <w:tcW w:w="2410" w:type="dxa"/>
          </w:tcPr>
          <w:p w:rsidR="00E05D08" w:rsidRPr="00E05D08" w:rsidRDefault="00E05D08" w:rsidP="00F31494">
            <w:pPr>
              <w:jc w:val="left"/>
              <w:rPr>
                <w:rFonts w:cs="Arial"/>
                <w:sz w:val="16"/>
                <w:szCs w:val="16"/>
              </w:rPr>
            </w:pPr>
            <w:r>
              <w:rPr>
                <w:sz w:val="16"/>
                <w:szCs w:val="16"/>
              </w:rPr>
              <w:t>Vizsgálja felül az összes alintézkedést és azok célkitűzéseit az innovációval kapcsolatos célkitűzések meghatározása érdekében.</w:t>
            </w:r>
          </w:p>
        </w:tc>
      </w:tr>
      <w:tr w:rsidR="00E05D08" w:rsidRPr="00E05D08" w:rsidTr="00B0435B">
        <w:tc>
          <w:tcPr>
            <w:tcW w:w="2347" w:type="dxa"/>
          </w:tcPr>
          <w:p w:rsidR="00E05D08" w:rsidRPr="00F31494" w:rsidRDefault="00AA5817" w:rsidP="00F31494">
            <w:pPr>
              <w:jc w:val="left"/>
              <w:rPr>
                <w:rFonts w:cs="Arial"/>
                <w:color w:val="F07E31"/>
                <w:sz w:val="18"/>
                <w:szCs w:val="18"/>
              </w:rPr>
            </w:pPr>
            <w:r>
              <w:rPr>
                <w:color w:val="F07E31"/>
                <w:sz w:val="18"/>
                <w:szCs w:val="18"/>
              </w:rPr>
              <w:t>3. lépés: Határozza meg az intézkedés/alintézkedés innovációval kapcsolatos kiválasztási kritériumait</w:t>
            </w:r>
          </w:p>
        </w:tc>
        <w:tc>
          <w:tcPr>
            <w:tcW w:w="2893" w:type="dxa"/>
          </w:tcPr>
          <w:p w:rsidR="00E05D08" w:rsidRPr="00E05D08" w:rsidRDefault="00E05D08" w:rsidP="00F31494">
            <w:pPr>
              <w:spacing w:after="120"/>
              <w:jc w:val="left"/>
              <w:rPr>
                <w:rFonts w:cs="Arial"/>
                <w:sz w:val="16"/>
                <w:szCs w:val="16"/>
              </w:rPr>
            </w:pPr>
            <w:r>
              <w:rPr>
                <w:sz w:val="16"/>
                <w:szCs w:val="16"/>
              </w:rPr>
              <w:t xml:space="preserve">Az intézkedés/alintézkedés projektkiválasztási kritériumai milyen mértékben támogatják az innováció előmozdítását a három irányvonal figyelembevételével? </w:t>
            </w:r>
          </w:p>
          <w:p w:rsidR="00E05D08" w:rsidRPr="00E05D08" w:rsidRDefault="00E05D08" w:rsidP="00F31494">
            <w:pPr>
              <w:spacing w:after="120"/>
              <w:jc w:val="left"/>
              <w:rPr>
                <w:rFonts w:cs="Arial"/>
                <w:sz w:val="16"/>
                <w:szCs w:val="16"/>
              </w:rPr>
            </w:pPr>
            <w:r>
              <w:rPr>
                <w:sz w:val="16"/>
                <w:szCs w:val="16"/>
              </w:rPr>
              <w:t>Mely konkrét kiválasztási kritériumok támogatnak innovációt előmozdító projekteket?</w:t>
            </w:r>
          </w:p>
        </w:tc>
        <w:tc>
          <w:tcPr>
            <w:tcW w:w="2268" w:type="dxa"/>
          </w:tcPr>
          <w:p w:rsidR="00E05D08" w:rsidRPr="00E05D08" w:rsidRDefault="00E05D08" w:rsidP="00F31494">
            <w:pPr>
              <w:jc w:val="left"/>
              <w:rPr>
                <w:rFonts w:cs="Arial"/>
                <w:sz w:val="16"/>
                <w:szCs w:val="16"/>
              </w:rPr>
            </w:pPr>
            <w:r>
              <w:rPr>
                <w:sz w:val="16"/>
                <w:szCs w:val="16"/>
              </w:rPr>
              <w:t>8. szakasz – Az intézkedések és az alintézkedések ismertetése</w:t>
            </w:r>
          </w:p>
          <w:p w:rsidR="00E05D08" w:rsidRPr="00E05D08" w:rsidRDefault="00E05D08" w:rsidP="00F31494">
            <w:pPr>
              <w:jc w:val="left"/>
              <w:rPr>
                <w:rFonts w:cs="Arial"/>
                <w:sz w:val="16"/>
                <w:szCs w:val="16"/>
              </w:rPr>
            </w:pPr>
            <w:r>
              <w:rPr>
                <w:sz w:val="16"/>
                <w:szCs w:val="16"/>
              </w:rPr>
              <w:t>A végrehajtás során kidolgozott kiválasztási kritériumok (forrás: a program honlapja, irányító hatóság).</w:t>
            </w:r>
          </w:p>
        </w:tc>
        <w:tc>
          <w:tcPr>
            <w:tcW w:w="2693" w:type="dxa"/>
          </w:tcPr>
          <w:p w:rsidR="00E05D08" w:rsidRPr="00E05D08" w:rsidRDefault="00E05D08" w:rsidP="00F31494">
            <w:pPr>
              <w:jc w:val="left"/>
              <w:rPr>
                <w:rFonts w:cs="Arial"/>
                <w:sz w:val="16"/>
                <w:szCs w:val="16"/>
              </w:rPr>
            </w:pPr>
            <w:r>
              <w:rPr>
                <w:sz w:val="16"/>
                <w:szCs w:val="16"/>
              </w:rPr>
              <w:t>Az innováció terén tapasztalattal rendelkező szereplők fontossági sorrendjének megállapítása. A kutatást és a gyakorlatot összekapcsoló műveletek fontossági sorrendjének megállapítása. A partnerségek összetételére helyezett hangsúly (együttműködési műveletek során).</w:t>
            </w:r>
          </w:p>
        </w:tc>
        <w:tc>
          <w:tcPr>
            <w:tcW w:w="2268" w:type="dxa"/>
          </w:tcPr>
          <w:p w:rsidR="00E05D08" w:rsidRPr="00E05D08" w:rsidRDefault="00E05D08" w:rsidP="00F31494">
            <w:pPr>
              <w:jc w:val="left"/>
              <w:rPr>
                <w:rFonts w:cs="Arial"/>
                <w:sz w:val="16"/>
                <w:szCs w:val="16"/>
              </w:rPr>
            </w:pPr>
            <w:r>
              <w:rPr>
                <w:sz w:val="16"/>
                <w:szCs w:val="16"/>
              </w:rPr>
              <w:t xml:space="preserve">Az intézkedések leírása nem pontosítja az innovációval kapcsolatos projektkiválasztási kritériumokat, vagy csak általános megfogalmazást használ, például „a kiválasztott projektek innovatívak”. </w:t>
            </w:r>
          </w:p>
        </w:tc>
        <w:tc>
          <w:tcPr>
            <w:tcW w:w="2410" w:type="dxa"/>
          </w:tcPr>
          <w:p w:rsidR="00E05D08" w:rsidRPr="00E05D08" w:rsidRDefault="00E05D08" w:rsidP="00F31494">
            <w:pPr>
              <w:jc w:val="left"/>
              <w:rPr>
                <w:rFonts w:cs="Arial"/>
                <w:sz w:val="16"/>
                <w:szCs w:val="16"/>
              </w:rPr>
            </w:pPr>
            <w:r>
              <w:rPr>
                <w:sz w:val="16"/>
                <w:szCs w:val="16"/>
              </w:rPr>
              <w:t>Javasoljon olyan operatív kritériumokat, amelyek pontosítják, hogy a projekt milyen feltétel mellett kerül kiválasztásra innovatív projektként.</w:t>
            </w:r>
          </w:p>
        </w:tc>
      </w:tr>
      <w:tr w:rsidR="00E05D08" w:rsidRPr="00E05D08" w:rsidTr="00B0435B">
        <w:tc>
          <w:tcPr>
            <w:tcW w:w="2347" w:type="dxa"/>
          </w:tcPr>
          <w:p w:rsidR="00E05D08" w:rsidRPr="00F31494" w:rsidRDefault="00E05D08" w:rsidP="00F31494">
            <w:pPr>
              <w:spacing w:after="120"/>
              <w:jc w:val="left"/>
              <w:rPr>
                <w:rFonts w:cs="Arial"/>
                <w:color w:val="F07E31"/>
                <w:sz w:val="18"/>
                <w:szCs w:val="18"/>
              </w:rPr>
            </w:pPr>
            <w:r>
              <w:rPr>
                <w:color w:val="F07E31"/>
                <w:sz w:val="18"/>
                <w:szCs w:val="18"/>
              </w:rPr>
              <w:t>4. lépés: Nevezze meg az intézkedés/alintézkedés leírásában szereplő, innovációban érdekelt feleket</w:t>
            </w:r>
          </w:p>
        </w:tc>
        <w:tc>
          <w:tcPr>
            <w:tcW w:w="2893" w:type="dxa"/>
          </w:tcPr>
          <w:p w:rsidR="00E05D08" w:rsidRPr="00E05D08" w:rsidRDefault="00E05D08" w:rsidP="00F31494">
            <w:pPr>
              <w:spacing w:after="120"/>
              <w:jc w:val="left"/>
              <w:rPr>
                <w:rFonts w:cs="Arial"/>
                <w:sz w:val="16"/>
                <w:szCs w:val="16"/>
              </w:rPr>
            </w:pPr>
            <w:r>
              <w:rPr>
                <w:sz w:val="16"/>
                <w:szCs w:val="16"/>
              </w:rPr>
              <w:t>A tervek szerint mely kedvezményezettek mozdítják elő az innovációt a három irányvonal segítségével?</w:t>
            </w:r>
          </w:p>
          <w:p w:rsidR="00E05D08" w:rsidRPr="00E05D08" w:rsidRDefault="00E05D08" w:rsidP="00F31494">
            <w:pPr>
              <w:spacing w:after="120"/>
              <w:jc w:val="left"/>
              <w:rPr>
                <w:rFonts w:cs="Arial"/>
                <w:sz w:val="16"/>
                <w:szCs w:val="16"/>
              </w:rPr>
            </w:pPr>
            <w:r>
              <w:rPr>
                <w:sz w:val="16"/>
                <w:szCs w:val="16"/>
              </w:rPr>
              <w:t>Milyen egyéb, innovációban érdekelt felek vesznek részt az intézkedés végrehajtásában?</w:t>
            </w:r>
          </w:p>
        </w:tc>
        <w:tc>
          <w:tcPr>
            <w:tcW w:w="2268" w:type="dxa"/>
          </w:tcPr>
          <w:p w:rsidR="00E05D08" w:rsidRPr="00E05D08" w:rsidRDefault="00E05D08" w:rsidP="00F31494">
            <w:pPr>
              <w:jc w:val="left"/>
              <w:rPr>
                <w:rFonts w:cs="Arial"/>
                <w:sz w:val="16"/>
                <w:szCs w:val="16"/>
              </w:rPr>
            </w:pPr>
            <w:r>
              <w:rPr>
                <w:sz w:val="16"/>
                <w:szCs w:val="16"/>
              </w:rPr>
              <w:t>8. szakasz – Az intézkedések és az alintézkedések ismertetése</w:t>
            </w:r>
          </w:p>
        </w:tc>
        <w:tc>
          <w:tcPr>
            <w:tcW w:w="2693" w:type="dxa"/>
          </w:tcPr>
          <w:p w:rsidR="00E05D08" w:rsidRPr="00E05D08" w:rsidRDefault="00E05D08" w:rsidP="00F31494">
            <w:pPr>
              <w:jc w:val="left"/>
              <w:rPr>
                <w:rFonts w:cs="Arial"/>
                <w:sz w:val="16"/>
                <w:szCs w:val="16"/>
              </w:rPr>
            </w:pPr>
            <w:r>
              <w:rPr>
                <w:sz w:val="16"/>
                <w:szCs w:val="16"/>
              </w:rPr>
              <w:t>K+F központok</w:t>
            </w:r>
          </w:p>
          <w:p w:rsidR="00E05D08" w:rsidRPr="00E05D08" w:rsidRDefault="00E05D08" w:rsidP="00F31494">
            <w:pPr>
              <w:jc w:val="left"/>
              <w:rPr>
                <w:rFonts w:cs="Arial"/>
                <w:sz w:val="16"/>
                <w:szCs w:val="16"/>
              </w:rPr>
            </w:pPr>
            <w:r>
              <w:rPr>
                <w:sz w:val="16"/>
                <w:szCs w:val="16"/>
              </w:rPr>
              <w:t>Technológiai intézetek</w:t>
            </w:r>
          </w:p>
          <w:p w:rsidR="00E05D08" w:rsidRPr="00E05D08" w:rsidRDefault="00E05D08" w:rsidP="00F31494">
            <w:pPr>
              <w:jc w:val="left"/>
              <w:rPr>
                <w:rFonts w:cs="Arial"/>
                <w:sz w:val="16"/>
                <w:szCs w:val="16"/>
              </w:rPr>
            </w:pPr>
            <w:r>
              <w:rPr>
                <w:sz w:val="16"/>
                <w:szCs w:val="16"/>
              </w:rPr>
              <w:t>Közintézmények innovációval foglalkozó szervezeti egységei</w:t>
            </w:r>
          </w:p>
          <w:p w:rsidR="00E05D08" w:rsidRPr="00622614" w:rsidRDefault="00E05D08" w:rsidP="00F31494">
            <w:pPr>
              <w:jc w:val="left"/>
              <w:rPr>
                <w:rFonts w:cs="Arial"/>
                <w:sz w:val="16"/>
                <w:szCs w:val="16"/>
              </w:rPr>
            </w:pPr>
          </w:p>
          <w:p w:rsidR="00E05D08" w:rsidRPr="00622614"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Előfordulhat, hogy az innovációban érdekelt feleket nem határozza meg az intézkedéstervezet.</w:t>
            </w:r>
          </w:p>
        </w:tc>
        <w:tc>
          <w:tcPr>
            <w:tcW w:w="2410" w:type="dxa"/>
          </w:tcPr>
          <w:p w:rsidR="00E05D08" w:rsidRPr="00E05D08" w:rsidRDefault="00E05D08" w:rsidP="00F31494">
            <w:pPr>
              <w:jc w:val="left"/>
              <w:rPr>
                <w:rFonts w:cs="Arial"/>
                <w:sz w:val="16"/>
                <w:szCs w:val="16"/>
              </w:rPr>
            </w:pPr>
            <w:r>
              <w:rPr>
                <w:sz w:val="16"/>
                <w:szCs w:val="16"/>
              </w:rPr>
              <w:t xml:space="preserve">Az értékelőnek felül kell vizsgálnia, hogy az innovációban érdekelt felek részt vettek-e az intézkedés és az alintézkedések végrehajtásában. </w:t>
            </w:r>
          </w:p>
        </w:tc>
      </w:tr>
      <w:tr w:rsidR="00E05D08" w:rsidRPr="00E05D08" w:rsidTr="00B0435B">
        <w:tc>
          <w:tcPr>
            <w:tcW w:w="2347" w:type="dxa"/>
          </w:tcPr>
          <w:p w:rsidR="00E05D08" w:rsidRPr="00F31494" w:rsidRDefault="00AA5817" w:rsidP="00F31494">
            <w:pPr>
              <w:spacing w:after="120"/>
              <w:jc w:val="left"/>
              <w:rPr>
                <w:rFonts w:cs="Arial"/>
                <w:color w:val="F07E31"/>
                <w:sz w:val="18"/>
                <w:szCs w:val="18"/>
              </w:rPr>
            </w:pPr>
            <w:r>
              <w:rPr>
                <w:color w:val="F07E31"/>
                <w:sz w:val="18"/>
                <w:szCs w:val="18"/>
              </w:rPr>
              <w:t xml:space="preserve">5. lépés: Határozza meg az intézkedés/alintézkedés leírásában szereplő, innovációval kapcsolatos </w:t>
            </w:r>
            <w:r>
              <w:rPr>
                <w:color w:val="F07E31"/>
                <w:sz w:val="18"/>
                <w:szCs w:val="18"/>
              </w:rPr>
              <w:lastRenderedPageBreak/>
              <w:t>tevékenységeket, költségeket és költségvetést</w:t>
            </w:r>
          </w:p>
        </w:tc>
        <w:tc>
          <w:tcPr>
            <w:tcW w:w="2893" w:type="dxa"/>
          </w:tcPr>
          <w:p w:rsidR="00E05D08" w:rsidRPr="00E05D08" w:rsidRDefault="00E05D08" w:rsidP="00F31494">
            <w:pPr>
              <w:spacing w:after="120"/>
              <w:jc w:val="left"/>
              <w:rPr>
                <w:rFonts w:cs="Arial"/>
                <w:sz w:val="16"/>
                <w:szCs w:val="16"/>
              </w:rPr>
            </w:pPr>
            <w:r>
              <w:rPr>
                <w:sz w:val="16"/>
                <w:szCs w:val="16"/>
              </w:rPr>
              <w:lastRenderedPageBreak/>
              <w:t xml:space="preserve">Mely támogatható tevékenységek és költségek támogatják az innovációt? </w:t>
            </w:r>
          </w:p>
          <w:p w:rsidR="00E05D08" w:rsidRPr="00E05D08" w:rsidRDefault="00E05D08" w:rsidP="00963A81">
            <w:pPr>
              <w:spacing w:after="120"/>
              <w:jc w:val="left"/>
              <w:rPr>
                <w:rFonts w:cs="Arial"/>
                <w:sz w:val="16"/>
                <w:szCs w:val="16"/>
              </w:rPr>
            </w:pPr>
            <w:r>
              <w:rPr>
                <w:sz w:val="16"/>
                <w:szCs w:val="16"/>
              </w:rPr>
              <w:t>Milyen nagyságrendű a tevékenységek költségvetése, az innovációtámogatás költsége?</w:t>
            </w:r>
          </w:p>
        </w:tc>
        <w:tc>
          <w:tcPr>
            <w:tcW w:w="2268" w:type="dxa"/>
          </w:tcPr>
          <w:p w:rsidR="00E05D08" w:rsidRPr="00E05D08" w:rsidRDefault="00E05D08" w:rsidP="00F31494">
            <w:pPr>
              <w:jc w:val="left"/>
              <w:rPr>
                <w:rFonts w:cs="Arial"/>
                <w:sz w:val="16"/>
                <w:szCs w:val="16"/>
              </w:rPr>
            </w:pPr>
            <w:r>
              <w:rPr>
                <w:sz w:val="16"/>
                <w:szCs w:val="16"/>
              </w:rPr>
              <w:t>8. szakasz – Az intézkedések és az alintézkedések ismertetése</w:t>
            </w:r>
          </w:p>
          <w:p w:rsidR="00E05D08" w:rsidRPr="00E05D08" w:rsidRDefault="00E05D08" w:rsidP="00F31494">
            <w:pPr>
              <w:jc w:val="left"/>
              <w:rPr>
                <w:rFonts w:cs="Arial"/>
                <w:sz w:val="16"/>
                <w:szCs w:val="16"/>
              </w:rPr>
            </w:pPr>
            <w:r>
              <w:rPr>
                <w:sz w:val="16"/>
                <w:szCs w:val="16"/>
              </w:rPr>
              <w:t xml:space="preserve">A végrehajtás során kidolgozott teljesítési rendszerek (forrás: a </w:t>
            </w:r>
            <w:r>
              <w:rPr>
                <w:sz w:val="16"/>
                <w:szCs w:val="16"/>
              </w:rPr>
              <w:lastRenderedPageBreak/>
              <w:t>program honlapja, irányító hatóság).</w:t>
            </w:r>
          </w:p>
          <w:p w:rsidR="00E05D08" w:rsidRPr="00622614"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10. szakasz – Pénzügyi terv: intézkedésenkénti költségvetés </w:t>
            </w:r>
          </w:p>
        </w:tc>
        <w:tc>
          <w:tcPr>
            <w:tcW w:w="2693" w:type="dxa"/>
          </w:tcPr>
          <w:p w:rsidR="00E05D08" w:rsidRPr="00E05D08" w:rsidRDefault="00E05D08" w:rsidP="00F31494">
            <w:pPr>
              <w:jc w:val="left"/>
              <w:rPr>
                <w:rFonts w:cs="Arial"/>
                <w:sz w:val="16"/>
                <w:szCs w:val="16"/>
              </w:rPr>
            </w:pPr>
            <w:r>
              <w:rPr>
                <w:sz w:val="16"/>
                <w:szCs w:val="16"/>
              </w:rPr>
              <w:lastRenderedPageBreak/>
              <w:t xml:space="preserve">Innovációközvetítők igénybevétele operatív csoportok létrehozásához. Irányítócsoportok létrehozása az innováció monitoringjához. Innovációt támogató beavatkozások során </w:t>
            </w:r>
            <w:r>
              <w:rPr>
                <w:sz w:val="16"/>
                <w:szCs w:val="16"/>
              </w:rPr>
              <w:lastRenderedPageBreak/>
              <w:t xml:space="preserve">felmerülő adminisztratív problémák. Innovációval kapcsolatos tudatosságnövelő események. </w:t>
            </w:r>
          </w:p>
        </w:tc>
        <w:tc>
          <w:tcPr>
            <w:tcW w:w="2268" w:type="dxa"/>
          </w:tcPr>
          <w:p w:rsidR="00E05D08" w:rsidRPr="00E05D08" w:rsidRDefault="00E05D08" w:rsidP="00F31494">
            <w:pPr>
              <w:jc w:val="left"/>
              <w:rPr>
                <w:rFonts w:cs="Arial"/>
                <w:sz w:val="16"/>
                <w:szCs w:val="16"/>
              </w:rPr>
            </w:pPr>
            <w:r>
              <w:rPr>
                <w:sz w:val="16"/>
                <w:szCs w:val="16"/>
              </w:rPr>
              <w:lastRenderedPageBreak/>
              <w:t>Innovációval kapcsolatos eszközökre és támogatásra vonatkozó bizonyítékok hiánya.</w:t>
            </w:r>
          </w:p>
        </w:tc>
        <w:tc>
          <w:tcPr>
            <w:tcW w:w="2410" w:type="dxa"/>
          </w:tcPr>
          <w:p w:rsidR="00E05D08" w:rsidRPr="00E05D08" w:rsidRDefault="00E05D08" w:rsidP="00F31494">
            <w:pPr>
              <w:jc w:val="left"/>
              <w:rPr>
                <w:rFonts w:cs="Arial"/>
                <w:sz w:val="16"/>
                <w:szCs w:val="16"/>
              </w:rPr>
            </w:pPr>
            <w:r>
              <w:rPr>
                <w:sz w:val="16"/>
                <w:szCs w:val="16"/>
              </w:rPr>
              <w:t xml:space="preserve">Elemezze az intézkedés és az alintézkedések végrehajtására vonatkozó, az éves végrehajtási jelentésekben vagy az irányító hatóság által közölt kiegészítő </w:t>
            </w:r>
            <w:r>
              <w:rPr>
                <w:sz w:val="16"/>
                <w:szCs w:val="16"/>
              </w:rPr>
              <w:lastRenderedPageBreak/>
              <w:t>információkat.</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bookmarkEnd w:id="0"/>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p w:rsidR="00E16522" w:rsidRDefault="00E16522"/>
    <w:sectPr w:rsidR="00E16522" w:rsidSect="00055039">
      <w:headerReference w:type="default" r:id="rId130"/>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760" w:rsidRDefault="008E3760" w:rsidP="00E05D08">
      <w:pPr>
        <w:spacing w:after="0" w:line="240" w:lineRule="auto"/>
      </w:pPr>
      <w:r>
        <w:separator/>
      </w:r>
    </w:p>
  </w:endnote>
  <w:endnote w:type="continuationSeparator" w:id="0">
    <w:p w:rsidR="008E3760" w:rsidRDefault="008E3760"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pPr>
      <w:pStyle w:val="Footer"/>
    </w:pPr>
    <w:r>
      <w:t xml:space="preserve">oldal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887"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611706" w:rsidRDefault="005139CB"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5139CB" w:rsidRPr="00611706" w:rsidRDefault="005139CB">
        <w:pPr>
          <w:pStyle w:val="Footer"/>
          <w:rPr>
            <w:sz w:val="18"/>
            <w:szCs w:val="18"/>
          </w:rPr>
        </w:pPr>
      </w:p>
    </w:sdtContent>
  </w:sdt>
  <w:p w:rsidR="005139CB" w:rsidRPr="006D33F1" w:rsidRDefault="005139CB"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431FF5" w:rsidRDefault="005139CB"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150D5B" w:rsidRDefault="005139CB"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5139CB" w:rsidRDefault="005139CB">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E446F7">
          <w:rPr>
            <w:rStyle w:val="PageNumber"/>
            <w:rFonts w:eastAsiaTheme="majorEastAsia"/>
            <w:noProof/>
            <w:color w:val="373737"/>
            <w:szCs w:val="18"/>
          </w:rPr>
          <w:t>14</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pPr>
      <w:pStyle w:val="Footer"/>
    </w:pPr>
    <w:r>
      <w:t xml:space="preserve">oldal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5D003189" wp14:editId="6B794B4E">
          <wp:extent cx="971550" cy="247650"/>
          <wp:effectExtent l="19050" t="0" r="0" b="0"/>
          <wp:docPr id="88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611706" w:rsidRDefault="005139CB"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E446F7">
      <w:rPr>
        <w:rStyle w:val="PageNumber"/>
        <w:rFonts w:eastAsiaTheme="majorEastAsia"/>
        <w:noProof/>
        <w:color w:val="373737"/>
        <w:szCs w:val="18"/>
      </w:rPr>
      <w:t>35</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698447"/>
      <w:docPartObj>
        <w:docPartGallery w:val="Page Numbers (Bottom of Page)"/>
        <w:docPartUnique/>
      </w:docPartObj>
    </w:sdtPr>
    <w:sdtEndPr>
      <w:rPr>
        <w:noProof/>
        <w:sz w:val="18"/>
        <w:szCs w:val="18"/>
      </w:rPr>
    </w:sdtEndPr>
    <w:sdtContent>
      <w:p w:rsidR="005139CB" w:rsidRDefault="005139CB">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E446F7">
          <w:rPr>
            <w:noProof/>
            <w:sz w:val="18"/>
            <w:szCs w:val="18"/>
          </w:rPr>
          <w:t>36</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760" w:rsidRPr="00CE2990" w:rsidRDefault="008E3760" w:rsidP="00E05D08">
      <w:pPr>
        <w:spacing w:after="0" w:line="240" w:lineRule="auto"/>
        <w:rPr>
          <w:color w:val="F07E31"/>
        </w:rPr>
      </w:pPr>
      <w:r>
        <w:rPr>
          <w:color w:val="F07E31"/>
        </w:rPr>
        <w:separator/>
      </w:r>
    </w:p>
  </w:footnote>
  <w:footnote w:type="continuationSeparator" w:id="0">
    <w:p w:rsidR="008E3760" w:rsidRDefault="008E3760" w:rsidP="00E05D08">
      <w:pPr>
        <w:spacing w:after="0" w:line="240" w:lineRule="auto"/>
      </w:pPr>
      <w:r>
        <w:continuationSeparator/>
      </w:r>
    </w:p>
  </w:footnote>
  <w:footnote w:id="1">
    <w:p w:rsidR="005139CB" w:rsidRPr="00194986" w:rsidRDefault="005139CB" w:rsidP="00E05D08">
      <w:pPr>
        <w:pStyle w:val="FootnoteText"/>
      </w:pPr>
      <w:r>
        <w:rPr>
          <w:rStyle w:val="FootnoteReference"/>
          <w:rFonts w:cs="Arial"/>
        </w:rPr>
        <w:footnoteRef/>
      </w:r>
      <w:r>
        <w:t xml:space="preserve">A másik két átfogó célkitűzés a környezetvédelem, valamint az éghajlatváltozás mérséklése és az ahhoz való alkalmazkodás. </w:t>
      </w:r>
    </w:p>
  </w:footnote>
  <w:footnote w:id="2">
    <w:p w:rsidR="005139CB" w:rsidRPr="00194986" w:rsidRDefault="005139CB" w:rsidP="00E05D08">
      <w:pPr>
        <w:pStyle w:val="FootnoteText"/>
      </w:pPr>
      <w:r>
        <w:rPr>
          <w:rStyle w:val="FootnoteReference"/>
          <w:rFonts w:cs="Arial"/>
        </w:rPr>
        <w:footnoteRef/>
      </w:r>
      <w:r>
        <w:t xml:space="preserve"> </w:t>
      </w:r>
      <w:r>
        <w:t>Az 1305/2013/EU rendelet 8. cikke (1) bekezdése c) pontjának v. alpontja, valamint a 808/2014/EU rendelet I. melléklete I. részének 5.c) pontja</w:t>
      </w:r>
    </w:p>
  </w:footnote>
  <w:footnote w:id="3">
    <w:p w:rsidR="005139CB" w:rsidRPr="00B97B27" w:rsidRDefault="005139CB" w:rsidP="00E05D08">
      <w:pPr>
        <w:pStyle w:val="FootnoteText"/>
      </w:pPr>
      <w:r>
        <w:rPr>
          <w:rStyle w:val="FootnoteReference"/>
          <w:rFonts w:cs="Arial"/>
        </w:rPr>
        <w:footnoteRef/>
      </w:r>
      <w:r>
        <w:t xml:space="preserve"> </w:t>
      </w:r>
      <w:r>
        <w:t>Az 1305/2013/EU rendelet 68. cikke</w:t>
      </w:r>
    </w:p>
  </w:footnote>
  <w:footnote w:id="4">
    <w:p w:rsidR="005139CB" w:rsidRDefault="005139CB" w:rsidP="000E1D4B">
      <w:pPr>
        <w:pStyle w:val="FootnoteText"/>
      </w:pPr>
      <w:r>
        <w:rPr>
          <w:rStyle w:val="FootnoteReference"/>
          <w:sz w:val="12"/>
          <w:szCs w:val="12"/>
        </w:rPr>
        <w:footnoteRef/>
      </w:r>
      <w:r>
        <w:t xml:space="preserve"> </w:t>
      </w:r>
      <w:r>
        <w:t>Az innovációt célzó programozásról, valamint a mezőgazdaság termelékenységét és fenntarthatóságát célzó európai innovációs partnerség megvalósításáról szóló iránymutatás:</w:t>
      </w:r>
      <w:r>
        <w:cr/>
      </w:r>
      <w:r>
        <w:rPr>
          <w:rStyle w:val="Hyperlink"/>
        </w:rPr>
        <w:t>https://ec.europa.eu/eip/agriculture/sites/agri-eip/files/pb_guidelines_eip_implementation_2014_en.pdf</w:t>
      </w:r>
    </w:p>
  </w:footnote>
  <w:footnote w:id="5">
    <w:p w:rsidR="005139CB" w:rsidRPr="00DC008D" w:rsidRDefault="005139CB" w:rsidP="00F74459">
      <w:pPr>
        <w:pStyle w:val="FootnoteText"/>
        <w:rPr>
          <w:rFonts w:eastAsia="Calibri"/>
        </w:rPr>
      </w:pPr>
      <w:r>
        <w:rPr>
          <w:rStyle w:val="FootnoteReference"/>
        </w:rPr>
        <w:footnoteRef/>
      </w:r>
      <w:r>
        <w:t xml:space="preserve"> </w:t>
      </w:r>
      <w:r>
        <w:t>Az innovációt célzó programozásról, valamint a mezőgazdaság termelékenységét és fenntarthatóságát célzó európai innovációs partnerség megvalósításáról szóló iránymutatás:</w:t>
      </w:r>
      <w:r>
        <w:cr/>
      </w:r>
      <w:hyperlink r:id="rId1" w:history="1">
        <w:r>
          <w:rPr>
            <w:rStyle w:val="Hyperlink"/>
          </w:rPr>
          <w:t>https://ec.europa.eu/eip/agriculture/sites/agri-eip/files/pb_guidelines_eip_implementation_2014_en.pdf</w:t>
        </w:r>
      </w:hyperlink>
    </w:p>
  </w:footnote>
  <w:footnote w:id="6">
    <w:p w:rsidR="005139CB" w:rsidRPr="008F676D" w:rsidRDefault="005139CB" w:rsidP="00F74459">
      <w:pPr>
        <w:pStyle w:val="FootnoteText"/>
      </w:pPr>
      <w:r>
        <w:rPr>
          <w:rStyle w:val="FootnoteReference"/>
        </w:rPr>
        <w:footnoteRef/>
      </w:r>
      <w:r>
        <w:t xml:space="preserve"> </w:t>
      </w:r>
      <w:r>
        <w:t>A Horizont 2020 keretprogram határozottan támogatja a kutatás többszereplős megközelítésére vonatkozó elképzelést, amelynek keretében a mezőgazdasági termelők, a tanácsadók és más gyakorlati szakemberek a kutatókkal közösen hoznak létre megoldásokat, illetve fejlesztenek ki innovatív lehetőségeket annak érdekében, hogy a kutatás és az innovációk a mezőgazdasági gyakorlat igényeire összpontosítson, a többszereplős projektekre vonatkozó követelményekért lásd a Horizont 2020 keretprogram 2018–2020 közötti időszakra vonatkozó munkaprogramjának 8–9. oldalát (</w:t>
      </w:r>
      <w:hyperlink r:id="rId2" w:history="1">
        <w:r>
          <w:rPr>
            <w:rStyle w:val="Hyperlink"/>
          </w:rPr>
          <w:t>http://ec.europa.eu/research/participants/data/ref/h2020/wp/2018-2020/main/h2020-wp1820-food_en.pdf</w:t>
        </w:r>
      </w:hyperlink>
      <w:r>
        <w:t xml:space="preserve"> ) és az EIP többszereplős megközelítésről szóló tájékoztató füzete (</w:t>
      </w:r>
      <w:hyperlink r:id="rId3" w:history="1">
        <w:r>
          <w:rPr>
            <w:rStyle w:val="Hyperlink"/>
          </w:rPr>
          <w:t>https://ec.europa.eu/eip/agriculture/sites/agri-eip/files/eip-agri_brochure_multi-actor_projects_2017_en_web.pdf</w:t>
        </w:r>
      </w:hyperlink>
      <w:r>
        <w:t xml:space="preserve"> )</w:t>
      </w:r>
    </w:p>
  </w:footnote>
  <w:footnote w:id="7">
    <w:p w:rsidR="005139CB" w:rsidRDefault="005139CB" w:rsidP="00F74459">
      <w:pPr>
        <w:pStyle w:val="FootnoteText"/>
      </w:pPr>
      <w:r>
        <w:rPr>
          <w:rStyle w:val="FootnoteReference"/>
        </w:rPr>
        <w:footnoteRef/>
      </w:r>
      <w:r>
        <w:t xml:space="preserve"> </w:t>
      </w:r>
      <w:r>
        <w:t>A stratégiai munkacsoport mezőgazdasági ismeretekkel és innovációs rendszerekkel foglalkozó mezőgazdasági kutatási állandó bizottságának jelentései:</w:t>
      </w:r>
    </w:p>
    <w:p w:rsidR="005139CB" w:rsidRDefault="005139CB" w:rsidP="00F74459">
      <w:pPr>
        <w:pStyle w:val="FootnoteText"/>
      </w:pPr>
      <w:r>
        <w:t>– Agricultural Knowledge and Innovation Systems Towards 2020 (2020-ig megvalósítandó mezőgazdasági ismeret- és innovációs rendszerek): az innovációt és a kutatást összekapcsoló orientációs dokumentum</w:t>
      </w:r>
    </w:p>
    <w:p w:rsidR="005139CB" w:rsidRDefault="005139CB" w:rsidP="00F74459">
      <w:pPr>
        <w:pStyle w:val="FootnoteText"/>
      </w:pPr>
      <w:hyperlink r:id="rId4" w:history="1">
        <w:r>
          <w:rPr>
            <w:rStyle w:val="Hyperlink"/>
          </w:rPr>
          <w:t xml:space="preserve">http://www.gppq.fct.pt/h2020/_docs/brochuras/bioeco/agricultural-knowledge-innovation-systems-towards-2020_en.pdf </w:t>
        </w:r>
      </w:hyperlink>
      <w:r>
        <w:t>(a többszereplős megközelítés kialakításáról)</w:t>
      </w:r>
    </w:p>
    <w:p w:rsidR="005139CB" w:rsidRPr="009C39EE" w:rsidRDefault="005139CB" w:rsidP="00F74459">
      <w:pPr>
        <w:pStyle w:val="FootnoteText"/>
      </w:pPr>
      <w:r>
        <w:t xml:space="preserve">– Agricultural Knowledge and Innovation Systems towards the Future (A jövőbe mutató mezőgazdasági ismeret- és innovációs rendszerek): előretekintő dokumentum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5139CB" w:rsidRPr="00B13D00" w:rsidRDefault="005139CB" w:rsidP="00F74459">
      <w:pPr>
        <w:pStyle w:val="FootnoteText"/>
      </w:pPr>
      <w:r>
        <w:rPr>
          <w:rStyle w:val="FootnoteReference"/>
          <w:color w:val="373737"/>
        </w:rPr>
        <w:footnoteRef/>
      </w:r>
      <w:r>
        <w:t xml:space="preserve"> </w:t>
      </w:r>
      <w:r>
        <w:t xml:space="preserve">A társadalmi-műszaki résekre vonatkozó további információk: Schot és Geels (2008). </w:t>
      </w:r>
    </w:p>
  </w:footnote>
  <w:footnote w:id="9">
    <w:p w:rsidR="005139CB" w:rsidRPr="00F74459" w:rsidRDefault="005139CB" w:rsidP="00F74459">
      <w:pPr>
        <w:pStyle w:val="FootnoteText"/>
      </w:pPr>
      <w:r>
        <w:rPr>
          <w:szCs w:val="16"/>
          <w:vertAlign w:val="superscript"/>
          <w:lang w:val="en-IE"/>
        </w:rPr>
        <w:footnoteRef/>
      </w:r>
      <w:r>
        <w:t xml:space="preserve"> </w:t>
      </w:r>
      <w:r>
        <w:t>EVH (2013). Towards Successful Innovation Brokerage: Insights for the 2007-2013 Rural Development Programmes (A sikeres innovációközvetítés felé: Betekintés a 2007–2013 közötti vidékfejlesztési programokba), valamint Leeuwis C, Schut M, Waters-Bayer A, Mur R, Atta-Krah K és Douthwaite B. 2014. Capacity to innovate from a system CGIAR research program perspective (Innovációs kapacitás a CGIAR kutatási program rendszerszempontú megközelítése). Pineng, Malajzia: CGIAR Research Program on Aquatic Agricultural Systems (A CGIAR akvakultúra-rendszerekre vonatkozó kutatási programja). A programról szóló tájékoztató: AAS-2014-29.</w:t>
      </w:r>
    </w:p>
  </w:footnote>
  <w:footnote w:id="10">
    <w:p w:rsidR="005139CB" w:rsidRPr="00F74459" w:rsidRDefault="005139CB" w:rsidP="00F74459">
      <w:pPr>
        <w:pStyle w:val="FootnoteText"/>
      </w:pPr>
      <w:r>
        <w:rPr>
          <w:szCs w:val="16"/>
          <w:vertAlign w:val="superscript"/>
          <w:lang w:val="en-IE"/>
        </w:rPr>
        <w:footnoteRef/>
      </w:r>
      <w:r>
        <w:t xml:space="preserve"> </w:t>
      </w:r>
      <w:r>
        <w:t>Az innovációközvetítés EVH (2013) általi meghatározása: kulcsfontosságú rendszerkapacitás, nevezetesen a változás iránt elkötelezett, kreatív, proaktív, motivált, pártatlan, átlátható és az innováció hátterére érzékeny szereplők jelenléte (és tevékenysége).</w:t>
      </w:r>
    </w:p>
  </w:footnote>
  <w:footnote w:id="11">
    <w:p w:rsidR="005139CB" w:rsidRDefault="005139CB" w:rsidP="00F74459">
      <w:pPr>
        <w:pStyle w:val="FootnoteText"/>
      </w:pPr>
      <w:r>
        <w:rPr>
          <w:szCs w:val="16"/>
          <w:vertAlign w:val="superscript"/>
          <w:lang w:val="en-IE"/>
        </w:rPr>
        <w:footnoteRef/>
      </w:r>
      <w:r>
        <w:t xml:space="preserve"> </w:t>
      </w:r>
      <w:r>
        <w:t>Douthwaite és Hoffecker (kiadás alatt), valamint Nemes és Augustyn (2017).</w:t>
      </w:r>
    </w:p>
  </w:footnote>
  <w:footnote w:id="12">
    <w:p w:rsidR="005139CB" w:rsidRPr="00B13D00" w:rsidRDefault="005139CB" w:rsidP="00E05D08">
      <w:pPr>
        <w:pStyle w:val="FootnoteText"/>
      </w:pPr>
      <w:r>
        <w:rPr>
          <w:vertAlign w:val="superscript"/>
        </w:rPr>
        <w:footnoteRef/>
      </w:r>
      <w:r>
        <w:t xml:space="preserve"> </w:t>
      </w:r>
      <w:r>
        <w:t>EVH (2013). Towards Successful Innovation Brokerage: Insights for the 2007-2013 Rural Development Programmes (A sikeres innovációközvetítés felé: Betekintés a 2007–2013 közötti vidékfejlesztési programokba)</w:t>
      </w:r>
    </w:p>
  </w:footnote>
  <w:footnote w:id="13">
    <w:p w:rsidR="005139CB" w:rsidRPr="00690E70" w:rsidRDefault="005139CB" w:rsidP="004508D0">
      <w:pPr>
        <w:pStyle w:val="FootnoteText"/>
        <w:rPr>
          <w:rStyle w:val="Hyperlink"/>
        </w:rPr>
      </w:pPr>
      <w:r>
        <w:rPr>
          <w:rStyle w:val="FootnoteReference"/>
        </w:rPr>
        <w:footnoteRef/>
      </w:r>
      <w:r>
        <w:t xml:space="preserve"> </w:t>
      </w:r>
      <w:r>
        <w:t xml:space="preserve">A mezőgazdaság termelékenységét és fenntarthatóságát célzó európai innovációs partnerség (2016) „Városok és élelmiszerek: A fogyasztók és a termelők összekapcsolása” című műhelytalálkozója. Elérhető a következő címen: </w:t>
      </w:r>
      <w:hyperlink r:id="rId6" w:history="1">
        <w:r>
          <w:rPr>
            <w:rStyle w:val="Hyperlink"/>
          </w:rPr>
          <w:t>https://ec.europa.eu/eip/agriculture/sites/agri-eip/files/eip-agri_factsheet_cities_and_food_en_web.pdf</w:t>
        </w:r>
      </w:hyperlink>
    </w:p>
  </w:footnote>
  <w:footnote w:id="14">
    <w:p w:rsidR="005139CB" w:rsidRPr="00B13D00" w:rsidRDefault="005139CB" w:rsidP="00E05D08">
      <w:pPr>
        <w:pStyle w:val="FootnoteText"/>
      </w:pPr>
      <w:r>
        <w:rPr>
          <w:rStyle w:val="FootnoteReference"/>
        </w:rPr>
        <w:footnoteRef/>
      </w:r>
      <w:r>
        <w:t xml:space="preserve"> </w:t>
      </w:r>
      <w:r>
        <w:t>Senge, P. M., &amp; Sterman, J. D. (1992). Systems thinking and organisational learning: Acting locally and thinking globally in the organisation of the future (Rendszerben gondolkodás és szervezeti tanulás: Helyi fellépés és globális gondolkodás a jövő megszervezése során). European journal of operational research, 59(1), 137–150.</w:t>
      </w:r>
    </w:p>
  </w:footnote>
  <w:footnote w:id="15">
    <w:p w:rsidR="005139CB" w:rsidRPr="00554BBB" w:rsidRDefault="005139CB"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 (Az értékelés tudománya: Realista manifeszt)</w:t>
      </w:r>
      <w:r>
        <w:t>. London, Egyesült Királyság: Sage Publications</w:t>
      </w:r>
    </w:p>
  </w:footnote>
  <w:footnote w:id="16">
    <w:p w:rsidR="005139CB" w:rsidRPr="00B13D00" w:rsidRDefault="005139CB" w:rsidP="00E05D08">
      <w:pPr>
        <w:pStyle w:val="FootnoteText"/>
      </w:pPr>
      <w:r>
        <w:rPr>
          <w:rStyle w:val="FootnoteReference"/>
        </w:rPr>
        <w:footnoteRef/>
      </w:r>
      <w:r>
        <w:t xml:space="preserve"> </w:t>
      </w:r>
      <w:r>
        <w:t>A Horizont 2020 keretprogram a legnagyobb uniós kutatási és innovációs program, melynek célja, hogy az intelligens, fenntartható és inkluzív növekedés és foglalkoztatás megvalósítását szolgáló eszközként az összes ágazatban – többek között a mezőgazdaság és az erdőgazdálkodás területén – folytatott kutatást és innovációt összekapcsolja. Számos egyéb, az innovációval és a készségfejlesztéssel foglalkozó uniós szakpolitika is hozzájárulhat a mezőgazdasági kutatáshoz és innovációhoz (kohéziós politika, COSME, ERASMUS, LIFE+).</w:t>
      </w:r>
    </w:p>
  </w:footnote>
  <w:footnote w:id="17">
    <w:p w:rsidR="005139CB" w:rsidRPr="00B13D00" w:rsidRDefault="005139CB" w:rsidP="00E05D08">
      <w:pPr>
        <w:pStyle w:val="FootnoteText"/>
      </w:pPr>
      <w:r>
        <w:rPr>
          <w:rStyle w:val="FootnoteReference"/>
          <w:rFonts w:cs="Helvetica"/>
          <w:szCs w:val="16"/>
        </w:rPr>
        <w:footnoteRef/>
      </w:r>
      <w:r>
        <w:t xml:space="preserve"> </w:t>
      </w:r>
      <w:r>
        <w:t>A keretprogram célja a jelentős társadalmi kihívások, például az éghajlatváltozás és az erőforrás-hatékonyság kezelése, valamint az innovációs lánc láncszemeinek megerősítése (</w:t>
      </w:r>
      <w:hyperlink r:id="rId7" w:history="1">
        <w:r>
          <w:rPr>
            <w:rStyle w:val="Hyperlink"/>
          </w:rPr>
          <w:t>http://ec.europa.eu/europe2020/europe-2020-in-a-nutshell/flagship-initiatives/index_en.htm</w:t>
        </w:r>
      </w:hyperlink>
      <w:r>
        <w:t xml:space="preserve">) </w:t>
      </w:r>
    </w:p>
  </w:footnote>
  <w:footnote w:id="18">
    <w:p w:rsidR="005139CB" w:rsidRPr="00275EE5" w:rsidRDefault="005139CB"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5139CB" w:rsidRPr="00B13D00" w:rsidRDefault="005139CB" w:rsidP="00E05D08">
      <w:pPr>
        <w:pStyle w:val="FootnoteText"/>
      </w:pPr>
      <w:r>
        <w:rPr>
          <w:rStyle w:val="FootnoteReference"/>
        </w:rPr>
        <w:footnoteRef/>
      </w:r>
      <w:r>
        <w:t xml:space="preserve"> </w:t>
      </w:r>
      <w:r>
        <w:t>Az 1305/2013/EU rendelet 5. cikke</w:t>
      </w:r>
    </w:p>
  </w:footnote>
  <w:footnote w:id="20">
    <w:p w:rsidR="005139CB" w:rsidRPr="00171202" w:rsidRDefault="005139CB" w:rsidP="00E05D08">
      <w:pPr>
        <w:pStyle w:val="FootnoteText"/>
      </w:pPr>
      <w:r>
        <w:rPr>
          <w:rStyle w:val="FootnoteReference"/>
        </w:rPr>
        <w:footnoteRef/>
      </w:r>
      <w:r>
        <w:t xml:space="preserve"> </w:t>
      </w:r>
      <w:r>
        <w:t>Az 1305/2013/EU rendelet 8. cikke (1) bekezdése c) pontjának v. alpontja</w:t>
      </w:r>
    </w:p>
  </w:footnote>
  <w:footnote w:id="21">
    <w:p w:rsidR="005139CB" w:rsidRPr="00171202" w:rsidRDefault="005139CB" w:rsidP="00E05D08">
      <w:pPr>
        <w:pStyle w:val="FootnoteText"/>
      </w:pPr>
      <w:r>
        <w:rPr>
          <w:rStyle w:val="FootnoteReference"/>
          <w:i/>
        </w:rPr>
        <w:footnoteRef/>
      </w:r>
      <w:r>
        <w:t xml:space="preserve"> </w:t>
      </w:r>
      <w:r>
        <w:t>Az 1305/2013/EU rendelet 8. cikke (1) bekezdésének b) pontja</w:t>
      </w:r>
    </w:p>
  </w:footnote>
  <w:footnote w:id="22">
    <w:p w:rsidR="005139CB" w:rsidRPr="00171202" w:rsidRDefault="005139CB" w:rsidP="00E05D08">
      <w:pPr>
        <w:pStyle w:val="FootnoteText"/>
      </w:pPr>
      <w:r>
        <w:rPr>
          <w:rStyle w:val="FootnoteReference"/>
          <w:i/>
        </w:rPr>
        <w:footnoteRef/>
      </w:r>
      <w:r>
        <w:t xml:space="preserve"> </w:t>
      </w:r>
      <w:r>
        <w:t>Az 1305/2013/EU rendelet 5. cikke.</w:t>
      </w:r>
    </w:p>
  </w:footnote>
  <w:footnote w:id="23">
    <w:p w:rsidR="005139CB" w:rsidRPr="00D461AB" w:rsidRDefault="005139CB" w:rsidP="00D461AB">
      <w:pPr>
        <w:pStyle w:val="FootnoteText"/>
      </w:pPr>
      <w:r>
        <w:rPr>
          <w:rStyle w:val="FootnoteReference"/>
        </w:rPr>
        <w:footnoteRef/>
      </w:r>
      <w:r>
        <w:t xml:space="preserve"> </w:t>
      </w:r>
      <w:r>
        <w:t>Az innovációt célzó programozásról, valamint a mezőgazdaság termelékenységét és fenntarthatóságát célzó európai innovációs partnerség megvalósításáról szóló iránymutatás 8.2. szakasza, 13. oldal.</w:t>
      </w:r>
    </w:p>
  </w:footnote>
  <w:footnote w:id="24">
    <w:p w:rsidR="005139CB" w:rsidRPr="00171202" w:rsidRDefault="005139CB" w:rsidP="00E05D08">
      <w:pPr>
        <w:pStyle w:val="FootnoteText"/>
      </w:pPr>
      <w:r>
        <w:rPr>
          <w:rStyle w:val="FootnoteReference"/>
        </w:rPr>
        <w:footnoteRef/>
      </w:r>
      <w:r>
        <w:t xml:space="preserve"> </w:t>
      </w:r>
      <w:r>
        <w:t>Az 1303/2013/EU rendelet, a 808/2014/EU rendelete I. mellékletének 5. része, valamint az innovációt célzó programozásról, valamint a mezőgazdaság termelékenységét és fenntarthatóságát célzó európai innovációs partnerség megvalósításáról szóló iránymutatás (2014, 10. o.).</w:t>
      </w:r>
    </w:p>
  </w:footnote>
  <w:footnote w:id="25">
    <w:p w:rsidR="005139CB" w:rsidRPr="00171202" w:rsidRDefault="005139CB" w:rsidP="00E05D08">
      <w:pPr>
        <w:pStyle w:val="FootnoteText"/>
      </w:pPr>
      <w:r>
        <w:rPr>
          <w:rStyle w:val="FootnoteReference"/>
        </w:rPr>
        <w:footnoteRef/>
      </w:r>
      <w:r>
        <w:t xml:space="preserve"> </w:t>
      </w:r>
      <w:r>
        <w:t>Az 1303/2013/EU rendelet 27. cikke és a 808/2014/EU rendelet I. mellékletének 5. része</w:t>
      </w:r>
    </w:p>
  </w:footnote>
  <w:footnote w:id="26">
    <w:p w:rsidR="005139CB" w:rsidRPr="00171202" w:rsidRDefault="005139CB" w:rsidP="00E05D08">
      <w:pPr>
        <w:pStyle w:val="FootnoteText"/>
      </w:pPr>
      <w:r>
        <w:rPr>
          <w:rStyle w:val="FootnoteReference"/>
        </w:rPr>
        <w:footnoteRef/>
      </w:r>
      <w:r>
        <w:t xml:space="preserve"> </w:t>
      </w:r>
      <w:r>
        <w:t>Az 1303/2013/EU rendelet 32–34. cikke és a 808/2014/EU rendelet I. mellékletének 5. része</w:t>
      </w:r>
    </w:p>
  </w:footnote>
  <w:footnote w:id="27">
    <w:p w:rsidR="005139CB" w:rsidRPr="00171202" w:rsidRDefault="005139CB" w:rsidP="00E05D08">
      <w:pPr>
        <w:pStyle w:val="FootnoteText"/>
      </w:pPr>
      <w:r>
        <w:rPr>
          <w:rStyle w:val="FootnoteReference"/>
        </w:rPr>
        <w:footnoteRef/>
      </w:r>
      <w:r>
        <w:t xml:space="preserve"> </w:t>
      </w:r>
      <w:r>
        <w:t>Az 1305/2013/EU rendelet 53. cikke</w:t>
      </w:r>
    </w:p>
  </w:footnote>
  <w:footnote w:id="28">
    <w:p w:rsidR="005139CB" w:rsidRPr="00171202" w:rsidRDefault="005139CB" w:rsidP="00E05D08">
      <w:pPr>
        <w:pStyle w:val="FootnoteText"/>
      </w:pPr>
      <w:r>
        <w:rPr>
          <w:rStyle w:val="FootnoteReference"/>
        </w:rPr>
        <w:footnoteRef/>
      </w:r>
      <w:r>
        <w:t xml:space="preserve"> </w:t>
      </w:r>
      <w:r>
        <w:t>Az 1305/2013/EU rendelet 54. cikkének d) pontja</w:t>
      </w:r>
    </w:p>
  </w:footnote>
  <w:footnote w:id="29">
    <w:p w:rsidR="005139CB" w:rsidRPr="00171202" w:rsidRDefault="005139CB" w:rsidP="00E05D08">
      <w:pPr>
        <w:pStyle w:val="FootnoteText"/>
      </w:pPr>
      <w:r>
        <w:rPr>
          <w:rStyle w:val="FootnoteReference"/>
        </w:rPr>
        <w:footnoteRef/>
      </w:r>
      <w:r>
        <w:t xml:space="preserve"> </w:t>
      </w:r>
      <w:r>
        <w:t>Az innovációt célzó programozásról, valamint a mezőgazdaság termelékenységét és fenntarthatóságát célzó európai innovációs partnerség megvalósításáról szóló iránymutatás (2014, 13. o.)</w:t>
      </w:r>
    </w:p>
  </w:footnote>
  <w:footnote w:id="30">
    <w:p w:rsidR="005139CB" w:rsidRPr="00171202" w:rsidRDefault="005139CB" w:rsidP="00E05D08">
      <w:pPr>
        <w:pStyle w:val="FootnoteText"/>
      </w:pPr>
      <w:r>
        <w:rPr>
          <w:rStyle w:val="FootnoteReference"/>
        </w:rPr>
        <w:footnoteRef/>
      </w:r>
      <w:r>
        <w:t xml:space="preserve"> </w:t>
      </w:r>
      <w:r>
        <w:t>Az 1305/2013/EU rendelet 54. cikke (3) bekezdése b) pontjának iv. alpontja</w:t>
      </w:r>
    </w:p>
  </w:footnote>
  <w:footnote w:id="31">
    <w:p w:rsidR="005139CB" w:rsidRPr="00171202" w:rsidRDefault="005139CB" w:rsidP="00E05D08">
      <w:pPr>
        <w:pStyle w:val="FootnoteText"/>
      </w:pPr>
      <w:r>
        <w:rPr>
          <w:rStyle w:val="FootnoteReference"/>
        </w:rPr>
        <w:footnoteRef/>
      </w:r>
      <w:r>
        <w:t xml:space="preserve"> </w:t>
      </w:r>
      <w:r>
        <w:t>A 808/2014/EU rendelet I. melléklete 1. része 9.3. pontjának a) alpontja</w:t>
      </w:r>
    </w:p>
  </w:footnote>
  <w:footnote w:id="32">
    <w:p w:rsidR="005139CB" w:rsidRPr="00171202" w:rsidRDefault="005139CB" w:rsidP="00E05D08">
      <w:pPr>
        <w:pStyle w:val="FootnoteText"/>
      </w:pPr>
      <w:r>
        <w:rPr>
          <w:rStyle w:val="FootnoteReference"/>
        </w:rPr>
        <w:footnoteRef/>
      </w:r>
      <w:r>
        <w:t xml:space="preserve"> </w:t>
      </w:r>
      <w:r>
        <w:t>A 808/2014/EU rendelet VII. mellékletének 2. pontja</w:t>
      </w:r>
    </w:p>
  </w:footnote>
  <w:footnote w:id="33">
    <w:p w:rsidR="005139CB" w:rsidRPr="005F1B3E" w:rsidRDefault="005139CB" w:rsidP="00E05D08">
      <w:pPr>
        <w:pStyle w:val="FootnoteText"/>
      </w:pPr>
      <w:r>
        <w:rPr>
          <w:rStyle w:val="FootnoteReference"/>
        </w:rPr>
        <w:footnoteRef/>
      </w:r>
      <w:r>
        <w:t xml:space="preserve"> </w:t>
      </w:r>
      <w:r>
        <w:t>A 808/2014/EU rendelet IV. melléklete</w:t>
      </w:r>
    </w:p>
  </w:footnote>
  <w:footnote w:id="34">
    <w:p w:rsidR="005139CB" w:rsidRPr="00E14E11" w:rsidRDefault="005139CB" w:rsidP="00E05D08">
      <w:pPr>
        <w:pStyle w:val="FootnoteText"/>
      </w:pPr>
      <w:r>
        <w:rPr>
          <w:rStyle w:val="FootnoteReference"/>
        </w:rPr>
        <w:footnoteRef/>
      </w:r>
      <w:r>
        <w:t>Lásd az európai innovációs partnerség ismeretrendszerekről és interaktív innovációról szóló szemináriumát:</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5139CB" w:rsidRPr="008F676D" w:rsidRDefault="005139CB" w:rsidP="00E05D08">
      <w:pPr>
        <w:pStyle w:val="FootnoteText"/>
      </w:pPr>
      <w:r>
        <w:rPr>
          <w:rStyle w:val="FootnoteReference"/>
        </w:rPr>
        <w:footnoteRef/>
      </w:r>
      <w:r>
        <w:t xml:space="preserve"> </w:t>
      </w:r>
      <w:r>
        <w:t xml:space="preserve">További útmutatás a következő iránymutatásban található: Assessment of RDP results: how to prepare for reporting on evaluation findings in 2017 (A VFP-k eredményeinek értékelése: hogyan kell felkészülni az értékelési megállapítások 2017. évi jelentésére), </w:t>
      </w:r>
      <w:hyperlink r:id="rId10" w:history="1">
        <w:r>
          <w:rPr>
            <w:rStyle w:val="Hyperlink"/>
          </w:rPr>
          <w:t>https://enrd.ec.europa.eu/evaluation/publications/guidelines-assessment-rdp-results-how-prepare-reporting-evaluation-2017_en</w:t>
        </w:r>
      </w:hyperlink>
    </w:p>
  </w:footnote>
  <w:footnote w:id="36">
    <w:p w:rsidR="005139CB" w:rsidRPr="00401F29" w:rsidRDefault="005139CB" w:rsidP="00E05D08">
      <w:pPr>
        <w:pStyle w:val="FootnoteText"/>
      </w:pPr>
      <w:r>
        <w:rPr>
          <w:rStyle w:val="FootnoteReference"/>
        </w:rPr>
        <w:footnoteRef/>
      </w:r>
      <w:r>
        <w:t xml:space="preserve"> </w:t>
      </w:r>
      <w:r>
        <w:t>Az 1305/2013/EU rendelet 66. cikke és a 808/2014/EU rendelet 15. cikke és VII. melléklete</w:t>
      </w:r>
    </w:p>
  </w:footnote>
  <w:footnote w:id="37">
    <w:p w:rsidR="005139CB" w:rsidRPr="00576A73" w:rsidRDefault="005139CB" w:rsidP="00804433">
      <w:pPr>
        <w:pStyle w:val="FootnoteText"/>
      </w:pPr>
      <w:r>
        <w:rPr>
          <w:rStyle w:val="FootnoteReference"/>
        </w:rPr>
        <w:footnoteRef/>
      </w:r>
      <w:r>
        <w:t xml:space="preserve"> </w:t>
      </w:r>
      <w:r>
        <w:t xml:space="preserve">Lásd a következő iránymutatást: „Assessment of RDP results: how to prepare for reporting on evaluation findings in 2017” (A vidékfejlesztési eredmények értékelése: hogyan kell felkészülni az értékelési megállapítások 2017. évi jelentésére), Értékelési támogató szolgálat, 2016. szeptember, </w:t>
      </w:r>
      <w:hyperlink r:id="rId11" w:history="1">
        <w:r>
          <w:rPr>
            <w:rStyle w:val="Hyperlink"/>
          </w:rPr>
          <w:t>https://enrd.ec.europa.eu/evaluation/publications/guidelines-assessment-rdp-results-how-prepare-reporting-evaluation-2017_en</w:t>
        </w:r>
      </w:hyperlink>
    </w:p>
  </w:footnote>
  <w:footnote w:id="38">
    <w:p w:rsidR="005139CB" w:rsidRPr="00626C0C" w:rsidRDefault="005139CB" w:rsidP="00583AC8">
      <w:pPr>
        <w:pStyle w:val="FootnoteText"/>
      </w:pPr>
      <w:r>
        <w:rPr>
          <w:rStyle w:val="FootnoteReference"/>
        </w:rPr>
        <w:footnoteRef/>
      </w:r>
      <w:r>
        <w:t xml:space="preserve"> </w:t>
      </w:r>
      <w:r>
        <w:t xml:space="preserve">A svéd értékelési titkárság linkje: </w:t>
      </w:r>
      <w:hyperlink r:id="rId12" w:history="1">
        <w:r>
          <w:rPr>
            <w:rStyle w:val="Hyperlink"/>
          </w:rPr>
          <w:t>https://www.jordbruksverket.se/utvardering</w:t>
        </w:r>
      </w:hyperlink>
    </w:p>
  </w:footnote>
  <w:footnote w:id="39">
    <w:p w:rsidR="005139CB" w:rsidRPr="00171202" w:rsidRDefault="005139CB" w:rsidP="00804433">
      <w:pPr>
        <w:pStyle w:val="FootnoteText"/>
      </w:pPr>
      <w:r>
        <w:rPr>
          <w:rStyle w:val="FootnoteReference"/>
        </w:rPr>
        <w:footnoteRef/>
      </w:r>
      <w:r>
        <w:t xml:space="preserve"> </w:t>
      </w:r>
      <w:r>
        <w:t>A 808/2014/EU rendelet VII. mellékletének 7. pontja</w:t>
      </w:r>
    </w:p>
  </w:footnote>
  <w:footnote w:id="40">
    <w:p w:rsidR="005139CB" w:rsidRPr="00171202" w:rsidRDefault="005139CB" w:rsidP="00804433">
      <w:pPr>
        <w:pStyle w:val="FootnoteText"/>
      </w:pPr>
      <w:r>
        <w:rPr>
          <w:rStyle w:val="FootnoteReference"/>
        </w:rPr>
        <w:footnoteRef/>
      </w:r>
      <w:r>
        <w:t xml:space="preserve"> </w:t>
      </w:r>
      <w:r>
        <w:t>A 808/2014/EU rendelet IV. mellékletének 2.3. és 4. pontja</w:t>
      </w:r>
    </w:p>
  </w:footnote>
  <w:footnote w:id="41">
    <w:p w:rsidR="005139CB" w:rsidRPr="00171202" w:rsidRDefault="005139CB" w:rsidP="00E05D08">
      <w:pPr>
        <w:pStyle w:val="FootnoteText"/>
      </w:pPr>
      <w:r>
        <w:rPr>
          <w:rStyle w:val="FootnoteReference"/>
        </w:rPr>
        <w:footnoteRef/>
      </w:r>
      <w:r>
        <w:t xml:space="preserve"> </w:t>
      </w:r>
      <w:r>
        <w:t>A következő munkadokumentumban előírt elbírálási kritériumok: Common evaluation questions for rural development programmes 2014-2020 (Közös értékelési kérdések a 2014–2020-as időszak vidékfejlesztési programjaihoz),</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5139CB" w:rsidRPr="00171202" w:rsidRDefault="005139CB" w:rsidP="00E05D08">
      <w:pPr>
        <w:pStyle w:val="FootnoteText"/>
      </w:pPr>
      <w:r>
        <w:rPr>
          <w:rStyle w:val="FootnoteReference"/>
        </w:rPr>
        <w:footnoteRef/>
      </w:r>
      <w:r>
        <w:t xml:space="preserve"> </w:t>
      </w:r>
      <w:r>
        <w:t>A 808/2014/EU rendelet IV. melléklete.</w:t>
      </w:r>
    </w:p>
  </w:footnote>
  <w:footnote w:id="43">
    <w:p w:rsidR="005139CB" w:rsidRPr="00091F73" w:rsidRDefault="005139CB" w:rsidP="00E05D08">
      <w:pPr>
        <w:pStyle w:val="FootnoteText"/>
      </w:pPr>
      <w:r>
        <w:rPr>
          <w:rStyle w:val="FootnoteReference"/>
        </w:rPr>
        <w:footnoteRef/>
      </w:r>
      <w:r>
        <w:t xml:space="preserve"> </w:t>
      </w:r>
      <w:r>
        <w:t xml:space="preserve">A tagállamok a „Common evaluation questions for rural development programmes 2014-2020” (Közös értékelési kérdések a 2014–2020-as időszak vidékfejlesztési programjaihoz) című munkadokumentumban meghatározottakon felül további elbírálási kritériumokat dolgoznak ki. </w:t>
      </w:r>
    </w:p>
  </w:footnote>
  <w:footnote w:id="44">
    <w:p w:rsidR="005139CB" w:rsidRPr="00091F73" w:rsidRDefault="005139CB" w:rsidP="00E05D08">
      <w:pPr>
        <w:pStyle w:val="FootnoteText"/>
      </w:pPr>
      <w:r>
        <w:rPr>
          <w:rStyle w:val="FootnoteReference"/>
        </w:rPr>
        <w:footnoteRef/>
      </w:r>
      <w:r>
        <w:t xml:space="preserve"> </w:t>
      </w:r>
      <w:r>
        <w:t xml:space="preserve">A kiegészítő mutatók azok a mutatók, amelyeket a tagállamok a közös mutatókon felül dolgoznak ki, ha a közös mutatók az elbírálási kritériumokkal együtt nem elegendőek a meghatározott értékelési kérdések megválaszolásához. További útmutatásért lásd a következő iránymutatást: Assessment of RDP results: how to prepare for reporting on evaluation findings in 2017 (A VFP-k eredményeinek értékelése: hogyan kell felkészülni az értékelési megállapítások 2017. évi jelentésére), </w:t>
      </w:r>
      <w:hyperlink r:id="rId14" w:history="1">
        <w:r>
          <w:rPr>
            <w:rStyle w:val="Hyperlink"/>
          </w:rPr>
          <w:t>https://enrd.ec.europa.eu/evaluation/publications/guidelines-assessment-rdp-results-how-prepare-reporting-evaluation-2017_en</w:t>
        </w:r>
      </w:hyperlink>
    </w:p>
    <w:p w:rsidR="005139CB" w:rsidRPr="00091F73" w:rsidRDefault="005139CB" w:rsidP="00F74459">
      <w:pPr>
        <w:pStyle w:val="FootnoteText"/>
        <w:rPr>
          <w:lang w:val="sk-SK"/>
        </w:rPr>
      </w:pPr>
    </w:p>
  </w:footnote>
  <w:footnote w:id="45">
    <w:p w:rsidR="005139CB" w:rsidRPr="00576A73" w:rsidRDefault="005139CB">
      <w:pPr>
        <w:pStyle w:val="FootnoteText"/>
        <w:rPr>
          <w:sz w:val="12"/>
          <w:szCs w:val="12"/>
        </w:rPr>
      </w:pPr>
      <w:r>
        <w:rPr>
          <w:rStyle w:val="FootnoteReference"/>
          <w:szCs w:val="16"/>
        </w:rPr>
        <w:footnoteRef/>
      </w:r>
      <w:r>
        <w:rPr>
          <w:sz w:val="12"/>
          <w:szCs w:val="12"/>
        </w:rPr>
        <w:t xml:space="preserve"> </w:t>
      </w:r>
      <w:r>
        <w:t>A 15. cikk (4) bekezdésének a)–g) pontja</w:t>
      </w:r>
    </w:p>
  </w:footnote>
  <w:footnote w:id="46">
    <w:p w:rsidR="005139CB" w:rsidRPr="00401F29" w:rsidRDefault="005139CB" w:rsidP="00E05D08">
      <w:pPr>
        <w:pStyle w:val="FootnoteText"/>
        <w:rPr>
          <w:rStyle w:val="Hyperlink"/>
        </w:rPr>
      </w:pPr>
      <w:r>
        <w:rPr>
          <w:rStyle w:val="FootnoteReference"/>
        </w:rPr>
        <w:footnoteRef/>
      </w:r>
      <w:r>
        <w:t xml:space="preserve"> </w:t>
      </w:r>
      <w:r>
        <w:t>Lásd:</w:t>
      </w:r>
      <w:r>
        <w:rPr>
          <w:rStyle w:val="Hyperlink"/>
        </w:rPr>
        <w:t xml:space="preserve"> </w:t>
      </w:r>
      <w:hyperlink r:id="rId15" w:history="1">
        <w:r>
          <w:rPr>
            <w:rStyle w:val="Hyperlink"/>
          </w:rPr>
          <w:t>http://ec.europa.eu/europe2020/targets/eu-targets/index_en.htm</w:t>
        </w:r>
      </w:hyperlink>
    </w:p>
  </w:footnote>
  <w:footnote w:id="47">
    <w:p w:rsidR="005139CB" w:rsidRPr="00401F29" w:rsidRDefault="005139CB" w:rsidP="00C3092C">
      <w:pPr>
        <w:pStyle w:val="FootnoteText"/>
      </w:pPr>
      <w:r>
        <w:rPr>
          <w:vertAlign w:val="superscript"/>
        </w:rPr>
        <w:footnoteRef/>
      </w:r>
      <w:r>
        <w:t xml:space="preserve"> </w:t>
      </w:r>
      <w:r>
        <w:t xml:space="preserve">A „Common Evaluation Questions for RDPs 2014-2020” (A 2014–2020-as időszakra vonatkozó VFP-k közös értékelési kérdései) című munkadokumentum, </w:t>
      </w:r>
      <w:hyperlink r:id="rId16" w:history="1">
        <w:r>
          <w:rPr>
            <w:rStyle w:val="Hyperlink"/>
          </w:rPr>
          <w:t>http://enrd.ec.europa.eu/evaluation/publications/working-document-common-evaluation-questions-rural-development-programmes_en</w:t>
        </w:r>
      </w:hyperlink>
    </w:p>
  </w:footnote>
  <w:footnote w:id="48">
    <w:p w:rsidR="005139CB" w:rsidRPr="00401F29" w:rsidRDefault="005139CB" w:rsidP="00E05D08">
      <w:pPr>
        <w:pStyle w:val="FootnoteText"/>
      </w:pPr>
      <w:r>
        <w:rPr>
          <w:rStyle w:val="FootnoteReference"/>
        </w:rPr>
        <w:footnoteRef/>
      </w:r>
      <w:r>
        <w:t xml:space="preserve"> </w:t>
      </w:r>
      <w:r>
        <w:t>Ezek az intézkedések az 1305/2013/EU rendelet cikkei</w:t>
      </w:r>
    </w:p>
  </w:footnote>
  <w:footnote w:id="49">
    <w:p w:rsidR="005139CB" w:rsidRPr="00401F29" w:rsidRDefault="005139CB" w:rsidP="00E05D08">
      <w:pPr>
        <w:pStyle w:val="FootnoteText"/>
      </w:pPr>
      <w:r>
        <w:rPr>
          <w:rStyle w:val="FootnoteReference"/>
        </w:rPr>
        <w:footnoteRef/>
      </w:r>
      <w:r>
        <w:t xml:space="preserve"> </w:t>
      </w:r>
      <w:r>
        <w:t>Az 1305/2013/EU rendelet 15. cikke (4) bekezdésének c) pontja</w:t>
      </w:r>
    </w:p>
  </w:footnote>
  <w:footnote w:id="50">
    <w:p w:rsidR="005139CB" w:rsidRPr="00401F29" w:rsidRDefault="005139CB" w:rsidP="00E05D08">
      <w:pPr>
        <w:pStyle w:val="FootnoteText"/>
      </w:pPr>
      <w:r>
        <w:rPr>
          <w:rStyle w:val="FootnoteReference"/>
        </w:rPr>
        <w:footnoteRef/>
      </w:r>
      <w:r>
        <w:t xml:space="preserve"> </w:t>
      </w:r>
      <w:r>
        <w:t>Az 1303/2013/EU rendelet 32. cikke</w:t>
      </w:r>
    </w:p>
  </w:footnote>
  <w:footnote w:id="51">
    <w:p w:rsidR="00AB49B3" w:rsidRPr="00C3092C" w:rsidRDefault="00AB49B3" w:rsidP="00AB49B3">
      <w:pPr>
        <w:pStyle w:val="FootnoteText"/>
      </w:pPr>
      <w:r>
        <w:rPr>
          <w:rStyle w:val="FootnoteReference"/>
        </w:rPr>
        <w:footnoteRef/>
      </w:r>
      <w:r>
        <w:t xml:space="preserve"> </w:t>
      </w:r>
      <w:r>
        <w:t>Az 1305/2013/EU rendelet 35. cikke (2) bekezdésének b) pontja</w:t>
      </w:r>
    </w:p>
  </w:footnote>
  <w:footnote w:id="52">
    <w:p w:rsidR="005139CB" w:rsidRPr="0026694F" w:rsidRDefault="005139CB" w:rsidP="00E05D08">
      <w:pPr>
        <w:pStyle w:val="FootnoteText"/>
        <w:rPr>
          <w:color w:val="373737"/>
        </w:rPr>
      </w:pPr>
      <w:r>
        <w:rPr>
          <w:rStyle w:val="FootnoteReference"/>
        </w:rPr>
        <w:footnoteRef/>
      </w:r>
      <w:r>
        <w:t xml:space="preserve"> </w:t>
      </w:r>
      <w:r>
        <w:t>Az 1305/2013/EU rendelet 35. cikke. A „Cooperation measure” (Együttműködési intézkedés) című útmutató dokumentum (2014. novemberi változata) az I. mellékletben kimerítően felsorolja az együttműködési intézkedés alintézkedéseit,</w:t>
      </w:r>
      <w:r>
        <w:rPr>
          <w:color w:val="373737"/>
        </w:rPr>
        <w:t xml:space="preserve"> </w:t>
      </w:r>
      <w:hyperlink r:id="rId17" w:history="1">
        <w:r>
          <w:rPr>
            <w:rStyle w:val="Hyperlink"/>
          </w:rPr>
          <w:t>https://ec.europa.eu/eip/agriculture/sites/agri-eip/files/16_measure_fiche_art_35_co-operation.pdf</w:t>
        </w:r>
      </w:hyperlink>
    </w:p>
  </w:footnote>
  <w:footnote w:id="53">
    <w:p w:rsidR="005139CB" w:rsidRPr="00401F29" w:rsidRDefault="005139CB" w:rsidP="00E05D08">
      <w:pPr>
        <w:pStyle w:val="FootnoteText"/>
      </w:pPr>
      <w:r>
        <w:rPr>
          <w:rStyle w:val="FootnoteReference"/>
        </w:rPr>
        <w:footnoteRef/>
      </w:r>
      <w:r>
        <w:t xml:space="preserve"> </w:t>
      </w:r>
      <w:r>
        <w:t>Az 1305/2013/EU rendelet 35. cikkének (1) bekezdése</w:t>
      </w:r>
    </w:p>
  </w:footnote>
  <w:footnote w:id="54">
    <w:p w:rsidR="00BF732C" w:rsidRPr="00AB16BB" w:rsidRDefault="00BF732C" w:rsidP="00BF732C">
      <w:pPr>
        <w:pStyle w:val="FootnoteText"/>
        <w:rPr>
          <w:sz w:val="12"/>
          <w:szCs w:val="12"/>
        </w:rPr>
      </w:pPr>
      <w:r>
        <w:rPr>
          <w:rStyle w:val="FootnoteReference"/>
          <w:szCs w:val="16"/>
        </w:rPr>
        <w:footnoteRef/>
      </w:r>
      <w:r>
        <w:t xml:space="preserve">Az EMVA P4 és P5 prioritásához kapcsolódó programozási példák bemutatása. A következő címen érhető el: </w:t>
      </w:r>
      <w:hyperlink r:id="rId18" w:history="1">
        <w:r>
          <w:rPr>
            <w:rStyle w:val="Hyperlink"/>
          </w:rPr>
          <w:t>http://enrd.ec.europa.eu/sites/enrd/files/w10_m16_finland_karlsson.pdf</w:t>
        </w:r>
      </w:hyperlink>
      <w:r>
        <w:rPr>
          <w:sz w:val="12"/>
          <w:szCs w:val="12"/>
        </w:rPr>
        <w:t xml:space="preserve"> </w:t>
      </w:r>
    </w:p>
  </w:footnote>
  <w:footnote w:id="55">
    <w:p w:rsidR="00BF732C" w:rsidRPr="00A45935" w:rsidRDefault="00BF732C" w:rsidP="00BF732C">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BF732C" w:rsidRDefault="00BF732C" w:rsidP="00BF732C">
      <w:pPr>
        <w:pStyle w:val="FootnoteText"/>
      </w:pPr>
      <w:r>
        <w:rPr>
          <w:rStyle w:val="FootnoteReference"/>
          <w:szCs w:val="16"/>
        </w:rPr>
        <w:footnoteRef/>
      </w:r>
      <w:r>
        <w:t xml:space="preserve"> </w:t>
      </w:r>
      <w:r>
        <w:t xml:space="preserve">Az EMVA P4 és P5 prioritásához kapcsolódó programozási példák bemutatása. A következő címen érhető el: </w:t>
      </w:r>
      <w:hyperlink r:id="rId20" w:history="1">
        <w:r>
          <w:rPr>
            <w:rStyle w:val="Hyperlink"/>
          </w:rPr>
          <w:t>http://enrd.ec.europa.eu/sites/enrd/files/w10_m16.5_hesse_de_vonkutzleben.pdf</w:t>
        </w:r>
      </w:hyperlink>
    </w:p>
  </w:footnote>
  <w:footnote w:id="57">
    <w:p w:rsidR="005139CB" w:rsidRPr="00401F29" w:rsidRDefault="005139CB" w:rsidP="00E05D08">
      <w:pPr>
        <w:pStyle w:val="FootnoteText"/>
      </w:pPr>
      <w:r>
        <w:rPr>
          <w:rStyle w:val="FootnoteReference"/>
        </w:rPr>
        <w:footnoteRef/>
      </w:r>
      <w:r>
        <w:t xml:space="preserve"> </w:t>
      </w:r>
      <w:r>
        <w:t>Az 1305/2013/EU rendelet 54. cikkének (2) bekezdése.</w:t>
      </w:r>
    </w:p>
  </w:footnote>
  <w:footnote w:id="58">
    <w:p w:rsidR="005139CB" w:rsidRPr="002D11C3" w:rsidRDefault="005139CB" w:rsidP="00E05D08">
      <w:pPr>
        <w:pStyle w:val="FootnoteText"/>
      </w:pPr>
      <w:r>
        <w:rPr>
          <w:rStyle w:val="FootnoteReference"/>
        </w:rPr>
        <w:footnoteRef/>
      </w:r>
      <w:r>
        <w:t xml:space="preserve"> </w:t>
      </w:r>
      <w:r>
        <w:t>A 21. sz. közös értékelési kérdés megválaszolásának módjával kapcsolatos útmutatással az „Assessment of RDP results: how to prepare for reporting on evaluation in 2017” (A VFP eredményeinek értékelése: felkészülés a 2017. évi értékelésre vonatkozó jelentéstételre) című iránymutatás (</w:t>
      </w:r>
      <w:hyperlink r:id="rId21" w:history="1">
        <w:r>
          <w:rPr>
            <w:rStyle w:val="Hyperlink"/>
          </w:rPr>
          <w:t>https://enrd.ec.europa.eu/evaluation/publications/guidelines-assessment-rdp-results-how-prepare-reporting-evaluation-2017_en</w:t>
        </w:r>
      </w:hyperlink>
      <w:r>
        <w:t>) 11. melléklete is szolgál, amely a közös értékelési kérdés megválaszolásával összefüggésben a nemzeti vidékfejlesztési hálózathoz kapcsolódó összes célkitűzést figyelembe veszi.</w:t>
      </w:r>
    </w:p>
  </w:footnote>
  <w:footnote w:id="59">
    <w:p w:rsidR="005139CB" w:rsidRPr="00401F29" w:rsidRDefault="005139CB" w:rsidP="00E05D08">
      <w:pPr>
        <w:pStyle w:val="FootnoteText"/>
      </w:pPr>
      <w:r>
        <w:rPr>
          <w:rStyle w:val="FootnoteReference"/>
        </w:rPr>
        <w:footnoteRef/>
      </w:r>
      <w:r>
        <w:t xml:space="preserve"> </w:t>
      </w:r>
      <w:r>
        <w:t>Az 1305/2013/EU rendelet 54. cikke</w:t>
      </w:r>
    </w:p>
  </w:footnote>
  <w:footnote w:id="60">
    <w:p w:rsidR="005139CB" w:rsidRPr="00401F29" w:rsidRDefault="005139CB" w:rsidP="00E05D08">
      <w:pPr>
        <w:pStyle w:val="FootnoteText"/>
      </w:pPr>
      <w:r>
        <w:rPr>
          <w:rStyle w:val="FootnoteReference"/>
        </w:rPr>
        <w:footnoteRef/>
      </w:r>
      <w:r>
        <w:t xml:space="preserve"> </w:t>
      </w:r>
      <w:r>
        <w:t>Az 1305/2013/EU rendelet 54. cikke (3) bekezdésének b) pontja</w:t>
      </w:r>
    </w:p>
  </w:footnote>
  <w:footnote w:id="61">
    <w:p w:rsidR="005139CB" w:rsidRPr="00401F29" w:rsidRDefault="005139CB" w:rsidP="00E05D08">
      <w:pPr>
        <w:pStyle w:val="FootnoteText"/>
      </w:pPr>
      <w:r>
        <w:rPr>
          <w:rStyle w:val="FootnoteReference"/>
        </w:rPr>
        <w:footnoteRef/>
      </w:r>
      <w:r>
        <w:t xml:space="preserve"> </w:t>
      </w:r>
      <w:r>
        <w:t>Az 1305/2013/EU rendelet 8. cikke (1) bekezdése c) pontjának v. alpontja, valamint a 808/2014/EU rendelet I. melléklete I. részének 5.c) és e) pontja</w:t>
      </w:r>
    </w:p>
  </w:footnote>
  <w:footnote w:id="62">
    <w:p w:rsidR="005139CB" w:rsidRPr="00401F29" w:rsidRDefault="005139CB" w:rsidP="00E05D08">
      <w:pPr>
        <w:pStyle w:val="FootnoteText"/>
      </w:pPr>
      <w:r>
        <w:rPr>
          <w:rStyle w:val="FootnoteReference"/>
        </w:rPr>
        <w:footnoteRef/>
      </w:r>
      <w:r>
        <w:t xml:space="preserve"> </w:t>
      </w:r>
      <w:r>
        <w:t>Az 1305/2013/EU rendelet 54. cikke.</w:t>
      </w:r>
    </w:p>
  </w:footnote>
  <w:footnote w:id="63">
    <w:p w:rsidR="005139CB" w:rsidRPr="00401F29" w:rsidRDefault="005139CB" w:rsidP="00E05D08">
      <w:pPr>
        <w:pStyle w:val="FootnoteText"/>
        <w:rPr>
          <w:rStyle w:val="Hyperlink"/>
        </w:rPr>
      </w:pPr>
      <w:r>
        <w:rPr>
          <w:rStyle w:val="FootnoteReference"/>
        </w:rPr>
        <w:footnoteRef/>
      </w:r>
      <w:r>
        <w:t xml:space="preserve"> </w:t>
      </w:r>
      <w:r>
        <w:t xml:space="preserve">Az értékelési támogató szolgálat munkadokumentuma: „Common Evaluation Questions for RDPs 2014-2020” (A 2014–2020-as időszakra vonatkozó VFP-k közös értékelési kérdései), a következő címen érhető el: </w:t>
      </w:r>
      <w:hyperlink r:id="rId22" w:history="1">
        <w:r>
          <w:rPr>
            <w:rStyle w:val="Hyperlink"/>
          </w:rPr>
          <w:t>http://enrd.ec.europa.eu/evaluation/publications/working-document-common-evaluation-questions-rural-development-programmes_en</w:t>
        </w:r>
      </w:hyperlink>
    </w:p>
  </w:footnote>
  <w:footnote w:id="64">
    <w:p w:rsidR="005139CB" w:rsidRPr="00401F29" w:rsidRDefault="005139CB" w:rsidP="00E05D08">
      <w:pPr>
        <w:pStyle w:val="FootnoteText"/>
      </w:pPr>
      <w:r>
        <w:rPr>
          <w:rStyle w:val="FootnoteReference"/>
        </w:rPr>
        <w:footnoteRef/>
      </w:r>
      <w:r>
        <w:t xml:space="preserve"> </w:t>
      </w:r>
      <w:r>
        <w:t>Ugyanaz</w:t>
      </w:r>
    </w:p>
  </w:footnote>
  <w:footnote w:id="65">
    <w:p w:rsidR="005139CB" w:rsidRPr="00401F29" w:rsidRDefault="005139CB" w:rsidP="00E05D08">
      <w:pPr>
        <w:pStyle w:val="FootnoteText"/>
      </w:pPr>
      <w:r>
        <w:rPr>
          <w:rStyle w:val="FootnoteReference"/>
        </w:rPr>
        <w:footnoteRef/>
      </w:r>
      <w:r>
        <w:t xml:space="preserve"> </w:t>
      </w:r>
      <w:r>
        <w:t>Allen és Seaman (2007)</w:t>
      </w:r>
    </w:p>
  </w:footnote>
  <w:footnote w:id="66">
    <w:p w:rsidR="005139CB" w:rsidRPr="00401F29" w:rsidRDefault="005139CB" w:rsidP="00E05D08">
      <w:pPr>
        <w:pStyle w:val="FootnoteText"/>
      </w:pPr>
      <w:r>
        <w:rPr>
          <w:rStyle w:val="FootnoteReference"/>
        </w:rPr>
        <w:footnoteRef/>
      </w:r>
      <w:r>
        <w:t xml:space="preserve"> </w:t>
      </w:r>
      <w:r>
        <w:t xml:space="preserve">Értékelési támogató szolgálat, A nemzeti vidékfejlesztési hálózatok 2014–2020-as időszak alatti értékeléséről szóló iránymutatás, 2016, 3.1.3. fejezet és III. rész.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5139CB" w:rsidRPr="00401F29" w:rsidRDefault="005139CB" w:rsidP="00E05D08">
      <w:pPr>
        <w:pStyle w:val="FootnoteText"/>
        <w:rPr>
          <w:rStyle w:val="Hyperlink"/>
        </w:rPr>
      </w:pPr>
      <w:r>
        <w:rPr>
          <w:rStyle w:val="FootnoteReference"/>
        </w:rPr>
        <w:footnoteRef/>
      </w:r>
      <w:r>
        <w:t xml:space="preserve"> </w:t>
      </w:r>
      <w:r>
        <w:t>Az olasz nemzeti vidékfejlesztési hálózattól származó példa.</w:t>
      </w:r>
      <w:r>
        <w:rPr>
          <w:rFonts w:ascii="Helvetica" w:hAnsi="Helvetica"/>
          <w:szCs w:val="16"/>
        </w:rPr>
        <w:t xml:space="preserve"> </w:t>
      </w:r>
      <w:hyperlink r:id="rId25" w:history="1">
        <w:r>
          <w:rPr>
            <w:rStyle w:val="Hyperlink"/>
          </w:rPr>
          <w:t>http://www.reterurale.it/flex/cm/pages/ServeBLOB.php/L/IT/IDPagina/16281</w:t>
        </w:r>
      </w:hyperlink>
    </w:p>
    <w:p w:rsidR="005139CB" w:rsidRPr="00F743D3" w:rsidRDefault="005139CB" w:rsidP="00F74459">
      <w:pPr>
        <w:pStyle w:val="FootnoteText"/>
        <w:rPr>
          <w:lang w:val="sk-SK"/>
        </w:rPr>
      </w:pPr>
    </w:p>
  </w:footnote>
  <w:footnote w:id="68">
    <w:p w:rsidR="005139CB" w:rsidRPr="00CE37B0" w:rsidRDefault="005139CB" w:rsidP="00E05D08">
      <w:pPr>
        <w:pStyle w:val="FootnoteText"/>
      </w:pPr>
      <w:r>
        <w:rPr>
          <w:rStyle w:val="FootnoteReference"/>
        </w:rPr>
        <w:footnoteRef/>
      </w:r>
      <w:r>
        <w:t xml:space="preserve"> </w:t>
      </w:r>
      <w:r>
        <w:t xml:space="preserve">Európa 2020: Az intelligens, fenntartható és inkluzív növekedés stratégiája, </w:t>
      </w:r>
      <w:hyperlink r:id="rId26" w:history="1">
        <w:r>
          <w:rPr>
            <w:rStyle w:val="Hyperlink"/>
          </w:rPr>
          <w:t>http://eur-lex.europa.eu/legal-content/hu/ALL/?uri=CELEX%3A52010DC2020</w:t>
        </w:r>
      </w:hyperlink>
    </w:p>
  </w:footnote>
  <w:footnote w:id="69">
    <w:p w:rsidR="005139CB" w:rsidRPr="0026694F" w:rsidRDefault="005139CB"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5139CB" w:rsidRPr="008F676D" w:rsidRDefault="005139CB"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5139CB" w:rsidRPr="0026694F" w:rsidRDefault="005139CB"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5139CB" w:rsidRPr="00401F29" w:rsidRDefault="005139CB" w:rsidP="00E05D08">
      <w:pPr>
        <w:pStyle w:val="FootnoteText"/>
      </w:pPr>
      <w:r>
        <w:rPr>
          <w:rStyle w:val="FootnoteReference"/>
          <w:rFonts w:cs="Helvetica"/>
          <w:szCs w:val="18"/>
        </w:rPr>
        <w:footnoteRef/>
      </w:r>
      <w:r>
        <w:rPr>
          <w:color w:val="373737"/>
          <w:szCs w:val="18"/>
        </w:rPr>
        <w:t xml:space="preserve"> </w:t>
      </w:r>
      <w:r>
        <w:t>Az 1608/2003/EK európai parlamenti és tanácsi határozat, a 753/2004/EK rendelet és a 995/2012/EU rendelet</w:t>
      </w:r>
    </w:p>
  </w:footnote>
  <w:footnote w:id="73">
    <w:p w:rsidR="005139CB" w:rsidRPr="008F676D" w:rsidRDefault="005139CB"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5139CB" w:rsidRPr="0026694F" w:rsidRDefault="005139CB"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Németországban az előzetes értékelésekre vonatkozó, (többek között) a VFP-knek az Európa 2020 stratégia céljainak elérése szempontjából vett relevanciáját vizsgáló tanulmányból az derült ki, hogy a VFP-k 3%-os kiemelt célhoz való hozzájárulását nagyon csekélynek értékelik. A kiadások több tartományban csak csekély mértékben járulnak hozzá a K+F-kiadásokhoz. </w:t>
      </w:r>
    </w:p>
    <w:bookmarkEnd w:id="124"/>
    <w:p w:rsidR="005139CB" w:rsidRPr="00E05D08" w:rsidRDefault="005139CB" w:rsidP="00F74459">
      <w:pPr>
        <w:pStyle w:val="FootnoteText"/>
        <w:rPr>
          <w:rFonts w:ascii="Calibri" w:hAnsi="Calibri"/>
          <w:lang w:val="sk-SK"/>
        </w:rPr>
      </w:pPr>
    </w:p>
  </w:footnote>
  <w:footnote w:id="75">
    <w:p w:rsidR="005139CB" w:rsidRPr="0026694F" w:rsidRDefault="005139CB" w:rsidP="00E05D08">
      <w:pPr>
        <w:pStyle w:val="FootnoteText"/>
        <w:rPr>
          <w:rFonts w:cs="Helvetica"/>
          <w:color w:val="373737"/>
        </w:rPr>
      </w:pPr>
      <w:r>
        <w:rPr>
          <w:rStyle w:val="FootnoteReference"/>
          <w:rFonts w:cs="Helvetica"/>
        </w:rPr>
        <w:footnoteRef/>
      </w:r>
      <w:r>
        <w:t xml:space="preserve"> </w:t>
      </w:r>
      <w:r>
        <w:t xml:space="preserve">„Common Evaluation Questions for RDPs 2014-2020” (A 2014–2020-as időszakra vonatkozó VFP-k közös értékelési kérdései) című munkadokumentum, </w:t>
      </w:r>
      <w:hyperlink r:id="rId31" w:history="1">
        <w:r>
          <w:rPr>
            <w:rStyle w:val="Hyperlink"/>
          </w:rPr>
          <w:t>http://enrd.ec.europa.eu/evaluation/publications/working-document-common-evaluation-questions-rural-development-programmes_en</w:t>
        </w:r>
      </w:hyperlink>
    </w:p>
  </w:footnote>
  <w:footnote w:id="76">
    <w:p w:rsidR="005139CB" w:rsidRPr="00014A2E" w:rsidRDefault="005139CB" w:rsidP="00E05D08">
      <w:pPr>
        <w:pStyle w:val="FootnoteText"/>
      </w:pPr>
      <w:r>
        <w:rPr>
          <w:rStyle w:val="FootnoteReference"/>
        </w:rPr>
        <w:footnoteRef/>
      </w:r>
      <w:r>
        <w:t xml:space="preserve"> </w:t>
      </w:r>
      <w:r>
        <w:t>Az 1305/2013/EU rendelet 8. cikke (1) bekezdése c) pontjának v. alpontja, valamint a 808/2014/EU rendelet I. melléklete I. részének 5.c) és e) pontja</w:t>
      </w:r>
    </w:p>
  </w:footnote>
  <w:footnote w:id="77">
    <w:p w:rsidR="005139CB" w:rsidRPr="001D68A9" w:rsidRDefault="005139CB"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5139CB" w:rsidRPr="00401F29" w:rsidRDefault="005139CB" w:rsidP="00E05D08">
      <w:pPr>
        <w:pStyle w:val="FootnoteText"/>
      </w:pPr>
      <w:r>
        <w:rPr>
          <w:rStyle w:val="FootnoteReference"/>
        </w:rPr>
        <w:footnoteRef/>
      </w:r>
      <w:r>
        <w:t xml:space="preserve"> </w:t>
      </w:r>
      <w:r>
        <w:t>Wilson-Grau, 2015 </w:t>
      </w:r>
    </w:p>
  </w:footnote>
  <w:footnote w:id="79">
    <w:p w:rsidR="005139CB" w:rsidRPr="00401F29" w:rsidRDefault="005139CB" w:rsidP="00E05D08">
      <w:pPr>
        <w:pStyle w:val="FootnoteText"/>
      </w:pPr>
      <w:r>
        <w:rPr>
          <w:rStyle w:val="FootnoteReference"/>
        </w:rPr>
        <w:footnoteRef/>
      </w:r>
      <w:r>
        <w:t xml:space="preserve"> </w:t>
      </w:r>
      <w:r>
        <w:t>„Az esettanulmány egy-egy konkrét eset megismerésére szolgáló módszer, amely az adott eset egészének és hátterének részletes leírása és elemzése révén történő átfogó megértésén alapul” (GAO, 1990, 15. o.).</w:t>
      </w:r>
    </w:p>
  </w:footnote>
  <w:footnote w:id="80">
    <w:p w:rsidR="005139CB" w:rsidRPr="00401F29" w:rsidRDefault="005139CB" w:rsidP="00E05D08">
      <w:pPr>
        <w:pStyle w:val="FootnoteText"/>
      </w:pPr>
      <w:r>
        <w:rPr>
          <w:rStyle w:val="FootnoteReference"/>
        </w:rPr>
        <w:footnoteRef/>
      </w:r>
      <w:r>
        <w:rPr>
          <w:rStyle w:val="FootnoteReference"/>
        </w:rPr>
        <w:t xml:space="preserve"> </w:t>
      </w:r>
      <w:r>
        <w:t>A folyamatkövetés az ok-okozati összefüggés eseti alapú megközelítése, amely egy-egy eseten belüli kulcstényezőkre (ok-okozati folyamatokra vonatkozó megfigyelésekre) helyezi a hangsúlyt a lehetséges alternatív magyarázatok eldöntéséhez, további információk:</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valamint Collier 2011, lásd a szakirodalmat.</w:t>
      </w:r>
    </w:p>
  </w:footnote>
  <w:footnote w:id="81">
    <w:p w:rsidR="005139CB" w:rsidRPr="00401F29" w:rsidRDefault="005139CB" w:rsidP="00E05D08">
      <w:pPr>
        <w:pStyle w:val="FootnoteText"/>
      </w:pPr>
      <w:r>
        <w:rPr>
          <w:rStyle w:val="FootnoteReference"/>
        </w:rPr>
        <w:footnoteRef/>
      </w:r>
      <w:r>
        <w:t xml:space="preserve"> </w:t>
      </w:r>
      <w:r>
        <w:t xml:space="preserve">„Az »innovációs történet« kidolgozása az innovációs folyamatok rögzítésére és átgondolására szolgáló módszer. Az innovációban részt vevő személyek közösen állítanak össze részletes írásbeli beszámolót (más néven időnként: »tanulási történet«) a gyűjteményeik és a rendelkezésre álló dokumentumok alapján.” További információk: </w:t>
      </w:r>
      <w:hyperlink r:id="rId34" w:history="1">
        <w:r>
          <w:rPr>
            <w:rStyle w:val="Hyperlink"/>
          </w:rPr>
          <w:t>http://www.betterevaluation.org/en/resources/tools/innovation_history/innovation_timeline</w:t>
        </w:r>
      </w:hyperlink>
      <w:r>
        <w:t xml:space="preserve">, valamint Douthwaite és Ashby, 2005, lásd a szakirodalmat. </w:t>
      </w:r>
    </w:p>
  </w:footnote>
  <w:footnote w:id="82">
    <w:p w:rsidR="005139CB" w:rsidRPr="00A847F8" w:rsidRDefault="005139CB" w:rsidP="00A847F8">
      <w:pPr>
        <w:pStyle w:val="FootnoteText"/>
      </w:pPr>
      <w:r>
        <w:rPr>
          <w:rStyle w:val="FootnoteReference"/>
        </w:rPr>
        <w:footnoteRef/>
      </w:r>
      <w:r>
        <w:t xml:space="preserve"> </w:t>
      </w:r>
      <w:r>
        <w:t>Mayne, 2012, lásd a szakirodalmat.</w:t>
      </w:r>
    </w:p>
  </w:footnote>
  <w:footnote w:id="83">
    <w:p w:rsidR="005139CB" w:rsidRPr="00A847F8" w:rsidRDefault="005139CB" w:rsidP="00A847F8">
      <w:pPr>
        <w:pStyle w:val="FootnoteText"/>
      </w:pPr>
      <w:r>
        <w:rPr>
          <w:rStyle w:val="FootnoteReference"/>
        </w:rPr>
        <w:footnoteRef/>
      </w:r>
      <w:r>
        <w:t xml:space="preserve"> </w:t>
      </w:r>
      <w:r>
        <w:t>Hilton, 1996, lásd a szakirodalmat.</w:t>
      </w:r>
    </w:p>
  </w:footnote>
  <w:footnote w:id="84">
    <w:p w:rsidR="005139CB" w:rsidRDefault="005139CB" w:rsidP="00A847F8">
      <w:pPr>
        <w:pStyle w:val="FootnoteText"/>
      </w:pPr>
      <w:r>
        <w:rPr>
          <w:rStyle w:val="FootnoteReference"/>
        </w:rPr>
        <w:footnoteRef/>
      </w:r>
      <w:r>
        <w:t xml:space="preserve"> </w:t>
      </w:r>
      <w:r>
        <w:t>Pawson és társai, 2005, lásd a szakirodalmat.</w:t>
      </w:r>
    </w:p>
  </w:footnote>
  <w:footnote w:id="85">
    <w:p w:rsidR="005139CB" w:rsidRDefault="005139CB"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valamint Allen és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rsidP="00400064">
    <w:pPr>
      <w:pStyle w:val="Header"/>
      <w:tabs>
        <w:tab w:val="clear" w:pos="4513"/>
        <w:tab w:val="clear" w:pos="9026"/>
      </w:tabs>
      <w:jc w:val="right"/>
    </w:pPr>
    <w:r>
      <w:t>Iránymutatás: A vidékfejlesztési programok keretében végrehajtott innováció értékelése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400064" w:rsidRDefault="005139CB" w:rsidP="0025413B">
    <w:pPr>
      <w:jc w:val="right"/>
      <w:rPr>
        <w:color w:val="F07E31"/>
        <w:sz w:val="18"/>
        <w:szCs w:val="18"/>
      </w:rPr>
    </w:pPr>
    <w:r>
      <w:rPr>
        <w:color w:val="F07E31"/>
        <w:sz w:val="18"/>
        <w:szCs w:val="18"/>
      </w:rPr>
      <w:t>Iránymutatás: A vidékfejlesztési programok keretében végrehajtott innováció értékelése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400064" w:rsidRDefault="005139CB" w:rsidP="00400064">
    <w:pPr>
      <w:jc w:val="right"/>
      <w:rPr>
        <w:color w:val="F07E31"/>
        <w:sz w:val="18"/>
        <w:szCs w:val="18"/>
      </w:rPr>
    </w:pPr>
    <w:r>
      <w:rPr>
        <w:color w:val="F07E31"/>
        <w:sz w:val="18"/>
        <w:szCs w:val="18"/>
      </w:rPr>
      <w:t>Iránymutatás: A vidékfejlesztési programok keretében végrehajtott innováció értékelése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E4509B" w:rsidRDefault="005139CB" w:rsidP="00D50EF0">
    <w:pPr>
      <w:pStyle w:val="Header"/>
      <w:tabs>
        <w:tab w:val="clear" w:pos="4513"/>
      </w:tabs>
    </w:pPr>
    <w:r>
      <w:tab/>
    </w:r>
    <w:bookmarkStart w:id="4" w:name="_Hlk503344243"/>
    <w:r>
      <w:t>Iránymutatás: A vidékfejlesztési programok keretében végrehajtott innováció értékelése</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400064" w:rsidRDefault="005139CB" w:rsidP="00400064">
    <w:pPr>
      <w:jc w:val="right"/>
      <w:rPr>
        <w:color w:val="F07E31"/>
        <w:sz w:val="18"/>
        <w:szCs w:val="18"/>
      </w:rPr>
    </w:pPr>
    <w:r>
      <w:rPr>
        <w:color w:val="F07E31"/>
        <w:sz w:val="18"/>
        <w:szCs w:val="18"/>
      </w:rPr>
      <w:t>Iránymutatás: A vidékfejlesztési programok keretében végrehajtott innováció értékelése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C947BA" w:rsidRDefault="005139CB" w:rsidP="00C947BA">
    <w:pPr>
      <w:jc w:val="right"/>
      <w:rPr>
        <w:color w:val="F07E31"/>
        <w:sz w:val="18"/>
        <w:szCs w:val="18"/>
      </w:rPr>
    </w:pPr>
    <w:r>
      <w:rPr>
        <w:color w:val="F07E31"/>
        <w:sz w:val="18"/>
        <w:szCs w:val="18"/>
      </w:rPr>
      <w:t>Iránymutatás: A vidékfejlesztési programok keretében végrehajtott innováció értékelése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52778E" w:rsidRDefault="005139CB" w:rsidP="00E16522">
    <w:pPr>
      <w:pStyle w:val="Header"/>
      <w:rPr>
        <w:sz w:val="24"/>
      </w:rPr>
    </w:pPr>
    <w:r>
      <w:tab/>
    </w:r>
  </w:p>
  <w:p w:rsidR="005139CB" w:rsidRPr="0047590C" w:rsidRDefault="005139CB"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Default="005139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CB" w:rsidRPr="00656719" w:rsidRDefault="005139CB" w:rsidP="00E16522">
    <w:pPr>
      <w:pStyle w:val="Header"/>
    </w:pPr>
    <w:r>
      <w:tab/>
    </w:r>
    <w:r>
      <w:t>Háttérdokumentum: A vidékfejlesztési programok keretében végrehajtott innováció értékelése</w:t>
    </w:r>
  </w:p>
  <w:p w:rsidR="005139CB" w:rsidRPr="00622614" w:rsidRDefault="005139CB" w:rsidP="00E16522">
    <w:pPr>
      <w:pStyle w:val="Header"/>
      <w:rPr>
        <w:sz w:val="24"/>
      </w:rPr>
    </w:pPr>
  </w:p>
  <w:p w:rsidR="005139CB" w:rsidRPr="0047590C" w:rsidRDefault="005139CB"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1A4E6582"/>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0E16B186"/>
    <w:lvl w:ilvl="0" w:tplc="48F0B5A6">
      <w:start w:val="1"/>
      <w:numFmt w:val="decimal"/>
      <w:pStyle w:val="HHeadingtables"/>
      <w:lvlText w:val="%1. táblázat"/>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91749854"/>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1. ábra"/>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30D"/>
    <w:rsid w:val="00037CA6"/>
    <w:rsid w:val="000520DE"/>
    <w:rsid w:val="00053109"/>
    <w:rsid w:val="00055039"/>
    <w:rsid w:val="00070F0D"/>
    <w:rsid w:val="0007134D"/>
    <w:rsid w:val="000828C6"/>
    <w:rsid w:val="00084EE1"/>
    <w:rsid w:val="000A0D73"/>
    <w:rsid w:val="000A1399"/>
    <w:rsid w:val="000A14B3"/>
    <w:rsid w:val="000A250D"/>
    <w:rsid w:val="000A307F"/>
    <w:rsid w:val="000A43B7"/>
    <w:rsid w:val="000A718F"/>
    <w:rsid w:val="000B1654"/>
    <w:rsid w:val="000B2C7A"/>
    <w:rsid w:val="000B6304"/>
    <w:rsid w:val="000D1BE6"/>
    <w:rsid w:val="000D7245"/>
    <w:rsid w:val="000E0645"/>
    <w:rsid w:val="000E0FE4"/>
    <w:rsid w:val="000E1023"/>
    <w:rsid w:val="000E1D4B"/>
    <w:rsid w:val="000E3675"/>
    <w:rsid w:val="000E3DBA"/>
    <w:rsid w:val="000E5544"/>
    <w:rsid w:val="000F0497"/>
    <w:rsid w:val="000F0841"/>
    <w:rsid w:val="000F23A8"/>
    <w:rsid w:val="00107CA1"/>
    <w:rsid w:val="00110179"/>
    <w:rsid w:val="00111ADE"/>
    <w:rsid w:val="001120E4"/>
    <w:rsid w:val="001126AE"/>
    <w:rsid w:val="00116EF8"/>
    <w:rsid w:val="001214B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C4438"/>
    <w:rsid w:val="001E1B68"/>
    <w:rsid w:val="001E4AE1"/>
    <w:rsid w:val="001F4287"/>
    <w:rsid w:val="001F6140"/>
    <w:rsid w:val="001F626E"/>
    <w:rsid w:val="001F6F07"/>
    <w:rsid w:val="001F7296"/>
    <w:rsid w:val="0020060A"/>
    <w:rsid w:val="0021105B"/>
    <w:rsid w:val="002126B4"/>
    <w:rsid w:val="00223A02"/>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25242"/>
    <w:rsid w:val="00330136"/>
    <w:rsid w:val="00331223"/>
    <w:rsid w:val="0034028A"/>
    <w:rsid w:val="003411D5"/>
    <w:rsid w:val="0034160A"/>
    <w:rsid w:val="00344015"/>
    <w:rsid w:val="00347A2C"/>
    <w:rsid w:val="00350B30"/>
    <w:rsid w:val="00354039"/>
    <w:rsid w:val="00364255"/>
    <w:rsid w:val="003737FE"/>
    <w:rsid w:val="00374290"/>
    <w:rsid w:val="003766ED"/>
    <w:rsid w:val="00382BE4"/>
    <w:rsid w:val="00385368"/>
    <w:rsid w:val="00387226"/>
    <w:rsid w:val="003A1316"/>
    <w:rsid w:val="003A5A53"/>
    <w:rsid w:val="003A7973"/>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2147"/>
    <w:rsid w:val="00452B13"/>
    <w:rsid w:val="00471221"/>
    <w:rsid w:val="00472162"/>
    <w:rsid w:val="004722A1"/>
    <w:rsid w:val="00485923"/>
    <w:rsid w:val="0048755C"/>
    <w:rsid w:val="00490F5A"/>
    <w:rsid w:val="00497AC7"/>
    <w:rsid w:val="004A0A48"/>
    <w:rsid w:val="004A2B05"/>
    <w:rsid w:val="004B5B60"/>
    <w:rsid w:val="004C17C9"/>
    <w:rsid w:val="004C2BB4"/>
    <w:rsid w:val="004C32F7"/>
    <w:rsid w:val="004C7474"/>
    <w:rsid w:val="004D000A"/>
    <w:rsid w:val="004D352C"/>
    <w:rsid w:val="004E272E"/>
    <w:rsid w:val="004E38AA"/>
    <w:rsid w:val="004E3DD3"/>
    <w:rsid w:val="004F414C"/>
    <w:rsid w:val="00500604"/>
    <w:rsid w:val="00500D52"/>
    <w:rsid w:val="00501827"/>
    <w:rsid w:val="00504BE8"/>
    <w:rsid w:val="0050721E"/>
    <w:rsid w:val="005139CB"/>
    <w:rsid w:val="005166F0"/>
    <w:rsid w:val="0051700B"/>
    <w:rsid w:val="00530DA6"/>
    <w:rsid w:val="00533971"/>
    <w:rsid w:val="00535A54"/>
    <w:rsid w:val="005411F9"/>
    <w:rsid w:val="00541A7D"/>
    <w:rsid w:val="00544F2D"/>
    <w:rsid w:val="005459DE"/>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A64AC"/>
    <w:rsid w:val="005A6A66"/>
    <w:rsid w:val="005B3685"/>
    <w:rsid w:val="005D0347"/>
    <w:rsid w:val="005E1D93"/>
    <w:rsid w:val="005E5A8F"/>
    <w:rsid w:val="005E7F5D"/>
    <w:rsid w:val="005F09BC"/>
    <w:rsid w:val="00600BE3"/>
    <w:rsid w:val="0060261A"/>
    <w:rsid w:val="00604B7A"/>
    <w:rsid w:val="00612D54"/>
    <w:rsid w:val="00615785"/>
    <w:rsid w:val="00617D7B"/>
    <w:rsid w:val="00622614"/>
    <w:rsid w:val="00623618"/>
    <w:rsid w:val="006239C7"/>
    <w:rsid w:val="00624393"/>
    <w:rsid w:val="00626C0C"/>
    <w:rsid w:val="006418CA"/>
    <w:rsid w:val="00642394"/>
    <w:rsid w:val="00643DF6"/>
    <w:rsid w:val="00644398"/>
    <w:rsid w:val="006450B6"/>
    <w:rsid w:val="0064682B"/>
    <w:rsid w:val="006468E5"/>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B72BF"/>
    <w:rsid w:val="006C085A"/>
    <w:rsid w:val="006C63CD"/>
    <w:rsid w:val="006D0B02"/>
    <w:rsid w:val="006D209F"/>
    <w:rsid w:val="006D45F5"/>
    <w:rsid w:val="006E0E48"/>
    <w:rsid w:val="006E2A31"/>
    <w:rsid w:val="006E592C"/>
    <w:rsid w:val="006E597D"/>
    <w:rsid w:val="006F0B79"/>
    <w:rsid w:val="006F1601"/>
    <w:rsid w:val="006F3FC1"/>
    <w:rsid w:val="006F63C5"/>
    <w:rsid w:val="00703AD9"/>
    <w:rsid w:val="00710753"/>
    <w:rsid w:val="0071141A"/>
    <w:rsid w:val="00712357"/>
    <w:rsid w:val="00717885"/>
    <w:rsid w:val="00724CF6"/>
    <w:rsid w:val="00725801"/>
    <w:rsid w:val="00734B11"/>
    <w:rsid w:val="007372CD"/>
    <w:rsid w:val="007441E3"/>
    <w:rsid w:val="00757688"/>
    <w:rsid w:val="007603A8"/>
    <w:rsid w:val="00763ECB"/>
    <w:rsid w:val="00764D33"/>
    <w:rsid w:val="00767F5C"/>
    <w:rsid w:val="007707EC"/>
    <w:rsid w:val="0078182B"/>
    <w:rsid w:val="00782C87"/>
    <w:rsid w:val="00785477"/>
    <w:rsid w:val="0079071D"/>
    <w:rsid w:val="007954E5"/>
    <w:rsid w:val="007A450E"/>
    <w:rsid w:val="007A7467"/>
    <w:rsid w:val="007B0E8B"/>
    <w:rsid w:val="007B323F"/>
    <w:rsid w:val="007B4A6D"/>
    <w:rsid w:val="007B4D84"/>
    <w:rsid w:val="007C2C6A"/>
    <w:rsid w:val="007C69CD"/>
    <w:rsid w:val="007C7A64"/>
    <w:rsid w:val="007D1AC1"/>
    <w:rsid w:val="007D2A0C"/>
    <w:rsid w:val="007D301C"/>
    <w:rsid w:val="007D62E6"/>
    <w:rsid w:val="007E16DD"/>
    <w:rsid w:val="007E63EF"/>
    <w:rsid w:val="007E7353"/>
    <w:rsid w:val="007F0371"/>
    <w:rsid w:val="007F0B5B"/>
    <w:rsid w:val="007F4DD3"/>
    <w:rsid w:val="00803501"/>
    <w:rsid w:val="00804314"/>
    <w:rsid w:val="0080440B"/>
    <w:rsid w:val="00804433"/>
    <w:rsid w:val="00805EDF"/>
    <w:rsid w:val="00807A63"/>
    <w:rsid w:val="0081188E"/>
    <w:rsid w:val="00812586"/>
    <w:rsid w:val="00814B95"/>
    <w:rsid w:val="008164E6"/>
    <w:rsid w:val="0081791E"/>
    <w:rsid w:val="00826484"/>
    <w:rsid w:val="008518F2"/>
    <w:rsid w:val="00857D5C"/>
    <w:rsid w:val="00863DB0"/>
    <w:rsid w:val="00864D7B"/>
    <w:rsid w:val="0086681C"/>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D6CB3"/>
    <w:rsid w:val="008E3760"/>
    <w:rsid w:val="008E4AA6"/>
    <w:rsid w:val="008F0F83"/>
    <w:rsid w:val="008F1F04"/>
    <w:rsid w:val="0090245E"/>
    <w:rsid w:val="009044EE"/>
    <w:rsid w:val="009106EA"/>
    <w:rsid w:val="009109CF"/>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366"/>
    <w:rsid w:val="009A64EA"/>
    <w:rsid w:val="009B603C"/>
    <w:rsid w:val="009C2EC2"/>
    <w:rsid w:val="009C70F8"/>
    <w:rsid w:val="009C734C"/>
    <w:rsid w:val="009C743B"/>
    <w:rsid w:val="009D0C0A"/>
    <w:rsid w:val="009D3A3F"/>
    <w:rsid w:val="009D479A"/>
    <w:rsid w:val="009D56E6"/>
    <w:rsid w:val="009F145D"/>
    <w:rsid w:val="009F1589"/>
    <w:rsid w:val="009F5AB5"/>
    <w:rsid w:val="009F7877"/>
    <w:rsid w:val="00A008D3"/>
    <w:rsid w:val="00A04209"/>
    <w:rsid w:val="00A15CAF"/>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5C05"/>
    <w:rsid w:val="00A961A7"/>
    <w:rsid w:val="00AA53E3"/>
    <w:rsid w:val="00AA5817"/>
    <w:rsid w:val="00AA7F79"/>
    <w:rsid w:val="00AB16BB"/>
    <w:rsid w:val="00AB45F8"/>
    <w:rsid w:val="00AB49B3"/>
    <w:rsid w:val="00AB6603"/>
    <w:rsid w:val="00AB74DA"/>
    <w:rsid w:val="00AC1B3E"/>
    <w:rsid w:val="00AC664B"/>
    <w:rsid w:val="00AC75B9"/>
    <w:rsid w:val="00AC7DDF"/>
    <w:rsid w:val="00AD39B9"/>
    <w:rsid w:val="00AD3CD7"/>
    <w:rsid w:val="00AD72DD"/>
    <w:rsid w:val="00AE3A3E"/>
    <w:rsid w:val="00AE3E85"/>
    <w:rsid w:val="00AE68CA"/>
    <w:rsid w:val="00AE704F"/>
    <w:rsid w:val="00AF0229"/>
    <w:rsid w:val="00B02F11"/>
    <w:rsid w:val="00B0435B"/>
    <w:rsid w:val="00B05B45"/>
    <w:rsid w:val="00B10B3C"/>
    <w:rsid w:val="00B24679"/>
    <w:rsid w:val="00B311E6"/>
    <w:rsid w:val="00B35581"/>
    <w:rsid w:val="00B36B77"/>
    <w:rsid w:val="00B37E2A"/>
    <w:rsid w:val="00B40DBF"/>
    <w:rsid w:val="00B41573"/>
    <w:rsid w:val="00B421B9"/>
    <w:rsid w:val="00B422F9"/>
    <w:rsid w:val="00B51B3B"/>
    <w:rsid w:val="00B5530E"/>
    <w:rsid w:val="00B63DE8"/>
    <w:rsid w:val="00B64C7D"/>
    <w:rsid w:val="00B737D4"/>
    <w:rsid w:val="00B74BB9"/>
    <w:rsid w:val="00B76BA4"/>
    <w:rsid w:val="00B91D56"/>
    <w:rsid w:val="00BA248B"/>
    <w:rsid w:val="00BA2C5D"/>
    <w:rsid w:val="00BA4090"/>
    <w:rsid w:val="00BA450C"/>
    <w:rsid w:val="00BA4FCD"/>
    <w:rsid w:val="00BA5122"/>
    <w:rsid w:val="00BA6A33"/>
    <w:rsid w:val="00BB0A98"/>
    <w:rsid w:val="00BB4CAB"/>
    <w:rsid w:val="00BB551B"/>
    <w:rsid w:val="00BC211C"/>
    <w:rsid w:val="00BC2432"/>
    <w:rsid w:val="00BC406C"/>
    <w:rsid w:val="00BC471E"/>
    <w:rsid w:val="00BC5B1D"/>
    <w:rsid w:val="00BD475B"/>
    <w:rsid w:val="00BD7227"/>
    <w:rsid w:val="00BE0462"/>
    <w:rsid w:val="00BE1F31"/>
    <w:rsid w:val="00BE70EE"/>
    <w:rsid w:val="00BF732C"/>
    <w:rsid w:val="00C013AD"/>
    <w:rsid w:val="00C02FCB"/>
    <w:rsid w:val="00C046E8"/>
    <w:rsid w:val="00C16E3D"/>
    <w:rsid w:val="00C202EC"/>
    <w:rsid w:val="00C20C97"/>
    <w:rsid w:val="00C3092C"/>
    <w:rsid w:val="00C31125"/>
    <w:rsid w:val="00C31DF0"/>
    <w:rsid w:val="00C3302E"/>
    <w:rsid w:val="00C3334D"/>
    <w:rsid w:val="00C35A25"/>
    <w:rsid w:val="00C37C7A"/>
    <w:rsid w:val="00C477ED"/>
    <w:rsid w:val="00C5127D"/>
    <w:rsid w:val="00C51F59"/>
    <w:rsid w:val="00C61277"/>
    <w:rsid w:val="00C621C4"/>
    <w:rsid w:val="00C6361D"/>
    <w:rsid w:val="00C64B64"/>
    <w:rsid w:val="00C67E9D"/>
    <w:rsid w:val="00C74F82"/>
    <w:rsid w:val="00C8095B"/>
    <w:rsid w:val="00C81FF3"/>
    <w:rsid w:val="00C84B5B"/>
    <w:rsid w:val="00C947BA"/>
    <w:rsid w:val="00C9522B"/>
    <w:rsid w:val="00C95BD6"/>
    <w:rsid w:val="00CA12E6"/>
    <w:rsid w:val="00CA28E6"/>
    <w:rsid w:val="00CA3622"/>
    <w:rsid w:val="00CA3A48"/>
    <w:rsid w:val="00CA6EC8"/>
    <w:rsid w:val="00CB3AD0"/>
    <w:rsid w:val="00CB4818"/>
    <w:rsid w:val="00CB68D9"/>
    <w:rsid w:val="00CC53B5"/>
    <w:rsid w:val="00CD3BC8"/>
    <w:rsid w:val="00CE2990"/>
    <w:rsid w:val="00CF24F2"/>
    <w:rsid w:val="00CF37F0"/>
    <w:rsid w:val="00CF4822"/>
    <w:rsid w:val="00CF6D0E"/>
    <w:rsid w:val="00D000D3"/>
    <w:rsid w:val="00D010F5"/>
    <w:rsid w:val="00D05E3A"/>
    <w:rsid w:val="00D070D9"/>
    <w:rsid w:val="00D076E7"/>
    <w:rsid w:val="00D10682"/>
    <w:rsid w:val="00D10FA6"/>
    <w:rsid w:val="00D124EB"/>
    <w:rsid w:val="00D13817"/>
    <w:rsid w:val="00D201A2"/>
    <w:rsid w:val="00D24CB8"/>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06AF"/>
    <w:rsid w:val="00D73319"/>
    <w:rsid w:val="00D7340E"/>
    <w:rsid w:val="00D77B96"/>
    <w:rsid w:val="00D815E7"/>
    <w:rsid w:val="00D85FF6"/>
    <w:rsid w:val="00D91213"/>
    <w:rsid w:val="00D91569"/>
    <w:rsid w:val="00D930A2"/>
    <w:rsid w:val="00D96C8F"/>
    <w:rsid w:val="00DA22EB"/>
    <w:rsid w:val="00DB1887"/>
    <w:rsid w:val="00DB654D"/>
    <w:rsid w:val="00DC1C77"/>
    <w:rsid w:val="00DC20D6"/>
    <w:rsid w:val="00DC2840"/>
    <w:rsid w:val="00DC6C4F"/>
    <w:rsid w:val="00DD247A"/>
    <w:rsid w:val="00DD473C"/>
    <w:rsid w:val="00DD4C4C"/>
    <w:rsid w:val="00DE256D"/>
    <w:rsid w:val="00DE2B71"/>
    <w:rsid w:val="00DE2C82"/>
    <w:rsid w:val="00DF68E2"/>
    <w:rsid w:val="00E03826"/>
    <w:rsid w:val="00E05D08"/>
    <w:rsid w:val="00E1620D"/>
    <w:rsid w:val="00E16522"/>
    <w:rsid w:val="00E30E27"/>
    <w:rsid w:val="00E33F37"/>
    <w:rsid w:val="00E34FAC"/>
    <w:rsid w:val="00E36F81"/>
    <w:rsid w:val="00E446F7"/>
    <w:rsid w:val="00E54013"/>
    <w:rsid w:val="00E54929"/>
    <w:rsid w:val="00E634DC"/>
    <w:rsid w:val="00E64309"/>
    <w:rsid w:val="00E71021"/>
    <w:rsid w:val="00E713B8"/>
    <w:rsid w:val="00E72529"/>
    <w:rsid w:val="00E8197A"/>
    <w:rsid w:val="00E849E7"/>
    <w:rsid w:val="00E8760D"/>
    <w:rsid w:val="00EA0618"/>
    <w:rsid w:val="00EA0974"/>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15C85"/>
    <w:rsid w:val="00F200A2"/>
    <w:rsid w:val="00F250EC"/>
    <w:rsid w:val="00F31494"/>
    <w:rsid w:val="00F31AD6"/>
    <w:rsid w:val="00F32874"/>
    <w:rsid w:val="00F33CE2"/>
    <w:rsid w:val="00F37A59"/>
    <w:rsid w:val="00F4055A"/>
    <w:rsid w:val="00F5230D"/>
    <w:rsid w:val="00F60A36"/>
    <w:rsid w:val="00F613DE"/>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BBD73"/>
  <w15:docId w15:val="{C47113B5-1348-42D7-910C-20FD1A03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hu-HU"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622614"/>
    <w:pPr>
      <w:tabs>
        <w:tab w:val="left" w:pos="1100"/>
        <w:tab w:val="right" w:leader="dot" w:pos="9240"/>
      </w:tabs>
      <w:spacing w:after="100"/>
      <w:ind w:left="1080" w:hanging="1080"/>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622614"/>
    <w:pPr>
      <w:keepLines/>
      <w:tabs>
        <w:tab w:val="left" w:pos="1080"/>
        <w:tab w:val="right" w:leader="dot" w:pos="9240"/>
      </w:tabs>
      <w:spacing w:after="100"/>
      <w:ind w:left="1080" w:hanging="108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hu-HU"/>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hu-HU"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tandfonline.com/doi/abs/10.1080/135467896394447"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c.europa.eu/eip/agriculture/sites/agri-eip/files/16_measure_fiche_art_35_co-operation.pdf" TargetMode="External"/><Relationship Id="rId63" Type="http://schemas.openxmlformats.org/officeDocument/2006/relationships/hyperlink" Target="https://enrd.ec.europa.eu/evaluation/publications/guidelines-assessment-rdp-results-how-prepare-reporting-evaluation-2017_en" TargetMode="External"/><Relationship Id="rId68" Type="http://schemas.openxmlformats.org/officeDocument/2006/relationships/hyperlink" Target="http://enrd.ec.europa.eu/enrd-static/evaluation/good-practices-workshops/national-rural-networks/en/national-rural-networks_en.html" TargetMode="External"/><Relationship Id="rId84" Type="http://schemas.openxmlformats.org/officeDocument/2006/relationships/hyperlink" Target="http://ec.europa.eu/eurostat/statistics-explained/index.php/Smarter,_greener,_more_inclusive_-_indicators_to_support_the_Europe_2020_strategy" TargetMode="External"/><Relationship Id="rId89" Type="http://schemas.openxmlformats.org/officeDocument/2006/relationships/header" Target="header8.xml"/><Relationship Id="rId112" Type="http://schemas.openxmlformats.org/officeDocument/2006/relationships/hyperlink" Target="https://www.cambridge.org/core/journals/ps-political-science-and-politics/article/understanding-process-tracing/183A057AD6A36783E678CB37440346D1" TargetMode="External"/><Relationship Id="rId16" Type="http://schemas.openxmlformats.org/officeDocument/2006/relationships/header" Target="header3.xml"/><Relationship Id="rId107" Type="http://schemas.openxmlformats.org/officeDocument/2006/relationships/hyperlink" Target="http://journals.sagepub.com/doi/abs/10.1177/1356389012451663"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c.europa.eu/eip/agriculture/sites/agri-eip/files/16_measure_fiche_art_35_co-operation.pdf" TargetMode="External"/><Relationship Id="rId58" Type="http://schemas.openxmlformats.org/officeDocument/2006/relationships/hyperlink" Target="http://enrd.ec.europa.eu/news-events/events/enrd-workshop-measure-16-cooperation_en" TargetMode="External"/><Relationship Id="rId74" Type="http://schemas.openxmlformats.org/officeDocument/2006/relationships/hyperlink" Target="http://enrd.ec.europa.eu/enrd-static/evaluation/good-practices-workshops/national-rural-networks/en/national-rural-networks_en.html" TargetMode="External"/><Relationship Id="rId79" Type="http://schemas.openxmlformats.org/officeDocument/2006/relationships/hyperlink" Target="http://www.men-d.de/uploads/media/MEN-D_Jahresveranstaltung_2017.pdf" TargetMode="External"/><Relationship Id="rId102" Type="http://schemas.openxmlformats.org/officeDocument/2006/relationships/hyperlink" Target="https://www.gao.gov/products/GAO/PEMD-10.1.9" TargetMode="External"/><Relationship Id="rId123" Type="http://schemas.openxmlformats.org/officeDocument/2006/relationships/hyperlink" Target="http://eur-lex.europa.eu/legal-content/HU/TXT/PDF/?uri=CELEX:52012DC0079&amp;qid=1521112756443&amp;from=HU" TargetMode="External"/><Relationship Id="rId128"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hyperlink" Target="http://www.hnvlink.eu/"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yperlink" Target="https://ec.europa.eu/eip/agriculture/sites/agri-eip/files/16_measure_fiche_art_35_co-operation.pdf" TargetMode="External"/><Relationship Id="rId48" Type="http://schemas.openxmlformats.org/officeDocument/2006/relationships/hyperlink" Target="http://enrd.ec.europa.eu/news-events/events/enrd-workshop-measure-16-cooperation_en"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s://enrd.ec.europa.eu/evaluation/publications/guidelines-assessment-rdp-results-how-prepare-reporting-evaluation-2017_en" TargetMode="External"/><Relationship Id="rId77" Type="http://schemas.openxmlformats.org/officeDocument/2006/relationships/hyperlink" Target="http://ec.europa.eu/eurostat/statistics-explained/index.php/Smarter,_greener,_more_inclusive_-_indicators_to_support_the_Europe_2020_strategy" TargetMode="External"/><Relationship Id="rId100" Type="http://schemas.openxmlformats.org/officeDocument/2006/relationships/hyperlink" Target="https://www.cambridge.org/core/journals/ps-political-science-and-politics/article/understanding-process-tracing/183A057AD6A36783E678CB37440346D1" TargetMode="External"/><Relationship Id="rId105" Type="http://schemas.openxmlformats.org/officeDocument/2006/relationships/hyperlink" Target="http://www.tandfonline.com/doi/abs/10.1080/135467896394447" TargetMode="External"/><Relationship Id="rId113" Type="http://schemas.openxmlformats.org/officeDocument/2006/relationships/hyperlink" Target="http://ageconsearch.umn.edu/bitstream/52515/2/ILAC_Brief05_Histories.pdf" TargetMode="External"/><Relationship Id="rId118" Type="http://schemas.openxmlformats.org/officeDocument/2006/relationships/hyperlink" Target="http://journals.sagepub.com/doi/abs/10.1177/1356389012451663" TargetMode="External"/><Relationship Id="rId126" Type="http://schemas.openxmlformats.org/officeDocument/2006/relationships/hyperlink" Target="http://ec.europa.eu/eip/agriculture/sites/agri-eip/files/eip-guidelines-july-2014_en.pdf"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sites/enrd/files/twg-02-nrn-july2016.pdf" TargetMode="External"/><Relationship Id="rId80" Type="http://schemas.openxmlformats.org/officeDocument/2006/relationships/hyperlink" Target="http://www.men-d.de/index.php?id=81&amp;tx_ttnews%5btt_news%5d=150&amp;tx_ttnews%5bbackPid%5d=85&amp;cHash=41ecd4ea5c" TargetMode="External"/><Relationship Id="rId85" Type="http://schemas.openxmlformats.org/officeDocument/2006/relationships/hyperlink" Target="http://www.men-d.de/uploads/media/MEN-D_Jahresveranstaltung_2017.pdf" TargetMode="External"/><Relationship Id="rId93" Type="http://schemas.openxmlformats.org/officeDocument/2006/relationships/hyperlink" Target="http://www.hnvlink.eu/" TargetMode="External"/><Relationship Id="rId98" Type="http://schemas.openxmlformats.org/officeDocument/2006/relationships/header" Target="header10.xml"/><Relationship Id="rId121" Type="http://schemas.openxmlformats.org/officeDocument/2006/relationships/hyperlink" Target="https://www.ncbi.nlm.nih.gov/pubmed/1605358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pn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image" Target="media/image16.png"/><Relationship Id="rId67" Type="http://schemas.openxmlformats.org/officeDocument/2006/relationships/hyperlink" Target="https://ec.europa.eu/eip/agriculture/en/publications/guidelines-programming-innovation-and" TargetMode="External"/><Relationship Id="rId103" Type="http://schemas.openxmlformats.org/officeDocument/2006/relationships/hyperlink" Target="https://www.gao.gov/products/GAO/PEMD-10.1.9" TargetMode="External"/><Relationship Id="rId108" Type="http://schemas.openxmlformats.org/officeDocument/2006/relationships/hyperlink" Target="http://journals.sagepub.com/doi/abs/10.1177/1356389012451663" TargetMode="External"/><Relationship Id="rId116" Type="http://schemas.openxmlformats.org/officeDocument/2006/relationships/hyperlink" Target="http://www.tandfonline.com/doi/abs/10.1080/135467896394447" TargetMode="External"/><Relationship Id="rId124" Type="http://schemas.openxmlformats.org/officeDocument/2006/relationships/hyperlink" Target="http://eur-lex.europa.eu/legal-content/HU/TXT/PDF/?uri=CELEX:52010DC0546&amp;qid=1521111921957&amp;from=HU" TargetMode="External"/><Relationship Id="rId129" Type="http://schemas.openxmlformats.org/officeDocument/2006/relationships/hyperlink" Target="http://enrd.ec.europa.eu/enrd-static/app_templates/enrd_assets/pdf/guidebook/nrn_handbook_webversion.pdf"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enrd.ec.europa.eu/news-events/events/enrd-workshop-measure-16-cooperation_en" TargetMode="External"/><Relationship Id="rId62" Type="http://schemas.openxmlformats.org/officeDocument/2006/relationships/header" Target="header7.xml"/><Relationship Id="rId70" Type="http://schemas.openxmlformats.org/officeDocument/2006/relationships/hyperlink" Target="https://enrd.ec.europa.eu/evaluation/publications/guidelines-assessment-rdp-results-how-prepare-reporting-evaluation-2017_en" TargetMode="External"/><Relationship Id="rId75" Type="http://schemas.openxmlformats.org/officeDocument/2006/relationships/hyperlink" Target="https://enrd.ec.europa.eu/sites/enrd/files/uploaded-files/wp_evaluation_questions_2015.pdf"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image" Target="media/image17.png"/><Relationship Id="rId91" Type="http://schemas.openxmlformats.org/officeDocument/2006/relationships/hyperlink" Target="https://enrd.ec.europa.eu/sites/enrd/files/uploaded-files/wp_evaluation_questions_2015.pdf" TargetMode="External"/><Relationship Id="rId96" Type="http://schemas.openxmlformats.org/officeDocument/2006/relationships/hyperlink" Target="http://www.hnvlink.eu/download/D1.3BAcomplete.pdf" TargetMode="External"/><Relationship Id="rId111" Type="http://schemas.openxmlformats.org/officeDocument/2006/relationships/hyperlink" Target="http://asq.org/quality-progress/2007/07/statistics/likert-scales-and-data-analyses.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image" Target="media/image15.png"/><Relationship Id="rId57" Type="http://schemas.openxmlformats.org/officeDocument/2006/relationships/hyperlink" Target="https://ec.europa.eu/eip/agriculture/sites/agri-eip/files/16_measure_fiche_art_35_co-operation.pdf" TargetMode="External"/><Relationship Id="rId106" Type="http://schemas.openxmlformats.org/officeDocument/2006/relationships/hyperlink" Target="http://journals.sagepub.com/doi/abs/10.1177/1356389012451663" TargetMode="External"/><Relationship Id="rId114" Type="http://schemas.openxmlformats.org/officeDocument/2006/relationships/hyperlink" Target="https://www.gao.gov/products/GAO/PEMD-10.1.9" TargetMode="External"/><Relationship Id="rId119" Type="http://schemas.openxmlformats.org/officeDocument/2006/relationships/hyperlink" Target="http://journals.sagepub.com/doi/abs/10.1177/1356389012451663" TargetMode="External"/><Relationship Id="rId127" Type="http://schemas.openxmlformats.org/officeDocument/2006/relationships/hyperlink" Target="http://ec.europa.eu/eip/agriculture/sites/agri-eip/files/16_measure_fiche_art_35_co-operation.pdf"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enrd.ec.europa.eu/news-events/events/enrd-workshop-measure-16-cooperation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nrd.ec.europa.eu/evaluation/publications/guidelines-evaluation-national-rural-networks-2014-2020_en" TargetMode="External"/><Relationship Id="rId65" Type="http://schemas.openxmlformats.org/officeDocument/2006/relationships/hyperlink" Target="http://enrd.ec.europa.eu/enrd-static/app_templates/enrd_assets/pdf/guidebook/nrn_handbook_webversion.pdf" TargetMode="External"/><Relationship Id="rId73" Type="http://schemas.openxmlformats.org/officeDocument/2006/relationships/hyperlink" Target="https://ec.europa.eu/eip/agriculture/en/publications/guidelines-programming-innovation-and" TargetMode="External"/><Relationship Id="rId78" Type="http://schemas.openxmlformats.org/officeDocument/2006/relationships/hyperlink" Target="http://ec.europa.eu/eurostat/statistics-explained/index.php/Smarter,_greener,_more_inclusive_-_indicators_to_support_the_Europe_2020_strategy" TargetMode="External"/><Relationship Id="rId81" Type="http://schemas.openxmlformats.org/officeDocument/2006/relationships/hyperlink" Target="http://www.men-d.de/index.php?id=81&amp;tx_ttnews%5btt_news%5d=195&amp;tx_ttnews%5bbackPid%5d=85&amp;cHash=08539b2ad7" TargetMode="External"/><Relationship Id="rId86" Type="http://schemas.openxmlformats.org/officeDocument/2006/relationships/hyperlink" Target="http://www.men-d.de/index.php?id=81&amp;tx_ttnews%5btt_news%5d=150&amp;tx_ttnews%5bbackPid%5d=85&amp;cHash=41ecd4ea5c" TargetMode="External"/><Relationship Id="rId94" Type="http://schemas.openxmlformats.org/officeDocument/2006/relationships/hyperlink" Target="http://www.hnvlink.eu/download/D1.3BAcomplete.pdf" TargetMode="External"/><Relationship Id="rId99" Type="http://schemas.openxmlformats.org/officeDocument/2006/relationships/hyperlink" Target="http://asq.org/quality-progress/2007/07/statistics/likert-scales-and-data-analyses.html" TargetMode="External"/><Relationship Id="rId101" Type="http://schemas.openxmlformats.org/officeDocument/2006/relationships/hyperlink" Target="http://ageconsearch.umn.edu/bitstream/52515/2/ILAC_Brief05_Histories.pdf" TargetMode="External"/><Relationship Id="rId122" Type="http://schemas.openxmlformats.org/officeDocument/2006/relationships/hyperlink" Target="http://betterevaluation.org/plan/approach/outcome_harvesting" TargetMode="External"/><Relationship Id="rId13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s://www.ncbi.nlm.nih.gov/pubmed/16053581" TargetMode="External"/><Relationship Id="rId34" Type="http://schemas.openxmlformats.org/officeDocument/2006/relationships/header" Target="header6.xml"/><Relationship Id="rId50" Type="http://schemas.openxmlformats.org/officeDocument/2006/relationships/hyperlink" Target="https://enrd.ec.europa.eu/evaluation/publications/guidelines-assessment-rdp-results-how-prepare-reporting-evaluation-2017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eur-lex.europa.eu/LexUriServ/LexUriServ.do?uri=COM:2010:2020:FIN:HU:PDF"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yperlink" Target="http://www.tandfonline.com/doi/abs/10.1080/135467896394447" TargetMode="External"/><Relationship Id="rId120" Type="http://schemas.openxmlformats.org/officeDocument/2006/relationships/hyperlink" Target="http://journals.sagepub.com/doi/abs/10.1177/1356389012451663" TargetMode="External"/><Relationship Id="rId125" Type="http://schemas.openxmlformats.org/officeDocument/2006/relationships/hyperlink" Target="https://ec.europa.eu/eip/agriculture/en/content/innovation-support-services" TargetMode="External"/><Relationship Id="rId7" Type="http://schemas.openxmlformats.org/officeDocument/2006/relationships/endnotes" Target="endnotes.xml"/><Relationship Id="rId71" Type="http://schemas.openxmlformats.org/officeDocument/2006/relationships/hyperlink" Target="http://enrd.ec.europa.eu/enrd-static/app_templates/enrd_assets/pdf/guidebook/nrn_handbook_webversion.pdf" TargetMode="External"/><Relationship Id="rId92" Type="http://schemas.openxmlformats.org/officeDocument/2006/relationships/hyperlink" Target="https://enrd.ec.europa.eu/sites/enrd/files/uploaded-files/wp_evaluation_questions_2015.pdf"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4.jpg"/><Relationship Id="rId45" Type="http://schemas.openxmlformats.org/officeDocument/2006/relationships/hyperlink" Target="https://enrd.ec.europa.eu/evaluation/publications/guidelines-assessment-rdp-results-how-prepare-reporting-evaluation-2017_en" TargetMode="External"/><Relationship Id="rId66" Type="http://schemas.openxmlformats.org/officeDocument/2006/relationships/hyperlink" Target="https://enrd.ec.europa.eu/sites/enrd/files/twg-02-nrn-july2016.pdf" TargetMode="External"/><Relationship Id="rId87" Type="http://schemas.openxmlformats.org/officeDocument/2006/relationships/hyperlink" Target="http://www.men-d.de/index.php?id=81&amp;tx_ttnews%5btt_news%5d=195&amp;tx_ttnews%5bbackPid%5d=85&amp;cHash=08539b2ad7" TargetMode="External"/><Relationship Id="rId110" Type="http://schemas.openxmlformats.org/officeDocument/2006/relationships/hyperlink" Target="http://betterevaluation.org/plan/approach/outcome_harvesting" TargetMode="External"/><Relationship Id="rId115" Type="http://schemas.openxmlformats.org/officeDocument/2006/relationships/hyperlink" Target="https://www.gao.gov/products/GAO/PEMD-10.1.9" TargetMode="External"/><Relationship Id="rId131" Type="http://schemas.openxmlformats.org/officeDocument/2006/relationships/fontTable" Target="fontTable.xml"/><Relationship Id="rId61" Type="http://schemas.openxmlformats.org/officeDocument/2006/relationships/hyperlink" Target="https://enrd.ec.europa.eu/evaluation/publications/guidelines-evaluation-national-rural-networks-2014-2020_en" TargetMode="External"/><Relationship Id="rId82" Type="http://schemas.openxmlformats.org/officeDocument/2006/relationships/hyperlink" Target="http://eur-lex.europa.eu/LexUriServ/LexUriServ.do?uri=COM:2010:2020:FIN:HU: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hu/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FF2A-44F4-4A5D-8BA4-D7B5C52B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101</Pages>
  <Words>24140</Words>
  <Characters>137598</Characters>
  <Application>Microsoft Office Word</Application>
  <DocSecurity>0</DocSecurity>
  <Lines>1146</Lines>
  <Paragraphs>322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161416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23</cp:revision>
  <cp:lastPrinted>2018-01-12T09:16:00Z</cp:lastPrinted>
  <dcterms:created xsi:type="dcterms:W3CDTF">2018-03-16T18:06:00Z</dcterms:created>
  <dcterms:modified xsi:type="dcterms:W3CDTF">2018-03-20T10:44:00Z</dcterms:modified>
</cp:coreProperties>
</file>