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5440" behindDoc="1" locked="0" layoutInCell="1" allowOverlap="1" wp14:anchorId="6C8EB33A" wp14:editId="397EA611">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56" w:rsidRPr="00DD6E53" w:rsidRDefault="00FD4C56" w:rsidP="00E05D08">
                            <w:pPr>
                              <w:pStyle w:val="HTitle1"/>
                            </w:pPr>
                            <w:r>
                              <w:t xml:space="preserve">Smjernice </w:t>
                            </w:r>
                          </w:p>
                          <w:p w:rsidR="00FD4C56" w:rsidRPr="00DD6E53" w:rsidRDefault="00FD4C56" w:rsidP="00C947BA">
                            <w:pPr>
                              <w:pStyle w:val="HTitle2"/>
                              <w:jc w:val="left"/>
                            </w:pPr>
                            <w:bookmarkStart w:id="1" w:name="_Hlk501355929"/>
                            <w:r>
                              <w:t xml:space="preserve">Evaluacija inovacija u </w:t>
                            </w:r>
                            <w:r>
                              <w:br/>
                              <w:t>programima ruralnog razvoja za razdoblje 2014. – 2020.</w:t>
                            </w:r>
                            <w:bookmarkEnd w:id="1"/>
                            <w:r>
                              <w:t xml:space="preserve"> </w:t>
                            </w:r>
                          </w:p>
                          <w:p w:rsidR="00FD4C56" w:rsidRPr="00DD6E53" w:rsidRDefault="00FD4C56" w:rsidP="00E05D08">
                            <w:pPr>
                              <w:rPr>
                                <w:color w:val="6F6F6F"/>
                                <w:sz w:val="28"/>
                                <w:szCs w:val="28"/>
                              </w:rPr>
                            </w:pPr>
                          </w:p>
                          <w:p w:rsidR="00FD4C56" w:rsidRDefault="00FD4C56" w:rsidP="00E05D08">
                            <w:pPr>
                              <w:pStyle w:val="HTitle3"/>
                            </w:pPr>
                            <w:r>
                              <w:t xml:space="preserve">Prosinac 2017. </w:t>
                            </w:r>
                          </w:p>
                          <w:p w:rsidR="00FD4C56" w:rsidRDefault="00FD4C56" w:rsidP="00E05D08">
                            <w:pPr>
                              <w:pStyle w:val="HTitle3"/>
                            </w:pPr>
                          </w:p>
                          <w:p w:rsidR="00FD4C56" w:rsidRDefault="00FD4C56" w:rsidP="00E05D08">
                            <w:pPr>
                              <w:pStyle w:val="HTitle3"/>
                            </w:pPr>
                          </w:p>
                          <w:p w:rsidR="00FD4C56" w:rsidRDefault="00FD4C56" w:rsidP="00E05D08">
                            <w:pPr>
                              <w:pStyle w:val="HTitle3"/>
                            </w:pPr>
                          </w:p>
                          <w:p w:rsidR="00FD4C56" w:rsidRPr="00912430" w:rsidRDefault="00FD4C56" w:rsidP="00912430">
                            <w:pPr>
                              <w:rPr>
                                <w:color w:val="auto"/>
                                <w:sz w:val="18"/>
                                <w:szCs w:val="18"/>
                              </w:rPr>
                            </w:pPr>
                            <w:r>
                              <w:rPr>
                                <w:i/>
                                <w:sz w:val="18"/>
                                <w:szCs w:val="18"/>
                              </w:rPr>
                              <w:t xml:space="preserve">Ovaj dokument sadržava prijevod inačice dokumenta iz prosinca 2017. „Smjernice: Evaluacija inovacija u programima ruralnog razvoja za razdoblje 2014. – 2020.”. Smjernice su prevedene kako bi bile korisnije i pristupačnije svim dionicima. Treba imati na umu da engleska inačica čini konačni referentni dokument. Engleska inačica dostupna je na </w:t>
                            </w:r>
                            <w:hyperlink r:id="rId8" w:tgtFrame="_blank" w:history="1">
                              <w:r>
                                <w:rPr>
                                  <w:rStyle w:val="Hyperlink"/>
                                  <w:i/>
                                  <w:sz w:val="18"/>
                                  <w:szCs w:val="18"/>
                                </w:rPr>
                                <w:t>sljedećoj poveznici</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rsidR="00FD4C56" w:rsidRPr="00DD6E53" w:rsidRDefault="00FD4C56" w:rsidP="00E05D08">
                      <w:pPr>
                        <w:pStyle w:val="HTitle1"/>
                      </w:pPr>
                      <w:r>
                        <w:t xml:space="preserve">Smjernice </w:t>
                      </w:r>
                    </w:p>
                    <w:p w:rsidR="00FD4C56" w:rsidRPr="00DD6E53" w:rsidRDefault="00FD4C56" w:rsidP="00C947BA">
                      <w:pPr>
                        <w:pStyle w:val="HTitle2"/>
                        <w:jc w:val="left"/>
                      </w:pPr>
                      <w:bookmarkStart w:id="2" w:name="_Hlk501355929"/>
                      <w:r>
                        <w:t xml:space="preserve">Evaluacija inovacija u </w:t>
                      </w:r>
                      <w:r>
                        <w:br/>
                        <w:t>programima ruralnog razvoja za razdoblje 2014. – 2020.</w:t>
                      </w:r>
                      <w:bookmarkEnd w:id="2"/>
                      <w:r>
                        <w:t xml:space="preserve"> </w:t>
                      </w:r>
                    </w:p>
                    <w:p w:rsidR="00FD4C56" w:rsidRPr="00DD6E53" w:rsidRDefault="00FD4C56" w:rsidP="00E05D08">
                      <w:pPr>
                        <w:rPr>
                          <w:color w:val="6F6F6F"/>
                          <w:sz w:val="28"/>
                          <w:szCs w:val="28"/>
                        </w:rPr>
                      </w:pPr>
                    </w:p>
                    <w:p w:rsidR="00FD4C56" w:rsidRDefault="00FD4C56" w:rsidP="00E05D08">
                      <w:pPr>
                        <w:pStyle w:val="HTitle3"/>
                      </w:pPr>
                      <w:r>
                        <w:t xml:space="preserve">Prosinac 2017. </w:t>
                      </w:r>
                    </w:p>
                    <w:p w:rsidR="00FD4C56" w:rsidRDefault="00FD4C56" w:rsidP="00E05D08">
                      <w:pPr>
                        <w:pStyle w:val="HTitle3"/>
                      </w:pPr>
                    </w:p>
                    <w:p w:rsidR="00FD4C56" w:rsidRDefault="00FD4C56" w:rsidP="00E05D08">
                      <w:pPr>
                        <w:pStyle w:val="HTitle3"/>
                      </w:pPr>
                    </w:p>
                    <w:p w:rsidR="00FD4C56" w:rsidRDefault="00FD4C56" w:rsidP="00E05D08">
                      <w:pPr>
                        <w:pStyle w:val="HTitle3"/>
                      </w:pPr>
                    </w:p>
                    <w:p w:rsidR="00FD4C56" w:rsidRPr="00912430" w:rsidRDefault="00FD4C56" w:rsidP="00912430">
                      <w:pPr>
                        <w:rPr>
                          <w:color w:val="auto"/>
                          <w:sz w:val="18"/>
                          <w:szCs w:val="18"/>
                        </w:rPr>
                      </w:pPr>
                      <w:r>
                        <w:rPr>
                          <w:i/>
                          <w:sz w:val="18"/>
                          <w:szCs w:val="18"/>
                        </w:rPr>
                        <w:t xml:space="preserve">Ovaj dokument sadržava prijevod inačice dokumenta iz prosinca 2017. „Smjernice: Evaluacija inovacija u programima ruralnog razvoja za razdoblje 2014. – 2020.”. Smjernice su prevedene kako bi bile korisnije i pristupačnije svim dionicima. Treba imati na umu da engleska inačica čini konačni referentni dokument. Engleska inačica dostupna je na </w:t>
                      </w:r>
                      <w:hyperlink r:id="rId9" w:tgtFrame="_blank" w:history="1">
                        <w:r>
                          <w:rPr>
                            <w:rStyle w:val="Hyperlink"/>
                            <w:i/>
                            <w:sz w:val="18"/>
                            <w:szCs w:val="18"/>
                          </w:rPr>
                          <w:t>sljedećoj poveznici</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6464"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FD4C56" w:rsidRPr="007F1B7F" w:rsidRDefault="00FD4C56" w:rsidP="00E05D08">
                            <w:pPr>
                              <w:pStyle w:val="Normal12PTcouleurgris"/>
                              <w:rPr>
                                <w:sz w:val="18"/>
                              </w:rPr>
                            </w:pPr>
                            <w:r>
                              <w:rPr>
                                <w:sz w:val="18"/>
                              </w:rPr>
                              <w:t>Obavijest o autorskom pravu</w:t>
                            </w:r>
                          </w:p>
                          <w:p w:rsidR="00FD4C56" w:rsidRPr="007F1B7F" w:rsidRDefault="00FD4C56" w:rsidP="00E05D08">
                            <w:pPr>
                              <w:pStyle w:val="Normal12PTcouleurgris"/>
                              <w:rPr>
                                <w:sz w:val="18"/>
                              </w:rPr>
                            </w:pPr>
                            <w:r>
                              <w:rPr>
                                <w:sz w:val="18"/>
                              </w:rPr>
                              <w:t>© Europska unija, 2017.</w:t>
                            </w:r>
                          </w:p>
                          <w:p w:rsidR="00FD4C56" w:rsidRPr="007F1B7F" w:rsidRDefault="00FD4C56" w:rsidP="00E05D08">
                            <w:pPr>
                              <w:pStyle w:val="Normal12PTcouleurgris"/>
                              <w:rPr>
                                <w:sz w:val="18"/>
                              </w:rPr>
                            </w:pPr>
                            <w:r>
                              <w:rPr>
                                <w:sz w:val="18"/>
                              </w:rPr>
                              <w:t>Umnožavanje je dopušteno uz navođenje izvora.</w:t>
                            </w:r>
                          </w:p>
                          <w:p w:rsidR="00FD4C56" w:rsidRPr="0002668A" w:rsidRDefault="00FD4C56" w:rsidP="00E05D08">
                            <w:pPr>
                              <w:pStyle w:val="Normal12PTcouleurgris"/>
                              <w:rPr>
                                <w:sz w:val="18"/>
                              </w:rPr>
                            </w:pPr>
                            <w:r>
                              <w:rPr>
                                <w:bCs/>
                                <w:sz w:val="18"/>
                              </w:rPr>
                              <w:t>Preporučeni način citiranja:</w:t>
                            </w:r>
                            <w:r>
                              <w:rPr>
                                <w:sz w:val="18"/>
                              </w:rPr>
                              <w:t xml:space="preserve"> </w:t>
                            </w:r>
                          </w:p>
                          <w:p w:rsidR="00FD4C56" w:rsidRPr="0002668A" w:rsidRDefault="00FD4C56" w:rsidP="00E05D08">
                            <w:pPr>
                              <w:pStyle w:val="Normal12PTcouleurgris"/>
                              <w:rPr>
                                <w:sz w:val="18"/>
                              </w:rPr>
                            </w:pPr>
                            <w:r>
                              <w:rPr>
                                <w:sz w:val="18"/>
                              </w:rPr>
                              <w:t>EUROPSKA KOMISIJA – Glavna uprava za poljoprivredu i ruralni razvoj – Odjel C.4 (2017.): Smjernice. Evaluacija inovacija u programima ruralnog razvoja za razdoblje 2014. – 2020.</w:t>
                            </w:r>
                          </w:p>
                          <w:p w:rsidR="00FD4C56" w:rsidRPr="0002668A" w:rsidRDefault="00FD4C56" w:rsidP="00E05D08">
                            <w:pPr>
                              <w:pStyle w:val="Normal12PTcouleurgris"/>
                              <w:rPr>
                                <w:bCs/>
                                <w:sz w:val="18"/>
                                <w:u w:val="single"/>
                              </w:rPr>
                            </w:pPr>
                            <w:r>
                              <w:rPr>
                                <w:bCs/>
                                <w:sz w:val="18"/>
                                <w:u w:val="single"/>
                              </w:rPr>
                              <w:t>Izjava o ograničenju odgovornosti:</w:t>
                            </w:r>
                          </w:p>
                          <w:p w:rsidR="00FD4C56" w:rsidRPr="0002668A" w:rsidRDefault="00FD4C56" w:rsidP="00E05D08">
                            <w:pPr>
                              <w:pStyle w:val="Normal12PTcouleurgris"/>
                              <w:rPr>
                                <w:sz w:val="18"/>
                              </w:rPr>
                            </w:pPr>
                            <w:r>
                              <w:rPr>
                                <w:sz w:val="18"/>
                              </w:rPr>
                              <w:t>Sve informacije i stajališta izneseni u ovom izvješću stajališta su autora te nužno ne odražavaju službeno mišljenje Komisije. Komisija ne jamči točnost podataka sadržanih u ovom izvješću. Ni Komisija ni osobe koje djeluju u njezino ime ne mogu se smatrati odgovornima za moguću uporabu navedenih informacija.</w:t>
                            </w:r>
                          </w:p>
                          <w:p w:rsidR="00FD4C56" w:rsidRPr="000B1DDA" w:rsidRDefault="00FD4C56" w:rsidP="00E05D08">
                            <w:pPr>
                              <w:pStyle w:val="Normal12PTcouleurgris"/>
                            </w:pPr>
                          </w:p>
                          <w:p w:rsidR="00FD4C56" w:rsidRPr="004D4D87" w:rsidRDefault="00FD4C56"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FD4C56" w:rsidRPr="00E05D08" w:rsidRDefault="00FD4C56" w:rsidP="00E05D08">
                            <w:pPr>
                              <w:pStyle w:val="Normal12PTcouleurgris"/>
                              <w:rPr>
                                <w:color w:val="BFBFBF"/>
                              </w:rPr>
                            </w:pPr>
                          </w:p>
                          <w:p w:rsidR="00FD4C56" w:rsidRPr="007F1B7F" w:rsidRDefault="00FD4C56" w:rsidP="00E05D08">
                            <w:pPr>
                              <w:pStyle w:val="Normal12PTcouleurgris"/>
                              <w:rPr>
                                <w:sz w:val="18"/>
                              </w:rPr>
                            </w:pPr>
                            <w:r>
                              <w:rPr>
                                <w:sz w:val="18"/>
                              </w:rPr>
                              <w:t>Služba za podršku evaluaciji odgovorna je za evaluaciju u okviru Europske mreže za ruralni razvoj (EMRR) te daje smjernice o evaluaciji PRR-a i politika koje su u nadležnosti i pod nadzorom Odjela C.4 „Nadzor i evaluacija” Glavne uprave AGRI Europske komisije (EK). Kako bi unaprijedila evaluaciju politike ruralnog razvoja EU-a, Služba za podršku evaluaciji podupire sve dionike u evaluaciji, osobito GU AGRI, nacionalna tijela, upravljačka tijela i evaluatore PRR-a, razvojem i širenjem odgovarajućih metodologija i alata, prikupljanjem i razmjenom dobrih praksi, izgradnjom kapaciteta i komunikacijom s članovima mreže o temama povezanima s evaluacijom.</w:t>
                            </w:r>
                          </w:p>
                          <w:p w:rsidR="00FD4C56" w:rsidRPr="007F1B7F" w:rsidRDefault="00FD4C56" w:rsidP="00E05D08">
                            <w:pPr>
                              <w:pStyle w:val="Normal12PTcouleurgris"/>
                              <w:rPr>
                                <w:sz w:val="18"/>
                              </w:rPr>
                            </w:pPr>
                            <w:r>
                              <w:rPr>
                                <w:sz w:val="18"/>
                              </w:rPr>
                              <w:t>Dodatne informacije o aktivnostima Europske službe za podršku evaluaciji za ruralni razvoj dostupne su na internetu na poslužitelju Europa (http://enrd.ec.europa.eu).</w:t>
                            </w:r>
                          </w:p>
                          <w:p w:rsidR="00FD4C56" w:rsidRPr="00811EF1" w:rsidRDefault="00FD4C56"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FD4C56" w:rsidRPr="007F1B7F" w:rsidRDefault="00FD4C56" w:rsidP="00E05D08">
                      <w:pPr>
                        <w:pStyle w:val="Normal12PTcouleurgris"/>
                        <w:rPr>
                          <w:sz w:val="18"/>
                        </w:rPr>
                      </w:pPr>
                      <w:r>
                        <w:rPr>
                          <w:sz w:val="18"/>
                        </w:rPr>
                        <w:t>Obavijest o autorskom pravu</w:t>
                      </w:r>
                    </w:p>
                    <w:p w:rsidR="00FD4C56" w:rsidRPr="007F1B7F" w:rsidRDefault="00FD4C56" w:rsidP="00E05D08">
                      <w:pPr>
                        <w:pStyle w:val="Normal12PTcouleurgris"/>
                        <w:rPr>
                          <w:sz w:val="18"/>
                        </w:rPr>
                      </w:pPr>
                      <w:r>
                        <w:rPr>
                          <w:sz w:val="18"/>
                        </w:rPr>
                        <w:t>© Europska unija, 2017.</w:t>
                      </w:r>
                    </w:p>
                    <w:p w:rsidR="00FD4C56" w:rsidRPr="007F1B7F" w:rsidRDefault="00FD4C56" w:rsidP="00E05D08">
                      <w:pPr>
                        <w:pStyle w:val="Normal12PTcouleurgris"/>
                        <w:rPr>
                          <w:sz w:val="18"/>
                        </w:rPr>
                      </w:pPr>
                      <w:r>
                        <w:rPr>
                          <w:sz w:val="18"/>
                        </w:rPr>
                        <w:t>Umnožavanje je dopušteno uz navođenje izvora.</w:t>
                      </w:r>
                    </w:p>
                    <w:p w:rsidR="00FD4C56" w:rsidRPr="0002668A" w:rsidRDefault="00FD4C56" w:rsidP="00E05D08">
                      <w:pPr>
                        <w:pStyle w:val="Normal12PTcouleurgris"/>
                        <w:rPr>
                          <w:sz w:val="18"/>
                        </w:rPr>
                      </w:pPr>
                      <w:r>
                        <w:rPr>
                          <w:bCs/>
                          <w:sz w:val="18"/>
                        </w:rPr>
                        <w:t>Preporučeni način citiranja:</w:t>
                      </w:r>
                      <w:r>
                        <w:rPr>
                          <w:sz w:val="18"/>
                        </w:rPr>
                        <w:t xml:space="preserve"> </w:t>
                      </w:r>
                    </w:p>
                    <w:p w:rsidR="00FD4C56" w:rsidRPr="0002668A" w:rsidRDefault="00FD4C56" w:rsidP="00E05D08">
                      <w:pPr>
                        <w:pStyle w:val="Normal12PTcouleurgris"/>
                        <w:rPr>
                          <w:sz w:val="18"/>
                        </w:rPr>
                      </w:pPr>
                      <w:r>
                        <w:rPr>
                          <w:sz w:val="18"/>
                        </w:rPr>
                        <w:t>EUROPSKA KOMISIJA – Glavna uprava za poljoprivredu i ruralni razvoj – Odjel C.4 (2017.): Smjernice. Evaluacija inovacija u programima ruralnog razvoja za razdoblje 2014. – 2020.</w:t>
                      </w:r>
                    </w:p>
                    <w:p w:rsidR="00FD4C56" w:rsidRPr="0002668A" w:rsidRDefault="00FD4C56" w:rsidP="00E05D08">
                      <w:pPr>
                        <w:pStyle w:val="Normal12PTcouleurgris"/>
                        <w:rPr>
                          <w:bCs/>
                          <w:sz w:val="18"/>
                          <w:u w:val="single"/>
                        </w:rPr>
                      </w:pPr>
                      <w:r>
                        <w:rPr>
                          <w:bCs/>
                          <w:sz w:val="18"/>
                          <w:u w:val="single"/>
                        </w:rPr>
                        <w:t>Izjava o ograničenju odgovornosti:</w:t>
                      </w:r>
                    </w:p>
                    <w:p w:rsidR="00FD4C56" w:rsidRPr="0002668A" w:rsidRDefault="00FD4C56" w:rsidP="00E05D08">
                      <w:pPr>
                        <w:pStyle w:val="Normal12PTcouleurgris"/>
                        <w:rPr>
                          <w:sz w:val="18"/>
                        </w:rPr>
                      </w:pPr>
                      <w:r>
                        <w:rPr>
                          <w:sz w:val="18"/>
                        </w:rPr>
                        <w:t>Sve informacije i stajališta izneseni u ovom izvješću stajališta su autora te nužno ne odražavaju službeno mišljenje Komisije. Komisija ne jamči točnost podataka sadržanih u ovom izvješću. Ni Komisija ni osobe koje djeluju u njezino ime ne mogu se smatrati odgovornima za moguću uporabu navedenih informacija.</w:t>
                      </w:r>
                    </w:p>
                    <w:p w:rsidR="00FD4C56" w:rsidRPr="000B1DDA" w:rsidRDefault="00FD4C56" w:rsidP="00E05D08">
                      <w:pPr>
                        <w:pStyle w:val="Normal12PTcouleurgris"/>
                      </w:pPr>
                    </w:p>
                    <w:p w:rsidR="00FD4C56" w:rsidRPr="004D4D87" w:rsidRDefault="00FD4C56"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FD4C56" w:rsidRPr="00E05D08" w:rsidRDefault="00FD4C56" w:rsidP="00E05D08">
                      <w:pPr>
                        <w:pStyle w:val="Normal12PTcouleurgris"/>
                        <w:rPr>
                          <w:color w:val="BFBFBF"/>
                        </w:rPr>
                      </w:pPr>
                    </w:p>
                    <w:p w:rsidR="00FD4C56" w:rsidRPr="007F1B7F" w:rsidRDefault="00FD4C56" w:rsidP="00E05D08">
                      <w:pPr>
                        <w:pStyle w:val="Normal12PTcouleurgris"/>
                        <w:rPr>
                          <w:sz w:val="18"/>
                        </w:rPr>
                      </w:pPr>
                      <w:r>
                        <w:rPr>
                          <w:sz w:val="18"/>
                        </w:rPr>
                        <w:t>Služba za podršku evaluaciji odgovorna je za evaluaciju u okviru Europske mreže za ruralni razvoj (EMRR) te daje smjernice o evaluaciji PRR-a i politika koje su u nadležnosti i pod nadzorom Odjela C.4 „Nadzor i evaluacija” Glavne uprave AGRI Europske komisije (EK). Kako bi unaprijedila evaluaciju politike ruralnog razvoja EU-a, Služba za podršku evaluaciji podupire sve dionike u evaluaciji, osobito GU AGRI, nacionalna tijela, upravljačka tijela i evaluatore PRR-a, razvojem i širenjem odgovarajućih metodologija i alata, prikupljanjem i razmjenom dobrih praksi, izgradnjom kapaciteta i komunikacijom s članovima mreže o temama povezanima s evaluacijom.</w:t>
                      </w:r>
                    </w:p>
                    <w:p w:rsidR="00FD4C56" w:rsidRPr="007F1B7F" w:rsidRDefault="00FD4C56" w:rsidP="00E05D08">
                      <w:pPr>
                        <w:pStyle w:val="Normal12PTcouleurgris"/>
                        <w:rPr>
                          <w:sz w:val="18"/>
                        </w:rPr>
                      </w:pPr>
                      <w:r>
                        <w:rPr>
                          <w:sz w:val="18"/>
                        </w:rPr>
                        <w:t>Dodatne informacije o aktivnostima Europske službe za podršku evaluaciji za ruralni razvoj dostupne su na internetu na poslužitelju Europa (http://enrd.ec.europa.eu).</w:t>
                      </w:r>
                    </w:p>
                    <w:p w:rsidR="00FD4C56" w:rsidRPr="00811EF1" w:rsidRDefault="00FD4C56"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48512"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C56" w:rsidRPr="002D3552" w:rsidRDefault="00FD4C56" w:rsidP="00E05D08">
                            <w:pPr>
                              <w:pStyle w:val="HTitle1"/>
                            </w:pPr>
                            <w:r>
                              <w:t xml:space="preserve">Smjernice </w:t>
                            </w:r>
                          </w:p>
                          <w:p w:rsidR="00FD4C56" w:rsidRPr="00DD6E53" w:rsidRDefault="00FD4C56" w:rsidP="00C947BA">
                            <w:pPr>
                              <w:pStyle w:val="HTitle2"/>
                              <w:jc w:val="left"/>
                            </w:pPr>
                            <w:r>
                              <w:t xml:space="preserve">Evaluacija inovacija u </w:t>
                            </w:r>
                            <w:r>
                              <w:br/>
                              <w:t xml:space="preserve">programima ruralnog razvoja za razdoblje 2014. – 2020. </w:t>
                            </w:r>
                          </w:p>
                          <w:p w:rsidR="00FD4C56" w:rsidRPr="00DD6E53" w:rsidRDefault="00FD4C56" w:rsidP="00E05D08">
                            <w:pPr>
                              <w:rPr>
                                <w:color w:val="6F6F6F"/>
                                <w:sz w:val="28"/>
                                <w:szCs w:val="28"/>
                              </w:rPr>
                            </w:pPr>
                          </w:p>
                          <w:p w:rsidR="00FD4C56" w:rsidRDefault="00FD4C56" w:rsidP="00E05D08">
                            <w:pPr>
                              <w:pStyle w:val="HTitle3"/>
                            </w:pPr>
                            <w:r>
                              <w:t xml:space="preserve">Prosinac 2017. </w:t>
                            </w:r>
                          </w:p>
                          <w:p w:rsidR="00FD4C56" w:rsidRPr="00BE49CF" w:rsidRDefault="00FD4C56"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FD4C56" w:rsidRPr="002D3552" w:rsidRDefault="00FD4C56" w:rsidP="00E05D08">
                      <w:pPr>
                        <w:pStyle w:val="HTitle1"/>
                      </w:pPr>
                      <w:r>
                        <w:t xml:space="preserve">Smjernice </w:t>
                      </w:r>
                    </w:p>
                    <w:p w:rsidR="00FD4C56" w:rsidRPr="00DD6E53" w:rsidRDefault="00FD4C56" w:rsidP="00C947BA">
                      <w:pPr>
                        <w:pStyle w:val="HTitle2"/>
                        <w:jc w:val="left"/>
                      </w:pPr>
                      <w:r>
                        <w:t xml:space="preserve">Evaluacija inovacija u </w:t>
                      </w:r>
                      <w:r>
                        <w:br/>
                        <w:t xml:space="preserve">programima ruralnog razvoja za razdoblje 2014. – 2020. </w:t>
                      </w:r>
                    </w:p>
                    <w:p w:rsidR="00FD4C56" w:rsidRPr="00DD6E53" w:rsidRDefault="00FD4C56" w:rsidP="00E05D08">
                      <w:pPr>
                        <w:rPr>
                          <w:color w:val="6F6F6F"/>
                          <w:sz w:val="28"/>
                          <w:szCs w:val="28"/>
                        </w:rPr>
                      </w:pPr>
                    </w:p>
                    <w:p w:rsidR="00FD4C56" w:rsidRDefault="00FD4C56" w:rsidP="00E05D08">
                      <w:pPr>
                        <w:pStyle w:val="HTitle3"/>
                      </w:pPr>
                      <w:r>
                        <w:t xml:space="preserve">Prosinac 2017. </w:t>
                      </w:r>
                    </w:p>
                    <w:p w:rsidR="00FD4C56" w:rsidRPr="00BE49CF" w:rsidRDefault="00FD4C56"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Sadržaj</w:t>
      </w:r>
    </w:p>
    <w:p w:rsidR="00D942BA"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981111" w:history="1">
        <w:r w:rsidR="00D942BA" w:rsidRPr="002830A4">
          <w:rPr>
            <w:rStyle w:val="Hyperlink"/>
            <w:noProof/>
          </w:rPr>
          <w:t>1.</w:t>
        </w:r>
        <w:r w:rsidR="00D942BA">
          <w:rPr>
            <w:rFonts w:asciiTheme="minorHAnsi" w:eastAsiaTheme="minorEastAsia" w:hAnsiTheme="minorHAnsi"/>
            <w:b w:val="0"/>
            <w:caps w:val="0"/>
            <w:noProof/>
            <w:color w:val="auto"/>
            <w:sz w:val="22"/>
            <w:lang w:val="en-GB" w:eastAsia="en-GB"/>
          </w:rPr>
          <w:tab/>
        </w:r>
        <w:r w:rsidR="00D942BA" w:rsidRPr="002830A4">
          <w:rPr>
            <w:rStyle w:val="Hyperlink"/>
            <w:noProof/>
          </w:rPr>
          <w:t>KONCEPTUALNI OKVIR</w:t>
        </w:r>
        <w:r w:rsidR="00D942BA">
          <w:rPr>
            <w:noProof/>
            <w:webHidden/>
          </w:rPr>
          <w:tab/>
        </w:r>
        <w:r w:rsidR="00D942BA">
          <w:rPr>
            <w:noProof/>
            <w:webHidden/>
          </w:rPr>
          <w:fldChar w:fldCharType="begin"/>
        </w:r>
        <w:r w:rsidR="00D942BA">
          <w:rPr>
            <w:noProof/>
            <w:webHidden/>
          </w:rPr>
          <w:instrText xml:space="preserve"> PAGEREF _Toc508981111 \h </w:instrText>
        </w:r>
        <w:r w:rsidR="00D942BA">
          <w:rPr>
            <w:noProof/>
            <w:webHidden/>
          </w:rPr>
        </w:r>
        <w:r w:rsidR="00D942BA">
          <w:rPr>
            <w:noProof/>
            <w:webHidden/>
          </w:rPr>
          <w:fldChar w:fldCharType="separate"/>
        </w:r>
        <w:r w:rsidR="00C23326">
          <w:rPr>
            <w:noProof/>
            <w:webHidden/>
          </w:rPr>
          <w:t>3</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12" w:history="1">
        <w:r w:rsidR="00D942BA" w:rsidRPr="002830A4">
          <w:rPr>
            <w:rStyle w:val="Hyperlink"/>
            <w:noProof/>
          </w:rPr>
          <w:t>1.1.</w:t>
        </w:r>
        <w:r w:rsidR="00D942BA">
          <w:rPr>
            <w:rFonts w:asciiTheme="minorHAnsi" w:eastAsiaTheme="minorEastAsia" w:hAnsiTheme="minorHAnsi"/>
            <w:noProof/>
            <w:color w:val="auto"/>
            <w:sz w:val="22"/>
            <w:lang w:val="en-GB" w:eastAsia="en-GB"/>
          </w:rPr>
          <w:tab/>
        </w:r>
        <w:r w:rsidR="00D942BA" w:rsidRPr="002830A4">
          <w:rPr>
            <w:rStyle w:val="Hyperlink"/>
            <w:noProof/>
          </w:rPr>
          <w:t>Inovacije i ruralni razvoj</w:t>
        </w:r>
        <w:r w:rsidR="00D942BA">
          <w:rPr>
            <w:noProof/>
            <w:webHidden/>
          </w:rPr>
          <w:tab/>
        </w:r>
        <w:r w:rsidR="00D942BA">
          <w:rPr>
            <w:noProof/>
            <w:webHidden/>
          </w:rPr>
          <w:fldChar w:fldCharType="begin"/>
        </w:r>
        <w:r w:rsidR="00D942BA">
          <w:rPr>
            <w:noProof/>
            <w:webHidden/>
          </w:rPr>
          <w:instrText xml:space="preserve"> PAGEREF _Toc508981112 \h </w:instrText>
        </w:r>
        <w:r w:rsidR="00D942BA">
          <w:rPr>
            <w:noProof/>
            <w:webHidden/>
          </w:rPr>
        </w:r>
        <w:r w:rsidR="00D942BA">
          <w:rPr>
            <w:noProof/>
            <w:webHidden/>
          </w:rPr>
          <w:fldChar w:fldCharType="separate"/>
        </w:r>
        <w:r w:rsidR="00C23326">
          <w:rPr>
            <w:noProof/>
            <w:webHidden/>
          </w:rPr>
          <w:t>3</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13" w:history="1">
        <w:r w:rsidR="00D942BA" w:rsidRPr="002830A4">
          <w:rPr>
            <w:rStyle w:val="Hyperlink"/>
            <w:noProof/>
          </w:rPr>
          <w:t>1.2.</w:t>
        </w:r>
        <w:r w:rsidR="00D942BA">
          <w:rPr>
            <w:rFonts w:asciiTheme="minorHAnsi" w:eastAsiaTheme="minorEastAsia" w:hAnsiTheme="minorHAnsi"/>
            <w:noProof/>
            <w:color w:val="auto"/>
            <w:sz w:val="22"/>
            <w:lang w:val="en-GB" w:eastAsia="en-GB"/>
          </w:rPr>
          <w:tab/>
        </w:r>
        <w:r w:rsidR="00D942BA" w:rsidRPr="002830A4">
          <w:rPr>
            <w:rStyle w:val="Hyperlink"/>
            <w:noProof/>
          </w:rPr>
          <w:t>Okvir politike EU-a</w:t>
        </w:r>
        <w:r w:rsidR="00D942BA">
          <w:rPr>
            <w:noProof/>
            <w:webHidden/>
          </w:rPr>
          <w:tab/>
        </w:r>
        <w:r w:rsidR="00D942BA">
          <w:rPr>
            <w:noProof/>
            <w:webHidden/>
          </w:rPr>
          <w:fldChar w:fldCharType="begin"/>
        </w:r>
        <w:r w:rsidR="00D942BA">
          <w:rPr>
            <w:noProof/>
            <w:webHidden/>
          </w:rPr>
          <w:instrText xml:space="preserve"> PAGEREF _Toc508981113 \h </w:instrText>
        </w:r>
        <w:r w:rsidR="00D942BA">
          <w:rPr>
            <w:noProof/>
            <w:webHidden/>
          </w:rPr>
        </w:r>
        <w:r w:rsidR="00D942BA">
          <w:rPr>
            <w:noProof/>
            <w:webHidden/>
          </w:rPr>
          <w:fldChar w:fldCharType="separate"/>
        </w:r>
        <w:r w:rsidR="00C23326">
          <w:rPr>
            <w:noProof/>
            <w:webHidden/>
          </w:rPr>
          <w:t>10</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14" w:history="1">
        <w:r w:rsidR="00D942BA" w:rsidRPr="002830A4">
          <w:rPr>
            <w:rStyle w:val="Hyperlink"/>
            <w:noProof/>
          </w:rPr>
          <w:t>1.2.1.</w:t>
        </w:r>
        <w:r w:rsidR="00D942BA">
          <w:rPr>
            <w:rFonts w:asciiTheme="minorHAnsi" w:eastAsiaTheme="minorEastAsia" w:hAnsiTheme="minorHAnsi"/>
            <w:noProof/>
            <w:color w:val="auto"/>
            <w:sz w:val="22"/>
            <w:lang w:val="en-GB" w:eastAsia="en-GB"/>
          </w:rPr>
          <w:tab/>
        </w:r>
        <w:r w:rsidR="00D942BA" w:rsidRPr="002830A4">
          <w:rPr>
            <w:rStyle w:val="Hyperlink"/>
            <w:noProof/>
          </w:rPr>
          <w:t>Okvir politike za inovacije u EU-u i politika ruralnog razvoja</w:t>
        </w:r>
        <w:r w:rsidR="00D942BA">
          <w:rPr>
            <w:noProof/>
            <w:webHidden/>
          </w:rPr>
          <w:tab/>
        </w:r>
        <w:r w:rsidR="00D942BA">
          <w:rPr>
            <w:noProof/>
            <w:webHidden/>
          </w:rPr>
          <w:fldChar w:fldCharType="begin"/>
        </w:r>
        <w:r w:rsidR="00D942BA">
          <w:rPr>
            <w:noProof/>
            <w:webHidden/>
          </w:rPr>
          <w:instrText xml:space="preserve"> PAGEREF _Toc508981114 \h </w:instrText>
        </w:r>
        <w:r w:rsidR="00D942BA">
          <w:rPr>
            <w:noProof/>
            <w:webHidden/>
          </w:rPr>
        </w:r>
        <w:r w:rsidR="00D942BA">
          <w:rPr>
            <w:noProof/>
            <w:webHidden/>
          </w:rPr>
          <w:fldChar w:fldCharType="separate"/>
        </w:r>
        <w:r w:rsidR="00C23326">
          <w:rPr>
            <w:noProof/>
            <w:webHidden/>
          </w:rPr>
          <w:t>10</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15" w:history="1">
        <w:r w:rsidR="00D942BA" w:rsidRPr="002830A4">
          <w:rPr>
            <w:rStyle w:val="Hyperlink"/>
            <w:noProof/>
          </w:rPr>
          <w:t>1.2.2.</w:t>
        </w:r>
        <w:r w:rsidR="00D942BA">
          <w:rPr>
            <w:rFonts w:asciiTheme="minorHAnsi" w:eastAsiaTheme="minorEastAsia" w:hAnsiTheme="minorHAnsi"/>
            <w:noProof/>
            <w:color w:val="auto"/>
            <w:sz w:val="22"/>
            <w:lang w:val="en-GB" w:eastAsia="en-GB"/>
          </w:rPr>
          <w:tab/>
        </w:r>
        <w:r w:rsidR="00D942BA" w:rsidRPr="002830A4">
          <w:rPr>
            <w:rStyle w:val="Hyperlink"/>
            <w:noProof/>
          </w:rPr>
          <w:t>Zajednički evaluacijski elementi za inovacije</w:t>
        </w:r>
        <w:r w:rsidR="00D942BA">
          <w:rPr>
            <w:noProof/>
            <w:webHidden/>
          </w:rPr>
          <w:tab/>
        </w:r>
        <w:r w:rsidR="00D942BA">
          <w:rPr>
            <w:noProof/>
            <w:webHidden/>
          </w:rPr>
          <w:fldChar w:fldCharType="begin"/>
        </w:r>
        <w:r w:rsidR="00D942BA">
          <w:rPr>
            <w:noProof/>
            <w:webHidden/>
          </w:rPr>
          <w:instrText xml:space="preserve"> PAGEREF _Toc508981115 \h </w:instrText>
        </w:r>
        <w:r w:rsidR="00D942BA">
          <w:rPr>
            <w:noProof/>
            <w:webHidden/>
          </w:rPr>
        </w:r>
        <w:r w:rsidR="00D942BA">
          <w:rPr>
            <w:noProof/>
            <w:webHidden/>
          </w:rPr>
          <w:fldChar w:fldCharType="separate"/>
        </w:r>
        <w:r w:rsidR="00C23326">
          <w:rPr>
            <w:noProof/>
            <w:webHidden/>
          </w:rPr>
          <w:t>13</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16" w:history="1">
        <w:r w:rsidR="00D942BA" w:rsidRPr="002830A4">
          <w:rPr>
            <w:rStyle w:val="Hyperlink"/>
            <w:noProof/>
          </w:rPr>
          <w:t>1.3.</w:t>
        </w:r>
        <w:r w:rsidR="00D942BA">
          <w:rPr>
            <w:rFonts w:asciiTheme="minorHAnsi" w:eastAsiaTheme="minorEastAsia" w:hAnsiTheme="minorHAnsi"/>
            <w:noProof/>
            <w:color w:val="auto"/>
            <w:sz w:val="22"/>
            <w:lang w:val="en-GB" w:eastAsia="en-GB"/>
          </w:rPr>
          <w:tab/>
        </w:r>
        <w:r w:rsidR="00D942BA" w:rsidRPr="002830A4">
          <w:rPr>
            <w:rStyle w:val="Hyperlink"/>
            <w:noProof/>
          </w:rPr>
          <w:t>Izazovi u evaluaciji inovacija</w:t>
        </w:r>
        <w:r w:rsidR="00D942BA">
          <w:rPr>
            <w:noProof/>
            <w:webHidden/>
          </w:rPr>
          <w:tab/>
        </w:r>
        <w:r w:rsidR="00D942BA">
          <w:rPr>
            <w:noProof/>
            <w:webHidden/>
          </w:rPr>
          <w:fldChar w:fldCharType="begin"/>
        </w:r>
        <w:r w:rsidR="00D942BA">
          <w:rPr>
            <w:noProof/>
            <w:webHidden/>
          </w:rPr>
          <w:instrText xml:space="preserve"> PAGEREF _Toc508981116 \h </w:instrText>
        </w:r>
        <w:r w:rsidR="00D942BA">
          <w:rPr>
            <w:noProof/>
            <w:webHidden/>
          </w:rPr>
        </w:r>
        <w:r w:rsidR="00D942BA">
          <w:rPr>
            <w:noProof/>
            <w:webHidden/>
          </w:rPr>
          <w:fldChar w:fldCharType="separate"/>
        </w:r>
        <w:r w:rsidR="00C23326">
          <w:rPr>
            <w:noProof/>
            <w:webHidden/>
          </w:rPr>
          <w:t>15</w:t>
        </w:r>
        <w:r w:rsidR="00D942BA">
          <w:rPr>
            <w:noProof/>
            <w:webHidden/>
          </w:rPr>
          <w:fldChar w:fldCharType="end"/>
        </w:r>
      </w:hyperlink>
    </w:p>
    <w:p w:rsidR="00D942BA" w:rsidRDefault="00FF6BAA">
      <w:pPr>
        <w:pStyle w:val="TOC1"/>
        <w:tabs>
          <w:tab w:val="right" w:leader="dot" w:pos="9040"/>
        </w:tabs>
        <w:rPr>
          <w:rFonts w:asciiTheme="minorHAnsi" w:eastAsiaTheme="minorEastAsia" w:hAnsiTheme="minorHAnsi"/>
          <w:b w:val="0"/>
          <w:caps w:val="0"/>
          <w:noProof/>
          <w:color w:val="auto"/>
          <w:sz w:val="22"/>
          <w:lang w:val="en-GB" w:eastAsia="en-GB"/>
        </w:rPr>
      </w:pPr>
      <w:hyperlink w:anchor="_Toc508981117" w:history="1">
        <w:r w:rsidR="00D942BA" w:rsidRPr="002830A4">
          <w:rPr>
            <w:rStyle w:val="Hyperlink"/>
            <w:noProof/>
          </w:rPr>
          <w:t>2.</w:t>
        </w:r>
        <w:r w:rsidR="00D942BA">
          <w:rPr>
            <w:rFonts w:asciiTheme="minorHAnsi" w:eastAsiaTheme="minorEastAsia" w:hAnsiTheme="minorHAnsi"/>
            <w:b w:val="0"/>
            <w:caps w:val="0"/>
            <w:noProof/>
            <w:color w:val="auto"/>
            <w:sz w:val="22"/>
            <w:lang w:val="en-GB" w:eastAsia="en-GB"/>
          </w:rPr>
          <w:tab/>
        </w:r>
        <w:r w:rsidR="00D942BA" w:rsidRPr="002830A4">
          <w:rPr>
            <w:rStyle w:val="Hyperlink"/>
            <w:noProof/>
          </w:rPr>
          <w:t>Kako se provodi evaluacija inovacija u PRR-ima?</w:t>
        </w:r>
        <w:r w:rsidR="00D942BA">
          <w:rPr>
            <w:noProof/>
            <w:webHidden/>
          </w:rPr>
          <w:tab/>
        </w:r>
        <w:r w:rsidR="00D942BA">
          <w:rPr>
            <w:noProof/>
            <w:webHidden/>
          </w:rPr>
          <w:fldChar w:fldCharType="begin"/>
        </w:r>
        <w:r w:rsidR="00D942BA">
          <w:rPr>
            <w:noProof/>
            <w:webHidden/>
          </w:rPr>
          <w:instrText xml:space="preserve"> PAGEREF _Toc508981117 \h </w:instrText>
        </w:r>
        <w:r w:rsidR="00D942BA">
          <w:rPr>
            <w:noProof/>
            <w:webHidden/>
          </w:rPr>
        </w:r>
        <w:r w:rsidR="00D942BA">
          <w:rPr>
            <w:noProof/>
            <w:webHidden/>
          </w:rPr>
          <w:fldChar w:fldCharType="separate"/>
        </w:r>
        <w:r w:rsidR="00C23326">
          <w:rPr>
            <w:noProof/>
            <w:webHidden/>
          </w:rPr>
          <w:t>16</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18" w:history="1">
        <w:r w:rsidR="00D942BA" w:rsidRPr="002830A4">
          <w:rPr>
            <w:rStyle w:val="Hyperlink"/>
            <w:noProof/>
          </w:rPr>
          <w:t>2.1.</w:t>
        </w:r>
        <w:r w:rsidR="00D942BA">
          <w:rPr>
            <w:rFonts w:asciiTheme="minorHAnsi" w:eastAsiaTheme="minorEastAsia" w:hAnsiTheme="minorHAnsi"/>
            <w:noProof/>
            <w:color w:val="auto"/>
            <w:sz w:val="22"/>
            <w:lang w:val="en-GB" w:eastAsia="en-GB"/>
          </w:rPr>
          <w:tab/>
        </w:r>
        <w:r w:rsidR="00D942BA" w:rsidRPr="002830A4">
          <w:rPr>
            <w:rStyle w:val="Hyperlink"/>
            <w:noProof/>
          </w:rPr>
          <w:t>Pristup predložen za evaluaciju inovacija u PRR-ima u razdoblju 2014. – 2020. (pregled)</w:t>
        </w:r>
        <w:r w:rsidR="00D942BA">
          <w:rPr>
            <w:noProof/>
            <w:webHidden/>
          </w:rPr>
          <w:tab/>
        </w:r>
        <w:r w:rsidR="00D942BA">
          <w:rPr>
            <w:noProof/>
            <w:webHidden/>
          </w:rPr>
          <w:fldChar w:fldCharType="begin"/>
        </w:r>
        <w:r w:rsidR="00D942BA">
          <w:rPr>
            <w:noProof/>
            <w:webHidden/>
          </w:rPr>
          <w:instrText xml:space="preserve"> PAGEREF _Toc508981118 \h </w:instrText>
        </w:r>
        <w:r w:rsidR="00D942BA">
          <w:rPr>
            <w:noProof/>
            <w:webHidden/>
          </w:rPr>
        </w:r>
        <w:r w:rsidR="00D942BA">
          <w:rPr>
            <w:noProof/>
            <w:webHidden/>
          </w:rPr>
          <w:fldChar w:fldCharType="separate"/>
        </w:r>
        <w:r w:rsidR="00C23326">
          <w:rPr>
            <w:noProof/>
            <w:webHidden/>
          </w:rPr>
          <w:t>16</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19" w:history="1">
        <w:r w:rsidR="00D942BA" w:rsidRPr="002830A4">
          <w:rPr>
            <w:rStyle w:val="Hyperlink"/>
            <w:noProof/>
          </w:rPr>
          <w:t>2.2.</w:t>
        </w:r>
        <w:r w:rsidR="00D942BA">
          <w:rPr>
            <w:rFonts w:asciiTheme="minorHAnsi" w:eastAsiaTheme="minorEastAsia" w:hAnsiTheme="minorHAnsi"/>
            <w:noProof/>
            <w:color w:val="auto"/>
            <w:sz w:val="22"/>
            <w:lang w:val="en-GB" w:eastAsia="en-GB"/>
          </w:rPr>
          <w:tab/>
        </w:r>
        <w:r w:rsidR="00D942BA" w:rsidRPr="002830A4">
          <w:rPr>
            <w:rStyle w:val="Hyperlink"/>
            <w:noProof/>
          </w:rPr>
          <w:t>Analitička provjera inovacijskog potencijala mjera/podmjera PRR-a (preporučeno)</w:t>
        </w:r>
        <w:r w:rsidR="00D942BA">
          <w:rPr>
            <w:noProof/>
            <w:webHidden/>
          </w:rPr>
          <w:tab/>
        </w:r>
        <w:r w:rsidR="00D942BA">
          <w:rPr>
            <w:noProof/>
            <w:webHidden/>
          </w:rPr>
          <w:fldChar w:fldCharType="begin"/>
        </w:r>
        <w:r w:rsidR="00D942BA">
          <w:rPr>
            <w:noProof/>
            <w:webHidden/>
          </w:rPr>
          <w:instrText xml:space="preserve"> PAGEREF _Toc508981119 \h </w:instrText>
        </w:r>
        <w:r w:rsidR="00D942BA">
          <w:rPr>
            <w:noProof/>
            <w:webHidden/>
          </w:rPr>
        </w:r>
        <w:r w:rsidR="00D942BA">
          <w:rPr>
            <w:noProof/>
            <w:webHidden/>
          </w:rPr>
          <w:fldChar w:fldCharType="separate"/>
        </w:r>
        <w:r w:rsidR="00C23326">
          <w:rPr>
            <w:noProof/>
            <w:webHidden/>
          </w:rPr>
          <w:t>19</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20" w:history="1">
        <w:r w:rsidR="00D942BA" w:rsidRPr="002830A4">
          <w:rPr>
            <w:rStyle w:val="Hyperlink"/>
            <w:noProof/>
          </w:rPr>
          <w:t>2.3.</w:t>
        </w:r>
        <w:r w:rsidR="00D942BA">
          <w:rPr>
            <w:rFonts w:asciiTheme="minorHAnsi" w:eastAsiaTheme="minorEastAsia" w:hAnsiTheme="minorHAnsi"/>
            <w:noProof/>
            <w:color w:val="auto"/>
            <w:sz w:val="22"/>
            <w:lang w:val="en-GB" w:eastAsia="en-GB"/>
          </w:rPr>
          <w:tab/>
        </w:r>
        <w:r w:rsidR="00D942BA" w:rsidRPr="002830A4">
          <w:rPr>
            <w:rStyle w:val="Hyperlink"/>
            <w:noProof/>
          </w:rPr>
          <w:t>Dopuna zajedničkih evaluacijskih elemenata za inovacije (preporučeno)</w:t>
        </w:r>
        <w:r w:rsidR="00D942BA">
          <w:rPr>
            <w:noProof/>
            <w:webHidden/>
          </w:rPr>
          <w:tab/>
        </w:r>
        <w:r w:rsidR="00D942BA">
          <w:rPr>
            <w:noProof/>
            <w:webHidden/>
          </w:rPr>
          <w:fldChar w:fldCharType="begin"/>
        </w:r>
        <w:r w:rsidR="00D942BA">
          <w:rPr>
            <w:noProof/>
            <w:webHidden/>
          </w:rPr>
          <w:instrText xml:space="preserve"> PAGEREF _Toc508981120 \h </w:instrText>
        </w:r>
        <w:r w:rsidR="00D942BA">
          <w:rPr>
            <w:noProof/>
            <w:webHidden/>
          </w:rPr>
        </w:r>
        <w:r w:rsidR="00D942BA">
          <w:rPr>
            <w:noProof/>
            <w:webHidden/>
          </w:rPr>
          <w:fldChar w:fldCharType="separate"/>
        </w:r>
        <w:r w:rsidR="00C23326">
          <w:rPr>
            <w:noProof/>
            <w:webHidden/>
          </w:rPr>
          <w:t>22</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21" w:history="1">
        <w:r w:rsidR="00D942BA" w:rsidRPr="002830A4">
          <w:rPr>
            <w:rStyle w:val="Hyperlink"/>
            <w:noProof/>
            <w:snapToGrid w:val="0"/>
          </w:rPr>
          <w:t>2.4.</w:t>
        </w:r>
        <w:r w:rsidR="00D942BA">
          <w:rPr>
            <w:rFonts w:asciiTheme="minorHAnsi" w:eastAsiaTheme="minorEastAsia" w:hAnsiTheme="minorHAnsi"/>
            <w:noProof/>
            <w:color w:val="auto"/>
            <w:sz w:val="22"/>
            <w:lang w:val="en-GB" w:eastAsia="en-GB"/>
          </w:rPr>
          <w:tab/>
        </w:r>
        <w:r w:rsidR="00D942BA" w:rsidRPr="002830A4">
          <w:rPr>
            <w:rStyle w:val="Hyperlink"/>
            <w:noProof/>
          </w:rPr>
          <w:t>Odgovaranje na relevantna zajednička evaluacijska pitanja (obavezno)</w:t>
        </w:r>
        <w:r w:rsidR="00D942BA">
          <w:rPr>
            <w:noProof/>
            <w:webHidden/>
          </w:rPr>
          <w:tab/>
        </w:r>
        <w:r w:rsidR="00D942BA">
          <w:rPr>
            <w:noProof/>
            <w:webHidden/>
          </w:rPr>
          <w:fldChar w:fldCharType="begin"/>
        </w:r>
        <w:r w:rsidR="00D942BA">
          <w:rPr>
            <w:noProof/>
            <w:webHidden/>
          </w:rPr>
          <w:instrText xml:space="preserve"> PAGEREF _Toc508981121 \h </w:instrText>
        </w:r>
        <w:r w:rsidR="00D942BA">
          <w:rPr>
            <w:noProof/>
            <w:webHidden/>
          </w:rPr>
        </w:r>
        <w:r w:rsidR="00D942BA">
          <w:rPr>
            <w:noProof/>
            <w:webHidden/>
          </w:rPr>
          <w:fldChar w:fldCharType="separate"/>
        </w:r>
        <w:r w:rsidR="00C23326">
          <w:rPr>
            <w:noProof/>
            <w:webHidden/>
          </w:rPr>
          <w:t>23</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22" w:history="1">
        <w:r w:rsidR="00D942BA" w:rsidRPr="002830A4">
          <w:rPr>
            <w:rStyle w:val="Hyperlink"/>
            <w:noProof/>
          </w:rPr>
          <w:t>2.4.1.</w:t>
        </w:r>
        <w:r w:rsidR="00D942BA">
          <w:rPr>
            <w:rFonts w:asciiTheme="minorHAnsi" w:eastAsiaTheme="minorEastAsia" w:hAnsiTheme="minorHAnsi"/>
            <w:noProof/>
            <w:color w:val="auto"/>
            <w:sz w:val="22"/>
            <w:lang w:val="en-GB" w:eastAsia="en-GB"/>
          </w:rPr>
          <w:tab/>
        </w:r>
        <w:r w:rsidR="00D942BA" w:rsidRPr="002830A4">
          <w:rPr>
            <w:rStyle w:val="Hyperlink"/>
            <w:noProof/>
          </w:rPr>
          <w:t>ZEP br. 1: „U kojoj su mjeri intervencije u okviru PRR-a poduprle inovacije, suradnju i razvoj baze znanja u ruralnim područjima?”</w:t>
        </w:r>
        <w:r w:rsidR="00D942BA">
          <w:rPr>
            <w:noProof/>
            <w:webHidden/>
          </w:rPr>
          <w:tab/>
        </w:r>
        <w:r w:rsidR="00D942BA">
          <w:rPr>
            <w:noProof/>
            <w:webHidden/>
          </w:rPr>
          <w:fldChar w:fldCharType="begin"/>
        </w:r>
        <w:r w:rsidR="00D942BA">
          <w:rPr>
            <w:noProof/>
            <w:webHidden/>
          </w:rPr>
          <w:instrText xml:space="preserve"> PAGEREF _Toc508981122 \h </w:instrText>
        </w:r>
        <w:r w:rsidR="00D942BA">
          <w:rPr>
            <w:noProof/>
            <w:webHidden/>
          </w:rPr>
        </w:r>
        <w:r w:rsidR="00D942BA">
          <w:rPr>
            <w:noProof/>
            <w:webHidden/>
          </w:rPr>
          <w:fldChar w:fldCharType="separate"/>
        </w:r>
        <w:r w:rsidR="00C23326">
          <w:rPr>
            <w:noProof/>
            <w:webHidden/>
          </w:rPr>
          <w:t>24</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23" w:history="1">
        <w:r w:rsidR="00D942BA" w:rsidRPr="002830A4">
          <w:rPr>
            <w:rStyle w:val="Hyperlink"/>
            <w:noProof/>
          </w:rPr>
          <w:t>2.4.2.</w:t>
        </w:r>
        <w:r w:rsidR="00D942BA">
          <w:rPr>
            <w:rFonts w:asciiTheme="minorHAnsi" w:eastAsiaTheme="minorEastAsia" w:hAnsiTheme="minorHAnsi"/>
            <w:noProof/>
            <w:color w:val="auto"/>
            <w:sz w:val="22"/>
            <w:lang w:val="en-GB" w:eastAsia="en-GB"/>
          </w:rPr>
          <w:tab/>
        </w:r>
        <w:r w:rsidR="00D942BA" w:rsidRPr="002830A4">
          <w:rPr>
            <w:rStyle w:val="Hyperlink"/>
            <w:noProof/>
          </w:rPr>
          <w:t>ZEP br. 2: „U kojoj su mjeri intervencije u okviru PRR-a poduprle jačanje poveznica između poljoprivrede, proizvodnje hrane i šumarstva te istraživanja i inovacija, među ostalim, u svrhu boljeg upravljanja okolišem i ekološke učinkovitosti?”</w:t>
        </w:r>
        <w:r w:rsidR="00D942BA">
          <w:rPr>
            <w:noProof/>
            <w:webHidden/>
          </w:rPr>
          <w:tab/>
        </w:r>
        <w:r w:rsidR="00D942BA">
          <w:rPr>
            <w:noProof/>
            <w:webHidden/>
          </w:rPr>
          <w:fldChar w:fldCharType="begin"/>
        </w:r>
        <w:r w:rsidR="00D942BA">
          <w:rPr>
            <w:noProof/>
            <w:webHidden/>
          </w:rPr>
          <w:instrText xml:space="preserve"> PAGEREF _Toc508981123 \h </w:instrText>
        </w:r>
        <w:r w:rsidR="00D942BA">
          <w:rPr>
            <w:noProof/>
            <w:webHidden/>
          </w:rPr>
        </w:r>
        <w:r w:rsidR="00D942BA">
          <w:rPr>
            <w:noProof/>
            <w:webHidden/>
          </w:rPr>
          <w:fldChar w:fldCharType="separate"/>
        </w:r>
        <w:r w:rsidR="00C23326">
          <w:rPr>
            <w:noProof/>
            <w:webHidden/>
          </w:rPr>
          <w:t>33</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24" w:history="1">
        <w:r w:rsidR="00D942BA" w:rsidRPr="002830A4">
          <w:rPr>
            <w:rStyle w:val="Hyperlink"/>
            <w:noProof/>
          </w:rPr>
          <w:t>2.4.3.</w:t>
        </w:r>
        <w:r w:rsidR="00D942BA">
          <w:rPr>
            <w:rFonts w:asciiTheme="minorHAnsi" w:eastAsiaTheme="minorEastAsia" w:hAnsiTheme="minorHAnsi"/>
            <w:noProof/>
            <w:color w:val="auto"/>
            <w:sz w:val="22"/>
            <w:lang w:val="en-GB" w:eastAsia="en-GB"/>
          </w:rPr>
          <w:tab/>
        </w:r>
        <w:r w:rsidR="00D942BA" w:rsidRPr="002830A4">
          <w:rPr>
            <w:rStyle w:val="Hyperlink"/>
            <w:noProof/>
          </w:rPr>
          <w:t>ZEP br. 21: „U kojoj je mjeri nacionalna ruralna mreža pridonijela ostvarenju ciljeva utvrđenih u članku 54. stavku 2. Uredbe (EU) br. 1305/2013?”</w:t>
        </w:r>
        <w:r w:rsidR="00D942BA">
          <w:rPr>
            <w:noProof/>
            <w:webHidden/>
          </w:rPr>
          <w:tab/>
        </w:r>
        <w:r w:rsidR="00D942BA">
          <w:rPr>
            <w:noProof/>
            <w:webHidden/>
          </w:rPr>
          <w:fldChar w:fldCharType="begin"/>
        </w:r>
        <w:r w:rsidR="00D942BA">
          <w:rPr>
            <w:noProof/>
            <w:webHidden/>
          </w:rPr>
          <w:instrText xml:space="preserve"> PAGEREF _Toc508981124 \h </w:instrText>
        </w:r>
        <w:r w:rsidR="00D942BA">
          <w:rPr>
            <w:noProof/>
            <w:webHidden/>
          </w:rPr>
        </w:r>
        <w:r w:rsidR="00D942BA">
          <w:rPr>
            <w:noProof/>
            <w:webHidden/>
          </w:rPr>
          <w:fldChar w:fldCharType="separate"/>
        </w:r>
        <w:r w:rsidR="00C23326">
          <w:rPr>
            <w:noProof/>
            <w:webHidden/>
          </w:rPr>
          <w:t>42</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25" w:history="1">
        <w:r w:rsidR="00D942BA" w:rsidRPr="002830A4">
          <w:rPr>
            <w:rStyle w:val="Hyperlink"/>
            <w:noProof/>
          </w:rPr>
          <w:t>2.4.4.</w:t>
        </w:r>
        <w:r w:rsidR="00D942BA">
          <w:rPr>
            <w:rFonts w:asciiTheme="minorHAnsi" w:eastAsiaTheme="minorEastAsia" w:hAnsiTheme="minorHAnsi"/>
            <w:noProof/>
            <w:color w:val="auto"/>
            <w:sz w:val="22"/>
            <w:lang w:val="en-GB" w:eastAsia="en-GB"/>
          </w:rPr>
          <w:tab/>
        </w:r>
        <w:r w:rsidR="00D942BA" w:rsidRPr="002830A4">
          <w:rPr>
            <w:rStyle w:val="Hyperlink"/>
            <w:noProof/>
          </w:rPr>
          <w:t>ZEP br. 23: „U kojoj je mjeri PRR pridonio postizanju glavnog cilja EU-a za 2020. da se 3 % BDP-a EU-a ulaže u istraživanje i razvoj te inovacije?”</w:t>
        </w:r>
        <w:r w:rsidR="00D942BA">
          <w:rPr>
            <w:noProof/>
            <w:webHidden/>
          </w:rPr>
          <w:tab/>
        </w:r>
        <w:r w:rsidR="00D942BA">
          <w:rPr>
            <w:noProof/>
            <w:webHidden/>
          </w:rPr>
          <w:fldChar w:fldCharType="begin"/>
        </w:r>
        <w:r w:rsidR="00D942BA">
          <w:rPr>
            <w:noProof/>
            <w:webHidden/>
          </w:rPr>
          <w:instrText xml:space="preserve"> PAGEREF _Toc508981125 \h </w:instrText>
        </w:r>
        <w:r w:rsidR="00D942BA">
          <w:rPr>
            <w:noProof/>
            <w:webHidden/>
          </w:rPr>
        </w:r>
        <w:r w:rsidR="00D942BA">
          <w:rPr>
            <w:noProof/>
            <w:webHidden/>
          </w:rPr>
          <w:fldChar w:fldCharType="separate"/>
        </w:r>
        <w:r w:rsidR="00C23326">
          <w:rPr>
            <w:noProof/>
            <w:webHidden/>
          </w:rPr>
          <w:t>53</w:t>
        </w:r>
        <w:r w:rsidR="00D942BA">
          <w:rPr>
            <w:noProof/>
            <w:webHidden/>
          </w:rPr>
          <w:fldChar w:fldCharType="end"/>
        </w:r>
      </w:hyperlink>
    </w:p>
    <w:p w:rsidR="00D942BA" w:rsidRDefault="00FF6BAA">
      <w:pPr>
        <w:pStyle w:val="TOC3"/>
        <w:tabs>
          <w:tab w:val="right" w:leader="dot" w:pos="9040"/>
        </w:tabs>
        <w:rPr>
          <w:rFonts w:asciiTheme="minorHAnsi" w:eastAsiaTheme="minorEastAsia" w:hAnsiTheme="minorHAnsi"/>
          <w:noProof/>
          <w:color w:val="auto"/>
          <w:sz w:val="22"/>
          <w:lang w:val="en-GB" w:eastAsia="en-GB"/>
        </w:rPr>
      </w:pPr>
      <w:hyperlink w:anchor="_Toc508981126" w:history="1">
        <w:r w:rsidR="00D942BA" w:rsidRPr="002830A4">
          <w:rPr>
            <w:rStyle w:val="Hyperlink"/>
            <w:noProof/>
          </w:rPr>
          <w:t>2.4.5.</w:t>
        </w:r>
        <w:r w:rsidR="00D942BA">
          <w:rPr>
            <w:rFonts w:asciiTheme="minorHAnsi" w:eastAsiaTheme="minorEastAsia" w:hAnsiTheme="minorHAnsi"/>
            <w:noProof/>
            <w:color w:val="auto"/>
            <w:sz w:val="22"/>
            <w:lang w:val="en-GB" w:eastAsia="en-GB"/>
          </w:rPr>
          <w:tab/>
        </w:r>
        <w:r w:rsidR="00D942BA" w:rsidRPr="002830A4">
          <w:rPr>
            <w:rStyle w:val="Hyperlink"/>
            <w:noProof/>
          </w:rPr>
          <w:t>ZEP br. 30: „U kojoj su mjeri intervencije u okviru PRR-a pridonijele poticanju inovacija?”</w:t>
        </w:r>
        <w:r w:rsidR="00D942BA">
          <w:rPr>
            <w:noProof/>
            <w:webHidden/>
          </w:rPr>
          <w:tab/>
        </w:r>
        <w:r w:rsidR="00D942BA">
          <w:rPr>
            <w:noProof/>
            <w:webHidden/>
          </w:rPr>
          <w:fldChar w:fldCharType="begin"/>
        </w:r>
        <w:r w:rsidR="00D942BA">
          <w:rPr>
            <w:noProof/>
            <w:webHidden/>
          </w:rPr>
          <w:instrText xml:space="preserve"> PAGEREF _Toc508981126 \h </w:instrText>
        </w:r>
        <w:r w:rsidR="00D942BA">
          <w:rPr>
            <w:noProof/>
            <w:webHidden/>
          </w:rPr>
        </w:r>
        <w:r w:rsidR="00D942BA">
          <w:rPr>
            <w:noProof/>
            <w:webHidden/>
          </w:rPr>
          <w:fldChar w:fldCharType="separate"/>
        </w:r>
        <w:r w:rsidR="00C23326">
          <w:rPr>
            <w:noProof/>
            <w:webHidden/>
          </w:rPr>
          <w:t>61</w:t>
        </w:r>
        <w:r w:rsidR="00D942BA">
          <w:rPr>
            <w:noProof/>
            <w:webHidden/>
          </w:rPr>
          <w:fldChar w:fldCharType="end"/>
        </w:r>
      </w:hyperlink>
    </w:p>
    <w:p w:rsidR="00D942BA" w:rsidRDefault="00FF6BAA">
      <w:pPr>
        <w:pStyle w:val="TOC1"/>
        <w:tabs>
          <w:tab w:val="right" w:leader="dot" w:pos="9040"/>
        </w:tabs>
        <w:rPr>
          <w:rFonts w:asciiTheme="minorHAnsi" w:eastAsiaTheme="minorEastAsia" w:hAnsiTheme="minorHAnsi"/>
          <w:b w:val="0"/>
          <w:caps w:val="0"/>
          <w:noProof/>
          <w:color w:val="auto"/>
          <w:sz w:val="22"/>
          <w:lang w:val="en-GB" w:eastAsia="en-GB"/>
        </w:rPr>
      </w:pPr>
      <w:hyperlink w:anchor="_Toc508981127" w:history="1">
        <w:r w:rsidR="00D942BA" w:rsidRPr="002830A4">
          <w:rPr>
            <w:rStyle w:val="Hyperlink"/>
            <w:noProof/>
          </w:rPr>
          <w:t>3.</w:t>
        </w:r>
        <w:r w:rsidR="00D942BA">
          <w:rPr>
            <w:rFonts w:asciiTheme="minorHAnsi" w:eastAsiaTheme="minorEastAsia" w:hAnsiTheme="minorHAnsi"/>
            <w:b w:val="0"/>
            <w:caps w:val="0"/>
            <w:noProof/>
            <w:color w:val="auto"/>
            <w:sz w:val="22"/>
            <w:lang w:val="en-GB" w:eastAsia="en-GB"/>
          </w:rPr>
          <w:tab/>
        </w:r>
        <w:r w:rsidR="00D942BA" w:rsidRPr="002830A4">
          <w:rPr>
            <w:rStyle w:val="Hyperlink"/>
            <w:noProof/>
          </w:rPr>
          <w:t>PRILOZI</w:t>
        </w:r>
        <w:r w:rsidR="00D942BA">
          <w:rPr>
            <w:noProof/>
            <w:webHidden/>
          </w:rPr>
          <w:tab/>
        </w:r>
        <w:r w:rsidR="00D942BA">
          <w:rPr>
            <w:noProof/>
            <w:webHidden/>
          </w:rPr>
          <w:fldChar w:fldCharType="begin"/>
        </w:r>
        <w:r w:rsidR="00D942BA">
          <w:rPr>
            <w:noProof/>
            <w:webHidden/>
          </w:rPr>
          <w:instrText xml:space="preserve"> PAGEREF _Toc508981127 \h </w:instrText>
        </w:r>
        <w:r w:rsidR="00D942BA">
          <w:rPr>
            <w:noProof/>
            <w:webHidden/>
          </w:rPr>
        </w:r>
        <w:r w:rsidR="00D942BA">
          <w:rPr>
            <w:noProof/>
            <w:webHidden/>
          </w:rPr>
          <w:fldChar w:fldCharType="separate"/>
        </w:r>
        <w:r w:rsidR="00C23326">
          <w:rPr>
            <w:noProof/>
            <w:webHidden/>
          </w:rPr>
          <w:t>74</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28" w:history="1">
        <w:r w:rsidR="00D942BA" w:rsidRPr="002830A4">
          <w:rPr>
            <w:rStyle w:val="Hyperlink"/>
            <w:noProof/>
          </w:rPr>
          <w:t>3.1.</w:t>
        </w:r>
        <w:r w:rsidR="00D942BA">
          <w:rPr>
            <w:rFonts w:asciiTheme="minorHAnsi" w:eastAsiaTheme="minorEastAsia" w:hAnsiTheme="minorHAnsi"/>
            <w:noProof/>
            <w:color w:val="auto"/>
            <w:sz w:val="22"/>
            <w:lang w:val="en-GB" w:eastAsia="en-GB"/>
          </w:rPr>
          <w:tab/>
        </w:r>
        <w:r w:rsidR="00D942BA" w:rsidRPr="002830A4">
          <w:rPr>
            <w:rStyle w:val="Hyperlink"/>
            <w:noProof/>
          </w:rPr>
          <w:t>Pojmovnik</w:t>
        </w:r>
        <w:r w:rsidR="00D942BA">
          <w:rPr>
            <w:noProof/>
            <w:webHidden/>
          </w:rPr>
          <w:tab/>
        </w:r>
        <w:r w:rsidR="00D942BA">
          <w:rPr>
            <w:noProof/>
            <w:webHidden/>
          </w:rPr>
          <w:fldChar w:fldCharType="begin"/>
        </w:r>
        <w:r w:rsidR="00D942BA">
          <w:rPr>
            <w:noProof/>
            <w:webHidden/>
          </w:rPr>
          <w:instrText xml:space="preserve"> PAGEREF _Toc508981128 \h </w:instrText>
        </w:r>
        <w:r w:rsidR="00D942BA">
          <w:rPr>
            <w:noProof/>
            <w:webHidden/>
          </w:rPr>
        </w:r>
        <w:r w:rsidR="00D942BA">
          <w:rPr>
            <w:noProof/>
            <w:webHidden/>
          </w:rPr>
          <w:fldChar w:fldCharType="separate"/>
        </w:r>
        <w:r w:rsidR="00C23326">
          <w:rPr>
            <w:noProof/>
            <w:webHidden/>
          </w:rPr>
          <w:t>74</w:t>
        </w:r>
        <w:r w:rsidR="00D942BA">
          <w:rPr>
            <w:noProof/>
            <w:webHidden/>
          </w:rPr>
          <w:fldChar w:fldCharType="end"/>
        </w:r>
      </w:hyperlink>
    </w:p>
    <w:p w:rsidR="00D942BA" w:rsidRDefault="00FF6BAA">
      <w:pPr>
        <w:pStyle w:val="TOC2"/>
        <w:tabs>
          <w:tab w:val="right" w:leader="dot" w:pos="9040"/>
        </w:tabs>
        <w:rPr>
          <w:rFonts w:asciiTheme="minorHAnsi" w:eastAsiaTheme="minorEastAsia" w:hAnsiTheme="minorHAnsi"/>
          <w:noProof/>
          <w:color w:val="auto"/>
          <w:sz w:val="22"/>
          <w:lang w:val="en-GB" w:eastAsia="en-GB"/>
        </w:rPr>
      </w:pPr>
      <w:hyperlink w:anchor="_Toc508981129" w:history="1">
        <w:r w:rsidR="00D942BA" w:rsidRPr="002830A4">
          <w:rPr>
            <w:rStyle w:val="Hyperlink"/>
            <w:noProof/>
          </w:rPr>
          <w:t>3.2.</w:t>
        </w:r>
        <w:r w:rsidR="00D942BA">
          <w:rPr>
            <w:rFonts w:asciiTheme="minorHAnsi" w:eastAsiaTheme="minorEastAsia" w:hAnsiTheme="minorHAnsi"/>
            <w:noProof/>
            <w:color w:val="auto"/>
            <w:sz w:val="22"/>
            <w:lang w:val="en-GB" w:eastAsia="en-GB"/>
          </w:rPr>
          <w:tab/>
        </w:r>
        <w:r w:rsidR="00D942BA" w:rsidRPr="002830A4">
          <w:rPr>
            <w:rStyle w:val="Hyperlink"/>
            <w:noProof/>
          </w:rPr>
          <w:t>Utvrđivanje inovacijskog potencijala PRR-a: korak po korak</w:t>
        </w:r>
        <w:r w:rsidR="00D942BA">
          <w:rPr>
            <w:noProof/>
            <w:webHidden/>
          </w:rPr>
          <w:tab/>
        </w:r>
        <w:r w:rsidR="00D942BA">
          <w:rPr>
            <w:noProof/>
            <w:webHidden/>
          </w:rPr>
          <w:fldChar w:fldCharType="begin"/>
        </w:r>
        <w:r w:rsidR="00D942BA">
          <w:rPr>
            <w:noProof/>
            <w:webHidden/>
          </w:rPr>
          <w:instrText xml:space="preserve"> PAGEREF _Toc508981129 \h </w:instrText>
        </w:r>
        <w:r w:rsidR="00D942BA">
          <w:rPr>
            <w:noProof/>
            <w:webHidden/>
          </w:rPr>
        </w:r>
        <w:r w:rsidR="00D942BA">
          <w:rPr>
            <w:noProof/>
            <w:webHidden/>
          </w:rPr>
          <w:fldChar w:fldCharType="separate"/>
        </w:r>
        <w:r w:rsidR="00C23326">
          <w:rPr>
            <w:noProof/>
            <w:webHidden/>
          </w:rPr>
          <w:t>76</w:t>
        </w:r>
        <w:r w:rsidR="00D942BA">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Tablice i slike</w:t>
      </w:r>
    </w:p>
    <w:p w:rsidR="00D942BA" w:rsidRDefault="00E05D08">
      <w:pPr>
        <w:pStyle w:val="TOC2"/>
        <w:tabs>
          <w:tab w:val="left" w:pos="1100"/>
          <w:tab w:val="right" w:leader="dot" w:pos="9040"/>
        </w:tabs>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981130" w:history="1">
        <w:r w:rsidR="00D942BA" w:rsidRPr="00590F97">
          <w:rPr>
            <w:rStyle w:val="Hyperlink"/>
            <w:noProof/>
            <w14:scene3d>
              <w14:camera w14:prst="orthographicFront"/>
              <w14:lightRig w14:rig="threePt" w14:dir="t">
                <w14:rot w14:lat="0" w14:lon="0" w14:rev="0"/>
              </w14:lightRig>
            </w14:scene3d>
          </w:rPr>
          <w:t>Tablica 1.</w:t>
        </w:r>
        <w:r w:rsidR="00D942BA">
          <w:rPr>
            <w:rFonts w:asciiTheme="minorHAnsi" w:eastAsiaTheme="minorEastAsia" w:hAnsiTheme="minorHAnsi"/>
            <w:noProof/>
            <w:color w:val="auto"/>
            <w:sz w:val="22"/>
            <w:lang w:val="en-GB" w:eastAsia="en-GB"/>
          </w:rPr>
          <w:tab/>
        </w:r>
        <w:r w:rsidR="00D942BA" w:rsidRPr="00590F97">
          <w:rPr>
            <w:rStyle w:val="Hyperlink"/>
            <w:noProof/>
          </w:rPr>
          <w:t>Evaluacijski elementi i izvori informacija povezani sa ZEP-om br. 1</w:t>
        </w:r>
        <w:r w:rsidR="00D942BA">
          <w:rPr>
            <w:noProof/>
            <w:webHidden/>
          </w:rPr>
          <w:tab/>
        </w:r>
        <w:r w:rsidR="00D942BA">
          <w:rPr>
            <w:noProof/>
            <w:webHidden/>
          </w:rPr>
          <w:fldChar w:fldCharType="begin"/>
        </w:r>
        <w:r w:rsidR="00D942BA">
          <w:rPr>
            <w:noProof/>
            <w:webHidden/>
          </w:rPr>
          <w:instrText xml:space="preserve"> PAGEREF _Toc508981130 \h </w:instrText>
        </w:r>
        <w:r w:rsidR="00D942BA">
          <w:rPr>
            <w:noProof/>
            <w:webHidden/>
          </w:rPr>
        </w:r>
        <w:r w:rsidR="00D942BA">
          <w:rPr>
            <w:noProof/>
            <w:webHidden/>
          </w:rPr>
          <w:fldChar w:fldCharType="separate"/>
        </w:r>
        <w:r w:rsidR="00C23326">
          <w:rPr>
            <w:noProof/>
            <w:webHidden/>
          </w:rPr>
          <w:t>28</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1" w:history="1">
        <w:r w:rsidR="00D942BA" w:rsidRPr="00590F97">
          <w:rPr>
            <w:rStyle w:val="Hyperlink"/>
            <w:noProof/>
            <w14:scene3d>
              <w14:camera w14:prst="orthographicFront"/>
              <w14:lightRig w14:rig="threePt" w14:dir="t">
                <w14:rot w14:lat="0" w14:lon="0" w14:rev="0"/>
              </w14:lightRig>
            </w14:scene3d>
          </w:rPr>
          <w:t>Tablica 2.</w:t>
        </w:r>
        <w:r w:rsidR="00D942BA">
          <w:rPr>
            <w:rFonts w:asciiTheme="minorHAnsi" w:eastAsiaTheme="minorEastAsia" w:hAnsiTheme="minorHAnsi"/>
            <w:noProof/>
            <w:color w:val="auto"/>
            <w:sz w:val="22"/>
            <w:lang w:val="en-GB" w:eastAsia="en-GB"/>
          </w:rPr>
          <w:tab/>
        </w:r>
        <w:r w:rsidR="00D942BA" w:rsidRPr="00590F97">
          <w:rPr>
            <w:rStyle w:val="Hyperlink"/>
            <w:noProof/>
          </w:rPr>
          <w:t>Preporučene metode za ZEP br. 1</w:t>
        </w:r>
        <w:r w:rsidR="00D942BA">
          <w:rPr>
            <w:noProof/>
            <w:webHidden/>
          </w:rPr>
          <w:tab/>
        </w:r>
        <w:r w:rsidR="00D942BA">
          <w:rPr>
            <w:noProof/>
            <w:webHidden/>
          </w:rPr>
          <w:fldChar w:fldCharType="begin"/>
        </w:r>
        <w:r w:rsidR="00D942BA">
          <w:rPr>
            <w:noProof/>
            <w:webHidden/>
          </w:rPr>
          <w:instrText xml:space="preserve"> PAGEREF _Toc508981131 \h </w:instrText>
        </w:r>
        <w:r w:rsidR="00D942BA">
          <w:rPr>
            <w:noProof/>
            <w:webHidden/>
          </w:rPr>
        </w:r>
        <w:r w:rsidR="00D942BA">
          <w:rPr>
            <w:noProof/>
            <w:webHidden/>
          </w:rPr>
          <w:fldChar w:fldCharType="separate"/>
        </w:r>
        <w:r w:rsidR="00C23326">
          <w:rPr>
            <w:noProof/>
            <w:webHidden/>
          </w:rPr>
          <w:t>30</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2" w:history="1">
        <w:r w:rsidR="00D942BA" w:rsidRPr="00590F97">
          <w:rPr>
            <w:rStyle w:val="Hyperlink"/>
            <w:noProof/>
            <w14:scene3d>
              <w14:camera w14:prst="orthographicFront"/>
              <w14:lightRig w14:rig="threePt" w14:dir="t">
                <w14:rot w14:lat="0" w14:lon="0" w14:rev="0"/>
              </w14:lightRig>
            </w14:scene3d>
          </w:rPr>
          <w:t>Tablica 3.</w:t>
        </w:r>
        <w:r w:rsidR="00D942BA">
          <w:rPr>
            <w:rFonts w:asciiTheme="minorHAnsi" w:eastAsiaTheme="minorEastAsia" w:hAnsiTheme="minorHAnsi"/>
            <w:noProof/>
            <w:color w:val="auto"/>
            <w:sz w:val="22"/>
            <w:lang w:val="en-GB" w:eastAsia="en-GB"/>
          </w:rPr>
          <w:tab/>
        </w:r>
        <w:r w:rsidR="00D942BA" w:rsidRPr="00590F97">
          <w:rPr>
            <w:rStyle w:val="Hyperlink"/>
            <w:noProof/>
          </w:rPr>
          <w:t>Kriteriji prosudbe, pokazatelji te potrebni podatci i izvori podataka</w:t>
        </w:r>
        <w:r w:rsidR="00D942BA">
          <w:rPr>
            <w:noProof/>
            <w:webHidden/>
          </w:rPr>
          <w:tab/>
        </w:r>
        <w:r w:rsidR="00D942BA">
          <w:rPr>
            <w:noProof/>
            <w:webHidden/>
          </w:rPr>
          <w:fldChar w:fldCharType="begin"/>
        </w:r>
        <w:r w:rsidR="00D942BA">
          <w:rPr>
            <w:noProof/>
            <w:webHidden/>
          </w:rPr>
          <w:instrText xml:space="preserve"> PAGEREF _Toc508981132 \h </w:instrText>
        </w:r>
        <w:r w:rsidR="00D942BA">
          <w:rPr>
            <w:noProof/>
            <w:webHidden/>
          </w:rPr>
        </w:r>
        <w:r w:rsidR="00D942BA">
          <w:rPr>
            <w:noProof/>
            <w:webHidden/>
          </w:rPr>
          <w:fldChar w:fldCharType="separate"/>
        </w:r>
        <w:r w:rsidR="00C23326">
          <w:rPr>
            <w:noProof/>
            <w:webHidden/>
          </w:rPr>
          <w:t>37</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3" w:history="1">
        <w:r w:rsidR="00D942BA" w:rsidRPr="00590F97">
          <w:rPr>
            <w:rStyle w:val="Hyperlink"/>
            <w:noProof/>
            <w14:scene3d>
              <w14:camera w14:prst="orthographicFront"/>
              <w14:lightRig w14:rig="threePt" w14:dir="t">
                <w14:rot w14:lat="0" w14:lon="0" w14:rev="0"/>
              </w14:lightRig>
            </w14:scene3d>
          </w:rPr>
          <w:t>Tablica 4.</w:t>
        </w:r>
        <w:r w:rsidR="00D942BA">
          <w:rPr>
            <w:rFonts w:asciiTheme="minorHAnsi" w:eastAsiaTheme="minorEastAsia" w:hAnsiTheme="minorHAnsi"/>
            <w:noProof/>
            <w:color w:val="auto"/>
            <w:sz w:val="22"/>
            <w:lang w:val="en-GB" w:eastAsia="en-GB"/>
          </w:rPr>
          <w:tab/>
        </w:r>
        <w:r w:rsidR="00D942BA" w:rsidRPr="00590F97">
          <w:rPr>
            <w:rStyle w:val="Hyperlink"/>
            <w:noProof/>
          </w:rPr>
          <w:t>Preporučene metode za ZEP br. 2</w:t>
        </w:r>
        <w:r w:rsidR="00D942BA">
          <w:rPr>
            <w:noProof/>
            <w:webHidden/>
          </w:rPr>
          <w:tab/>
        </w:r>
        <w:r w:rsidR="00D942BA">
          <w:rPr>
            <w:noProof/>
            <w:webHidden/>
          </w:rPr>
          <w:fldChar w:fldCharType="begin"/>
        </w:r>
        <w:r w:rsidR="00D942BA">
          <w:rPr>
            <w:noProof/>
            <w:webHidden/>
          </w:rPr>
          <w:instrText xml:space="preserve"> PAGEREF _Toc508981133 \h </w:instrText>
        </w:r>
        <w:r w:rsidR="00D942BA">
          <w:rPr>
            <w:noProof/>
            <w:webHidden/>
          </w:rPr>
        </w:r>
        <w:r w:rsidR="00D942BA">
          <w:rPr>
            <w:noProof/>
            <w:webHidden/>
          </w:rPr>
          <w:fldChar w:fldCharType="separate"/>
        </w:r>
        <w:r w:rsidR="00C23326">
          <w:rPr>
            <w:noProof/>
            <w:webHidden/>
          </w:rPr>
          <w:t>39</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4" w:history="1">
        <w:r w:rsidR="00D942BA" w:rsidRPr="00590F97">
          <w:rPr>
            <w:rStyle w:val="Hyperlink"/>
            <w:noProof/>
            <w14:scene3d>
              <w14:camera w14:prst="orthographicFront"/>
              <w14:lightRig w14:rig="threePt" w14:dir="t">
                <w14:rot w14:lat="0" w14:lon="0" w14:rev="0"/>
              </w14:lightRig>
            </w14:scene3d>
          </w:rPr>
          <w:t>Tablica 5.</w:t>
        </w:r>
        <w:r w:rsidR="00D942BA">
          <w:rPr>
            <w:rFonts w:asciiTheme="minorHAnsi" w:eastAsiaTheme="minorEastAsia" w:hAnsiTheme="minorHAnsi"/>
            <w:noProof/>
            <w:color w:val="auto"/>
            <w:sz w:val="22"/>
            <w:lang w:val="en-GB" w:eastAsia="en-GB"/>
          </w:rPr>
          <w:tab/>
        </w:r>
        <w:r w:rsidR="00D942BA" w:rsidRPr="00590F97">
          <w:rPr>
            <w:rStyle w:val="Hyperlink"/>
            <w:noProof/>
          </w:rPr>
          <w:t>Predloženi dodatni kriteriji prosudbe, pokazatelji i podatci za odgovaranje na ZEP br. 21</w:t>
        </w:r>
        <w:r w:rsidR="00D942BA">
          <w:rPr>
            <w:noProof/>
            <w:webHidden/>
          </w:rPr>
          <w:tab/>
        </w:r>
        <w:r w:rsidR="00D942BA">
          <w:rPr>
            <w:noProof/>
            <w:webHidden/>
          </w:rPr>
          <w:fldChar w:fldCharType="begin"/>
        </w:r>
        <w:r w:rsidR="00D942BA">
          <w:rPr>
            <w:noProof/>
            <w:webHidden/>
          </w:rPr>
          <w:instrText xml:space="preserve"> PAGEREF _Toc508981134 \h </w:instrText>
        </w:r>
        <w:r w:rsidR="00D942BA">
          <w:rPr>
            <w:noProof/>
            <w:webHidden/>
          </w:rPr>
        </w:r>
        <w:r w:rsidR="00D942BA">
          <w:rPr>
            <w:noProof/>
            <w:webHidden/>
          </w:rPr>
          <w:fldChar w:fldCharType="separate"/>
        </w:r>
        <w:r w:rsidR="00C23326">
          <w:rPr>
            <w:noProof/>
            <w:webHidden/>
          </w:rPr>
          <w:t>46</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5" w:history="1">
        <w:r w:rsidR="00D942BA" w:rsidRPr="00590F97">
          <w:rPr>
            <w:rStyle w:val="Hyperlink"/>
            <w:noProof/>
            <w14:scene3d>
              <w14:camera w14:prst="orthographicFront"/>
              <w14:lightRig w14:rig="threePt" w14:dir="t">
                <w14:rot w14:lat="0" w14:lon="0" w14:rev="0"/>
              </w14:lightRig>
            </w14:scene3d>
          </w:rPr>
          <w:t>Tablica 6.</w:t>
        </w:r>
        <w:r w:rsidR="00D942BA">
          <w:rPr>
            <w:rFonts w:asciiTheme="minorHAnsi" w:eastAsiaTheme="minorEastAsia" w:hAnsiTheme="minorHAnsi"/>
            <w:noProof/>
            <w:color w:val="auto"/>
            <w:sz w:val="22"/>
            <w:lang w:val="en-GB" w:eastAsia="en-GB"/>
          </w:rPr>
          <w:tab/>
        </w:r>
        <w:r w:rsidR="00D942BA" w:rsidRPr="00590F97">
          <w:rPr>
            <w:rStyle w:val="Hyperlink"/>
            <w:noProof/>
          </w:rPr>
          <w:t>Preporučene metode za ZEP br. 21</w:t>
        </w:r>
        <w:r w:rsidR="00D942BA">
          <w:rPr>
            <w:noProof/>
            <w:webHidden/>
          </w:rPr>
          <w:tab/>
        </w:r>
        <w:r w:rsidR="00D942BA">
          <w:rPr>
            <w:noProof/>
            <w:webHidden/>
          </w:rPr>
          <w:fldChar w:fldCharType="begin"/>
        </w:r>
        <w:r w:rsidR="00D942BA">
          <w:rPr>
            <w:noProof/>
            <w:webHidden/>
          </w:rPr>
          <w:instrText xml:space="preserve"> PAGEREF _Toc508981135 \h </w:instrText>
        </w:r>
        <w:r w:rsidR="00D942BA">
          <w:rPr>
            <w:noProof/>
            <w:webHidden/>
          </w:rPr>
        </w:r>
        <w:r w:rsidR="00D942BA">
          <w:rPr>
            <w:noProof/>
            <w:webHidden/>
          </w:rPr>
          <w:fldChar w:fldCharType="separate"/>
        </w:r>
        <w:r w:rsidR="00C23326">
          <w:rPr>
            <w:noProof/>
            <w:webHidden/>
          </w:rPr>
          <w:t>51</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6" w:history="1">
        <w:r w:rsidR="00D942BA" w:rsidRPr="00590F97">
          <w:rPr>
            <w:rStyle w:val="Hyperlink"/>
            <w:noProof/>
            <w14:scene3d>
              <w14:camera w14:prst="orthographicFront"/>
              <w14:lightRig w14:rig="threePt" w14:dir="t">
                <w14:rot w14:lat="0" w14:lon="0" w14:rev="0"/>
              </w14:lightRig>
            </w14:scene3d>
          </w:rPr>
          <w:t>Tablica 7.</w:t>
        </w:r>
        <w:r w:rsidR="00D942BA">
          <w:rPr>
            <w:rFonts w:asciiTheme="minorHAnsi" w:eastAsiaTheme="minorEastAsia" w:hAnsiTheme="minorHAnsi"/>
            <w:noProof/>
            <w:color w:val="auto"/>
            <w:sz w:val="22"/>
            <w:lang w:val="en-GB" w:eastAsia="en-GB"/>
          </w:rPr>
          <w:tab/>
        </w:r>
        <w:r w:rsidR="00D942BA" w:rsidRPr="00590F97">
          <w:rPr>
            <w:rStyle w:val="Hyperlink"/>
            <w:noProof/>
          </w:rPr>
          <w:t>Kriteriji prosudbe, pokazatelji i podatci potrebni za odgovaranje na ZEP br. 23</w:t>
        </w:r>
        <w:r w:rsidR="00D942BA">
          <w:rPr>
            <w:noProof/>
            <w:webHidden/>
          </w:rPr>
          <w:tab/>
        </w:r>
        <w:r w:rsidR="00D942BA">
          <w:rPr>
            <w:noProof/>
            <w:webHidden/>
          </w:rPr>
          <w:fldChar w:fldCharType="begin"/>
        </w:r>
        <w:r w:rsidR="00D942BA">
          <w:rPr>
            <w:noProof/>
            <w:webHidden/>
          </w:rPr>
          <w:instrText xml:space="preserve"> PAGEREF _Toc508981136 \h </w:instrText>
        </w:r>
        <w:r w:rsidR="00D942BA">
          <w:rPr>
            <w:noProof/>
            <w:webHidden/>
          </w:rPr>
        </w:r>
        <w:r w:rsidR="00D942BA">
          <w:rPr>
            <w:noProof/>
            <w:webHidden/>
          </w:rPr>
          <w:fldChar w:fldCharType="separate"/>
        </w:r>
        <w:r w:rsidR="00C23326">
          <w:rPr>
            <w:noProof/>
            <w:webHidden/>
          </w:rPr>
          <w:t>57</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7" w:history="1">
        <w:r w:rsidR="00D942BA" w:rsidRPr="00590F97">
          <w:rPr>
            <w:rStyle w:val="Hyperlink"/>
            <w:noProof/>
            <w14:scene3d>
              <w14:camera w14:prst="orthographicFront"/>
              <w14:lightRig w14:rig="threePt" w14:dir="t">
                <w14:rot w14:lat="0" w14:lon="0" w14:rev="0"/>
              </w14:lightRig>
            </w14:scene3d>
          </w:rPr>
          <w:t>Tablica 8.</w:t>
        </w:r>
        <w:r w:rsidR="00D942BA">
          <w:rPr>
            <w:rFonts w:asciiTheme="minorHAnsi" w:eastAsiaTheme="minorEastAsia" w:hAnsiTheme="minorHAnsi"/>
            <w:noProof/>
            <w:color w:val="auto"/>
            <w:sz w:val="22"/>
            <w:lang w:val="en-GB" w:eastAsia="en-GB"/>
          </w:rPr>
          <w:tab/>
        </w:r>
        <w:r w:rsidR="00D942BA" w:rsidRPr="00590F97">
          <w:rPr>
            <w:rStyle w:val="Hyperlink"/>
            <w:noProof/>
          </w:rPr>
          <w:t>Primjer planiranih i stvarnih vrijednosti zajedničkih i dodatnih pokazatelja</w:t>
        </w:r>
        <w:r w:rsidR="00D942BA">
          <w:rPr>
            <w:noProof/>
            <w:webHidden/>
          </w:rPr>
          <w:tab/>
        </w:r>
        <w:r w:rsidR="00D942BA">
          <w:rPr>
            <w:noProof/>
            <w:webHidden/>
          </w:rPr>
          <w:fldChar w:fldCharType="begin"/>
        </w:r>
        <w:r w:rsidR="00D942BA">
          <w:rPr>
            <w:noProof/>
            <w:webHidden/>
          </w:rPr>
          <w:instrText xml:space="preserve"> PAGEREF _Toc508981137 \h </w:instrText>
        </w:r>
        <w:r w:rsidR="00D942BA">
          <w:rPr>
            <w:noProof/>
            <w:webHidden/>
          </w:rPr>
        </w:r>
        <w:r w:rsidR="00D942BA">
          <w:rPr>
            <w:noProof/>
            <w:webHidden/>
          </w:rPr>
          <w:fldChar w:fldCharType="separate"/>
        </w:r>
        <w:r w:rsidR="00C23326">
          <w:rPr>
            <w:noProof/>
            <w:webHidden/>
          </w:rPr>
          <w:t>60</w:t>
        </w:r>
        <w:r w:rsidR="00D942BA">
          <w:rPr>
            <w:noProof/>
            <w:webHidden/>
          </w:rPr>
          <w:fldChar w:fldCharType="end"/>
        </w:r>
      </w:hyperlink>
    </w:p>
    <w:p w:rsidR="00D942BA" w:rsidRDefault="00FF6BAA">
      <w:pPr>
        <w:pStyle w:val="TOC2"/>
        <w:tabs>
          <w:tab w:val="left" w:pos="1100"/>
          <w:tab w:val="right" w:leader="dot" w:pos="9040"/>
        </w:tabs>
        <w:rPr>
          <w:rFonts w:asciiTheme="minorHAnsi" w:eastAsiaTheme="minorEastAsia" w:hAnsiTheme="minorHAnsi"/>
          <w:noProof/>
          <w:color w:val="auto"/>
          <w:sz w:val="22"/>
          <w:lang w:val="en-GB" w:eastAsia="en-GB"/>
        </w:rPr>
      </w:pPr>
      <w:hyperlink w:anchor="_Toc508981138" w:history="1">
        <w:r w:rsidR="00D942BA" w:rsidRPr="00590F97">
          <w:rPr>
            <w:rStyle w:val="Hyperlink"/>
            <w:noProof/>
            <w14:scene3d>
              <w14:camera w14:prst="orthographicFront"/>
              <w14:lightRig w14:rig="threePt" w14:dir="t">
                <w14:rot w14:lat="0" w14:lon="0" w14:rev="0"/>
              </w14:lightRig>
            </w14:scene3d>
          </w:rPr>
          <w:t>Tablica 9.</w:t>
        </w:r>
        <w:r w:rsidR="00D942BA">
          <w:rPr>
            <w:rFonts w:asciiTheme="minorHAnsi" w:eastAsiaTheme="minorEastAsia" w:hAnsiTheme="minorHAnsi"/>
            <w:noProof/>
            <w:color w:val="auto"/>
            <w:sz w:val="22"/>
            <w:lang w:val="en-GB" w:eastAsia="en-GB"/>
          </w:rPr>
          <w:tab/>
        </w:r>
        <w:r w:rsidR="00D942BA" w:rsidRPr="00590F97">
          <w:rPr>
            <w:rStyle w:val="Hyperlink"/>
            <w:noProof/>
          </w:rPr>
          <w:t>Evaluacijski elementi povezani sa ZEP-om br. 30</w:t>
        </w:r>
        <w:r w:rsidR="00D942BA">
          <w:rPr>
            <w:noProof/>
            <w:webHidden/>
          </w:rPr>
          <w:tab/>
        </w:r>
        <w:r w:rsidR="00D942BA">
          <w:rPr>
            <w:noProof/>
            <w:webHidden/>
          </w:rPr>
          <w:fldChar w:fldCharType="begin"/>
        </w:r>
        <w:r w:rsidR="00D942BA">
          <w:rPr>
            <w:noProof/>
            <w:webHidden/>
          </w:rPr>
          <w:instrText xml:space="preserve"> PAGEREF _Toc508981138 \h </w:instrText>
        </w:r>
        <w:r w:rsidR="00D942BA">
          <w:rPr>
            <w:noProof/>
            <w:webHidden/>
          </w:rPr>
        </w:r>
        <w:r w:rsidR="00D942BA">
          <w:rPr>
            <w:noProof/>
            <w:webHidden/>
          </w:rPr>
          <w:fldChar w:fldCharType="separate"/>
        </w:r>
        <w:r w:rsidR="00C23326">
          <w:rPr>
            <w:noProof/>
            <w:webHidden/>
          </w:rPr>
          <w:t>65</w:t>
        </w:r>
        <w:r w:rsidR="00D942BA">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D942BA" w:rsidRDefault="002F11D9">
      <w:pPr>
        <w:pStyle w:val="TOC4"/>
        <w:tabs>
          <w:tab w:val="left" w:pos="88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981143" w:history="1">
        <w:r w:rsidR="00D942BA" w:rsidRPr="00F30A02">
          <w:rPr>
            <w:rStyle w:val="Hyperlink"/>
          </w:rPr>
          <w:t>Slika 1.</w:t>
        </w:r>
        <w:r w:rsidR="00D942BA">
          <w:rPr>
            <w:rFonts w:asciiTheme="minorHAnsi" w:eastAsiaTheme="minorEastAsia" w:hAnsiTheme="minorHAnsi"/>
            <w:color w:val="auto"/>
            <w:sz w:val="22"/>
            <w:lang w:val="en-GB" w:eastAsia="en-GB"/>
          </w:rPr>
          <w:tab/>
        </w:r>
        <w:r w:rsidR="00D942BA" w:rsidRPr="00F30A02">
          <w:rPr>
            <w:rStyle w:val="Hyperlink"/>
          </w:rPr>
          <w:t>Pojednostavnjeni prikaz načina na koji PRR-i potiču inovacije</w:t>
        </w:r>
        <w:r w:rsidR="00D942BA">
          <w:rPr>
            <w:webHidden/>
          </w:rPr>
          <w:tab/>
        </w:r>
        <w:r w:rsidR="00D942BA">
          <w:rPr>
            <w:webHidden/>
          </w:rPr>
          <w:fldChar w:fldCharType="begin"/>
        </w:r>
        <w:r w:rsidR="00D942BA">
          <w:rPr>
            <w:webHidden/>
          </w:rPr>
          <w:instrText xml:space="preserve"> PAGEREF _Toc508981143 \h </w:instrText>
        </w:r>
        <w:r w:rsidR="00D942BA">
          <w:rPr>
            <w:webHidden/>
          </w:rPr>
        </w:r>
        <w:r w:rsidR="00D942BA">
          <w:rPr>
            <w:webHidden/>
          </w:rPr>
          <w:fldChar w:fldCharType="separate"/>
        </w:r>
        <w:r w:rsidR="00C23326">
          <w:rPr>
            <w:webHidden/>
          </w:rPr>
          <w:t>5</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44" w:history="1">
        <w:r w:rsidR="00D942BA" w:rsidRPr="00F30A02">
          <w:rPr>
            <w:rStyle w:val="Hyperlink"/>
          </w:rPr>
          <w:t>Slika 2.</w:t>
        </w:r>
        <w:r w:rsidR="00D942BA">
          <w:rPr>
            <w:rFonts w:asciiTheme="minorHAnsi" w:eastAsiaTheme="minorEastAsia" w:hAnsiTheme="minorHAnsi"/>
            <w:color w:val="auto"/>
            <w:sz w:val="22"/>
            <w:lang w:val="en-GB" w:eastAsia="en-GB"/>
          </w:rPr>
          <w:tab/>
        </w:r>
        <w:r w:rsidR="00D942BA" w:rsidRPr="00F30A02">
          <w:rPr>
            <w:rStyle w:val="Hyperlink"/>
          </w:rPr>
          <w:t>Okvir politike za inovacije u EU-u i politika ruralnog razvoja</w:t>
        </w:r>
        <w:r w:rsidR="00D942BA">
          <w:rPr>
            <w:webHidden/>
          </w:rPr>
          <w:tab/>
        </w:r>
        <w:r w:rsidR="00D942BA">
          <w:rPr>
            <w:webHidden/>
          </w:rPr>
          <w:fldChar w:fldCharType="begin"/>
        </w:r>
        <w:r w:rsidR="00D942BA">
          <w:rPr>
            <w:webHidden/>
          </w:rPr>
          <w:instrText xml:space="preserve"> PAGEREF _Toc508981144 \h </w:instrText>
        </w:r>
        <w:r w:rsidR="00D942BA">
          <w:rPr>
            <w:webHidden/>
          </w:rPr>
        </w:r>
        <w:r w:rsidR="00D942BA">
          <w:rPr>
            <w:webHidden/>
          </w:rPr>
          <w:fldChar w:fldCharType="separate"/>
        </w:r>
        <w:r w:rsidR="00C23326">
          <w:rPr>
            <w:webHidden/>
          </w:rPr>
          <w:t>10</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45" w:history="1">
        <w:r w:rsidR="00D942BA" w:rsidRPr="00F30A02">
          <w:rPr>
            <w:rStyle w:val="Hyperlink"/>
          </w:rPr>
          <w:t>Slika 3.</w:t>
        </w:r>
        <w:r w:rsidR="00D942BA">
          <w:rPr>
            <w:rFonts w:asciiTheme="minorHAnsi" w:eastAsiaTheme="minorEastAsia" w:hAnsiTheme="minorHAnsi"/>
            <w:color w:val="auto"/>
            <w:sz w:val="22"/>
            <w:lang w:val="en-GB" w:eastAsia="en-GB"/>
          </w:rPr>
          <w:tab/>
        </w:r>
        <w:r w:rsidR="00D942BA" w:rsidRPr="00F30A02">
          <w:rPr>
            <w:rStyle w:val="Hyperlink"/>
          </w:rPr>
          <w:t>Zajednički evaluacijski elementi za evaluaciju inovacija</w:t>
        </w:r>
        <w:r w:rsidR="00D942BA">
          <w:rPr>
            <w:webHidden/>
          </w:rPr>
          <w:tab/>
        </w:r>
        <w:r w:rsidR="00D942BA">
          <w:rPr>
            <w:webHidden/>
          </w:rPr>
          <w:fldChar w:fldCharType="begin"/>
        </w:r>
        <w:r w:rsidR="00D942BA">
          <w:rPr>
            <w:webHidden/>
          </w:rPr>
          <w:instrText xml:space="preserve"> PAGEREF _Toc508981145 \h </w:instrText>
        </w:r>
        <w:r w:rsidR="00D942BA">
          <w:rPr>
            <w:webHidden/>
          </w:rPr>
        </w:r>
        <w:r w:rsidR="00D942BA">
          <w:rPr>
            <w:webHidden/>
          </w:rPr>
          <w:fldChar w:fldCharType="separate"/>
        </w:r>
        <w:r w:rsidR="00C23326">
          <w:rPr>
            <w:webHidden/>
          </w:rPr>
          <w:t>14</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46" w:history="1">
        <w:r w:rsidR="00D942BA" w:rsidRPr="00F30A02">
          <w:rPr>
            <w:rStyle w:val="Hyperlink"/>
          </w:rPr>
          <w:t>Slika 4.</w:t>
        </w:r>
        <w:r w:rsidR="00D942BA">
          <w:rPr>
            <w:rFonts w:asciiTheme="minorHAnsi" w:eastAsiaTheme="minorEastAsia" w:hAnsiTheme="minorHAnsi"/>
            <w:color w:val="auto"/>
            <w:sz w:val="22"/>
            <w:lang w:val="en-GB" w:eastAsia="en-GB"/>
          </w:rPr>
          <w:tab/>
        </w:r>
        <w:r w:rsidR="00D942BA" w:rsidRPr="00F30A02">
          <w:rPr>
            <w:rStyle w:val="Hyperlink"/>
          </w:rPr>
          <w:t>Upravljanje evaluacijom inovacija u PRR-ima u razdoblju 2014. – 2020.</w:t>
        </w:r>
        <w:r w:rsidR="00D942BA">
          <w:rPr>
            <w:webHidden/>
          </w:rPr>
          <w:tab/>
        </w:r>
        <w:r w:rsidR="00D942BA">
          <w:rPr>
            <w:webHidden/>
          </w:rPr>
          <w:fldChar w:fldCharType="begin"/>
        </w:r>
        <w:r w:rsidR="00D942BA">
          <w:rPr>
            <w:webHidden/>
          </w:rPr>
          <w:instrText xml:space="preserve"> PAGEREF _Toc508981146 \h </w:instrText>
        </w:r>
        <w:r w:rsidR="00D942BA">
          <w:rPr>
            <w:webHidden/>
          </w:rPr>
        </w:r>
        <w:r w:rsidR="00D942BA">
          <w:rPr>
            <w:webHidden/>
          </w:rPr>
          <w:fldChar w:fldCharType="separate"/>
        </w:r>
        <w:r w:rsidR="00C23326">
          <w:rPr>
            <w:webHidden/>
          </w:rPr>
          <w:t>16</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47" w:history="1">
        <w:r w:rsidR="00D942BA" w:rsidRPr="00F30A02">
          <w:rPr>
            <w:rStyle w:val="Hyperlink"/>
          </w:rPr>
          <w:t>Slika 5.</w:t>
        </w:r>
        <w:r w:rsidR="00D942BA">
          <w:rPr>
            <w:rFonts w:asciiTheme="minorHAnsi" w:eastAsiaTheme="minorEastAsia" w:hAnsiTheme="minorHAnsi"/>
            <w:color w:val="auto"/>
            <w:sz w:val="22"/>
            <w:lang w:val="en-GB" w:eastAsia="en-GB"/>
          </w:rPr>
          <w:tab/>
        </w:r>
        <w:r w:rsidR="00D942BA" w:rsidRPr="00F30A02">
          <w:rPr>
            <w:rStyle w:val="Hyperlink"/>
          </w:rPr>
          <w:t>Izvještajni zahtjevi povezani s inovacijama</w:t>
        </w:r>
        <w:r w:rsidR="00D942BA">
          <w:rPr>
            <w:webHidden/>
          </w:rPr>
          <w:tab/>
        </w:r>
        <w:r w:rsidR="00D942BA">
          <w:rPr>
            <w:webHidden/>
          </w:rPr>
          <w:fldChar w:fldCharType="begin"/>
        </w:r>
        <w:r w:rsidR="00D942BA">
          <w:rPr>
            <w:webHidden/>
          </w:rPr>
          <w:instrText xml:space="preserve"> PAGEREF _Toc508981147 \h </w:instrText>
        </w:r>
        <w:r w:rsidR="00D942BA">
          <w:rPr>
            <w:webHidden/>
          </w:rPr>
        </w:r>
        <w:r w:rsidR="00D942BA">
          <w:rPr>
            <w:webHidden/>
          </w:rPr>
          <w:fldChar w:fldCharType="separate"/>
        </w:r>
        <w:r w:rsidR="00C23326">
          <w:rPr>
            <w:webHidden/>
          </w:rPr>
          <w:t>17</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48" w:history="1">
        <w:r w:rsidR="00D942BA" w:rsidRPr="00F30A02">
          <w:rPr>
            <w:rStyle w:val="Hyperlink"/>
          </w:rPr>
          <w:t>Slika 6.</w:t>
        </w:r>
        <w:r w:rsidR="00D942BA">
          <w:rPr>
            <w:rFonts w:asciiTheme="minorHAnsi" w:eastAsiaTheme="minorEastAsia" w:hAnsiTheme="minorHAnsi"/>
            <w:color w:val="auto"/>
            <w:sz w:val="22"/>
            <w:lang w:val="en-GB" w:eastAsia="en-GB"/>
          </w:rPr>
          <w:tab/>
        </w:r>
        <w:r w:rsidR="00D942BA" w:rsidRPr="00F30A02">
          <w:rPr>
            <w:rStyle w:val="Hyperlink"/>
          </w:rPr>
          <w:t>Pristup evaluaciji inovacija u PRR-ima</w:t>
        </w:r>
        <w:r w:rsidR="00D942BA">
          <w:rPr>
            <w:webHidden/>
          </w:rPr>
          <w:tab/>
        </w:r>
        <w:r w:rsidR="00D942BA">
          <w:rPr>
            <w:webHidden/>
          </w:rPr>
          <w:fldChar w:fldCharType="begin"/>
        </w:r>
        <w:r w:rsidR="00D942BA">
          <w:rPr>
            <w:webHidden/>
          </w:rPr>
          <w:instrText xml:space="preserve"> PAGEREF _Toc508981148 \h </w:instrText>
        </w:r>
        <w:r w:rsidR="00D942BA">
          <w:rPr>
            <w:webHidden/>
          </w:rPr>
        </w:r>
        <w:r w:rsidR="00D942BA">
          <w:rPr>
            <w:webHidden/>
          </w:rPr>
          <w:fldChar w:fldCharType="separate"/>
        </w:r>
        <w:r w:rsidR="00C23326">
          <w:rPr>
            <w:webHidden/>
          </w:rPr>
          <w:t>19</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49" w:history="1">
        <w:r w:rsidR="00D942BA" w:rsidRPr="00F30A02">
          <w:rPr>
            <w:rStyle w:val="Hyperlink"/>
          </w:rPr>
          <w:t>Slika 7.</w:t>
        </w:r>
        <w:r w:rsidR="00D942BA">
          <w:rPr>
            <w:rFonts w:asciiTheme="minorHAnsi" w:eastAsiaTheme="minorEastAsia" w:hAnsiTheme="minorHAnsi"/>
            <w:color w:val="auto"/>
            <w:sz w:val="22"/>
            <w:lang w:val="en-GB" w:eastAsia="en-GB"/>
          </w:rPr>
          <w:tab/>
        </w:r>
        <w:r w:rsidR="00D942BA" w:rsidRPr="00F30A02">
          <w:rPr>
            <w:rStyle w:val="Hyperlink"/>
          </w:rPr>
          <w:t>Koraci u analitičkoj provjeri inovacijskog potencijala mjera/podmjera PRR-a</w:t>
        </w:r>
        <w:r w:rsidR="00D942BA">
          <w:rPr>
            <w:webHidden/>
          </w:rPr>
          <w:tab/>
        </w:r>
        <w:r w:rsidR="00D942BA">
          <w:rPr>
            <w:webHidden/>
          </w:rPr>
          <w:fldChar w:fldCharType="begin"/>
        </w:r>
        <w:r w:rsidR="00D942BA">
          <w:rPr>
            <w:webHidden/>
          </w:rPr>
          <w:instrText xml:space="preserve"> PAGEREF _Toc508981149 \h </w:instrText>
        </w:r>
        <w:r w:rsidR="00D942BA">
          <w:rPr>
            <w:webHidden/>
          </w:rPr>
        </w:r>
        <w:r w:rsidR="00D942BA">
          <w:rPr>
            <w:webHidden/>
          </w:rPr>
          <w:fldChar w:fldCharType="separate"/>
        </w:r>
        <w:r w:rsidR="00C23326">
          <w:rPr>
            <w:webHidden/>
          </w:rPr>
          <w:t>20</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50" w:history="1">
        <w:r w:rsidR="00D942BA" w:rsidRPr="00F30A02">
          <w:rPr>
            <w:rStyle w:val="Hyperlink"/>
          </w:rPr>
          <w:t>Slika 8.</w:t>
        </w:r>
        <w:r w:rsidR="00D942BA">
          <w:rPr>
            <w:rFonts w:asciiTheme="minorHAnsi" w:eastAsiaTheme="minorEastAsia" w:hAnsiTheme="minorHAnsi"/>
            <w:color w:val="auto"/>
            <w:sz w:val="22"/>
            <w:lang w:val="en-GB" w:eastAsia="en-GB"/>
          </w:rPr>
          <w:tab/>
        </w:r>
        <w:r w:rsidR="00D942BA" w:rsidRPr="00F30A02">
          <w:rPr>
            <w:rStyle w:val="Hyperlink"/>
          </w:rPr>
          <w:t>Primjer logike intervencije povezane sa ZEP-om br. 1</w:t>
        </w:r>
        <w:r w:rsidR="00D942BA">
          <w:rPr>
            <w:webHidden/>
          </w:rPr>
          <w:tab/>
        </w:r>
        <w:r w:rsidR="00D942BA">
          <w:rPr>
            <w:webHidden/>
          </w:rPr>
          <w:fldChar w:fldCharType="begin"/>
        </w:r>
        <w:r w:rsidR="00D942BA">
          <w:rPr>
            <w:webHidden/>
          </w:rPr>
          <w:instrText xml:space="preserve"> PAGEREF _Toc508981150 \h </w:instrText>
        </w:r>
        <w:r w:rsidR="00D942BA">
          <w:rPr>
            <w:webHidden/>
          </w:rPr>
        </w:r>
        <w:r w:rsidR="00D942BA">
          <w:rPr>
            <w:webHidden/>
          </w:rPr>
          <w:fldChar w:fldCharType="separate"/>
        </w:r>
        <w:r w:rsidR="00C23326">
          <w:rPr>
            <w:webHidden/>
          </w:rPr>
          <w:t>27</w:t>
        </w:r>
        <w:r w:rsidR="00D942BA">
          <w:rPr>
            <w:webHidden/>
          </w:rPr>
          <w:fldChar w:fldCharType="end"/>
        </w:r>
      </w:hyperlink>
    </w:p>
    <w:p w:rsidR="00D942BA" w:rsidRDefault="00FF6BAA">
      <w:pPr>
        <w:pStyle w:val="TOC4"/>
        <w:tabs>
          <w:tab w:val="left" w:pos="880"/>
          <w:tab w:val="right" w:leader="dot" w:pos="9040"/>
        </w:tabs>
        <w:rPr>
          <w:rFonts w:asciiTheme="minorHAnsi" w:eastAsiaTheme="minorEastAsia" w:hAnsiTheme="minorHAnsi"/>
          <w:color w:val="auto"/>
          <w:sz w:val="22"/>
          <w:lang w:val="en-GB" w:eastAsia="en-GB"/>
        </w:rPr>
      </w:pPr>
      <w:hyperlink w:anchor="_Toc508981151" w:history="1">
        <w:r w:rsidR="00D942BA" w:rsidRPr="00F30A02">
          <w:rPr>
            <w:rStyle w:val="Hyperlink"/>
          </w:rPr>
          <w:t>Slika 9.</w:t>
        </w:r>
        <w:r w:rsidR="00D942BA">
          <w:rPr>
            <w:rFonts w:asciiTheme="minorHAnsi" w:eastAsiaTheme="minorEastAsia" w:hAnsiTheme="minorHAnsi"/>
            <w:color w:val="auto"/>
            <w:sz w:val="22"/>
            <w:lang w:val="en-GB" w:eastAsia="en-GB"/>
          </w:rPr>
          <w:tab/>
        </w:r>
        <w:r w:rsidR="00D942BA" w:rsidRPr="00F30A02">
          <w:rPr>
            <w:rStyle w:val="Hyperlink"/>
          </w:rPr>
          <w:t>Primjer inovacijskog potencijala svake podmjere mjere M16</w:t>
        </w:r>
        <w:r w:rsidR="00D942BA">
          <w:rPr>
            <w:webHidden/>
          </w:rPr>
          <w:tab/>
        </w:r>
        <w:r w:rsidR="00D942BA">
          <w:rPr>
            <w:webHidden/>
          </w:rPr>
          <w:fldChar w:fldCharType="begin"/>
        </w:r>
        <w:r w:rsidR="00D942BA">
          <w:rPr>
            <w:webHidden/>
          </w:rPr>
          <w:instrText xml:space="preserve"> PAGEREF _Toc508981151 \h </w:instrText>
        </w:r>
        <w:r w:rsidR="00D942BA">
          <w:rPr>
            <w:webHidden/>
          </w:rPr>
        </w:r>
        <w:r w:rsidR="00D942BA">
          <w:rPr>
            <w:webHidden/>
          </w:rPr>
          <w:fldChar w:fldCharType="separate"/>
        </w:r>
        <w:r w:rsidR="00C23326">
          <w:rPr>
            <w:webHidden/>
          </w:rPr>
          <w:t>35</w:t>
        </w:r>
        <w:r w:rsidR="00D942BA">
          <w:rPr>
            <w:webHidden/>
          </w:rPr>
          <w:fldChar w:fldCharType="end"/>
        </w:r>
      </w:hyperlink>
    </w:p>
    <w:p w:rsidR="00D942BA" w:rsidRDefault="00FF6BAA">
      <w:pPr>
        <w:pStyle w:val="TOC4"/>
        <w:tabs>
          <w:tab w:val="left" w:pos="1100"/>
          <w:tab w:val="right" w:leader="dot" w:pos="9040"/>
        </w:tabs>
        <w:rPr>
          <w:rFonts w:asciiTheme="minorHAnsi" w:eastAsiaTheme="minorEastAsia" w:hAnsiTheme="minorHAnsi"/>
          <w:color w:val="auto"/>
          <w:sz w:val="22"/>
          <w:lang w:val="en-GB" w:eastAsia="en-GB"/>
        </w:rPr>
      </w:pPr>
      <w:hyperlink w:anchor="_Toc508981152" w:history="1">
        <w:r w:rsidR="00D942BA" w:rsidRPr="00F30A02">
          <w:rPr>
            <w:rStyle w:val="Hyperlink"/>
          </w:rPr>
          <w:t>Slika 10.</w:t>
        </w:r>
        <w:r w:rsidR="00D942BA">
          <w:rPr>
            <w:rFonts w:asciiTheme="minorHAnsi" w:eastAsiaTheme="minorEastAsia" w:hAnsiTheme="minorHAnsi"/>
            <w:color w:val="auto"/>
            <w:sz w:val="22"/>
            <w:lang w:val="en-GB" w:eastAsia="en-GB"/>
          </w:rPr>
          <w:tab/>
        </w:r>
        <w:r w:rsidR="00D942BA" w:rsidRPr="00F30A02">
          <w:rPr>
            <w:rStyle w:val="Hyperlink"/>
          </w:rPr>
          <w:t>Logika intervencije NRM-a u pogledu inovacija</w:t>
        </w:r>
        <w:r w:rsidR="00D942BA">
          <w:rPr>
            <w:webHidden/>
          </w:rPr>
          <w:tab/>
        </w:r>
        <w:r w:rsidR="00D942BA">
          <w:rPr>
            <w:webHidden/>
          </w:rPr>
          <w:fldChar w:fldCharType="begin"/>
        </w:r>
        <w:r w:rsidR="00D942BA">
          <w:rPr>
            <w:webHidden/>
          </w:rPr>
          <w:instrText xml:space="preserve"> PAGEREF _Toc508981152 \h </w:instrText>
        </w:r>
        <w:r w:rsidR="00D942BA">
          <w:rPr>
            <w:webHidden/>
          </w:rPr>
        </w:r>
        <w:r w:rsidR="00D942BA">
          <w:rPr>
            <w:webHidden/>
          </w:rPr>
          <w:fldChar w:fldCharType="separate"/>
        </w:r>
        <w:r w:rsidR="00C23326">
          <w:rPr>
            <w:webHidden/>
          </w:rPr>
          <w:t>45</w:t>
        </w:r>
        <w:r w:rsidR="00D942BA">
          <w:rPr>
            <w:webHidden/>
          </w:rPr>
          <w:fldChar w:fldCharType="end"/>
        </w:r>
      </w:hyperlink>
    </w:p>
    <w:p w:rsidR="00D942BA" w:rsidRDefault="00FF6BAA">
      <w:pPr>
        <w:pStyle w:val="TOC4"/>
        <w:tabs>
          <w:tab w:val="left" w:pos="1100"/>
          <w:tab w:val="right" w:leader="dot" w:pos="9040"/>
        </w:tabs>
        <w:rPr>
          <w:rFonts w:asciiTheme="minorHAnsi" w:eastAsiaTheme="minorEastAsia" w:hAnsiTheme="minorHAnsi"/>
          <w:color w:val="auto"/>
          <w:sz w:val="22"/>
          <w:lang w:val="en-GB" w:eastAsia="en-GB"/>
        </w:rPr>
      </w:pPr>
      <w:hyperlink w:anchor="_Toc508981153" w:history="1">
        <w:r w:rsidR="00D942BA" w:rsidRPr="00F30A02">
          <w:rPr>
            <w:rStyle w:val="Hyperlink"/>
          </w:rPr>
          <w:t>Slika 11.</w:t>
        </w:r>
        <w:r w:rsidR="00D942BA">
          <w:rPr>
            <w:rFonts w:asciiTheme="minorHAnsi" w:eastAsiaTheme="minorEastAsia" w:hAnsiTheme="minorHAnsi"/>
            <w:color w:val="auto"/>
            <w:sz w:val="22"/>
            <w:lang w:val="en-GB" w:eastAsia="en-GB"/>
          </w:rPr>
          <w:tab/>
        </w:r>
        <w:r w:rsidR="00D942BA" w:rsidRPr="00F30A02">
          <w:rPr>
            <w:rStyle w:val="Hyperlink"/>
          </w:rPr>
          <w:t>Primjer logike intervencije za ZEP br. 30</w:t>
        </w:r>
        <w:r w:rsidR="00D942BA">
          <w:rPr>
            <w:webHidden/>
          </w:rPr>
          <w:tab/>
        </w:r>
        <w:r w:rsidR="00D942BA">
          <w:rPr>
            <w:webHidden/>
          </w:rPr>
          <w:fldChar w:fldCharType="begin"/>
        </w:r>
        <w:r w:rsidR="00D942BA">
          <w:rPr>
            <w:webHidden/>
          </w:rPr>
          <w:instrText xml:space="preserve"> PAGEREF _Toc508981153 \h </w:instrText>
        </w:r>
        <w:r w:rsidR="00D942BA">
          <w:rPr>
            <w:webHidden/>
          </w:rPr>
        </w:r>
        <w:r w:rsidR="00D942BA">
          <w:rPr>
            <w:webHidden/>
          </w:rPr>
          <w:fldChar w:fldCharType="separate"/>
        </w:r>
        <w:r w:rsidR="00C23326">
          <w:rPr>
            <w:webHidden/>
          </w:rPr>
          <w:t>63</w:t>
        </w:r>
        <w:r w:rsidR="00D942BA">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Zahvale</w:t>
      </w:r>
    </w:p>
    <w:p w:rsidR="00E05D08" w:rsidRPr="00E05D08" w:rsidRDefault="00E05D08" w:rsidP="00E05D08">
      <w:pPr>
        <w:spacing w:after="120" w:line="280" w:lineRule="atLeast"/>
        <w:mirrorIndents/>
        <w:rPr>
          <w:rFonts w:eastAsia="Times New Roman" w:cs="Times New Roman"/>
          <w:i/>
          <w:szCs w:val="20"/>
        </w:rPr>
      </w:pPr>
      <w:r>
        <w:rPr>
          <w:i/>
          <w:szCs w:val="20"/>
        </w:rPr>
        <w:t xml:space="preserve">Smjernice je sastavila skupina stručnjaka iz Europske službe za podršku evaluaciji ruralnog razvoja, među ostalima, Boru Douthwaite, Marili Parissaki, Andreas Resch, Jela Tvrdonova, Valérie Dumont, Matteo Metta, Myles Stiffler,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Različiti stručnjaci sudjelovali su u ulozi stručnih revizora (Anna Maria Augustyn, Simona Cristiano, Anikó Juhász, Bill Slee) ili pridonijeli svojim znanjem o praksama evaluacije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Predstavnici GU-a za poljoprivredu i ruralni razvoj pobrinuli su se za usklađenost smjernica s okvirom politike EU-a.</w:t>
      </w:r>
    </w:p>
    <w:p w:rsidR="00E05D08" w:rsidRPr="00E05D08" w:rsidRDefault="00E05D08" w:rsidP="00E05D08">
      <w:pPr>
        <w:spacing w:after="120" w:line="280" w:lineRule="atLeast"/>
        <w:mirrorIndents/>
        <w:rPr>
          <w:rFonts w:eastAsia="Times New Roman" w:cs="Times New Roman"/>
          <w:i/>
          <w:szCs w:val="20"/>
        </w:rPr>
      </w:pPr>
      <w:r>
        <w:rPr>
          <w:i/>
          <w:szCs w:val="20"/>
        </w:rPr>
        <w:t xml:space="preserve">Predstavnici država članica iznijeli su svoje primjedbe o nacrtima smjernica na sastanku savjetodavne skupine održanom 22. ožujka 2017. i na 11. sastanku Stručne skupine za praćenje i evaluaciju ZPP-a održanom 10. svibnja 2017.  </w:t>
      </w:r>
    </w:p>
    <w:p w:rsidR="00E05D08" w:rsidRPr="00E05D08" w:rsidRDefault="00E05D08" w:rsidP="00E05D08">
      <w:pPr>
        <w:spacing w:after="120" w:line="280" w:lineRule="atLeast"/>
        <w:mirrorIndents/>
        <w:rPr>
          <w:rFonts w:eastAsia="Times New Roman" w:cs="Times New Roman"/>
          <w:i/>
          <w:szCs w:val="20"/>
        </w:rPr>
      </w:pPr>
      <w:r>
        <w:rPr>
          <w:i/>
          <w:szCs w:val="20"/>
        </w:rPr>
        <w:t>Kontaktna točka EMRR-a i uslužna točka EPI-ja isto su tako bili pozvani da iznesu svoje primjedbe o smjernicama.</w:t>
      </w:r>
    </w:p>
    <w:p w:rsidR="00E05D08" w:rsidRPr="00E05D08" w:rsidRDefault="00E05D08" w:rsidP="00E05D08">
      <w:pPr>
        <w:spacing w:after="0" w:line="240" w:lineRule="auto"/>
        <w:rPr>
          <w:rFonts w:eastAsia="Times New Roman" w:cs="Times New Roman"/>
          <w:szCs w:val="20"/>
        </w:rPr>
      </w:pPr>
      <w:r>
        <w:br w:type="page"/>
      </w:r>
    </w:p>
    <w:p w:rsidR="00E05D08" w:rsidRPr="00F86385" w:rsidRDefault="00E05D08" w:rsidP="00E05D08">
      <w:pPr>
        <w:spacing w:after="120" w:line="280" w:lineRule="atLeast"/>
        <w:mirrorIndents/>
        <w:rPr>
          <w:rFonts w:eastAsia="Times New Roman" w:cs="Arial"/>
          <w:smallCaps/>
          <w:color w:val="F07E31"/>
          <w:sz w:val="36"/>
          <w:szCs w:val="60"/>
          <w:lang w:eastAsia="de-DE"/>
        </w:rPr>
        <w:sectPr w:rsidR="00E05D08" w:rsidRPr="00F86385"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UVOD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Zašto se provodi evaluacija inovacija u PRR-ima? </w:t>
      </w:r>
    </w:p>
    <w:p w:rsidR="00A45935" w:rsidRPr="00E05D08" w:rsidRDefault="00E05D08" w:rsidP="00E05D08">
      <w:pPr>
        <w:spacing w:after="120" w:line="280" w:lineRule="atLeast"/>
        <w:mirrorIndents/>
        <w:rPr>
          <w:rFonts w:eastAsia="Times New Roman" w:cs="Times New Roman"/>
          <w:bCs/>
          <w:iCs/>
          <w:color w:val="000000"/>
          <w:szCs w:val="20"/>
        </w:rPr>
      </w:pPr>
      <w:r>
        <w:rPr>
          <w:b/>
          <w:iCs/>
          <w:szCs w:val="20"/>
        </w:rPr>
        <w:t>Inovacija je jedan od triju horizontalnih ciljeva ruralne politike</w:t>
      </w:r>
      <w:r>
        <w:rPr>
          <w:rFonts w:eastAsia="Times New Roman" w:cs="Arial"/>
          <w:b/>
          <w:bCs/>
          <w:iCs/>
          <w:color w:val="000000"/>
          <w:szCs w:val="20"/>
          <w:vertAlign w:val="superscript"/>
          <w:lang w:eastAsia="de-DE"/>
        </w:rPr>
        <w:footnoteReference w:id="1"/>
      </w:r>
      <w:r>
        <w:rPr>
          <w:b/>
          <w:iCs/>
          <w:szCs w:val="20"/>
        </w:rPr>
        <w:t xml:space="preserve"> i može se ostvariti intervencijama u okviru mjera i žarišnih područja iz programâ ruralnog razvoja (PRR-a) za razdoblje 2014. – 2020.</w:t>
      </w:r>
      <w:r>
        <w:rPr>
          <w:rFonts w:eastAsia="Times New Roman" w:cs="Arial"/>
          <w:b/>
          <w:i/>
          <w:iCs/>
          <w:szCs w:val="20"/>
          <w:vertAlign w:val="superscript"/>
          <w:lang w:eastAsia="de-DE"/>
        </w:rPr>
        <w:footnoteReference w:id="2"/>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t>Postignuća u okviru tog horizontalnog cilja predmet su evaluacije inovacija</w:t>
      </w:r>
      <w:r>
        <w:rPr>
          <w:rFonts w:eastAsia="Times New Roman" w:cs="Arial"/>
          <w:bCs/>
          <w:iCs/>
          <w:color w:val="000000"/>
          <w:szCs w:val="20"/>
          <w:vertAlign w:val="superscript"/>
          <w:lang w:eastAsia="de-DE"/>
        </w:rPr>
        <w:footnoteReference w:id="3"/>
      </w:r>
      <w:r>
        <w:t>. U tom se kontekstu radi odgovaranja na zajednička evaluacijska pitanja povezana s inovacijama ocjenjuje koliko su inovacije za koje je dodijeljena potpora Europskog poljoprivrednog fonda za ruralni razvoj (EPFRR) pridonijele ciljevima PRR-a i politike EU-a.</w:t>
      </w:r>
    </w:p>
    <w:p w:rsidR="00A45935" w:rsidRPr="00E05D08" w:rsidRDefault="00A45935" w:rsidP="00E05D08">
      <w:pPr>
        <w:spacing w:after="120" w:line="280" w:lineRule="atLeast"/>
        <w:mirrorIndents/>
        <w:rPr>
          <w:rFonts w:eastAsia="Times New Roman" w:cs="Times New Roman"/>
          <w:szCs w:val="20"/>
        </w:rPr>
      </w:pPr>
      <w:r>
        <w:t>Evaluacija inovacija trebala bi se provoditi:</w:t>
      </w:r>
    </w:p>
    <w:p w:rsidR="00A45935" w:rsidRPr="00B05B45" w:rsidRDefault="00A45935" w:rsidP="00D77B96">
      <w:pPr>
        <w:pStyle w:val="Hlistbullet"/>
      </w:pPr>
      <w:r>
        <w:t xml:space="preserve">kako bi se utvrdila odgovornost za intervencije u okviru ruralnog razvoja i pokazalo na koji način one potiču inovacije u ruralnim područjima te pridonose rezultatima programa i njegovim učincima na ruralnu politiku i ciljevima strategije EU-a za 2020. </w:t>
      </w:r>
    </w:p>
    <w:p w:rsidR="00A45935" w:rsidRPr="00B05B45" w:rsidRDefault="00A45935" w:rsidP="00D77B96">
      <w:pPr>
        <w:pStyle w:val="Hlistbullet"/>
      </w:pPr>
      <w:r>
        <w:t xml:space="preserve">kako bi se poboljšala usmjerenost potpore EPFRR-a na inovacije odabirom najvažnijih korisnika i područja obuhvaćenih programom te najprikladnijih i najprihvatljivijih mjera. </w:t>
      </w:r>
    </w:p>
    <w:p w:rsidR="00A45935" w:rsidRPr="00B05B45" w:rsidRDefault="00A45935" w:rsidP="00D77B96">
      <w:pPr>
        <w:pStyle w:val="Hlistbullet"/>
      </w:pPr>
      <w:r>
        <w:t xml:space="preserve">kako bi se unaprijedilo zajedničko učenje među dionicima o najboljem načinu podupiranja i provedbe inovativnih projekata učenjem iz prošlih iskustava i razumijevanjem preduvjeta za uspjeh.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52608" behindDoc="0" locked="0" layoutInCell="1" allowOverlap="1" wp14:anchorId="4554A0C8" wp14:editId="6744DD29">
                <wp:simplePos x="0" y="0"/>
                <wp:positionH relativeFrom="column">
                  <wp:posOffset>3114675</wp:posOffset>
                </wp:positionH>
                <wp:positionV relativeFrom="paragraph">
                  <wp:posOffset>191135</wp:posOffset>
                </wp:positionV>
                <wp:extent cx="2649855" cy="3048000"/>
                <wp:effectExtent l="0" t="0" r="17145" b="1905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048000"/>
                        </a:xfrm>
                        <a:prstGeom prst="round2DiagRect">
                          <a:avLst>
                            <a:gd name="adj1" fmla="val 8733"/>
                            <a:gd name="adj2" fmla="val 0"/>
                          </a:avLst>
                        </a:prstGeom>
                        <a:noFill/>
                        <a:ln w="25400" cap="flat" cmpd="sng" algn="ctr">
                          <a:solidFill>
                            <a:srgbClr val="BE4A35"/>
                          </a:solidFill>
                          <a:prstDash val="solid"/>
                        </a:ln>
                        <a:effectLst/>
                      </wps:spPr>
                      <wps:txbx>
                        <w:txbxContent>
                          <w:p w:rsidR="00FD4C56" w:rsidRPr="00D74B10" w:rsidRDefault="00FD4C56" w:rsidP="00E05D08">
                            <w:pPr>
                              <w:pStyle w:val="HBox"/>
                            </w:pPr>
                            <w:r>
                              <w:rPr>
                                <w:noProof/>
                                <w:lang w:val="en-GB"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Glavni je cilj ovog dokumenta dopuniti ostale smjernice i pružiti savjete dionicima evaluacije PRR-a o tome kako provesti evaluacijske aktivnosti da bi mogli </w:t>
                            </w:r>
                            <w:r>
                              <w:rPr>
                                <w:b/>
                              </w:rPr>
                              <w:t xml:space="preserve">odgovoriti na zajednička evaluacijska pitanja povezana s inovacijama. </w:t>
                            </w:r>
                            <w:r>
                              <w:t xml:space="preserve">Budući da se može očekivati da će učinci PRR-a na inovacije u ruralnim područjima vjerojatno biti dugoročni, smjernice su posebno usmjerene na one aktivnosti povezane s evaluacijom o kojima će se izvijestiti u godišnjem izvješću o provedbi (GIP) koje će se podnijeti 2019. i u </w:t>
                            </w:r>
                            <w:r w:rsidRPr="008126E6">
                              <w:rPr>
                                <w:i/>
                              </w:rPr>
                              <w:t>ex post</w:t>
                            </w:r>
                            <w:r>
                              <w:t xml:space="preserve"> evaluaciji.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A0C8" id="Rectangle: Diagonal Corners Rounded 90" o:spid="_x0000_s1029" style="position:absolute;left:0;text-align:left;margin-left:245.25pt;margin-top:15.05pt;width:208.65pt;height:24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" adj="-11796480,,5400" path="m231412,l2649855,r,l2649855,2816588v,127805,-103607,231412,-231412,231412l,3048000r,l,231412c,103607,103607,,231412,xe" filled="f" strokecolor="#be4a35" strokeweight="2pt">
                <v:stroke joinstyle="miter"/>
                <v:formulas/>
                <v:path arrowok="t" o:connecttype="custom" o:connectlocs="231412,0;2649855,0;2649855,0;2649855,2816588;2418443,3048000;0,3048000;0,3048000;0,231412;231412,0" o:connectangles="0,0,0,0,0,0,0,0,0" textboxrect="0,0,2649855,3048000"/>
                <v:textbox>
                  <w:txbxContent>
                    <w:p w:rsidR="00FD4C56" w:rsidRPr="00D74B10" w:rsidRDefault="00FD4C56" w:rsidP="00E05D08">
                      <w:pPr>
                        <w:pStyle w:val="HBox"/>
                      </w:pPr>
                      <w:r>
                        <w:rPr>
                          <w:noProof/>
                          <w:lang w:val="en-GB"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Glavni je cilj ovog dokumenta dopuniti ostale smjernice i pružiti savjete dionicima evaluacije PRR-a o tome kako provesti evaluacijske aktivnosti da bi mogli </w:t>
                      </w:r>
                      <w:r>
                        <w:rPr>
                          <w:b/>
                        </w:rPr>
                        <w:t xml:space="preserve">odgovoriti na zajednička evaluacijska pitanja povezana s inovacijama. </w:t>
                      </w:r>
                      <w:r>
                        <w:t xml:space="preserve">Budući da se može očekivati da će učinci PRR-a na inovacije u ruralnim područjima vjerojatno biti dugoročni, smjernice su posebno usmjerene na one aktivnosti povezane s evaluacijom o kojima će se izvijestiti u godišnjem izvješću o provedbi (GIP) koje će se podnijeti 2019. i u </w:t>
                      </w:r>
                      <w:r w:rsidRPr="008126E6">
                        <w:rPr>
                          <w:i/>
                        </w:rPr>
                        <w:t>ex post</w:t>
                      </w:r>
                      <w:r>
                        <w:t xml:space="preserve"> evaluaciji.</w:t>
                      </w:r>
                    </w:p>
                  </w:txbxContent>
                </v:textbox>
                <w10:wrap type="square"/>
              </v:shape>
            </w:pict>
          </mc:Fallback>
        </mc:AlternateContent>
      </w:r>
      <w:r>
        <w:rPr>
          <w:b/>
          <w:color w:val="57825E"/>
          <w:szCs w:val="20"/>
        </w:rPr>
        <w:t>Zašto su ove smjernice potrebne?</w:t>
      </w:r>
    </w:p>
    <w:p w:rsidR="00A45935" w:rsidRPr="00E05D08" w:rsidRDefault="00A45935" w:rsidP="00E05D08">
      <w:pPr>
        <w:spacing w:after="120" w:line="280" w:lineRule="atLeast"/>
        <w:mirrorIndents/>
        <w:rPr>
          <w:rFonts w:eastAsia="Times New Roman" w:cs="Times New Roman"/>
          <w:szCs w:val="20"/>
        </w:rPr>
      </w:pPr>
      <w:r>
        <w:t xml:space="preserve">Evaluacija inovacija dobila je veći značaj u programskom razdoblju 2014. – 2020. jer je postala istaknuta tema u općim programima politike. Programi ruralnog razvoja mogu podupirati inovacijske procese te stvoriti brojne opipljive i neopipljive rezultate u programskom području i cjelokupnom inovacijskom sustavu. </w:t>
      </w:r>
    </w:p>
    <w:p w:rsidR="00A45935" w:rsidRPr="00E05D08" w:rsidRDefault="00A45935" w:rsidP="00E05D08">
      <w:pPr>
        <w:spacing w:after="120" w:line="280" w:lineRule="atLeast"/>
        <w:mirrorIndents/>
        <w:rPr>
          <w:rFonts w:eastAsia="Times New Roman" w:cs="Times New Roman"/>
          <w:szCs w:val="20"/>
        </w:rPr>
      </w:pPr>
      <w:r>
        <w:t>Obuhvaćanje tih učinaka donosi nekoliko metodoloških izazova u evaluaciji:</w:t>
      </w:r>
      <w:r>
        <w:rPr>
          <w:b/>
          <w:szCs w:val="20"/>
        </w:rPr>
        <w:t xml:space="preserve"> </w:t>
      </w:r>
      <w:r>
        <w:t>Kako utvrditi predmet evaluacije? Koji se učinci koji pridonose inovacijskim procesima u ruralnim područjima mogu pripisati PRR-u? Kako se mogu ocijeniti doprinosi inovacija proizašli iz potpore EPFRR-a širim rezultatima i učincima PRR-a? Kako se može mjeriti ostvarenje ciljeva politike na regionalnoj, nacionalnoj razini i razini EU-a?</w:t>
      </w:r>
    </w:p>
    <w:p w:rsidR="00055039" w:rsidRDefault="00A45935" w:rsidP="00A6785E">
      <w:r>
        <w:t xml:space="preserve">Cilj </w:t>
      </w:r>
      <w:r>
        <w:rPr>
          <w:b/>
        </w:rPr>
        <w:t>4. tematske radne skupine Europske službe za podršku evaluaciji „Evaluacija inovacija u PRR-ima za razdoblje 2014. – 2020.”</w:t>
      </w:r>
      <w:r>
        <w:t xml:space="preserve"> bio je 1. ispitati i riješiti velike izazove u evaluaciji inovacija, 2. preispitati postojeća iskustva s evaluacijom u tom području, 3. utvrditi i osmisliti praktična rješenja </w:t>
      </w:r>
      <w:r>
        <w:lastRenderedPageBreak/>
        <w:t xml:space="preserve">za evaluaciju inovacija u okviru PRR-a, 4. izraditi </w:t>
      </w:r>
      <w:r>
        <w:rPr>
          <w:b/>
        </w:rPr>
        <w:t>neobvezujuće smjernice za odgovaranje na zajednička evaluacijska pitanja povezana s inovacijama</w:t>
      </w:r>
      <w:r>
        <w:t xml:space="preserve"> dopunom postojećih smjernica i zajedničkog sustava za praćenje i evaluaciju (ZSPE).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Koje su ciljne skupine ovih smjernica?</w:t>
      </w:r>
    </w:p>
    <w:p w:rsidR="00A45935" w:rsidRPr="00E05D08" w:rsidRDefault="00A45935" w:rsidP="00E05D08">
      <w:pPr>
        <w:spacing w:after="120" w:line="280" w:lineRule="atLeast"/>
        <w:mirrorIndents/>
        <w:rPr>
          <w:rFonts w:eastAsia="Times New Roman" w:cs="Times New Roman"/>
          <w:szCs w:val="20"/>
        </w:rPr>
      </w:pPr>
      <w:r>
        <w:t>Smjernice Evaluacija inovacija u PRR-ima za razdoblje 2014. – 2020. sastavljene su za različite skupine dionika ruralnog razvoja:</w:t>
      </w:r>
    </w:p>
    <w:p w:rsidR="00A45935" w:rsidRPr="00E16522" w:rsidRDefault="00A45935" w:rsidP="00D77B96">
      <w:r>
        <w:rPr>
          <w:b/>
        </w:rPr>
        <w:t>Upravljačka tijela (UT)</w:t>
      </w:r>
      <w:r>
        <w:t xml:space="preserve"> pronaći će informacije o evaluaciji inovacija na razini PRR-a: samom konceptu, okviru politike i na što su usmjerena evaluacijska pitanja povezana s evaluacijom. Praktične smjernice služe za pružanje informacija o tome kako pripremiti i koordinirati evaluaciju i upravljati njome te kako ocijeniti doprinose inovacija ciljevima PRR-a. </w:t>
      </w:r>
    </w:p>
    <w:p w:rsidR="00A45935" w:rsidRPr="00C37C7A" w:rsidRDefault="00A45935" w:rsidP="00C37C7A">
      <w:r>
        <w:t xml:space="preserve">Evaluacijski stručnjaci pronaći će rješenja za različite izazove povezane s evaluacijom inovacija (npr. kako analitički provjeriti inovacijski potencijal PRR-a pri određivanju logike intervencije PRR-a za inovacije, kako analizirati doprinose inovacija ostvarenju ciljeva PRR-a te rezultatima i učincima PRR-a). Evaluatorima će poslužiti i kao potpora u odabiru najboljeg pristupa evaluaciji i prikupljanju dokaza za odgovaranje na evaluacijska pitanja. </w:t>
      </w:r>
    </w:p>
    <w:p w:rsidR="00A45935" w:rsidRPr="00E16522" w:rsidRDefault="00A45935" w:rsidP="00AA5817">
      <w:pPr>
        <w:pStyle w:val="HStandard"/>
      </w:pPr>
      <w:r>
        <w:t xml:space="preserve">Ostalim dionicima smjernice mogu poslužiti kao referentni dokument: </w:t>
      </w:r>
      <w:r>
        <w:rPr>
          <w:b/>
        </w:rPr>
        <w:t>službenicima Europske komisije (EK)</w:t>
      </w:r>
      <w:r>
        <w:t xml:space="preserve"> (za pitanja o evaluaciji inovacija), operativnim skupinama (OS-ovima) </w:t>
      </w:r>
      <w:r>
        <w:rPr>
          <w:b/>
        </w:rPr>
        <w:t>Europskog partnerstva za inovacije (EPI-ja)</w:t>
      </w:r>
      <w:r>
        <w:t xml:space="preserve"> (kao kontekst pri osmišljavanju projekata i razumijevanju njihova inovacijskog potencijala), </w:t>
      </w:r>
      <w:r>
        <w:rPr>
          <w:b/>
        </w:rPr>
        <w:t>članovima lokalnih akcijskih skupina (LAG-ova)</w:t>
      </w:r>
      <w:r>
        <w:t xml:space="preserve"> (pri evaluaciji/samoocjenjivanju inovativnih značajki strategija lokalnog razvoja pod vodstvom zajednice (CLLD-a) i njihovih učinaka na inovacije u ruralnim područjima), </w:t>
      </w:r>
      <w:r>
        <w:rPr>
          <w:b/>
        </w:rPr>
        <w:t>nacionalnim ruralnim mrežama (NRM-ovima)</w:t>
      </w:r>
      <w:r>
        <w:t xml:space="preserve"> u pripremi i podupiranju LAG-ova i operativnih skupina EPI-ja.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Kako su smjernice organizirane?</w:t>
      </w:r>
    </w:p>
    <w:p w:rsidR="00A45935" w:rsidRPr="00E05D08" w:rsidRDefault="00A45935" w:rsidP="00E05D08">
      <w:pPr>
        <w:spacing w:after="120" w:line="280" w:lineRule="atLeast"/>
        <w:mirrorIndents/>
        <w:rPr>
          <w:rFonts w:eastAsia="Times New Roman" w:cs="Times New Roman"/>
          <w:szCs w:val="20"/>
        </w:rPr>
      </w:pPr>
      <w:r>
        <w:t xml:space="preserve">Smjernice se sastoje od tri dijela: </w:t>
      </w:r>
    </w:p>
    <w:p w:rsidR="00A45935" w:rsidRPr="00E05D08" w:rsidRDefault="00A45935" w:rsidP="00E05D08">
      <w:pPr>
        <w:spacing w:after="120" w:line="280" w:lineRule="atLeast"/>
        <w:mirrorIndents/>
        <w:rPr>
          <w:rFonts w:eastAsia="Times New Roman" w:cs="Times New Roman"/>
          <w:szCs w:val="20"/>
        </w:rPr>
      </w:pPr>
      <w:r>
        <w:t xml:space="preserve">U </w:t>
      </w:r>
      <w:r w:rsidRPr="00F86385">
        <w:rPr>
          <w:b/>
          <w:color w:val="F07E31"/>
        </w:rPr>
        <w:t>1. poglavlju</w:t>
      </w:r>
      <w:r>
        <w:t xml:space="preserve"> opisuje se inovacijski sustav u ruralnim područjima i koncept evaluacije inovacija u ruralnom razvoju. U okviru koncepta utvrđuje se okvir politike EU-a i okvir politike PRR-a te njihova međusobna povezanost, a daje se i pregled zajedničkih evaluacijskih elemenata. U poglavlju 1.3. razmatraju se izazovi povezani s evaluacijom inovacija u okviru politike ruralnog razvoja. </w:t>
      </w:r>
    </w:p>
    <w:p w:rsidR="00A45935" w:rsidRPr="00E05D08" w:rsidRDefault="00A45935" w:rsidP="00E05D08">
      <w:pPr>
        <w:spacing w:after="120" w:line="280" w:lineRule="atLeast"/>
        <w:mirrorIndents/>
        <w:rPr>
          <w:rFonts w:eastAsia="Times New Roman" w:cs="Times New Roman"/>
          <w:szCs w:val="20"/>
        </w:rPr>
      </w:pPr>
      <w:r>
        <w:t xml:space="preserve">U </w:t>
      </w:r>
      <w:r w:rsidRPr="004B5F2E">
        <w:rPr>
          <w:b/>
          <w:color w:val="F07E31"/>
        </w:rPr>
        <w:t>2. poglavlju</w:t>
      </w:r>
      <w:r w:rsidRPr="00F86385">
        <w:rPr>
          <w:color w:val="F07E31"/>
        </w:rPr>
        <w:t xml:space="preserve"> </w:t>
      </w:r>
      <w:r>
        <w:t xml:space="preserve">upoznaje se upravljačka tijela s posebnostima povezanima s upravljanjem evaluacijom inovacija i s izvještajnim zahtjevima. U poglavlju 2.2. objašnjavaju se pristupi odgovaranju na evaluacijska pitanja povezana s inovacijama i pružaju se posebne smjernice za svako zajedničko evaluacijsko pitanje: pitanja broj 1, 2, 21, 23 i 30 u onim aspektima koji se odnose na inovacije. To obuhvaća opis metoda prikladnih za evaluaciju inovacija. </w:t>
      </w:r>
    </w:p>
    <w:p w:rsidR="00A45935" w:rsidRPr="00E05D08" w:rsidRDefault="00A45935" w:rsidP="00E05D08">
      <w:pPr>
        <w:spacing w:after="120" w:line="280" w:lineRule="atLeast"/>
        <w:mirrorIndents/>
        <w:rPr>
          <w:rFonts w:eastAsia="Times New Roman" w:cs="Times New Roman"/>
          <w:szCs w:val="20"/>
        </w:rPr>
      </w:pPr>
      <w:r>
        <w:t xml:space="preserve">U </w:t>
      </w:r>
      <w:r w:rsidRPr="004B5F2E">
        <w:rPr>
          <w:b/>
          <w:color w:val="F07E31"/>
        </w:rPr>
        <w:t>3. poglavlju</w:t>
      </w:r>
      <w:r w:rsidRPr="00F86385">
        <w:rPr>
          <w:color w:val="F07E31"/>
        </w:rPr>
        <w:t xml:space="preserve"> </w:t>
      </w:r>
      <w:r>
        <w:t xml:space="preserve">(prilozi) nalaze se pojmovnik i koraci za utvrđivanje inovacijskog potencijala PRR-a.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4" w:name="_Toc501382120"/>
    </w:p>
    <w:p w:rsidR="00A45935" w:rsidRPr="00967CFD" w:rsidRDefault="00A45935" w:rsidP="00582F60">
      <w:pPr>
        <w:pStyle w:val="HHeading1"/>
        <w:tabs>
          <w:tab w:val="clear" w:pos="567"/>
        </w:tabs>
      </w:pPr>
      <w:bookmarkStart w:id="5" w:name="_Toc508981111"/>
      <w:r>
        <w:lastRenderedPageBreak/>
        <w:t>KONCEPTUALNI OKVIR</w:t>
      </w:r>
      <w:bookmarkEnd w:id="4"/>
      <w:bookmarkEnd w:id="5"/>
    </w:p>
    <w:p w:rsidR="00A45935" w:rsidRPr="00967CFD" w:rsidRDefault="00405B0B" w:rsidP="004B5F2E">
      <w:pPr>
        <w:pStyle w:val="HHeading2"/>
      </w:pPr>
      <w:bookmarkStart w:id="6" w:name="Innovation_RD"/>
      <w:bookmarkStart w:id="7" w:name="_Toc501382121"/>
      <w:bookmarkStart w:id="8" w:name="_Toc508981112"/>
      <w:bookmarkStart w:id="9" w:name="_Toc493151895"/>
      <w:bookmarkEnd w:id="6"/>
      <w:r>
        <w:rPr>
          <w:noProof/>
          <w:lang w:val="en-GB" w:eastAsia="en-GB"/>
        </w:rPr>
        <mc:AlternateContent>
          <mc:Choice Requires="wps">
            <w:drawing>
              <wp:anchor distT="0" distB="0" distL="114300" distR="114300" simplePos="0" relativeHeight="251653632" behindDoc="0" locked="0" layoutInCell="1" allowOverlap="1" wp14:anchorId="5F4E3857" wp14:editId="56D45CB6">
                <wp:simplePos x="0" y="0"/>
                <wp:positionH relativeFrom="column">
                  <wp:posOffset>3028950</wp:posOffset>
                </wp:positionH>
                <wp:positionV relativeFrom="paragraph">
                  <wp:posOffset>240665</wp:posOffset>
                </wp:positionV>
                <wp:extent cx="2642235" cy="27908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2790825"/>
                        </a:xfrm>
                        <a:prstGeom prst="round2DiagRect">
                          <a:avLst>
                            <a:gd name="adj1" fmla="val 6695"/>
                            <a:gd name="adj2" fmla="val 0"/>
                          </a:avLst>
                        </a:prstGeom>
                        <a:noFill/>
                        <a:ln w="25400" cap="flat" cmpd="sng" algn="ctr">
                          <a:solidFill>
                            <a:srgbClr val="BE4A35"/>
                          </a:solidFill>
                          <a:prstDash val="solid"/>
                        </a:ln>
                        <a:effectLst/>
                      </wps:spPr>
                      <wps:txbx>
                        <w:txbxContent>
                          <w:p w:rsidR="00FD4C56" w:rsidRDefault="00FD4C56" w:rsidP="00E05D08">
                            <w:pPr>
                              <w:pStyle w:val="HStandard"/>
                            </w:pPr>
                            <w:r>
                              <w:rPr>
                                <w:noProof/>
                                <w:lang w:val="en-GB" w:eastAsia="en-GB"/>
                              </w:rPr>
                              <w:drawing>
                                <wp:inline distT="0" distB="0" distL="0" distR="0" wp14:anchorId="0CC94647" wp14:editId="2099BEE7">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„Inovacija se često opisuje kao </w:t>
                            </w:r>
                            <w:r>
                              <w:rPr>
                                <w:b/>
                                <w:color w:val="BE4A35"/>
                                <w:sz w:val="18"/>
                              </w:rPr>
                              <w:t>nova ideja koja se uspješno provede u praksi.</w:t>
                            </w:r>
                            <w:r>
                              <w:rPr>
                                <w:sz w:val="18"/>
                              </w:rPr>
                              <w:t xml:space="preserve"> Inovacija može biti tehnološka, ali i netehnološka, organizacijska ili društvena. Inovacija se može temeljiti na novim, ali i tradicionalnim praksama u novom geografskom ili okolišnom kontekstu. Nova ideja može biti novi proizvod, praksa, usluga, proizvodni proces ili novi način organizacije itd. Takva nova ideja postaje inovacija samo ako dođe do njezine široke primjene i ako se pokaže da je korisna u praksi”.</w:t>
                            </w:r>
                            <w:r w:rsidRPr="00F86385">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3857" id="Rectangle: Diagonal Corners Rounded 32" o:spid="_x0000_s1030" style="position:absolute;left:0;text-align:left;margin-left:238.5pt;margin-top:18.95pt;width:208.05pt;height:21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2790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" adj="-11796480,,5400" path="m176898,l2642235,r,l2642235,2613927v,97698,-79200,176898,-176898,176898l,2790825r,l,176898c,79200,79200,,176898,xe" filled="f" strokecolor="#be4a35" strokeweight="2pt">
                <v:stroke joinstyle="miter"/>
                <v:formulas/>
                <v:path arrowok="t" o:connecttype="custom" o:connectlocs="176898,0;2642235,0;2642235,0;2642235,2613927;2465337,2790825;0,2790825;0,2790825;0,176898;176898,0" o:connectangles="0,0,0,0,0,0,0,0,0" textboxrect="0,0,2642235,2790825"/>
                <v:textbox>
                  <w:txbxContent>
                    <w:p w:rsidR="00FD4C56" w:rsidRDefault="00FD4C56" w:rsidP="00E05D08">
                      <w:pPr>
                        <w:pStyle w:val="HStandard"/>
                      </w:pPr>
                      <w:r>
                        <w:rPr>
                          <w:noProof/>
                          <w:lang w:val="en-GB" w:eastAsia="en-GB"/>
                        </w:rPr>
                        <w:drawing>
                          <wp:inline distT="0" distB="0" distL="0" distR="0" wp14:anchorId="0CC94647" wp14:editId="2099BEE7">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„Inovacija se često opisuje kao </w:t>
                      </w:r>
                      <w:r>
                        <w:rPr>
                          <w:b/>
                          <w:color w:val="BE4A35"/>
                          <w:sz w:val="18"/>
                        </w:rPr>
                        <w:t>nova ideja koja se uspješno provede u praksi.</w:t>
                      </w:r>
                      <w:r>
                        <w:rPr>
                          <w:sz w:val="18"/>
                        </w:rPr>
                        <w:t xml:space="preserve"> Inovacija može biti tehnološka, ali i netehnološka, organizacijska ili društvena. Inovacija se može temeljiti na novim, ali i tradicionalnim praksama u novom geografskom ili okolišnom kontekstu. Nova ideja može biti novi proizvod, praksa, usluga, proizvodni proces ili novi način organizacije itd. Takva nova ideja postaje inovacija samo ako dođe do njezine široke primjene i ako se pokaže da je korisna u praksi”.</w:t>
                      </w:r>
                      <w:r w:rsidRPr="00F86385">
                        <w:rPr>
                          <w:sz w:val="18"/>
                          <w:vertAlign w:val="superscript"/>
                        </w:rPr>
                        <w:t>4</w:t>
                      </w:r>
                      <w:r>
                        <w:rPr>
                          <w:sz w:val="18"/>
                        </w:rPr>
                        <w:t xml:space="preserve"> </w:t>
                      </w:r>
                    </w:p>
                  </w:txbxContent>
                </v:textbox>
                <w10:wrap type="square"/>
              </v:shape>
            </w:pict>
          </mc:Fallback>
        </mc:AlternateContent>
      </w:r>
      <w:r>
        <w:t>Inovacije i ruralni razvoj</w:t>
      </w:r>
      <w:bookmarkEnd w:id="7"/>
      <w:bookmarkEnd w:id="8"/>
      <w:r>
        <w:t xml:space="preserve"> </w:t>
      </w:r>
      <w:bookmarkEnd w:id="9"/>
    </w:p>
    <w:p w:rsidR="00A45935" w:rsidRPr="00E05D08" w:rsidRDefault="00A45935" w:rsidP="00230C31">
      <w:pPr>
        <w:pStyle w:val="HHeading4"/>
      </w:pPr>
      <w:r>
        <w:t>Kako možemo tumačiti pojam inovacija?</w:t>
      </w:r>
    </w:p>
    <w:p w:rsidR="00A45935" w:rsidRPr="00E05D08" w:rsidRDefault="00A45935" w:rsidP="00E05D08">
      <w:pPr>
        <w:spacing w:after="120" w:line="280" w:lineRule="atLeast"/>
        <w:mirrorIndents/>
        <w:rPr>
          <w:rFonts w:eastAsia="Times New Roman" w:cs="Times New Roman"/>
          <w:szCs w:val="20"/>
        </w:rPr>
      </w:pPr>
      <w:r>
        <w:t>U kontekstu ruralnog razvoja EU-a usvojena je prilično široka definicija inovacija</w:t>
      </w:r>
      <w:r>
        <w:rPr>
          <w:rStyle w:val="FootnoteReference"/>
          <w:rFonts w:eastAsia="Times New Roman" w:cs="Times New Roman"/>
          <w:color w:val="FFFFFF" w:themeColor="background1"/>
          <w:szCs w:val="20"/>
          <w:lang w:eastAsia="de-DE"/>
        </w:rPr>
        <w:footnoteReference w:id="4"/>
      </w:r>
      <w:r>
        <w:t>:</w:t>
      </w:r>
      <w:bookmarkStart w:id="10" w:name="_Hlk501370282"/>
      <w:r>
        <w:t xml:space="preserve">zahvaljujući tako širokom tumačenju pojma inovacija, on se može primijeniti na različite društveno-gospodarske i okolišne situacije diljem EU-a. On je povezan sa strukturom PRR-a i njezinom sposobnosti da bude u interakciji s postojećim kontekstom te osigura nova rješenja za izazove i potrebe na ruralnim područjima. Takva rješenja nisu nužno radikalna ni opsežna, ali mogu uključivati manje promjene koje ponekad služe kao priprema za veće promjene. </w:t>
      </w:r>
    </w:p>
    <w:p w:rsidR="00A45935" w:rsidRPr="00E05D08" w:rsidRDefault="00A45935" w:rsidP="00230C31">
      <w:pPr>
        <w:pStyle w:val="HHeading4"/>
      </w:pPr>
      <w:r>
        <w:t>Kako intervencije u okviru PRR-a pridonose inovacijama?</w:t>
      </w:r>
    </w:p>
    <w:p w:rsidR="00A45935" w:rsidRPr="00E05D08" w:rsidRDefault="00A45935" w:rsidP="00E05D08">
      <w:pPr>
        <w:spacing w:after="120" w:line="280" w:lineRule="atLeast"/>
        <w:mirrorIndents/>
        <w:rPr>
          <w:rFonts w:eastAsia="Times New Roman" w:cs="Times New Roman"/>
          <w:szCs w:val="20"/>
        </w:rPr>
      </w:pPr>
      <w:r>
        <w:t xml:space="preserve">Politika ruralnog razvoja osmišljena je za pružanje potpore inovacijama (tehnološkim, institucionalnim i društvenim) tako što omogućuje ostvarivanje ciljeva i prioriteta ruralnog razvoja te rješavanje izazova na ruralnim područjima. Mjere/podmjere i korisnici PRR-a (npr. operativne skupine EPI-ja, LAG-ovi, poljoprivrednici itd.) stvaraju ostvarenja, rezultate i učinke koji pridonose postizanju ciljeva PRR-a te oni i inovacijski sustav međusobno utječu jedan na drugog. </w:t>
      </w:r>
    </w:p>
    <w:p w:rsidR="00A45935" w:rsidRPr="00E05D08" w:rsidRDefault="00674A4B"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676672" behindDoc="0" locked="0" layoutInCell="1" allowOverlap="1" wp14:anchorId="04D861B7" wp14:editId="7FCE29D8">
                <wp:simplePos x="0" y="0"/>
                <wp:positionH relativeFrom="column">
                  <wp:posOffset>-85725</wp:posOffset>
                </wp:positionH>
                <wp:positionV relativeFrom="paragraph">
                  <wp:posOffset>1191260</wp:posOffset>
                </wp:positionV>
                <wp:extent cx="5811520" cy="2343150"/>
                <wp:effectExtent l="0" t="0" r="1778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343150"/>
                        </a:xfrm>
                        <a:prstGeom prst="round2DiagRect">
                          <a:avLst>
                            <a:gd name="adj1" fmla="val 7093"/>
                            <a:gd name="adj2" fmla="val 0"/>
                          </a:avLst>
                        </a:prstGeom>
                        <a:noFill/>
                        <a:ln w="25400" cap="flat" cmpd="sng" algn="ctr">
                          <a:solidFill>
                            <a:srgbClr val="BE4A35"/>
                          </a:solidFill>
                          <a:prstDash val="solid"/>
                        </a:ln>
                        <a:effectLst/>
                      </wps:spPr>
                      <wps:txbx>
                        <w:txbxContent>
                          <w:p w:rsidR="00FD4C56" w:rsidRPr="00270814" w:rsidRDefault="00FD4C56" w:rsidP="00674A4B">
                            <w:pPr>
                              <w:pStyle w:val="HBox"/>
                            </w:pPr>
                            <w:r>
                              <w:rPr>
                                <w:noProof/>
                                <w:lang w:val="en-GB" w:eastAsia="en-GB"/>
                              </w:rPr>
                              <w:drawing>
                                <wp:inline distT="0" distB="0" distL="0" distR="0" wp14:anchorId="09C68D96" wp14:editId="2132592F">
                                  <wp:extent cx="612950" cy="450601"/>
                                  <wp:effectExtent l="0" t="0" r="0" b="6985"/>
                                  <wp:docPr id="725"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200" cy="457401"/>
                                          </a:xfrm>
                                          <a:prstGeom prst="rect">
                                            <a:avLst/>
                                          </a:prstGeom>
                                        </pic:spPr>
                                      </pic:pic>
                                    </a:graphicData>
                                  </a:graphic>
                                </wp:inline>
                              </w:drawing>
                            </w:r>
                            <w:r>
                              <w:t xml:space="preserve">Osim politike ruralnog razvoja, </w:t>
                            </w:r>
                            <w:r>
                              <w:rPr>
                                <w:b/>
                                <w:color w:val="BE4A35"/>
                              </w:rPr>
                              <w:t>na inovacijski sustav mogu utjecati brojni drugi čimbenici</w:t>
                            </w:r>
                            <w:r>
                              <w:t xml:space="preserve"> iz ruralnih područja, primjerice istraživanje, obrazovanje, fiskalne politike i drugi programi koji se financiraju iz fondova EU-a (Obzor 2020., operativni programi koji se financiraju iz europskih strukturnih i investicijskih fondova) koji podupiru inovativne aktivnosti i procese. I tržišna potražnja za inovacijama može imati odlučujuću ulogu.</w:t>
                            </w:r>
                          </w:p>
                          <w:p w:rsidR="00FD4C56" w:rsidRPr="00D74B10" w:rsidRDefault="00FD4C56" w:rsidP="00674A4B">
                            <w:pPr>
                              <w:pStyle w:val="HBox"/>
                            </w:pPr>
                            <w:r>
                              <w:t>Popularizacija određene inovacije ne ovisi samo o tome koliko je kreativna ideja snažna, nego i o tržišnim mogućnostima, spremnosti sektora da je prihvati, njezinoj isplativosti, znanju i predodžbama o njoj, nasumičnim vanjskim čimbenicima itd. Ne može se predvidjeti kako ti čimbenici međusobno djeluju da bi pretvorili novu ideju u inovaciju. Stoga se može samo naknadno utvrditi je li nova ideja dovela do stvarne inovacije.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6.75pt;margin-top:93.8pt;width:457.6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" adj="-11796480,,5400" path="m166200,l5811520,r,l5811520,2176950v,91790,-74410,166200,-166200,166200l,2343150r,l,166200c,74410,74410,,166200,xe" filled="f" strokecolor="#be4a35" strokeweight="2pt">
                <v:stroke joinstyle="miter"/>
                <v:formulas/>
                <v:path arrowok="t" o:connecttype="custom" o:connectlocs="166200,0;5811520,0;5811520,0;5811520,2176950;5645320,2343150;0,2343150;0,2343150;0,166200;166200,0" o:connectangles="0,0,0,0,0,0,0,0,0" textboxrect="0,0,5811520,2343150"/>
                <v:textbox>
                  <w:txbxContent>
                    <w:p w:rsidR="00FD4C56" w:rsidRPr="00270814" w:rsidRDefault="00FD4C56" w:rsidP="00674A4B">
                      <w:pPr>
                        <w:pStyle w:val="HBox"/>
                      </w:pPr>
                      <w:r>
                        <w:rPr>
                          <w:noProof/>
                          <w:lang w:val="en-GB" w:eastAsia="en-GB"/>
                        </w:rPr>
                        <w:drawing>
                          <wp:inline distT="0" distB="0" distL="0" distR="0" wp14:anchorId="09C68D96" wp14:editId="2132592F">
                            <wp:extent cx="612950" cy="450601"/>
                            <wp:effectExtent l="0" t="0" r="0" b="6985"/>
                            <wp:docPr id="725"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200" cy="457401"/>
                                    </a:xfrm>
                                    <a:prstGeom prst="rect">
                                      <a:avLst/>
                                    </a:prstGeom>
                                  </pic:spPr>
                                </pic:pic>
                              </a:graphicData>
                            </a:graphic>
                          </wp:inline>
                        </w:drawing>
                      </w:r>
                      <w:r>
                        <w:t xml:space="preserve">Osim politike ruralnog razvoja, </w:t>
                      </w:r>
                      <w:r>
                        <w:rPr>
                          <w:b/>
                          <w:color w:val="BE4A35"/>
                        </w:rPr>
                        <w:t>na inovacijski sustav mogu utjecati brojni drugi čimbenici</w:t>
                      </w:r>
                      <w:r>
                        <w:t xml:space="preserve"> iz ruralnih područja, primjerice istraživanje, obrazovanje, fiskalne politike i drugi programi koji se financiraju iz fondova EU-a (Obzor 2020., operativni programi koji se financiraju iz europskih strukturnih i investicijskih fondova) koji podupiru inovativne aktivnosti i procese. I tržišna potražnja za inovacijama može imati odlučujuću ulogu.</w:t>
                      </w:r>
                    </w:p>
                    <w:p w:rsidR="00FD4C56" w:rsidRPr="00D74B10" w:rsidRDefault="00FD4C56" w:rsidP="00674A4B">
                      <w:pPr>
                        <w:pStyle w:val="HBox"/>
                      </w:pPr>
                      <w:r>
                        <w:t>Popularizacija određene inovacije ne ovisi samo o tome koliko je kreativna ideja snažna, nego i o tržišnim mogućnostima, spremnosti sektora da je prihvati, njezinoj isplativosti, znanju i predodžbama o njoj, nasumičnim vanjskim čimbenicima itd. Ne može se predvidjeti kako ti čimbenici međusobno djeluju da bi pretvorili novu ideju u inovaciju. Stoga se može samo naknadno utvrditi je li nova ideja dovela do stvarne inovacije.</w:t>
                      </w:r>
                    </w:p>
                  </w:txbxContent>
                </v:textbox>
                <w10:wrap type="square"/>
              </v:shape>
            </w:pict>
          </mc:Fallback>
        </mc:AlternateContent>
      </w:r>
      <w:r>
        <w:rPr>
          <w:b/>
          <w:szCs w:val="20"/>
        </w:rPr>
        <w:t>Inovacijski sustav</w:t>
      </w:r>
      <w:r>
        <w:t xml:space="preserve"> na lokalnoj, regionalnoj, nacionalnoj ili supranacionalnoj razini uključuje prilično heterogenu skupinu inovacijskih subjekata, uključujući ruralne poduzetnike (npr. poljoprivrednike, šumare), opskrbljivače i turističke djelatnosti, prerađivače, trgovce, regulatore, istraživače, savjetodavne službe, državna tijela i organizacije civilnog društva. Interaktivno eksperimentalno učenje među tim subjektima ima ključnu ulogu u inovacijskom sustavu jer oni nove ideje (nove u sustavu) prenose u praksu. Protok tehnologije i informacija među subjektima ključan je za inovacijski </w:t>
      </w:r>
      <w:r>
        <w:lastRenderedPageBreak/>
        <w:t xml:space="preserve">proces unutar inovacijskog sustava. </w:t>
      </w:r>
    </w:p>
    <w:p w:rsidR="00405B0B" w:rsidRDefault="00405B0B">
      <w:pPr>
        <w:jc w:val="left"/>
        <w:rPr>
          <w:rFonts w:eastAsia="Times New Roman" w:cs="Times New Roman"/>
          <w:b/>
          <w:szCs w:val="20"/>
        </w:rPr>
      </w:pPr>
      <w:r>
        <w:br w:type="page"/>
      </w:r>
    </w:p>
    <w:p w:rsidR="00A45935" w:rsidRPr="00E05D08" w:rsidRDefault="00A45935" w:rsidP="00E05D08">
      <w:pPr>
        <w:spacing w:after="120" w:line="280" w:lineRule="atLeast"/>
        <w:mirrorIndents/>
        <w:rPr>
          <w:rFonts w:eastAsia="Times New Roman" w:cs="Times New Roman"/>
          <w:szCs w:val="20"/>
        </w:rPr>
      </w:pPr>
      <w:r>
        <w:lastRenderedPageBreak/>
        <w:t xml:space="preserve">Inovacijski proces sastoji se od triju putanja: </w:t>
      </w:r>
    </w:p>
    <w:p w:rsidR="00A45935" w:rsidRPr="00987055" w:rsidRDefault="00A45935" w:rsidP="008C0B17">
      <w:pPr>
        <w:numPr>
          <w:ilvl w:val="0"/>
          <w:numId w:val="66"/>
        </w:numPr>
        <w:mirrorIndents/>
        <w:rPr>
          <w:szCs w:val="20"/>
        </w:rPr>
      </w:pPr>
      <w:r>
        <w:rPr>
          <w:b/>
          <w:color w:val="F07E31"/>
          <w:szCs w:val="20"/>
        </w:rPr>
        <w:t xml:space="preserve">1. putanja: </w:t>
      </w:r>
      <w:r>
        <w:t xml:space="preserve">uključuje formuliranje i razvoj novih ideja (odnosno novih pogleda, pristupa, proizvoda, praksi, usluga, proizvodnih procesa/tehnologija, novih načina organizacije ili novih oblika suradnje i učenja) </w:t>
      </w:r>
    </w:p>
    <w:p w:rsidR="00A45935" w:rsidRDefault="00A45935" w:rsidP="008C0B17">
      <w:pPr>
        <w:numPr>
          <w:ilvl w:val="0"/>
          <w:numId w:val="66"/>
        </w:numPr>
        <w:mirrorIndents/>
        <w:rPr>
          <w:szCs w:val="20"/>
        </w:rPr>
      </w:pPr>
      <w:r>
        <w:rPr>
          <w:b/>
          <w:color w:val="F07E31"/>
          <w:szCs w:val="20"/>
        </w:rPr>
        <w:t>2. putanja:</w:t>
      </w:r>
      <w:r>
        <w:rPr>
          <w:b/>
          <w:szCs w:val="20"/>
        </w:rPr>
        <w:t xml:space="preserve"> </w:t>
      </w:r>
      <w:r>
        <w:t xml:space="preserve">odnosi se na sposobnost pojedinaca, znanja i samog inovacijskog sustava da iskušaju, samostalno organiziraju i iskoriste nove ideje i pristupe </w:t>
      </w:r>
    </w:p>
    <w:p w:rsidR="00A45935" w:rsidRPr="00987055" w:rsidRDefault="00A45935" w:rsidP="008C0B17">
      <w:pPr>
        <w:numPr>
          <w:ilvl w:val="0"/>
          <w:numId w:val="66"/>
        </w:numPr>
        <w:mirrorIndents/>
        <w:rPr>
          <w:szCs w:val="20"/>
        </w:rPr>
      </w:pPr>
      <w:r>
        <w:rPr>
          <w:b/>
          <w:color w:val="F07E31"/>
          <w:szCs w:val="20"/>
        </w:rPr>
        <w:t xml:space="preserve">3. putanja: </w:t>
      </w:r>
      <w:r>
        <w:t xml:space="preserve">u ovoj se fazi treba stvoriti institucionalno i političko okruženje za nove inovativne procese. </w:t>
      </w:r>
      <w:bookmarkStart w:id="11" w:name="_Toc476660915"/>
      <w:bookmarkStart w:id="12" w:name="_Toc476661047"/>
    </w:p>
    <w:p w:rsidR="00A45935" w:rsidRPr="0095292E" w:rsidRDefault="00A45935" w:rsidP="0095292E">
      <w:pPr>
        <w:mirrorIndents/>
        <w:rPr>
          <w:szCs w:val="20"/>
        </w:rPr>
      </w:pPr>
      <w:r>
        <w:t>Te tri putanje ne smiju se smatrati zasebnim cjelinama, nego preklapajućim i međusobno povezanim početnim točkama na putu do inovacije (slika 1.).</w:t>
      </w:r>
    </w:p>
    <w:p w:rsidR="00A45935" w:rsidRPr="00447906" w:rsidRDefault="00674A4B" w:rsidP="00C7346C">
      <w:pPr>
        <w:pStyle w:val="HHeadingfigures"/>
        <w:tabs>
          <w:tab w:val="clear" w:pos="964"/>
        </w:tabs>
      </w:pPr>
      <w:bookmarkStart w:id="13" w:name="Pathways"/>
      <w:bookmarkStart w:id="14" w:name="_Toc508981143"/>
      <w:bookmarkEnd w:id="13"/>
      <w:r>
        <w:t>Pojednostavnjeni prikaz načina na koji PRR-i potiču inovacije</w:t>
      </w:r>
      <w:bookmarkEnd w:id="14"/>
      <w:r>
        <w:t xml:space="preserve"> </w:t>
      </w:r>
      <w:bookmarkEnd w:id="11"/>
      <w:bookmarkEnd w:id="12"/>
    </w:p>
    <w:p w:rsidR="00A45935" w:rsidRDefault="00F86385" w:rsidP="00E05D08">
      <w:pPr>
        <w:spacing w:after="0" w:line="280" w:lineRule="atLeast"/>
        <w:jc w:val="center"/>
        <w:rPr>
          <w:rFonts w:eastAsia="Times New Roman" w:cs="Arial"/>
          <w:szCs w:val="18"/>
          <w:lang w:eastAsia="de-DE"/>
        </w:rPr>
      </w:pPr>
      <w:r w:rsidRPr="00F86385">
        <w:rPr>
          <w:noProof/>
          <w:lang w:val="en-GB" w:eastAsia="en-GB"/>
        </w:rPr>
        <w:drawing>
          <wp:inline distT="0" distB="0" distL="0" distR="0" wp14:anchorId="78A163A0" wp14:editId="6277FB24">
            <wp:extent cx="5064369" cy="29531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862" cy="2955220"/>
                    </a:xfrm>
                    <a:prstGeom prst="rect">
                      <a:avLst/>
                    </a:prstGeom>
                    <a:noFill/>
                    <a:ln>
                      <a:noFill/>
                    </a:ln>
                  </pic:spPr>
                </pic:pic>
              </a:graphicData>
            </a:graphic>
          </wp:inline>
        </w:drawing>
      </w:r>
    </w:p>
    <w:p w:rsidR="00F86385" w:rsidRPr="00E05D08" w:rsidRDefault="00F86385" w:rsidP="00E05D08">
      <w:pPr>
        <w:spacing w:after="0" w:line="280" w:lineRule="atLeast"/>
        <w:jc w:val="center"/>
        <w:rPr>
          <w:rFonts w:eastAsia="Times New Roman" w:cs="Arial"/>
          <w:szCs w:val="18"/>
          <w:lang w:eastAsia="de-DE"/>
        </w:rPr>
      </w:pP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Izvor: Europska služba za podršku evaluaciji ruralnog razvoja, 2017.</w:t>
      </w:r>
    </w:p>
    <w:p w:rsidR="000E1D4B" w:rsidRDefault="00A45935" w:rsidP="00E05D08">
      <w:pPr>
        <w:spacing w:after="120" w:line="280" w:lineRule="atLeast"/>
        <w:mirrorIndents/>
        <w:rPr>
          <w:rFonts w:eastAsia="Times New Roman" w:cs="Times New Roman"/>
          <w:szCs w:val="20"/>
        </w:rPr>
      </w:pPr>
      <w:r>
        <w:t xml:space="preserve">Mjera u kojoj mjere/podmjere PRR-a i njihova kombinacija mogu pridonijeti jednoj putanji, dvama ili svima trima putanjama ovisi o pristupu koji se u PRR-u primjenjuje za potporu inovacijama (vidjeti </w:t>
      </w:r>
      <w:hyperlink w:anchor="Policy_framework" w:history="1">
        <w:r>
          <w:rPr>
            <w:rStyle w:val="Hyperlink"/>
            <w:sz w:val="20"/>
            <w:szCs w:val="20"/>
          </w:rPr>
          <w:t>odjeljak 1.2.1.</w:t>
        </w:r>
      </w:hyperlink>
      <w:r>
        <w:t xml:space="preserve">). </w:t>
      </w:r>
      <w:bookmarkStart w:id="15"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2096" behindDoc="0" locked="0" layoutInCell="1" allowOverlap="1" wp14:anchorId="1771AA66" wp14:editId="665AB1F5">
                <wp:simplePos x="0" y="0"/>
                <wp:positionH relativeFrom="column">
                  <wp:posOffset>-66675</wp:posOffset>
                </wp:positionH>
                <wp:positionV relativeFrom="paragraph">
                  <wp:posOffset>0</wp:posOffset>
                </wp:positionV>
                <wp:extent cx="2832735" cy="4324350"/>
                <wp:effectExtent l="0" t="0" r="2476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24350"/>
                        </a:xfrm>
                        <a:prstGeom prst="round2DiagRect">
                          <a:avLst>
                            <a:gd name="adj1" fmla="val 6641"/>
                            <a:gd name="adj2" fmla="val 0"/>
                          </a:avLst>
                        </a:prstGeom>
                        <a:noFill/>
                        <a:ln w="25400" cap="flat" cmpd="sng" algn="ctr">
                          <a:solidFill>
                            <a:srgbClr val="F07E31"/>
                          </a:solidFill>
                          <a:prstDash val="solid"/>
                        </a:ln>
                        <a:effectLst/>
                      </wps:spPr>
                      <wps:txbx>
                        <w:txbxContent>
                          <w:p w:rsidR="00FD4C56" w:rsidRPr="00E05D08" w:rsidRDefault="00FD4C56"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Primjeri moguće potpore 1. putanji u okviru PRR-a</w:t>
                            </w:r>
                          </w:p>
                          <w:p w:rsidR="00FD4C56" w:rsidRPr="00230C31" w:rsidRDefault="00FD4C56" w:rsidP="00230C31">
                            <w:pPr>
                              <w:pStyle w:val="Hlistbullet"/>
                              <w:rPr>
                                <w:sz w:val="18"/>
                                <w:szCs w:val="18"/>
                              </w:rPr>
                            </w:pPr>
                            <w:r>
                              <w:rPr>
                                <w:sz w:val="18"/>
                                <w:szCs w:val="18"/>
                              </w:rPr>
                              <w:t xml:space="preserve">razvoj, ispitivanje i promidžba stroja za mehaničko suzbijanje bujanja korova na poljoprivrednom zemljištu (npr. djelatnosti koje se provode na temelju članaka 17. i 35. Uredbe (EU) br. 1305/2013) </w:t>
                            </w:r>
                          </w:p>
                          <w:p w:rsidR="00FD4C56" w:rsidRPr="00230C31" w:rsidRDefault="00FD4C56" w:rsidP="00230C31">
                            <w:pPr>
                              <w:pStyle w:val="Hlistbullet"/>
                              <w:rPr>
                                <w:sz w:val="18"/>
                                <w:szCs w:val="18"/>
                              </w:rPr>
                            </w:pPr>
                            <w:r>
                              <w:rPr>
                                <w:sz w:val="18"/>
                                <w:szCs w:val="18"/>
                              </w:rPr>
                              <w:t xml:space="preserve">ispitivanje i pružanje novih vrsta usluga na ruralnim područjima (npr. djelatnosti koje se provode na temelju članaka 20. i 35. Uredbe (EU) br. 1305/2013) </w:t>
                            </w:r>
                          </w:p>
                          <w:p w:rsidR="00FD4C56" w:rsidRPr="00230C31" w:rsidRDefault="00FD4C56" w:rsidP="00230C31">
                            <w:pPr>
                              <w:pStyle w:val="Hlistbullet"/>
                              <w:rPr>
                                <w:sz w:val="18"/>
                                <w:szCs w:val="18"/>
                              </w:rPr>
                            </w:pPr>
                            <w:r>
                              <w:rPr>
                                <w:sz w:val="18"/>
                                <w:szCs w:val="18"/>
                              </w:rPr>
                              <w:t>uvođenje novih načina organizacije sastanaka, konferencija i osposobljavanja (npr. novim tehnikama olakšavanja, okruglim stolovima) (npr. djelatnosti koje se provode na temelju članka 14. Uredbe (EU) br.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5.25pt;margin-top:0;width:223.05pt;height:34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2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" adj="-11796480,,5400" path="m188122,l2832735,r,l2832735,4136228v,103897,-84225,188122,-188122,188122l,4324350r,l,188122c,84225,84225,,188122,xe" filled="f" strokecolor="#f07e31" strokeweight="2pt">
                <v:stroke joinstyle="miter"/>
                <v:formulas/>
                <v:path arrowok="t" o:connecttype="custom" o:connectlocs="188122,0;2832735,0;2832735,0;2832735,4136228;2644613,4324350;0,4324350;0,4324350;0,188122;188122,0" o:connectangles="0,0,0,0,0,0,0,0,0" textboxrect="0,0,2832735,4324350"/>
                <v:textbox>
                  <w:txbxContent>
                    <w:p w:rsidR="00FD4C56" w:rsidRPr="00E05D08" w:rsidRDefault="00FD4C56" w:rsidP="00E05D08">
                      <w:pPr>
                        <w:pStyle w:val="Normal12PTcouleurgris"/>
                        <w:rPr>
                          <w:b/>
                          <w:color w:val="F07E31"/>
                        </w:rPr>
                      </w:pPr>
                      <w:r>
                        <w:rPr>
                          <w:noProof/>
                          <w:lang w:val="en-GB"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Primjeri moguće potpore 1. putanji u okviru PRR-a</w:t>
                      </w:r>
                    </w:p>
                    <w:p w:rsidR="00FD4C56" w:rsidRPr="00230C31" w:rsidRDefault="00FD4C56" w:rsidP="00230C31">
                      <w:pPr>
                        <w:pStyle w:val="Hlistbullet"/>
                        <w:rPr>
                          <w:sz w:val="18"/>
                          <w:szCs w:val="18"/>
                        </w:rPr>
                      </w:pPr>
                      <w:r>
                        <w:rPr>
                          <w:sz w:val="18"/>
                          <w:szCs w:val="18"/>
                        </w:rPr>
                        <w:t xml:space="preserve">razvoj, ispitivanje i promidžba stroja za mehaničko suzbijanje bujanja korova na poljoprivrednom zemljištu (npr. djelatnosti koje se provode na temelju članaka 17. i 35. Uredbe (EU) br. 1305/2013) </w:t>
                      </w:r>
                    </w:p>
                    <w:p w:rsidR="00FD4C56" w:rsidRPr="00230C31" w:rsidRDefault="00FD4C56" w:rsidP="00230C31">
                      <w:pPr>
                        <w:pStyle w:val="Hlistbullet"/>
                        <w:rPr>
                          <w:sz w:val="18"/>
                          <w:szCs w:val="18"/>
                        </w:rPr>
                      </w:pPr>
                      <w:r>
                        <w:rPr>
                          <w:sz w:val="18"/>
                          <w:szCs w:val="18"/>
                        </w:rPr>
                        <w:t xml:space="preserve">ispitivanje i pružanje novih vrsta usluga na ruralnim područjima (npr. djelatnosti koje se provode na temelju članaka 20. i 35. Uredbe (EU) br. 1305/2013) </w:t>
                      </w:r>
                    </w:p>
                    <w:p w:rsidR="00FD4C56" w:rsidRPr="00230C31" w:rsidRDefault="00FD4C56" w:rsidP="00230C31">
                      <w:pPr>
                        <w:pStyle w:val="Hlistbullet"/>
                        <w:rPr>
                          <w:sz w:val="18"/>
                          <w:szCs w:val="18"/>
                        </w:rPr>
                      </w:pPr>
                      <w:r>
                        <w:rPr>
                          <w:sz w:val="18"/>
                          <w:szCs w:val="18"/>
                        </w:rPr>
                        <w:t>uvođenje novih načina organizacije sastanaka, konferencija i osposobljavanja (npr. novim tehnikama olakšavanja, okruglim stolovima) (npr. djelatnosti koje se provode na temelju članka 14. Uredbe (EU) br. 1305/2013)</w:t>
                      </w:r>
                    </w:p>
                  </w:txbxContent>
                </v:textbox>
                <w10:wrap type="square"/>
              </v:shape>
            </w:pict>
          </mc:Fallback>
        </mc:AlternateContent>
      </w:r>
      <w:r>
        <w:rPr>
          <w:b/>
          <w:color w:val="F07E31"/>
          <w:szCs w:val="20"/>
        </w:rPr>
        <w:t>Prva pu</w:t>
      </w:r>
      <w:r w:rsidRPr="00F86385">
        <w:rPr>
          <w:b/>
          <w:color w:val="F07E31"/>
          <w:szCs w:val="20"/>
        </w:rPr>
        <w:t>t</w:t>
      </w:r>
      <w:r>
        <w:rPr>
          <w:b/>
          <w:color w:val="F07E31"/>
          <w:szCs w:val="20"/>
        </w:rPr>
        <w:t>anja</w:t>
      </w:r>
      <w:r>
        <w:t xml:space="preserve"> može se opisati kao sposobnost utvrđivanja i njegovanja obećavajućih ideja koje mogu dovesti do inovacija bilo koje vrste (tehnoloških, netehnoloških, društvenih, organizacijskih itd.). Ta nova ideja mora imati veliki doseg da bi postala stvarna inovacija koja poželjno odgovara na određenu potrebu ili pruža mogućnost koju mogu iskoristiti mnogi. Dva glavna načina na koji se mogu njegovati ideje radi izgradnje inovacijskih procesa jesu: 1. individualni pristup (otkrivanje i poticanje rada muškarca/žene s idejom); 2. suradnja različitih dionika u skupinama radi otkrivanja novih ideja za njegovanje (povezivanje najboljih partnera u jednu skupinu u kojoj će se spojiti sposobnosti koje se međusobno nadopunjuju, a potrebne su za osmišljavanje inovacijskog projekta). </w:t>
      </w:r>
    </w:p>
    <w:bookmarkEnd w:id="15"/>
    <w:p w:rsidR="000E1D4B" w:rsidRDefault="00A45935" w:rsidP="00E05D08">
      <w:pPr>
        <w:spacing w:after="120" w:line="280" w:lineRule="atLeast"/>
        <w:mirrorIndents/>
        <w:rPr>
          <w:rFonts w:eastAsia="Times New Roman" w:cs="Times New Roman"/>
          <w:szCs w:val="20"/>
        </w:rPr>
      </w:pPr>
      <w:r>
        <w:t xml:space="preserve">Da bi se smatrala inovativnom, ideja ili barem neki njezin dio mora biti nova pojava u ciljanom okruženju ili području te je mora pratiti uvjerljivo obećanje o njezinoj korisnosti (odnosno može pomoći jednom dioniku ili većem broju njih da učine nešto drugačije, bolje ili jeftinije, odgovara na potrebu ili stvara mogućnost za nešto). </w:t>
      </w:r>
    </w:p>
    <w:p w:rsidR="000E1D4B" w:rsidRDefault="000E1D4B">
      <w:pPr>
        <w:rPr>
          <w:rFonts w:eastAsia="Times New Roman" w:cs="Times New Roman"/>
          <w:szCs w:val="20"/>
        </w:rPr>
      </w:pPr>
      <w:r>
        <w:br w:type="page"/>
      </w:r>
    </w:p>
    <w:p w:rsidR="00A45935" w:rsidRPr="00E05D08" w:rsidRDefault="00A45935" w:rsidP="00E05D08">
      <w:pPr>
        <w:spacing w:after="120" w:line="280" w:lineRule="atLeast"/>
        <w:mirrorIndents/>
        <w:rPr>
          <w:rFonts w:eastAsia="Times New Roman" w:cs="Times New Roman"/>
          <w:szCs w:val="20"/>
        </w:rPr>
      </w:pPr>
      <w:r w:rsidRPr="00F13B74">
        <w:rPr>
          <w:b/>
          <w:color w:val="F07E31"/>
        </w:rPr>
        <w:lastRenderedPageBreak/>
        <w:t>Druga putanja</w:t>
      </w:r>
      <w:r w:rsidRPr="00F13B74">
        <w:rPr>
          <w:color w:val="F07E31"/>
        </w:rPr>
        <w:t xml:space="preserve"> </w:t>
      </w:r>
      <w:r>
        <w:t>odnosi se na izgradnju inovacijskog kapaciteta. Ta putanja u određenim okolnostima može proizaći iz provedbe prve putanje. PRR može olakšati proces utvrđivanja izazova i mogućnosti u razvoju okupljanjem zainteresiranih i relevantnih inovacijskih subjekata (npr. u operativnim skupinama EPI-ja</w:t>
      </w:r>
      <w:r>
        <w:rPr>
          <w:rFonts w:eastAsia="Times New Roman" w:cs="Times New Roman"/>
          <w:szCs w:val="20"/>
          <w:vertAlign w:val="superscript"/>
          <w:lang w:eastAsia="de-DE"/>
        </w:rPr>
        <w:footnoteReference w:id="5"/>
      </w:r>
      <w:r>
        <w:t xml:space="preserve"> u kojima se inovativne prakse ispituju suradnjom među relevantnim dionicima sa znanjima koja se međusobno nadopunjuju (npr. poljoprivrednicima, poduzećima, savjetodavnim službama, istraživačima i drugima) kako bi se postigli ciljevi inovativnog projekta). To pomaže u premošćivanju jaza između znanosti i prakse jer se razvijaju potrebne vještine i znanja. Koristi se mogu ostvariti i od sinergija koje nastaju projektima s više dionika koji se financiraju u okviru politike EU-a za istraživanje i inovacije Obzor 2020.</w:t>
      </w:r>
      <w:r>
        <w:rPr>
          <w:rFonts w:eastAsia="Times New Roman" w:cs="Times New Roman"/>
          <w:szCs w:val="20"/>
          <w:vertAlign w:val="superscript"/>
          <w:lang w:eastAsia="de-DE"/>
        </w:rPr>
        <w:footnoteReference w:id="6"/>
      </w:r>
      <w:r>
        <w:t xml:space="preserve">, </w:t>
      </w:r>
      <w:r>
        <w:rPr>
          <w:rFonts w:eastAsia="Times New Roman" w:cs="Times New Roman"/>
          <w:szCs w:val="20"/>
          <w:vertAlign w:val="superscript"/>
          <w:lang w:eastAsia="de-DE"/>
        </w:rPr>
        <w:footnoteReference w:id="7"/>
      </w:r>
      <w:r>
        <w:t>. Operativne skupine mogu potaknuti stvaranje društveno-tehničkih niša. Društveno-tehnička niša siguran je prostor u kojem ljudi mogu učiti o novim tehnologijama i/ili institucijama i/ili novim načinima rada te ih iskušati. Kada se ispravno strukturiraju i povežu, niše mogu postati dio širih društvenih promjena ka održivom razvoju</w:t>
      </w:r>
      <w:r>
        <w:rPr>
          <w:rFonts w:eastAsia="Times New Roman" w:cs="Arial"/>
          <w:szCs w:val="20"/>
          <w:vertAlign w:val="superscript"/>
          <w:lang w:eastAsia="de-DE"/>
        </w:rPr>
        <w:footnoteReference w:id="8"/>
      </w:r>
      <w:r>
        <w:rPr>
          <w:rStyle w:val="FootnoteReference"/>
          <w:rFonts w:eastAsia="Times New Roman" w:cs="Times New Roman"/>
          <w:color w:val="FFFFFF" w:themeColor="background1"/>
          <w:szCs w:val="20"/>
          <w:lang w:eastAsia="de-DE"/>
        </w:rPr>
        <w:footnoteReference w:id="9"/>
      </w:r>
      <w:r>
        <w:rPr>
          <w:rStyle w:val="FootnoteReference"/>
          <w:rFonts w:eastAsia="Times New Roman" w:cs="Times New Roman"/>
          <w:color w:val="FFFFFF" w:themeColor="background1"/>
          <w:szCs w:val="20"/>
          <w:lang w:eastAsia="de-DE"/>
        </w:rPr>
        <w:footnoteReference w:id="10"/>
      </w:r>
      <w:r>
        <w:rPr>
          <w:rStyle w:val="FootnoteReference"/>
          <w:rFonts w:eastAsia="Times New Roman" w:cs="Times New Roman"/>
          <w:color w:val="FFFFFF" w:themeColor="background1"/>
          <w:szCs w:val="20"/>
          <w:lang w:eastAsia="de-DE"/>
        </w:rPr>
        <w:footnoteReference w:id="11"/>
      </w:r>
      <w:r>
        <w:t xml:space="preserve">. </w:t>
      </w:r>
    </w:p>
    <w:p w:rsidR="00A45935" w:rsidRPr="00E05D08" w:rsidRDefault="00F74459" w:rsidP="002F0ABF">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65408" behindDoc="0" locked="0" layoutInCell="1" allowOverlap="1" wp14:anchorId="413F6F10" wp14:editId="573F6A8B">
                <wp:simplePos x="0" y="0"/>
                <wp:positionH relativeFrom="column">
                  <wp:posOffset>-219075</wp:posOffset>
                </wp:positionH>
                <wp:positionV relativeFrom="paragraph">
                  <wp:posOffset>1</wp:posOffset>
                </wp:positionV>
                <wp:extent cx="6090263" cy="3581400"/>
                <wp:effectExtent l="0" t="0" r="254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90263" cy="3581400"/>
                        </a:xfrm>
                        <a:prstGeom prst="round2DiagRect">
                          <a:avLst>
                            <a:gd name="adj1" fmla="val 6633"/>
                            <a:gd name="adj2" fmla="val 0"/>
                          </a:avLst>
                        </a:prstGeom>
                        <a:noFill/>
                        <a:ln w="25400" cap="flat" cmpd="sng" algn="ctr">
                          <a:solidFill>
                            <a:srgbClr val="F07E31"/>
                          </a:solidFill>
                          <a:prstDash val="solid"/>
                        </a:ln>
                        <a:effectLst/>
                      </wps:spPr>
                      <wps:txbx>
                        <w:txbxContent>
                          <w:p w:rsidR="00FD4C56" w:rsidRPr="002F0ABF" w:rsidRDefault="00FD4C56" w:rsidP="00E05D08">
                            <w:pPr>
                              <w:pStyle w:val="Normal12PTcouleurgris"/>
                              <w:rPr>
                                <w:b/>
                                <w:color w:val="F07E31"/>
                                <w:sz w:val="16"/>
                                <w:szCs w:val="16"/>
                              </w:rPr>
                            </w:pPr>
                            <w:r>
                              <w:rPr>
                                <w:noProof/>
                                <w:lang w:val="en-GB" w:eastAsia="en-GB"/>
                              </w:rPr>
                              <w:drawing>
                                <wp:inline distT="0" distB="0" distL="0" distR="0" wp14:anchorId="6B2497E0" wp14:editId="75E35DBD">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Primjeri moguće potpore 2. putanji u okviru PRR-a</w:t>
                            </w:r>
                          </w:p>
                          <w:p w:rsidR="00FD4C56" w:rsidRPr="002F0ABF" w:rsidRDefault="00FD4C56" w:rsidP="00E05D08">
                            <w:pPr>
                              <w:pStyle w:val="Normal12PTcouleurgris"/>
                              <w:rPr>
                                <w:sz w:val="16"/>
                                <w:szCs w:val="16"/>
                              </w:rPr>
                            </w:pPr>
                            <w:r>
                              <w:rPr>
                                <w:sz w:val="16"/>
                                <w:szCs w:val="16"/>
                              </w:rPr>
                              <w:t>Ključne vještine i kvalitete inovacijskih subjekata</w:t>
                            </w:r>
                            <w:r w:rsidRPr="00C96CAE">
                              <w:rPr>
                                <w:sz w:val="18"/>
                                <w:szCs w:val="16"/>
                                <w:vertAlign w:val="superscript"/>
                              </w:rPr>
                              <w:t>9</w:t>
                            </w:r>
                            <w:r>
                              <w:rPr>
                                <w:sz w:val="16"/>
                                <w:szCs w:val="16"/>
                              </w:rPr>
                              <w:t xml:space="preserve"> za koje se može dodijeliti potpora u okviru PRR-a i koje utječu na djelatnosti povezane s „inovacijskim kapacitetom” jesu sljedeće: </w:t>
                            </w:r>
                          </w:p>
                          <w:p w:rsidR="00FD4C56" w:rsidRPr="002F0ABF" w:rsidRDefault="00FD4C56" w:rsidP="00E05D08">
                            <w:pPr>
                              <w:pStyle w:val="Hlistbullet"/>
                              <w:rPr>
                                <w:sz w:val="16"/>
                                <w:szCs w:val="16"/>
                              </w:rPr>
                            </w:pPr>
                            <w:r>
                              <w:rPr>
                                <w:sz w:val="16"/>
                                <w:szCs w:val="16"/>
                              </w:rPr>
                              <w:t>tehnička i specijalizirana znanja i vještine koji se odnose na predmetno područje, a koji su potrebni da bi nove ideje funkcionirale u praksi, uključujući sposobnost utvrđivanja različitih mogućnosti i odabira jedne od njih (npr. djelatnosti koje se provode na temelju članaka 14., 15. i 35. Uredbe (EU) br. 1305/2013)</w:t>
                            </w:r>
                          </w:p>
                          <w:p w:rsidR="00FD4C56" w:rsidRPr="002F0ABF" w:rsidRDefault="00FD4C56" w:rsidP="00E05D08">
                            <w:pPr>
                              <w:pStyle w:val="Hlistbullet"/>
                              <w:rPr>
                                <w:sz w:val="16"/>
                                <w:szCs w:val="16"/>
                              </w:rPr>
                            </w:pPr>
                            <w:r>
                              <w:rPr>
                                <w:sz w:val="16"/>
                                <w:szCs w:val="16"/>
                              </w:rPr>
                              <w:t>organizacijske i meke vještine koje su potrebne za olakšavanje inovacijskih procesa i posredovanje</w:t>
                            </w:r>
                            <w:r w:rsidRPr="00C96CAE">
                              <w:rPr>
                                <w:sz w:val="18"/>
                                <w:szCs w:val="16"/>
                                <w:vertAlign w:val="superscript"/>
                              </w:rPr>
                              <w:t>10</w:t>
                            </w:r>
                            <w:r>
                              <w:rPr>
                                <w:sz w:val="16"/>
                                <w:szCs w:val="16"/>
                              </w:rPr>
                              <w:t xml:space="preserve"> u njima, uključujući sposobnost izgradnje poveznica i mreža među dionicima, sposobnost provedbe iterativnih ciklusa predviđanja budućih scenarija, planiranja i refleksivnog učenja te sposobnost utvrđivanja ključnih dinamika i izazova u sustavu (npr. djelatnosti koje se provode na temelju članka 35. Uredbe (EU) br. 1305/2013)</w:t>
                            </w:r>
                          </w:p>
                          <w:p w:rsidR="00FD4C56" w:rsidRPr="002F0ABF" w:rsidRDefault="00FD4C56" w:rsidP="00E05D08">
                            <w:pPr>
                              <w:pStyle w:val="Hlistbullet"/>
                              <w:rPr>
                                <w:sz w:val="16"/>
                                <w:szCs w:val="16"/>
                              </w:rPr>
                            </w:pPr>
                            <w:r>
                              <w:rPr>
                                <w:sz w:val="16"/>
                                <w:szCs w:val="16"/>
                              </w:rPr>
                              <w:t>povećani kapacitet za djelotvorno zajedničko djelovanje</w:t>
                            </w:r>
                            <w:r w:rsidRPr="00C96CAE">
                              <w:rPr>
                                <w:sz w:val="18"/>
                                <w:szCs w:val="16"/>
                                <w:vertAlign w:val="superscript"/>
                              </w:rPr>
                              <w:t>11</w:t>
                            </w:r>
                            <w:r>
                              <w:rPr>
                                <w:sz w:val="16"/>
                                <w:szCs w:val="16"/>
                              </w:rPr>
                              <w:t xml:space="preserve"> (npr. za organizaciju pokaznih i informativnih aktivnosti na suradnički način s ciljem prijenosa iskustva i znanja među subjektima ili za suradnju subjekata u lancu opskrbe radi opskrbe biomasom za proizvodnju hrane i energije itd.) (djelatnosti koje se provode na temelju članaka 14., 15. i 35. Uredbe (EU) br. 1305/2013)</w:t>
                            </w:r>
                          </w:p>
                          <w:p w:rsidR="00FD4C56" w:rsidRPr="002F0ABF" w:rsidRDefault="00FD4C56" w:rsidP="00E05D08">
                            <w:pPr>
                              <w:pStyle w:val="Hlistbullet"/>
                              <w:rPr>
                                <w:sz w:val="16"/>
                                <w:szCs w:val="16"/>
                              </w:rPr>
                            </w:pPr>
                            <w:r>
                              <w:rPr>
                                <w:sz w:val="16"/>
                                <w:szCs w:val="16"/>
                              </w:rPr>
                              <w:t>intervencije u okviru PRR-a mogu izgraditi inovacijski kapacitet pružanjem mogućnosti za prijenos znanja (npr. usluge, osposobljavanje i mentorstvo) (djelatnosti koje se provode na temelju članka 15. Uredbe (EU) br.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6F10" id="Rectangle: Diagonal Corners Rounded 57" o:spid="_x0000_s1033" style="position:absolute;left:0;text-align:left;margin-left:-17.25pt;margin-top:0;width:479.55pt;height:2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0263,358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" adj="-11796480,,5400" path="m237554,l6090263,r,l6090263,3343846v,131197,-106357,237554,-237554,237554l,3581400r,l,237554c,106357,106357,,237554,xe" filled="f" strokecolor="#f07e31" strokeweight="2pt">
                <v:stroke joinstyle="miter"/>
                <v:formulas/>
                <v:path arrowok="t" o:connecttype="custom" o:connectlocs="237554,0;6090263,0;6090263,0;6090263,3343846;5852709,3581400;0,3581400;0,3581400;0,237554;237554,0" o:connectangles="0,0,0,0,0,0,0,0,0" textboxrect="0,0,6090263,3581400"/>
                <v:textbox inset=",0,,0">
                  <w:txbxContent>
                    <w:p w:rsidR="00FD4C56" w:rsidRPr="002F0ABF" w:rsidRDefault="00FD4C56" w:rsidP="00E05D08">
                      <w:pPr>
                        <w:pStyle w:val="Normal12PTcouleurgris"/>
                        <w:rPr>
                          <w:b/>
                          <w:color w:val="F07E31"/>
                          <w:sz w:val="16"/>
                          <w:szCs w:val="16"/>
                        </w:rPr>
                      </w:pPr>
                      <w:r>
                        <w:rPr>
                          <w:noProof/>
                          <w:lang w:val="en-GB" w:eastAsia="en-GB"/>
                        </w:rPr>
                        <w:drawing>
                          <wp:inline distT="0" distB="0" distL="0" distR="0" wp14:anchorId="6B2497E0" wp14:editId="75E35DBD">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Primjeri moguće potpore 2. putanji u okviru PRR-a</w:t>
                      </w:r>
                    </w:p>
                    <w:p w:rsidR="00FD4C56" w:rsidRPr="002F0ABF" w:rsidRDefault="00FD4C56" w:rsidP="00E05D08">
                      <w:pPr>
                        <w:pStyle w:val="Normal12PTcouleurgris"/>
                        <w:rPr>
                          <w:sz w:val="16"/>
                          <w:szCs w:val="16"/>
                        </w:rPr>
                      </w:pPr>
                      <w:r>
                        <w:rPr>
                          <w:sz w:val="16"/>
                          <w:szCs w:val="16"/>
                        </w:rPr>
                        <w:t>Ključne vještine i kvalitete inovacijskih subjekata</w:t>
                      </w:r>
                      <w:r w:rsidRPr="00C96CAE">
                        <w:rPr>
                          <w:sz w:val="18"/>
                          <w:szCs w:val="16"/>
                          <w:vertAlign w:val="superscript"/>
                        </w:rPr>
                        <w:t>9</w:t>
                      </w:r>
                      <w:r>
                        <w:rPr>
                          <w:sz w:val="16"/>
                          <w:szCs w:val="16"/>
                        </w:rPr>
                        <w:t xml:space="preserve"> za koje se može dodijeliti potpora u okviru PRR-a i koje utječu na djelatnosti povezane s „inovacijskim kapacitetom” jesu sljedeće: </w:t>
                      </w:r>
                    </w:p>
                    <w:p w:rsidR="00FD4C56" w:rsidRPr="002F0ABF" w:rsidRDefault="00FD4C56" w:rsidP="00E05D08">
                      <w:pPr>
                        <w:pStyle w:val="Hlistbullet"/>
                        <w:rPr>
                          <w:sz w:val="16"/>
                          <w:szCs w:val="16"/>
                        </w:rPr>
                      </w:pPr>
                      <w:r>
                        <w:rPr>
                          <w:sz w:val="16"/>
                          <w:szCs w:val="16"/>
                        </w:rPr>
                        <w:t>tehnička i specijalizirana znanja i vještine koji se odnose na predmetno područje, a koji su potrebni da bi nove ideje funkcionirale u praksi, uključujući sposobnost utvrđivanja različitih mogućnosti i odabira jedne od njih (npr. djelatnosti koje se provode na temelju članaka 14., 15. i 35. Uredbe (EU) br. 1305/2013)</w:t>
                      </w:r>
                    </w:p>
                    <w:p w:rsidR="00FD4C56" w:rsidRPr="002F0ABF" w:rsidRDefault="00FD4C56" w:rsidP="00E05D08">
                      <w:pPr>
                        <w:pStyle w:val="Hlistbullet"/>
                        <w:rPr>
                          <w:sz w:val="16"/>
                          <w:szCs w:val="16"/>
                        </w:rPr>
                      </w:pPr>
                      <w:r>
                        <w:rPr>
                          <w:sz w:val="16"/>
                          <w:szCs w:val="16"/>
                        </w:rPr>
                        <w:t>organizacijske i meke vještine koje su potrebne za olakšavanje inovacijskih procesa i posredovanje</w:t>
                      </w:r>
                      <w:r w:rsidRPr="00C96CAE">
                        <w:rPr>
                          <w:sz w:val="18"/>
                          <w:szCs w:val="16"/>
                          <w:vertAlign w:val="superscript"/>
                        </w:rPr>
                        <w:t>10</w:t>
                      </w:r>
                      <w:r>
                        <w:rPr>
                          <w:sz w:val="16"/>
                          <w:szCs w:val="16"/>
                        </w:rPr>
                        <w:t xml:space="preserve"> u njima, uključujući sposobnost izgradnje poveznica i mreža među dionicima, sposobnost provedbe iterativnih ciklusa predviđanja budućih scenarija, planiranja i refleksivnog učenja te sposobnost utvrđivanja ključnih dinamika i izazova u sustavu (npr. djelatnosti koje se provode na temelju članka 35. Uredbe (EU) br. 1305/2013)</w:t>
                      </w:r>
                    </w:p>
                    <w:p w:rsidR="00FD4C56" w:rsidRPr="002F0ABF" w:rsidRDefault="00FD4C56" w:rsidP="00E05D08">
                      <w:pPr>
                        <w:pStyle w:val="Hlistbullet"/>
                        <w:rPr>
                          <w:sz w:val="16"/>
                          <w:szCs w:val="16"/>
                        </w:rPr>
                      </w:pPr>
                      <w:r>
                        <w:rPr>
                          <w:sz w:val="16"/>
                          <w:szCs w:val="16"/>
                        </w:rPr>
                        <w:t>povećani kapacitet za djelotvorno zajedničko djelovanje</w:t>
                      </w:r>
                      <w:r w:rsidRPr="00C96CAE">
                        <w:rPr>
                          <w:sz w:val="18"/>
                          <w:szCs w:val="16"/>
                          <w:vertAlign w:val="superscript"/>
                        </w:rPr>
                        <w:t>11</w:t>
                      </w:r>
                      <w:r>
                        <w:rPr>
                          <w:sz w:val="16"/>
                          <w:szCs w:val="16"/>
                        </w:rPr>
                        <w:t xml:space="preserve"> (npr. za organizaciju pokaznih i informativnih aktivnosti na suradnički način s ciljem prijenosa iskustva i znanja među subjektima ili za suradnju subjekata u lancu opskrbe radi opskrbe biomasom za proizvodnju hrane i energije itd.) (djelatnosti koje se provode na temelju članaka 14., 15. i 35. Uredbe (EU) br. 1305/2013)</w:t>
                      </w:r>
                    </w:p>
                    <w:p w:rsidR="00FD4C56" w:rsidRPr="002F0ABF" w:rsidRDefault="00FD4C56" w:rsidP="00E05D08">
                      <w:pPr>
                        <w:pStyle w:val="Hlistbullet"/>
                        <w:rPr>
                          <w:sz w:val="16"/>
                          <w:szCs w:val="16"/>
                        </w:rPr>
                      </w:pPr>
                      <w:r>
                        <w:rPr>
                          <w:sz w:val="16"/>
                          <w:szCs w:val="16"/>
                        </w:rPr>
                        <w:t>intervencije u okviru PRR-a mogu izgraditi inovacijski kapacitet pružanjem mogućnosti za prijenos znanja (npr. usluge, osposobljavanje i mentorstvo) (djelatnosti koje se provode na temelju članka 15. Uredbe (EU) br. 1305/2013).</w:t>
                      </w:r>
                    </w:p>
                  </w:txbxContent>
                </v:textbox>
              </v:shape>
            </w:pict>
          </mc:Fallback>
        </mc:AlternateContent>
      </w:r>
      <w:r>
        <w:br w:type="column"/>
      </w:r>
      <w:r w:rsidR="002C4B6F">
        <w:rPr>
          <w:noProof/>
          <w:lang w:val="en-GB" w:eastAsia="en-GB"/>
        </w:rPr>
        <w:lastRenderedPageBreak/>
        <mc:AlternateContent>
          <mc:Choice Requires="wps">
            <w:drawing>
              <wp:anchor distT="0" distB="0" distL="114300" distR="114300" simplePos="0" relativeHeight="251635712" behindDoc="0" locked="0" layoutInCell="1" allowOverlap="1" wp14:anchorId="29654D16" wp14:editId="2E4B14A4">
                <wp:simplePos x="0" y="0"/>
                <wp:positionH relativeFrom="column">
                  <wp:posOffset>2924175</wp:posOffset>
                </wp:positionH>
                <wp:positionV relativeFrom="paragraph">
                  <wp:posOffset>66675</wp:posOffset>
                </wp:positionV>
                <wp:extent cx="2832735" cy="7353300"/>
                <wp:effectExtent l="0" t="0" r="2476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7353300"/>
                        </a:xfrm>
                        <a:prstGeom prst="round2DiagRect">
                          <a:avLst>
                            <a:gd name="adj1" fmla="val 5907"/>
                            <a:gd name="adj2" fmla="val 0"/>
                          </a:avLst>
                        </a:prstGeom>
                        <a:noFill/>
                        <a:ln w="25400" cap="flat" cmpd="sng" algn="ctr">
                          <a:solidFill>
                            <a:srgbClr val="F07E31"/>
                          </a:solidFill>
                          <a:prstDash val="solid"/>
                        </a:ln>
                        <a:effectLst/>
                      </wps:spPr>
                      <wps:txbx>
                        <w:txbxContent>
                          <w:p w:rsidR="00FD4C56" w:rsidRPr="00E05D08" w:rsidRDefault="00FD4C56" w:rsidP="004508D0">
                            <w:pPr>
                              <w:pStyle w:val="Normal12PTcouleurgris"/>
                              <w:rPr>
                                <w:b/>
                                <w:color w:val="F07E31"/>
                              </w:rPr>
                            </w:pPr>
                            <w:r>
                              <w:rPr>
                                <w:noProof/>
                                <w:lang w:val="en-GB" w:eastAsia="en-GB"/>
                              </w:rPr>
                              <w:drawing>
                                <wp:inline distT="0" distB="0" distL="0" distR="0" wp14:anchorId="26239E49" wp14:editId="3F7C214C">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Primjeri moguće potpore 3. putanji u okviru PRR-a</w:t>
                            </w:r>
                          </w:p>
                          <w:p w:rsidR="00FD4C56" w:rsidRPr="002B58E1" w:rsidRDefault="00FD4C56" w:rsidP="004508D0">
                            <w:pPr>
                              <w:pStyle w:val="Hlistbullet"/>
                              <w:rPr>
                                <w:sz w:val="18"/>
                                <w:szCs w:val="18"/>
                              </w:rPr>
                            </w:pPr>
                            <w:r>
                              <w:rPr>
                                <w:sz w:val="18"/>
                                <w:szCs w:val="18"/>
                              </w:rPr>
                              <w:t xml:space="preserve">PRR u kojem su prioriteti aktivnosti informiranja i osposobljavanja (članak 14. Uredbe (EU) br. 1305/2013) i savjetodavne službe (članak 15. Uredbe (EU) br. 1305/2013) na temelju inovativnih praksi koje su razvili nadležni OS-ovi (članak 35. Uredbe (EU) br. 1305/2013) ili inovativnih praksi koje su razvili OS-ovi iz drugih regija ili zemalja (aktivnosti NRM-a, tehnička pomoć) </w:t>
                            </w:r>
                          </w:p>
                          <w:p w:rsidR="00FD4C56" w:rsidRPr="002B58E1" w:rsidRDefault="00FD4C56" w:rsidP="004508D0">
                            <w:pPr>
                              <w:pStyle w:val="Hlistbullet"/>
                              <w:rPr>
                                <w:sz w:val="18"/>
                                <w:szCs w:val="18"/>
                              </w:rPr>
                            </w:pPr>
                            <w:r>
                              <w:rPr>
                                <w:sz w:val="18"/>
                                <w:szCs w:val="18"/>
                              </w:rPr>
                              <w:t>PRR kojim se poboljšava pristup internetu u ruralnim područjima pomoći će lokalnim poduzećima i poljoprivrednicima da imaju pristup informacijama i tržištima te tako povećati njihovu sposobnost i motivaciju za inovacije (npr. djelatnosti koje se provode na temelju članka 20. Uredbe (EU) br. 1305/2013)</w:t>
                            </w:r>
                          </w:p>
                          <w:p w:rsidR="00FD4C56" w:rsidRPr="002B58E1" w:rsidRDefault="00FD4C56" w:rsidP="004508D0">
                            <w:pPr>
                              <w:pStyle w:val="Hlistbullet"/>
                              <w:rPr>
                                <w:b/>
                                <w:sz w:val="18"/>
                                <w:szCs w:val="18"/>
                              </w:rPr>
                            </w:pPr>
                            <w:r>
                              <w:rPr>
                                <w:sz w:val="18"/>
                                <w:szCs w:val="18"/>
                              </w:rPr>
                              <w:t>PRR OS-a u okviru kojeg se razvija inovativna oprema za obradu tla koja uključuje i ostatke kultura može potaknuti inovativna ulaganja i strožu provedbu zakona o zabrani spaljivanja ostataka kultura (npr. djelatnosti koje se provode na temelju članka 17. Uredbe (EU) br. 1305/2013)</w:t>
                            </w:r>
                          </w:p>
                          <w:p w:rsidR="00FD4C56" w:rsidRPr="002B58E1" w:rsidRDefault="00FD4C56" w:rsidP="004508D0">
                            <w:pPr>
                              <w:pStyle w:val="Hlistbullet"/>
                              <w:rPr>
                                <w:sz w:val="18"/>
                                <w:szCs w:val="18"/>
                              </w:rPr>
                            </w:pPr>
                            <w:r>
                              <w:rPr>
                                <w:sz w:val="18"/>
                                <w:szCs w:val="18"/>
                              </w:rPr>
                              <w:t>mjera PRR-a kojom se podupire uspostava kratkih lanaca opskrbe hranom ili zadruga proizvođača može pojačati poveznice i suradnju među potrošačima i proizvođačima radi stvaranja inovativnijeg prehrambenog sustava</w:t>
                            </w:r>
                            <w:r w:rsidRPr="00A3531F">
                              <w:rPr>
                                <w:sz w:val="18"/>
                                <w:szCs w:val="18"/>
                                <w:vertAlign w:val="superscript"/>
                              </w:rPr>
                              <w:t>13</w:t>
                            </w:r>
                            <w:r>
                              <w:rPr>
                                <w:sz w:val="18"/>
                                <w:szCs w:val="18"/>
                              </w:rPr>
                              <w:t xml:space="preserve"> (npr. djelatnosti koje se provode na temelju članaka 16., 17. i 35. Uredbe (EU) br.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4D16" id="Rectangle: Diagonal Corners Rounded 59" o:spid="_x0000_s1034" style="position:absolute;left:0;text-align:left;margin-left:230.25pt;margin-top:5.25pt;width:223.05pt;height:57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735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" adj="-11796480,,5400" path="m167330,l2832735,r,l2832735,7185970v,92414,-74916,167330,-167330,167330l,7353300r,l,167330c,74916,74916,,167330,xe" filled="f" strokecolor="#f07e31" strokeweight="2pt">
                <v:stroke joinstyle="miter"/>
                <v:formulas/>
                <v:path arrowok="t" o:connecttype="custom" o:connectlocs="167330,0;2832735,0;2832735,0;2832735,7185970;2665405,7353300;0,7353300;0,7353300;0,167330;167330,0" o:connectangles="0,0,0,0,0,0,0,0,0" textboxrect="0,0,2832735,7353300"/>
                <v:textbox>
                  <w:txbxContent>
                    <w:p w:rsidR="00FD4C56" w:rsidRPr="00E05D08" w:rsidRDefault="00FD4C56" w:rsidP="004508D0">
                      <w:pPr>
                        <w:pStyle w:val="Normal12PTcouleurgris"/>
                        <w:rPr>
                          <w:b/>
                          <w:color w:val="F07E31"/>
                        </w:rPr>
                      </w:pPr>
                      <w:r>
                        <w:rPr>
                          <w:noProof/>
                          <w:lang w:val="en-GB" w:eastAsia="en-GB"/>
                        </w:rPr>
                        <w:drawing>
                          <wp:inline distT="0" distB="0" distL="0" distR="0" wp14:anchorId="26239E49" wp14:editId="3F7C214C">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Primjeri moguće potpore 3. putanji u okviru PRR-a</w:t>
                      </w:r>
                    </w:p>
                    <w:p w:rsidR="00FD4C56" w:rsidRPr="002B58E1" w:rsidRDefault="00FD4C56" w:rsidP="004508D0">
                      <w:pPr>
                        <w:pStyle w:val="Hlistbullet"/>
                        <w:rPr>
                          <w:sz w:val="18"/>
                          <w:szCs w:val="18"/>
                        </w:rPr>
                      </w:pPr>
                      <w:r>
                        <w:rPr>
                          <w:sz w:val="18"/>
                          <w:szCs w:val="18"/>
                        </w:rPr>
                        <w:t xml:space="preserve">PRR u kojem su prioriteti aktivnosti informiranja i osposobljavanja (članak 14. Uredbe (EU) br. 1305/2013) i savjetodavne službe (članak 15. Uredbe (EU) br. 1305/2013) na temelju inovativnih praksi koje su razvili nadležni OS-ovi (članak 35. Uredbe (EU) br. 1305/2013) ili inovativnih praksi koje su razvili OS-ovi iz drugih regija ili zemalja (aktivnosti NRM-a, tehnička pomoć) </w:t>
                      </w:r>
                    </w:p>
                    <w:p w:rsidR="00FD4C56" w:rsidRPr="002B58E1" w:rsidRDefault="00FD4C56" w:rsidP="004508D0">
                      <w:pPr>
                        <w:pStyle w:val="Hlistbullet"/>
                        <w:rPr>
                          <w:sz w:val="18"/>
                          <w:szCs w:val="18"/>
                        </w:rPr>
                      </w:pPr>
                      <w:r>
                        <w:rPr>
                          <w:sz w:val="18"/>
                          <w:szCs w:val="18"/>
                        </w:rPr>
                        <w:t>PRR kojim se poboljšava pristup internetu u ruralnim područjima pomoći će lokalnim poduzećima i poljoprivrednicima da imaju pristup informacijama i tržištima te tako povećati njihovu sposobnost i motivaciju za inovacije (npr. djelatnosti koje se provode na temelju članka 20. Uredbe (EU) br. 1305/2013)</w:t>
                      </w:r>
                    </w:p>
                    <w:p w:rsidR="00FD4C56" w:rsidRPr="002B58E1" w:rsidRDefault="00FD4C56" w:rsidP="004508D0">
                      <w:pPr>
                        <w:pStyle w:val="Hlistbullet"/>
                        <w:rPr>
                          <w:b/>
                          <w:sz w:val="18"/>
                          <w:szCs w:val="18"/>
                        </w:rPr>
                      </w:pPr>
                      <w:r>
                        <w:rPr>
                          <w:sz w:val="18"/>
                          <w:szCs w:val="18"/>
                        </w:rPr>
                        <w:t>PRR OS-a u okviru kojeg se razvija inovativna oprema za obradu tla koja uključuje i ostatke kultura može potaknuti inovativna ulaganja i strožu provedbu zakona o zabrani spaljivanja ostataka kultura (npr. djelatnosti koje se provode na temelju članka 17. Uredbe (EU) br. 1305/2013)</w:t>
                      </w:r>
                    </w:p>
                    <w:p w:rsidR="00FD4C56" w:rsidRPr="002B58E1" w:rsidRDefault="00FD4C56" w:rsidP="004508D0">
                      <w:pPr>
                        <w:pStyle w:val="Hlistbullet"/>
                        <w:rPr>
                          <w:sz w:val="18"/>
                          <w:szCs w:val="18"/>
                        </w:rPr>
                      </w:pPr>
                      <w:r>
                        <w:rPr>
                          <w:sz w:val="18"/>
                          <w:szCs w:val="18"/>
                        </w:rPr>
                        <w:t>mjera PRR-a kojom se podupire uspostava kratkih lanaca opskrbe hranom ili zadruga proizvođača može pojačati poveznice i suradnju među potrošačima i proizvođačima radi stvaranja inovativnijeg prehrambenog sustava</w:t>
                      </w:r>
                      <w:r w:rsidRPr="00A3531F">
                        <w:rPr>
                          <w:sz w:val="18"/>
                          <w:szCs w:val="18"/>
                          <w:vertAlign w:val="superscript"/>
                        </w:rPr>
                        <w:t>13</w:t>
                      </w:r>
                      <w:r>
                        <w:rPr>
                          <w:sz w:val="18"/>
                          <w:szCs w:val="18"/>
                        </w:rPr>
                        <w:t xml:space="preserve"> (npr. djelatnosti koje se provode na temelju članaka 16., 17. i 35. Uredbe (EU) br. 1305/2013).</w:t>
                      </w:r>
                    </w:p>
                  </w:txbxContent>
                </v:textbox>
                <w10:wrap type="square"/>
              </v:shape>
            </w:pict>
          </mc:Fallback>
        </mc:AlternateContent>
      </w:r>
      <w:r>
        <w:rPr>
          <w:b/>
          <w:color w:val="F07E31"/>
          <w:szCs w:val="20"/>
        </w:rPr>
        <w:t>Treća putanja</w:t>
      </w:r>
      <w:r>
        <w:t xml:space="preserve"> odnosi se na promjenu uvjeta i okruženja unutar čijih se okvira razvijaju inovacijski sustavi i koji utječu na te inovacijske sustave. To uključuje poboljšanje različitih preduvjeta</w:t>
      </w:r>
      <w:r>
        <w:rPr>
          <w:rFonts w:eastAsia="Times New Roman" w:cs="Times New Roman"/>
          <w:szCs w:val="20"/>
          <w:vertAlign w:val="superscript"/>
          <w:lang w:eastAsia="de-DE"/>
        </w:rPr>
        <w:footnoteReference w:id="12"/>
      </w:r>
      <w:r>
        <w:t>:</w:t>
      </w:r>
    </w:p>
    <w:p w:rsidR="00A45935" w:rsidRPr="0095292E" w:rsidRDefault="00A45935" w:rsidP="00230C31">
      <w:pPr>
        <w:pStyle w:val="Hlistbullet"/>
      </w:pPr>
      <w:r>
        <w:t xml:space="preserve">institucionalnih (npr. osiguranje mandata, normi, političkog/zakonodavnog okruženja kojima se potiču inovacije) </w:t>
      </w:r>
    </w:p>
    <w:p w:rsidR="00A45935" w:rsidRPr="0095292E" w:rsidRDefault="00A45935" w:rsidP="00230C31">
      <w:pPr>
        <w:pStyle w:val="Hlistbullet"/>
      </w:pPr>
      <w:r>
        <w:t xml:space="preserve">postupovnih (npr. izvori fleksibilnog financiranja za ispunjavanje potreba dionika u pogledu inovacija) </w:t>
      </w:r>
    </w:p>
    <w:p w:rsidR="00A45935" w:rsidRPr="0095292E" w:rsidRDefault="00A45935" w:rsidP="00230C31">
      <w:pPr>
        <w:pStyle w:val="Hlistbullet"/>
      </w:pPr>
      <w:r>
        <w:t xml:space="preserve">stručnih (npr. pristup osposobljavanju radi pružanja potrebnih vještina i znanja te sredstava za promidžbu inovacija) </w:t>
      </w:r>
    </w:p>
    <w:p w:rsidR="00A45935" w:rsidRPr="0095292E" w:rsidRDefault="00A45935" w:rsidP="00230C31">
      <w:pPr>
        <w:pStyle w:val="Hlistbullet"/>
      </w:pPr>
      <w:r>
        <w:t xml:space="preserve">organizacijskih (npr. mogućnost interakcije s drugim partnerima koji su spremni tražiti inovativna rješenja) </w:t>
      </w:r>
    </w:p>
    <w:p w:rsidR="00A45935" w:rsidRPr="0095292E" w:rsidRDefault="00A45935" w:rsidP="00230C31">
      <w:pPr>
        <w:pStyle w:val="Hlistbullet"/>
      </w:pPr>
      <w:r>
        <w:t xml:space="preserve">operativnih (npr. omogućivanje transnacionalnih ili međusektorskih inovacija) </w:t>
      </w:r>
    </w:p>
    <w:p w:rsidR="00A45935" w:rsidRPr="0095292E" w:rsidRDefault="00A45935" w:rsidP="00230C31">
      <w:pPr>
        <w:pStyle w:val="Hlistbullet"/>
      </w:pPr>
      <w:r>
        <w:t xml:space="preserve">tehničkih (npr. pružanje potpore novim tehnikama i tehnologijama koje se mogu primijeniti u ruralnim gospodarskim sektorima i u ruralnoj infrastrukturi). </w:t>
      </w:r>
    </w:p>
    <w:p w:rsidR="00A45935" w:rsidRPr="00E05D08" w:rsidRDefault="00A45935" w:rsidP="00E05D08">
      <w:pPr>
        <w:spacing w:after="120" w:line="280" w:lineRule="atLeast"/>
        <w:mirrorIndents/>
        <w:rPr>
          <w:rFonts w:eastAsia="Times New Roman" w:cs="Times New Roman"/>
          <w:szCs w:val="20"/>
        </w:rPr>
      </w:pPr>
      <w:r>
        <w:t>Trećoj putanji može se pružiti potpora u okviru PRR-a spajanjem različitih mjera/podmjera (npr. investicijske mjere stvaraju poticajno okruženje za sve vrste tehničkih i tehnoloških inovacija, mjere povezane s kvalitetom i promidžbom pružaju potporu institucionalnim i postupovnim uvjetima, a mjere povezane s prijenosom znanja i savjetovanjem nude poticajno okruženje za razvoj stručnosti)</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t xml:space="preserve">Na </w:t>
      </w:r>
      <w:hyperlink w:anchor="Pathways" w:history="1">
        <w:r>
          <w:rPr>
            <w:rStyle w:val="Hyperlink"/>
            <w:sz w:val="20"/>
            <w:szCs w:val="20"/>
          </w:rPr>
          <w:t>slici 1.</w:t>
        </w:r>
      </w:hyperlink>
      <w:r>
        <w:t xml:space="preserve"> može se vidjeti i </w:t>
      </w:r>
      <w:r w:rsidRPr="00F13B74">
        <w:rPr>
          <w:b/>
        </w:rPr>
        <w:t>potencijal za nekoliko petlji pozitivne povratne sprege</w:t>
      </w:r>
      <w:r>
        <w:t>. Primjerice:</w:t>
      </w:r>
    </w:p>
    <w:p w:rsidR="00A45935" w:rsidRPr="004508D0" w:rsidRDefault="00A45935" w:rsidP="00230C31">
      <w:pPr>
        <w:pStyle w:val="Hlistbullet"/>
      </w:pPr>
      <w:r>
        <w:t xml:space="preserve">procesom tehnoloških i/ili institucionalnih inovacija izgrađuje se inovacijski kapacitet sustava koji potom izravno ubrzava stopu i poboljšava kvalitetu inovacija </w:t>
      </w:r>
    </w:p>
    <w:p w:rsidR="00A45935" w:rsidRPr="000828C6" w:rsidRDefault="00A45935" w:rsidP="00230C31">
      <w:pPr>
        <w:pStyle w:val="Hlistbullet"/>
      </w:pPr>
      <w:r>
        <w:t xml:space="preserve">intervencije u okviru PRR-a kojima se podupire politika koja pogoduje inovacijama (3. putanja) dovode do ubrzanja stopa inovacija što uzrokuje povećanje inovacijskog kapaciteta. </w:t>
      </w:r>
    </w:p>
    <w:p w:rsidR="00A45935" w:rsidRPr="00E05D08" w:rsidRDefault="00A45935" w:rsidP="00E05D08">
      <w:pPr>
        <w:spacing w:after="120" w:line="280" w:lineRule="atLeast"/>
        <w:mirrorIndents/>
        <w:rPr>
          <w:rFonts w:eastAsia="Times New Roman" w:cs="Times New Roman"/>
          <w:szCs w:val="20"/>
        </w:rPr>
      </w:pPr>
      <w:r>
        <w:lastRenderedPageBreak/>
        <w:t>Povećanje inovacijskog kapaciteta pomaže inovacijskim subjektima da stvore i iskoriste poveznice kako bi utjecali na poticajno institucionalno ili političko okruženje koje pogoduje inovacijama za koje se zalaže u PRR-u. Petlje pozitivne povratne sprege važne su jer pružaju mogućnost jačanja učinka</w:t>
      </w:r>
      <w:r>
        <w:rPr>
          <w:rFonts w:eastAsia="Times New Roman" w:cs="Times New Roman"/>
          <w:szCs w:val="20"/>
          <w:vertAlign w:val="superscript"/>
          <w:lang w:eastAsia="de-DE"/>
        </w:rPr>
        <w:footnoteReference w:id="14"/>
      </w:r>
      <w:r>
        <w:t xml:space="preserve">, odnosno omogućuju da relativno male intervencije u okviru PRR-a potaknu i podupru učinke većeg razmjera (npr. subjekti koji usvoje energetski učinkovitu, inovativnu poljoprivrednu praksu koja je razvijena u inovacijskom projektu u okviru PRR-a stvaraju pozitivnu povratnu spregu koja se potom širi i potiče druge da usvoje istu praksu, što dovodi do velikog učinka na uštedu energije u regiji). Osim toga, rezultat inovacijskih projekata mogu biti i poboljšane mjere PRR-a. Primjerice, u inovacijskom projektu mogla bi se ispitati izvedivost i isplativost buduće poljoprivredno-okolišno-klimatske mjere (AECM). </w:t>
      </w:r>
    </w:p>
    <w:p w:rsidR="00A45935" w:rsidRPr="00E05D08" w:rsidRDefault="00A45935" w:rsidP="00230C31">
      <w:pPr>
        <w:pStyle w:val="HHeading4"/>
      </w:pPr>
      <w:r>
        <w:t xml:space="preserve">Kakva je interakcija PRR-a i šireg inovacijskog sustava? </w:t>
      </w:r>
    </w:p>
    <w:p w:rsidR="00A45935" w:rsidRPr="00E05D08" w:rsidRDefault="00A45935" w:rsidP="00E05D08">
      <w:pPr>
        <w:spacing w:after="120" w:line="280" w:lineRule="atLeast"/>
        <w:mirrorIndents/>
        <w:rPr>
          <w:rFonts w:eastAsia="Times New Roman" w:cs="Times New Roman"/>
          <w:szCs w:val="20"/>
        </w:rPr>
      </w:pPr>
      <w:r>
        <w:t xml:space="preserve">PRR proizvodi dvije vrste ostvarenja koje su povezane s inovacijama: </w:t>
      </w:r>
    </w:p>
    <w:p w:rsidR="00A45935" w:rsidRPr="000828C6" w:rsidRDefault="00A45935" w:rsidP="001744D0">
      <w:pPr>
        <w:pStyle w:val="Hlistbullet"/>
      </w:pPr>
      <w:r>
        <w:rPr>
          <w:b/>
        </w:rPr>
        <w:t>poticajna ostvarenja</w:t>
      </w:r>
      <w:r>
        <w:t xml:space="preserve"> povezana s trima putanjama (npr. promjene u stopi i kvaliteti novih inovativnih ideja, inovacijskom kapacitetu i poticajnom okruženju) </w:t>
      </w:r>
    </w:p>
    <w:p w:rsidR="00A45935" w:rsidRPr="000828C6" w:rsidRDefault="00A45935" w:rsidP="001744D0">
      <w:pPr>
        <w:pStyle w:val="Hlistbullet"/>
      </w:pPr>
      <w:r w:rsidRPr="00F13B74">
        <w:rPr>
          <w:b/>
        </w:rPr>
        <w:t>inovacijska ostvarenja</w:t>
      </w:r>
      <w:r>
        <w:t xml:space="preserve"> koja proizlaze iz poticajnih ostvarenja (npr. nove prakse, povećani prihodi, primjena održivijih poljoprivrednih praksi).</w:t>
      </w:r>
    </w:p>
    <w:p w:rsidR="00A45935" w:rsidRPr="00E05D08" w:rsidRDefault="00A45935" w:rsidP="00E05D08">
      <w:pPr>
        <w:spacing w:after="120" w:line="280" w:lineRule="atLeast"/>
        <w:mirrorIndents/>
        <w:rPr>
          <w:rFonts w:eastAsia="Times New Roman" w:cs="Times New Roman"/>
          <w:szCs w:val="20"/>
        </w:rPr>
      </w:pPr>
      <w:r>
        <w:t>Obje vrste ostvarenja pridonose postizanju ciljeva PRR-a i mogu se ocijeniti primjenom odgovarajućih pokazatelja. Hoće li oni utjecati na postojeće inovacijske sustave i kako će na njih utjecati ovisi o načinu na koji korisnici PRR-a protumače i shvate što taj program nudi</w:t>
      </w:r>
      <w:r>
        <w:rPr>
          <w:rFonts w:eastAsia="Times New Roman" w:cs="Times New Roman"/>
          <w:szCs w:val="20"/>
          <w:vertAlign w:val="superscript"/>
          <w:lang w:eastAsia="de-DE"/>
        </w:rPr>
        <w:footnoteReference w:id="15"/>
      </w:r>
      <w:r>
        <w:t xml:space="preserve">. Osim PRR-a na njihovu reakciju utječu i prošli i tekući procesi koji potiču inovacije: </w:t>
      </w:r>
    </w:p>
    <w:p w:rsidR="00A45935" w:rsidRPr="00161D7E" w:rsidRDefault="00A45935" w:rsidP="001744D0">
      <w:pPr>
        <w:pStyle w:val="Hlistbullet"/>
      </w:pPr>
      <w:r>
        <w:t xml:space="preserve">istraživanja novih tehnologija i procesa, </w:t>
      </w:r>
    </w:p>
    <w:p w:rsidR="00A45935" w:rsidRPr="00161D7E" w:rsidRDefault="00A45935" w:rsidP="001744D0">
      <w:pPr>
        <w:pStyle w:val="Hlistbullet"/>
      </w:pPr>
      <w:r>
        <w:t xml:space="preserve">sustavi savjetovanja i obrazovanja u području promidžbe inovacija, </w:t>
      </w:r>
    </w:p>
    <w:p w:rsidR="00A45935" w:rsidRPr="00161D7E" w:rsidRDefault="00A45935" w:rsidP="001744D0">
      <w:pPr>
        <w:pStyle w:val="Hlistbullet"/>
      </w:pPr>
      <w:r>
        <w:t xml:space="preserve">fiskalne mjere, kreditna jamstva, inovativna nabava, </w:t>
      </w:r>
    </w:p>
    <w:p w:rsidR="00A45935" w:rsidRPr="00161D7E" w:rsidRDefault="00A45935" w:rsidP="001744D0">
      <w:pPr>
        <w:pStyle w:val="Hlistbullet"/>
      </w:pPr>
      <w:r>
        <w:t>Obzor 2020. i ostali nacionalni/regionalni programi u okviru europskih strukturnih i investicijskih fondova u kojima se primjenjuje isti pristup inovacijama kao i u PRR-u,</w:t>
      </w:r>
    </w:p>
    <w:p w:rsidR="00A45935" w:rsidRPr="00161D7E" w:rsidRDefault="00A45935" w:rsidP="001744D0">
      <w:pPr>
        <w:pStyle w:val="Hlistbullet"/>
      </w:pPr>
      <w:r>
        <w:t>tržišna potražnja.</w:t>
      </w:r>
    </w:p>
    <w:p w:rsidR="00A45935" w:rsidRPr="00E05D08" w:rsidRDefault="00A45935" w:rsidP="00E05D08">
      <w:pPr>
        <w:spacing w:after="120" w:line="280" w:lineRule="atLeast"/>
        <w:mirrorIndents/>
        <w:rPr>
          <w:rFonts w:eastAsia="Times New Roman" w:cs="Times New Roman"/>
          <w:szCs w:val="20"/>
        </w:rPr>
      </w:pPr>
      <w:r>
        <w:t xml:space="preserve">Na isti će način operacije u okviru PRR-a utjecati na način na koji drugi tumače i primjenjuju procese i intervencije koji su u tijeku, a ti će procesi i intervencije utjecati na same operacije. </w:t>
      </w:r>
    </w:p>
    <w:p w:rsidR="00A45935" w:rsidRPr="00E05D08" w:rsidRDefault="00A45935" w:rsidP="00E05D08">
      <w:pPr>
        <w:spacing w:after="120" w:line="280" w:lineRule="atLeast"/>
        <w:mirrorIndents/>
        <w:rPr>
          <w:rFonts w:eastAsia="Times New Roman" w:cs="Times New Roman"/>
          <w:szCs w:val="20"/>
        </w:rPr>
      </w:pPr>
      <w:r>
        <w:t xml:space="preserve">PRR-i se ne provode u izolaciji, nego u okviru složenih inovacijskih sustava u određenom društveno-gospodarskom kontekstu. Polazišna točka PRR-a ovisi o postojećem inovacijskom kontekstu (tj. inovacijskim subjektima i njihovim međusobnim interakcijama, postojećem poticajnom okruženju, tržišnoj potražnji, drugim intervencijama). </w:t>
      </w:r>
    </w:p>
    <w:p w:rsidR="000E0FE4" w:rsidRDefault="00A45935" w:rsidP="00E05D08">
      <w:pPr>
        <w:spacing w:after="120" w:line="280" w:lineRule="atLeast"/>
        <w:mirrorIndents/>
        <w:rPr>
          <w:rFonts w:eastAsia="Times New Roman" w:cs="Times New Roman"/>
          <w:szCs w:val="20"/>
        </w:rPr>
      </w:pPr>
      <w:r>
        <w:t xml:space="preserve">Cilj bilo koje evaluacije bit će utvrditi tu polazišnu točku i pripisati sve uočene promjene provedbi mjera i podmjera PRR-a.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6" w:name="_Toc493151896"/>
      <w:bookmarkStart w:id="17" w:name="_Toc501382122"/>
      <w:bookmarkStart w:id="18" w:name="_Toc508981113"/>
      <w:r>
        <w:lastRenderedPageBreak/>
        <w:t>Okvir politike EU-a</w:t>
      </w:r>
      <w:bookmarkEnd w:id="16"/>
      <w:bookmarkEnd w:id="17"/>
      <w:bookmarkEnd w:id="18"/>
      <w:r>
        <w:t xml:space="preserve"> </w:t>
      </w:r>
    </w:p>
    <w:p w:rsidR="00A45935" w:rsidRPr="00967CFD" w:rsidRDefault="00A45935" w:rsidP="004B5F2E">
      <w:pPr>
        <w:pStyle w:val="HHeading3"/>
      </w:pPr>
      <w:bookmarkStart w:id="19" w:name="Policy_framework"/>
      <w:bookmarkStart w:id="20" w:name="_Toc501382123"/>
      <w:bookmarkStart w:id="21" w:name="_Toc508981114"/>
      <w:bookmarkEnd w:id="19"/>
      <w:r>
        <w:t>Okvir politike za inovacije u EU-u i politika ruralnog razvoja</w:t>
      </w:r>
      <w:bookmarkEnd w:id="20"/>
      <w:bookmarkEnd w:id="21"/>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Dva instrumenta EU-a za financiranje posebno su namijenjena potpori inovacijama u poljoprivredi i šumarstvu</w:t>
      </w:r>
      <w:r>
        <w:rPr>
          <w:szCs w:val="20"/>
          <w:shd w:val="clear" w:color="auto" w:fill="FFFFFF"/>
        </w:rPr>
        <w:t>. Jedan je od njih politika ruralnog razvoja koja je ujedno i jedan od dva stupa zajedničke poljoprivredne politike (ZPP). Drugi je Obzor 2020.</w:t>
      </w:r>
      <w:r>
        <w:rPr>
          <w:rFonts w:eastAsia="Times New Roman" w:cs="Times New Roman"/>
          <w:szCs w:val="20"/>
          <w:shd w:val="clear" w:color="auto" w:fill="FFFFFF"/>
          <w:vertAlign w:val="superscript"/>
          <w:lang w:eastAsia="de-DE"/>
        </w:rPr>
        <w:footnoteReference w:id="16"/>
      </w:r>
      <w:r>
        <w:rPr>
          <w:szCs w:val="20"/>
          <w:shd w:val="clear" w:color="auto" w:fill="FFFFFF"/>
        </w:rPr>
        <w:t>, okvirni program EU-a za istraživanje i inovacije u okviru kojeg se provodi vodeća inicijativa „Unija inovacija”</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Politika ruralnog razvoja strukturirana je tako da djeluje u sinergiji s Obzorom 2020.</w:t>
      </w:r>
      <w:r>
        <w:rPr>
          <w:szCs w:val="20"/>
          <w:shd w:val="clear" w:color="auto" w:fill="FFFFFF"/>
        </w:rPr>
        <w:t xml:space="preserve"> kako bi se postigli ciljevi EU-a povezani s inovacijama, točnije ciljevi pametnog rasta. Jedan od glavnih ciljeva EU-a za pametni rast jest povećanje zajedničkog javnog i privatnog ulaganja u istraživanje i razvoj na 3 % BDP-a EU-a te osiguranje boljih uvjeta za istraživanje i razvoj te inovacije</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2" w:name="_Toc508981144"/>
      <w:r>
        <w:t>Okvir politike za inovacije u EU-u i politika ruralnog razvoja</w:t>
      </w:r>
      <w:bookmarkEnd w:id="22"/>
      <w:r>
        <w:t xml:space="preserve"> </w:t>
      </w:r>
    </w:p>
    <w:p w:rsidR="00A45935" w:rsidRPr="00E05D08" w:rsidRDefault="004B5F2E" w:rsidP="00E05D08">
      <w:pPr>
        <w:spacing w:before="60" w:after="200" w:line="276" w:lineRule="auto"/>
        <w:jc w:val="center"/>
        <w:rPr>
          <w:rFonts w:eastAsia="Calibri" w:cs="Arial"/>
          <w:szCs w:val="20"/>
        </w:rPr>
      </w:pPr>
      <w:r w:rsidRPr="004B5F2E">
        <w:rPr>
          <w:noProof/>
          <w:lang w:val="en-GB" w:eastAsia="en-GB"/>
        </w:rPr>
        <w:drawing>
          <wp:inline distT="0" distB="0" distL="0" distR="0" wp14:anchorId="038D8156" wp14:editId="66A784F3">
            <wp:extent cx="6386898" cy="37007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0879" cy="3703039"/>
                    </a:xfrm>
                    <a:prstGeom prst="rect">
                      <a:avLst/>
                    </a:prstGeom>
                    <a:noFill/>
                    <a:ln>
                      <a:noFill/>
                    </a:ln>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Izvor: Europska služba za podršku evaluaciji ruralnog razvoja, 2017.</w:t>
      </w:r>
    </w:p>
    <w:p w:rsidR="00A45935" w:rsidRPr="00E05D08" w:rsidRDefault="00A45935" w:rsidP="00E05D08">
      <w:pPr>
        <w:spacing w:after="120" w:line="280" w:lineRule="atLeast"/>
        <w:mirrorIndents/>
        <w:rPr>
          <w:rFonts w:eastAsia="Times New Roman" w:cs="Times New Roman"/>
          <w:szCs w:val="20"/>
        </w:rPr>
      </w:pPr>
      <w:r w:rsidRPr="004B5F2E">
        <w:rPr>
          <w:b/>
        </w:rPr>
        <w:t>Zajednička poljoprivredna politika ima važnu ulogu u stvaranju doprinosa pametnom razvoju putem inovacija</w:t>
      </w:r>
      <w:r>
        <w:t xml:space="preserve">. Da bi se postigla tri cilja ZPP-a, potrebno je stvoriti, razmjenjivati i primijeniti nova znanja, nove tehnologije, nove proizvode i nove načine organizacije, učenja ili suradnje. </w:t>
      </w:r>
    </w:p>
    <w:p w:rsidR="00A45935" w:rsidRPr="00E05D08" w:rsidRDefault="00A45935" w:rsidP="00E05D08">
      <w:pPr>
        <w:spacing w:after="120" w:line="280" w:lineRule="atLeast"/>
        <w:mirrorIndents/>
        <w:rPr>
          <w:rFonts w:eastAsia="Calibri" w:cs="Times New Roman"/>
          <w:szCs w:val="20"/>
        </w:rPr>
      </w:pPr>
      <w:r w:rsidRPr="004C136F">
        <w:rPr>
          <w:b/>
        </w:rPr>
        <w:t>Politika ruralnog razvoja za razdoblje 2014. – 2020. strukturirana je tako da se ističe značaj inovacija</w:t>
      </w:r>
      <w:r>
        <w:t xml:space="preserve"> u fazama izrade i provedbe programa</w:t>
      </w:r>
      <w:r>
        <w:rPr>
          <w:rFonts w:eastAsia="Times New Roman" w:cs="Times New Roman"/>
          <w:szCs w:val="20"/>
          <w:vertAlign w:val="superscript"/>
          <w:lang w:eastAsia="de-DE"/>
        </w:rPr>
        <w:footnoteReference w:id="19"/>
      </w:r>
      <w:r>
        <w:t xml:space="preserve">. Inovacije u ruralnom razvoju mogu se povezati s raznolikim nizom područja, uključujući: razvoj na poljoprivrednom gospodarstvu, organizaciju lanca </w:t>
      </w:r>
      <w:r>
        <w:lastRenderedPageBreak/>
        <w:t>opskrbe hranom i upravljanje rizikom, očuvanje i poboljšanje ekosustava, promicanje društvene uključenosti, suzbijanja siromaštva i gospodarskog razvoja u ruralnim područjima itd.</w:t>
      </w:r>
    </w:p>
    <w:p w:rsidR="00A45935" w:rsidRPr="00E05D08" w:rsidRDefault="00A45935" w:rsidP="00230C31">
      <w:pPr>
        <w:pStyle w:val="HHeading4"/>
        <w:rPr>
          <w:rFonts w:eastAsia="Calibri"/>
        </w:rPr>
      </w:pPr>
      <w:r>
        <w:t>Kako su inovacije ukorijenjene u programima ruralnog razvoja?</w:t>
      </w:r>
    </w:p>
    <w:p w:rsidR="00A45935" w:rsidRPr="00E05D08" w:rsidRDefault="00347A2C" w:rsidP="00E05D08">
      <w:pPr>
        <w:spacing w:after="120" w:line="280" w:lineRule="atLeast"/>
        <w:mirrorIndents/>
        <w:rPr>
          <w:rFonts w:eastAsia="Times New Roman" w:cs="Times New Roman"/>
          <w:szCs w:val="20"/>
        </w:rPr>
      </w:pPr>
      <w:r w:rsidRPr="004C136F">
        <w:rPr>
          <w:b/>
        </w:rPr>
        <w:t>U strategiji PRR-a opisuje se „pristup prema inovacijama s ciljem ostvarivanja prioriteta Unije za ruralni razvoj”</w:t>
      </w:r>
      <w:r>
        <w:t xml:space="preserve"> koji se primjenjuje u PRR-u</w:t>
      </w:r>
      <w:r>
        <w:rPr>
          <w:rFonts w:eastAsia="Times New Roman" w:cs="Times New Roman"/>
          <w:szCs w:val="20"/>
          <w:vertAlign w:val="superscript"/>
          <w:lang w:eastAsia="de-DE"/>
        </w:rPr>
        <w:footnoteReference w:id="20"/>
      </w:r>
      <w:r>
        <w:t>. Taj opis uključuje i EPI program za poljoprivrednu produktivnost i održivost. Svaka se strategija na razini svakog prioriteta Unije bavi posebnim potrebama povezanima s inovacijama koje su utvrđene SWOT analizom i procjenom potreba</w:t>
      </w:r>
      <w:r>
        <w:rPr>
          <w:rFonts w:eastAsia="Times New Roman" w:cs="Times New Roman"/>
          <w:szCs w:val="20"/>
          <w:vertAlign w:val="superscript"/>
          <w:lang w:eastAsia="de-DE"/>
        </w:rPr>
        <w:footnoteReference w:id="21"/>
      </w:r>
      <w:r>
        <w:t>. Nadalje, svi prioriteti Unije pridonose horizontalnom cilju inovacije</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Osim što su horizontalni cilj, inovacije su u PRR-u i dio dvaju žarišnih područja horizontalnog prioriteta Unije br. 1 „poticanje prijenosa znanja i inovacija u poljoprivredi, šumarstvu i ruralnim područjima”: </w:t>
      </w:r>
    </w:p>
    <w:p w:rsidR="00A45935" w:rsidRPr="00165BF1" w:rsidRDefault="00A45935" w:rsidP="008C0B17">
      <w:pPr>
        <w:numPr>
          <w:ilvl w:val="0"/>
          <w:numId w:val="70"/>
        </w:numPr>
        <w:mirrorIndents/>
        <w:rPr>
          <w:szCs w:val="20"/>
        </w:rPr>
      </w:pPr>
      <w:r>
        <w:t>žarišno područje 1.A: poticanje inovacija, suradnje i razvoja baze znanja u ruralnim područjima,</w:t>
      </w:r>
    </w:p>
    <w:p w:rsidR="00A45935" w:rsidRPr="00165BF1" w:rsidRDefault="00A45935" w:rsidP="008C0B17">
      <w:pPr>
        <w:numPr>
          <w:ilvl w:val="0"/>
          <w:numId w:val="70"/>
        </w:numPr>
        <w:mirrorIndents/>
        <w:rPr>
          <w:szCs w:val="20"/>
        </w:rPr>
      </w:pPr>
      <w:r>
        <w:t>žarišno područje 1.B: jačanje poveznica između poljoprivrede, proizvodnje hrane i šumarstva te istraživanja i inovacija, među ostalim, u svrhu boljeg upravljanja okolišem i okolišne učinkovitosti.</w:t>
      </w:r>
    </w:p>
    <w:p w:rsidR="00A45935" w:rsidRPr="00E05D08" w:rsidRDefault="00A45935" w:rsidP="00E05D08">
      <w:pPr>
        <w:spacing w:after="120" w:line="280" w:lineRule="atLeast"/>
        <w:mirrorIndents/>
        <w:rPr>
          <w:rFonts w:eastAsia="Times New Roman" w:cs="Times New Roman"/>
          <w:szCs w:val="20"/>
          <w:shd w:val="clear" w:color="auto" w:fill="FFFFFF"/>
        </w:rPr>
      </w:pPr>
      <w:r w:rsidRPr="004C136F">
        <w:rPr>
          <w:b/>
        </w:rPr>
        <w:t>PRR-i su iznimno fleksibilni u uporabi i spajanju mjera</w:t>
      </w:r>
      <w:r>
        <w:t xml:space="preserve"> u svrhu ispunjavanja posebnih potreba povezanih s geografskim područjem i inovacijama te njihove sposobnosti postizanja sinergija. Mjere se mogu programirati u okviru različitih prioriteta i žarišnih područja kako bi se u najvećoj mogućoj mjeri iskoristili njihovi doprinosi relevantnim ciljevima. </w:t>
      </w:r>
      <w:r>
        <w:rPr>
          <w:szCs w:val="20"/>
          <w:shd w:val="clear" w:color="auto" w:fill="FFFFFF"/>
        </w:rPr>
        <w:t>Određene mjere PRR-a mogu imati i izravnije učinke na inovacije, točnije one u okviru žarišnih područja 1.A i 1.B:</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 Prenošenje znanja i aktivnosti informiranja;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M2 Savjetodavne službe;</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M16 Suradnja (podupire osnivanje i rad operativnih skupina EIP-AGRI-ja);</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LEADER/CLLD u okviru kojeg se inovacije promiču kao jedno od načela LEADER-a i potiču se inovativne aktivnosti malih razmjera u svim aspektima ruralnog života (gospodarskom, društvenom i okolišnom).</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Mjere kojima se promiču inovacije mogu se programirati i u okviru drugi žarišnih područja.</w:t>
      </w:r>
      <w:r>
        <w:t xml:space="preserve"> Primjerice, M16 može se povezati s većinom žarišnih područja i prioriteta ruralnog razvoja. Riječ je o glavnoj mjeri ruralnog razvoja za pružanje potpore </w:t>
      </w:r>
      <w:r>
        <w:rPr>
          <w:b/>
          <w:szCs w:val="20"/>
          <w:shd w:val="clear" w:color="auto" w:fill="FFFFFF"/>
        </w:rPr>
        <w:t>Europskom partnerstvu za inovacije za poljoprivrednu produktivnost i održivost</w:t>
      </w:r>
      <w:r>
        <w:rPr>
          <w:szCs w:val="20"/>
          <w:shd w:val="clear" w:color="auto" w:fill="FFFFFF"/>
        </w:rPr>
        <w:t xml:space="preserve"> (EIP-AGRI).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4C136F"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55168" behindDoc="0" locked="0" layoutInCell="1" allowOverlap="1" wp14:anchorId="0E1BE862" wp14:editId="5FAEA4C8">
                <wp:simplePos x="0" y="0"/>
                <wp:positionH relativeFrom="page">
                  <wp:posOffset>923925</wp:posOffset>
                </wp:positionH>
                <wp:positionV relativeFrom="paragraph">
                  <wp:posOffset>408940</wp:posOffset>
                </wp:positionV>
                <wp:extent cx="5671820" cy="444817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448175"/>
                        </a:xfrm>
                        <a:prstGeom prst="round2DiagRect">
                          <a:avLst>
                            <a:gd name="adj1" fmla="val 6224"/>
                            <a:gd name="adj2" fmla="val 0"/>
                          </a:avLst>
                        </a:prstGeom>
                        <a:noFill/>
                        <a:ln w="25400" cap="flat" cmpd="sng" algn="ctr">
                          <a:solidFill>
                            <a:srgbClr val="BE4A35"/>
                          </a:solidFill>
                          <a:prstDash val="solid"/>
                        </a:ln>
                        <a:effectLst/>
                      </wps:spPr>
                      <wps:txbx>
                        <w:txbxContent>
                          <w:p w:rsidR="00FD4C56" w:rsidRPr="002F0ABF" w:rsidRDefault="00FD4C56" w:rsidP="00E05D08">
                            <w:pPr>
                              <w:pStyle w:val="HStandard"/>
                              <w:rPr>
                                <w:sz w:val="18"/>
                                <w:szCs w:val="18"/>
                              </w:rPr>
                            </w:pPr>
                            <w:r>
                              <w:rPr>
                                <w:noProof/>
                                <w:lang w:val="en-GB" w:eastAsia="en-GB"/>
                              </w:rPr>
                              <w:drawing>
                                <wp:inline distT="0" distB="0" distL="0" distR="0" wp14:anchorId="5C2E125B" wp14:editId="6E832265">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EIP-AGRI dio je strategije Europa 2020. za ubrzanje inovacija u EU-u, u okviru kojeg se podupire konkurentan i održiv poljoprivredni i šumarski sektor kojim „se može postići više s manje”. EIP-AGRI pridonosi postizanju stabilne opskrbe prehrambenim proizvodima, hranom za životinje i biomaterijalima, pri čemu se poštuju ključni prirodni resursi o kojima ovisi poljoprivredna proizvodnja. EIP-AGRI okuplja u OS-ovima inovacijske subjekte (poljoprivrednike, savjetnike, istraživače, poduzeća, NVO-e itd.) na razini EU-a i u okviru programa ruralnog razvoja. Te inovacije mogu biti tehnološke, ali i netehnološke, organizacijske ili društvene. Inovacija se može temeljiti na novim, ali i tradicionalnim praksama u novom geografskom ili okolišnom kontekstu. OS-ovi EPI-ja temelje se na projektima i bave se određenim (praktičnim) problemom ili mogućnosti, što može dovesti do inovacije i pridonijeti postizanju ciljeva programa. Svaki OS sastoji se od tih ključnih subjekata (npr. poljoprivrednika, savjetnika, istraživača, poduzeća, NVO-a) koji su u najboljem položaju da ostvare ciljeve projekta, dijele iskustva s provedbom i dalekosežno šire ostvarenja. U pristupu koji se temelji na OS-ovima nabolje se iskorištavaju različite vrste znanja (praktično, znanstveno, tehničko, organizacijsko itd.) na interaktivan način. Praktičan pristup kojim se tome pruža potpora naziva se „inovacijsko posredovanje”. U uredbi se nude četiri mogućnosti za financiranje inovacijskog posredovanja</w:t>
                            </w:r>
                            <w:r w:rsidRPr="00E55961">
                              <w:rPr>
                                <w:szCs w:val="18"/>
                                <w:vertAlign w:val="superscript"/>
                              </w:rPr>
                              <w:t>23</w:t>
                            </w:r>
                            <w:r>
                              <w:rPr>
                                <w:sz w:val="18"/>
                                <w:szCs w:val="18"/>
                              </w:rPr>
                              <w:t xml:space="preserve">. Inovacijsko posredovanje može imati važnu ulogu u otkrivanju inovativnih ideja, olakšavanju osnivanja OS-ova prvenstveno jer služi kao posrednik u povezivanju inovacijskih subjekata (poljoprivrednika, istraživača, savjetnika, NVO-a itd.) u interaktivnim inovacijskim projektima. Cilj „inovacijskog posrednika” otkrivanje je inicijativa „odozdo prema gore”, pružanje pomoći u razvoju inovativnih ideja i pružanje potpore u pronalasku partnera i financiranja. Glavni zadatak posrednika pružanje je pomoći u pripremi dobrog prijedloga inovativnog projekta.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E862" id="Rectangle: Diagonal Corners Rounded 58" o:spid="_x0000_s1035" style="position:absolute;left:0;text-align:left;margin-left:72.75pt;margin-top:32.2pt;width:446.6pt;height:35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" adj="-11796480,,5400" path="m276854,l5671820,r,l5671820,4171321v,152902,-123952,276854,-276854,276854l,4448175r,l,276854c,123952,123952,,276854,xe" filled="f" strokecolor="#be4a35" strokeweight="2pt">
                <v:stroke joinstyle="miter"/>
                <v:formulas/>
                <v:path arrowok="t" o:connecttype="custom" o:connectlocs="276854,0;5671820,0;5671820,0;5671820,4171321;5394966,4448175;0,4448175;0,4448175;0,276854;276854,0" o:connectangles="0,0,0,0,0,0,0,0,0" textboxrect="0,0,5671820,4448175"/>
                <v:textbox inset=",,,0">
                  <w:txbxContent>
                    <w:p w:rsidR="00FD4C56" w:rsidRPr="002F0ABF" w:rsidRDefault="00FD4C56" w:rsidP="00E05D08">
                      <w:pPr>
                        <w:pStyle w:val="HStandard"/>
                        <w:rPr>
                          <w:sz w:val="18"/>
                          <w:szCs w:val="18"/>
                        </w:rPr>
                      </w:pPr>
                      <w:r>
                        <w:rPr>
                          <w:noProof/>
                          <w:lang w:val="en-GB" w:eastAsia="en-GB"/>
                        </w:rPr>
                        <w:drawing>
                          <wp:inline distT="0" distB="0" distL="0" distR="0" wp14:anchorId="5C2E125B" wp14:editId="6E832265">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EIP-AGRI dio je strategije Europa 2020. za ubrzanje inovacija u EU-u, u okviru kojeg se podupire konkurentan i održiv poljoprivredni i šumarski sektor kojim „se može postići više s manje”. EIP-AGRI pridonosi postizanju stabilne opskrbe prehrambenim proizvodima, hranom za životinje i biomaterijalima, pri čemu se poštuju ključni prirodni resursi o kojima ovisi poljoprivredna proizvodnja. EIP-AGRI okuplja u OS-ovima inovacijske subjekte (poljoprivrednike, savjetnike, istraživače, poduzeća, NVO-e itd.) na razini EU-a i u okviru programa ruralnog razvoja. Te inovacije mogu biti tehnološke, ali i netehnološke, organizacijske ili društvene. Inovacija se može temeljiti na novim, ali i tradicionalnim praksama u novom geografskom ili okolišnom kontekstu. OS-ovi EPI-ja temelje se na projektima i bave se određenim (praktičnim) problemom ili mogućnosti, što može dovesti do inovacije i pridonijeti postizanju ciljeva programa. Svaki OS sastoji se od tih ključnih subjekata (npr. poljoprivrednika, savjetnika, istraživača, poduzeća, NVO-a) koji su u najboljem položaju da ostvare ciljeve projekta, dijele iskustva s provedbom i dalekosežno šire ostvarenja. U pristupu koji se temelji na OS-ovima nabolje se iskorištavaju različite vrste znanja (praktično, znanstveno, tehničko, organizacijsko itd.) na interaktivan način. Praktičan pristup kojim se tome pruža potpora naziva se „inovacijsko posredovanje”. U uredbi se nude četiri mogućnosti za financiranje inovacijskog posredovanja</w:t>
                      </w:r>
                      <w:r w:rsidRPr="00E55961">
                        <w:rPr>
                          <w:szCs w:val="18"/>
                          <w:vertAlign w:val="superscript"/>
                        </w:rPr>
                        <w:t>23</w:t>
                      </w:r>
                      <w:r>
                        <w:rPr>
                          <w:sz w:val="18"/>
                          <w:szCs w:val="18"/>
                        </w:rPr>
                        <w:t xml:space="preserve">. Inovacijsko posredovanje može imati važnu ulogu u otkrivanju inovativnih ideja, olakšavanju osnivanja OS-ova prvenstveno jer služi kao posrednik u povezivanju inovacijskih subjekata (poljoprivrednika, istraživača, savjetnika, NVO-a itd.) u interaktivnim inovacijskim projektima. Cilj „inovacijskog posrednika” otkrivanje je inicijativa „odozdo prema gore”, pružanje pomoći u razvoju inovativnih ideja i pružanje potpore u pronalasku partnera i financiranja. Glavni zadatak posrednika pružanje je pomoći u pripremi dobrog prijedloga inovativnog projekta.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Ostale mjere</w:t>
      </w:r>
      <w:r>
        <w:rPr>
          <w:rFonts w:eastAsia="Times New Roman" w:cs="Times New Roman"/>
          <w:szCs w:val="20"/>
          <w:shd w:val="clear" w:color="auto" w:fill="FFFFFF"/>
          <w:vertAlign w:val="superscript"/>
          <w:lang w:eastAsia="de-DE"/>
        </w:rPr>
        <w:footnoteReference w:id="24"/>
      </w:r>
      <w:r>
        <w:rPr>
          <w:szCs w:val="20"/>
          <w:shd w:val="clear" w:color="auto" w:fill="FFFFFF"/>
        </w:rPr>
        <w:t xml:space="preserve"> u kojima se izričito navode inovacije jesu primjerice sljedeće:</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uspostavljanje skupina i organizacija proizvođača,</w:t>
      </w:r>
      <w:r>
        <w:rPr>
          <w:i/>
          <w:szCs w:val="20"/>
          <w:shd w:val="clear" w:color="auto" w:fill="FFFFFF"/>
        </w:rPr>
        <w:t xml:space="preserve"> </w:t>
      </w:r>
      <w:r>
        <w:rPr>
          <w:szCs w:val="20"/>
          <w:shd w:val="clear" w:color="auto" w:fill="FFFFFF"/>
        </w:rPr>
        <w:t>pri čemu je jedna od aktivnosti koje one provode „organizacija i olakšavanje postupaka inovacije”</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(M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inovacije su jedno od sedam načela LEADER-a/CLLD-a</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(M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Svaka mjera/podmjera PRR-a u načelu ima potencijal za poticanje inovacija. </w:t>
      </w:r>
      <w:r>
        <w:rPr>
          <w:szCs w:val="20"/>
          <w:shd w:val="clear" w:color="auto" w:fill="FFFFFF"/>
        </w:rPr>
        <w:t xml:space="preserve">Pristup inovacijama koji se odabere za PRR iskazuje se u kriterijima prihvatljivosti i odabira za inovacijske projekte i u kombinaciji mjera u okviru žarišnih područja za potporu inovacijama (aktivnosti prijenosa znanja, savjetodavne službe, suradnja, ulaganja, umrežavanje itd.). </w:t>
      </w:r>
      <w:r>
        <w:t>Upravljačka tijela mogu primijeniti različite pristupe u organizaciji i kombiniranju tih mekih (npr. mjere 1, 2 i 16) i tvrdih mjera (podupiranje ulaganja, teritorijalnog razvoja, stavljanja na tržište, okoliša, prirode itd.)</w:t>
      </w:r>
      <w:r>
        <w:rPr>
          <w:b/>
        </w:rPr>
        <w:t xml:space="preserve"> </w:t>
      </w:r>
      <w:r>
        <w:t>za promicanje inovacija.</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Inovacije mogu donijeti sekundarne doprinose drugim žarišnim područjima.</w:t>
      </w:r>
      <w:r>
        <w:rPr>
          <w:szCs w:val="20"/>
          <w:shd w:val="clear" w:color="auto" w:fill="FFFFFF"/>
        </w:rPr>
        <w:t xml:space="preserve"> Primjerice, rezultat operacija suradnje programiranih u okviru žarišnog područja 2.A može biti inovativni pristup za poboljšanje bioraznolikosti, čime se ostvaruje sekundarni doprinos za žarišno područje 4.A. Nadalje, inovativnim mjerama OS-a može se razviti nova tehnika koja pomaže u smanjenju oštećenja od erozije tla koje prvenstveno uzrokuje primarna poljoprivredna proizvodnja (programirano u okviru </w:t>
      </w:r>
      <w:r>
        <w:rPr>
          <w:szCs w:val="20"/>
          <w:shd w:val="clear" w:color="auto" w:fill="FFFFFF"/>
        </w:rPr>
        <w:lastRenderedPageBreak/>
        <w:t>žarišnog područja 4.C). Time se međutim povećava i konkurentnost i pristup tržištima (sekundarni doprinos za žarišno područje 2.A).</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Umrežavanje u kontekstu politike ruralnog razvoja ima važnu ulogu u poticanju inovacija:</w:t>
      </w:r>
    </w:p>
    <w:p w:rsidR="00A45935" w:rsidRPr="0081188E" w:rsidRDefault="00A45935" w:rsidP="001744D0">
      <w:pPr>
        <w:pStyle w:val="Hlistbullet"/>
      </w:pPr>
      <w:r>
        <w:rPr>
          <w:b/>
        </w:rPr>
        <w:t>Mreža EPI-ja</w:t>
      </w:r>
      <w:r>
        <w:t xml:space="preserve"> novi je mrežni instrument u razdoblju 2014. – 2020. uspostavljen posebno za pružanje potpore EIP-AGRI-ju</w:t>
      </w:r>
      <w:r>
        <w:rPr>
          <w:rFonts w:cs="Arial"/>
          <w:vertAlign w:val="superscript"/>
        </w:rPr>
        <w:footnoteReference w:id="27"/>
      </w:r>
      <w:r>
        <w:t>, Europskom partnerstvu za inovacije za poljoprivrednu produktivnost i održivost.</w:t>
      </w:r>
      <w:r>
        <w:rPr>
          <w:shd w:val="clear" w:color="auto" w:fill="FFFFFF"/>
        </w:rPr>
        <w:t xml:space="preserve"> Glavni su ciljevi mreže EPI-ja povezivanje OS-ova EPI-ja, olakšavanje razmjene znanja, iskustva i dobre prakse te uspostava dijaloga poljoprivredne i istraživačke zajednice. Mrežom EIP-AGRI-ja upravlja Europska komisija (GU za poljoprivredu i ruralni razvoj) uz pomoć uslužne točke (SP). Tim SP-a olakšava aktivnosti umrežavanja tako što poboljšava komunikaciju, dijeljenje znanja i razmjenu u okviru konferencija, fokusnih skupina, radionica, seminara i publikacija. Primarna je svrha potaknuti interakciju svih subjekata uključenih u EIP-AGRI: poljoprivrednika, istraživača, savjetnika, NVO-a, poduzeća, tijela javne vlasti itd. Interaktivna internetska platforma EPI-ja pomaže u umrežavanju jer omogućuje umrežavanje svih dionika povezanih s inovacijama, točnije OS-ova, savjetodavnih službi, istraživača, poljoprivrednika i drugih dionika u procesu razmjene znanja.</w:t>
      </w:r>
    </w:p>
    <w:p w:rsidR="00EA0974" w:rsidRDefault="00A45935" w:rsidP="001744D0">
      <w:pPr>
        <w:pStyle w:val="Hlistbullet"/>
        <w:rPr>
          <w:shd w:val="clear" w:color="auto" w:fill="FFFFFF"/>
        </w:rPr>
      </w:pPr>
      <w:r>
        <w:rPr>
          <w:b/>
        </w:rPr>
        <w:t>Nacionalne ruralne mreže</w:t>
      </w:r>
      <w:r>
        <w:t xml:space="preserve"> (NRM-ovi) potiču inovacije u poljoprivredi, proizvodnji hrane, šumarstvu i ruralnim područjima</w:t>
      </w:r>
      <w:r>
        <w:rPr>
          <w:rFonts w:cs="Arial"/>
          <w:vertAlign w:val="superscript"/>
        </w:rPr>
        <w:footnoteReference w:id="28"/>
      </w:r>
      <w:r>
        <w:t>.</w:t>
      </w:r>
      <w:r>
        <w:rPr>
          <w:shd w:val="clear" w:color="auto" w:fill="FFFFFF"/>
        </w:rPr>
        <w:t xml:space="preserve"> Njih na razini EU-a podupire Europska mreža za ruralni razvoj (EMRR). </w:t>
      </w:r>
      <w:r>
        <w:t>NRM-ovi mogu biti „inovacijski posrednici”</w:t>
      </w:r>
      <w:r>
        <w:rPr>
          <w:rFonts w:cs="Arial"/>
          <w:shd w:val="clear" w:color="auto" w:fill="FFFFFF"/>
          <w:vertAlign w:val="superscript"/>
        </w:rPr>
        <w:footnoteReference w:id="29"/>
      </w:r>
      <w:r>
        <w:t xml:space="preserve">, no za to su potrebni duboka povezanost sa sektorom poljoprivrede i temeljito razumijevanje tog sektora te izrazito razvijene komunikacijske vještine. </w:t>
      </w:r>
      <w:r>
        <w:rPr>
          <w:shd w:val="clear" w:color="auto" w:fill="FFFFFF"/>
        </w:rPr>
        <w:t>NRM-ovi komuniciraju s mrežom EPI-ja kako bi se nadahnuli te razmijenili informacije i pristupe za poticanje inovacija. Osim prikupljanja dobrih praksi i primjera te olakšavanja tematskih razmjena među dionicima ruralnog razvoja, njihov je zadatak i umrežavanje usluga potpore inovacijama i savjetodavnih službi</w:t>
      </w:r>
      <w:r>
        <w:rPr>
          <w:rFonts w:eastAsia="Calibri" w:cs="Arial"/>
          <w:shd w:val="clear" w:color="auto" w:fill="FFFFFF"/>
          <w:vertAlign w:val="superscript"/>
        </w:rPr>
        <w:footnoteReference w:id="30"/>
      </w:r>
      <w:r>
        <w:rPr>
          <w:shd w:val="clear" w:color="auto" w:fill="FFFFFF"/>
        </w:rPr>
        <w:t>. To pomaže u prikupljanju inovativnih ideja od praktičara.</w:t>
      </w:r>
    </w:p>
    <w:p w:rsidR="00A45935" w:rsidRPr="00EA0974" w:rsidRDefault="00A45935" w:rsidP="009B603C">
      <w:pPr>
        <w:pStyle w:val="HHeading3"/>
        <w:spacing w:line="280" w:lineRule="exact"/>
        <w:rPr>
          <w:shd w:val="clear" w:color="auto" w:fill="FFFFFF"/>
        </w:rPr>
      </w:pPr>
      <w:bookmarkStart w:id="23" w:name="_Toc508981115"/>
      <w:r>
        <w:t>Zajednički evaluacijski elementi za inovacije</w:t>
      </w:r>
      <w:bookmarkEnd w:id="23"/>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Plan</w:t>
      </w:r>
      <w:r>
        <w:rPr>
          <w:szCs w:val="20"/>
          <w:shd w:val="clear" w:color="auto" w:fill="FFFFFF"/>
        </w:rPr>
        <w:t xml:space="preserve"> </w:t>
      </w:r>
      <w:r>
        <w:rPr>
          <w:b/>
          <w:szCs w:val="20"/>
          <w:shd w:val="clear" w:color="auto" w:fill="FFFFFF"/>
        </w:rPr>
        <w:t>evaluacije</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(PE) sadržan u PRR-u početna je točka za evaluacije, </w:t>
      </w:r>
      <w:r>
        <w:rPr>
          <w:szCs w:val="20"/>
          <w:shd w:val="clear" w:color="auto" w:fill="FFFFFF"/>
        </w:rPr>
        <w:t>a u njemu se ocjenjuju inovacije u okviru evaluacijskih tema i aktivnosti</w:t>
      </w:r>
      <w:r>
        <w:rPr>
          <w:b/>
          <w:szCs w:val="20"/>
          <w:shd w:val="clear" w:color="auto" w:fill="FFFFFF"/>
        </w:rPr>
        <w:t xml:space="preserve"> </w:t>
      </w:r>
      <w:r>
        <w:rPr>
          <w:szCs w:val="20"/>
          <w:shd w:val="clear" w:color="auto" w:fill="FFFFFF"/>
        </w:rPr>
        <w:t>povezanih s horizontalnim pitanjima. O tim povezanim aktivnostima i njihovim nalazima izvještava se u godišnjim izvješćima o provedbi</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Zajednički sustav za praćenje i evaluaciju (ZSPE)</w:t>
      </w:r>
      <w:r>
        <w:rPr>
          <w:szCs w:val="20"/>
          <w:shd w:val="clear" w:color="auto" w:fill="FFFFFF"/>
        </w:rPr>
        <w:t xml:space="preserve"> obuhvaća evaluacijske elemente za ocjenu inovacija, točnije zajednička evaluacijska pitanja (ZEP), kriterije prosudbe i pokazatelje:</w:t>
      </w:r>
    </w:p>
    <w:p w:rsidR="00A45935" w:rsidRPr="002E1723" w:rsidRDefault="00A45935" w:rsidP="00624393">
      <w:pPr>
        <w:pStyle w:val="HStandard"/>
      </w:pPr>
      <w:r>
        <w:t xml:space="preserve">Na </w:t>
      </w:r>
      <w:r w:rsidRPr="004C136F">
        <w:rPr>
          <w:b/>
        </w:rPr>
        <w:t>razini žarišnih područja</w:t>
      </w:r>
      <w:r>
        <w:t xml:space="preserve"> postoje dva ZEP-a povezana s inovacijama i ciljevima žarišnih područja 1.A i 1.B. Ta pitanja obuhvaćaju doprinose intervencija u pogledu očekivanih ostvarenja i rezultata:</w:t>
      </w:r>
    </w:p>
    <w:p w:rsidR="00A45935" w:rsidRPr="00EA0974" w:rsidRDefault="00A45935" w:rsidP="00624393">
      <w:pPr>
        <w:pStyle w:val="Hlistbullet"/>
      </w:pPr>
      <w:r>
        <w:t xml:space="preserve">ZEP br. 1: „U kojoj su mjeri intervencije u okviru PRR-a poduprle inovacije, suradnju i razvoj baze znanja u ruralnim područjima?” </w:t>
      </w:r>
    </w:p>
    <w:p w:rsidR="00A45935" w:rsidRPr="002E1723" w:rsidRDefault="00A45935" w:rsidP="00624393">
      <w:pPr>
        <w:pStyle w:val="Hlistbullet"/>
      </w:pPr>
      <w:r>
        <w:t xml:space="preserve">ZEP br. 2: „U kojoj su mjeri intervencije u okviru PRR-a poduprle jačanje poveznica između poljoprivrede, proizvodnje hrane i šumarstva te istraživanja i inovacija, među ostalim, u svrhu boljeg upravljanja okolišem i ekološke učinkovitosti?” </w:t>
      </w:r>
    </w:p>
    <w:p w:rsidR="00A45935" w:rsidRPr="002E1723" w:rsidRDefault="00A45935" w:rsidP="00624393">
      <w:pPr>
        <w:pStyle w:val="HStandard"/>
      </w:pPr>
      <w:r>
        <w:t xml:space="preserve">ZEP br. 21: „U kojoj je mjeri nacionalna ruralna mreža pridonijela ostvarenju ciljeva utvrđenih u članku 54. stavku 2. Uredbe (EU) br. 1305/2013?” odnosi se na </w:t>
      </w:r>
      <w:r>
        <w:rPr>
          <w:b/>
        </w:rPr>
        <w:t>druge aspekte PRR-a</w:t>
      </w:r>
      <w:r>
        <w:t xml:space="preserve">, točnije </w:t>
      </w:r>
      <w:r>
        <w:lastRenderedPageBreak/>
        <w:t>obuhvaćanje očekivanih ostvarenja i rezultata NRM-ova. Taj ZEP bitan je za inovacije jer se odnosi na cilj (d) iz članka 54. stavka 2. koji glasi: „poticati inovacije u poljoprivredi, proizvodnji hrane, šumarstvu i ruralnim područjima”.</w:t>
      </w:r>
    </w:p>
    <w:p w:rsidR="00A45935" w:rsidRPr="001A2A93" w:rsidRDefault="00A45935" w:rsidP="00624393">
      <w:pPr>
        <w:pStyle w:val="HStandard"/>
      </w:pPr>
      <w:r>
        <w:t xml:space="preserve">Na </w:t>
      </w:r>
      <w:r w:rsidRPr="004C136F">
        <w:rPr>
          <w:b/>
        </w:rPr>
        <w:t>razini ciljeva EU-a</w:t>
      </w:r>
      <w:r>
        <w:t xml:space="preserve"> postoje dva ZEP-a povezana s inovacijama koja služe za obuhvaćanje doprinosa programa u pogledu očekivanih učinaka. </w:t>
      </w:r>
    </w:p>
    <w:p w:rsidR="00A45935" w:rsidRPr="001A2A93" w:rsidRDefault="00A45935" w:rsidP="00624393">
      <w:pPr>
        <w:pStyle w:val="Hlistbullet"/>
      </w:pPr>
      <w:r>
        <w:t xml:space="preserve">ZEP br. 23 povezan je s ostvarivanjem glavnog cilja EU-a: „U kojoj je mjeri PRR pridonio postizanju glavnog cilja EU-a za 2020. da se 3 % BDP-a EU-a ulaže u istraživanje i razvoj te inovacije?” </w:t>
      </w:r>
    </w:p>
    <w:p w:rsidR="00A45935" w:rsidRPr="001A2A93" w:rsidRDefault="00A45935" w:rsidP="00624393">
      <w:pPr>
        <w:pStyle w:val="Hlistbullet"/>
      </w:pPr>
      <w:r>
        <w:t xml:space="preserve">ZEP br. 30 služi za ocjenu inovacija kao horizontalnog cilja: „U kojoj je mjeri PRR pridonio poticanju inovacija?” </w:t>
      </w:r>
    </w:p>
    <w:p w:rsidR="00A45935" w:rsidRPr="00E05D08" w:rsidRDefault="00A45935" w:rsidP="00E05D08">
      <w:pPr>
        <w:spacing w:after="120" w:line="280" w:lineRule="atLeast"/>
        <w:mirrorIndents/>
        <w:rPr>
          <w:rFonts w:eastAsia="Times New Roman" w:cs="Times New Roman"/>
          <w:szCs w:val="20"/>
          <w:shd w:val="clear" w:color="auto" w:fill="FFFFFF"/>
        </w:rPr>
      </w:pPr>
      <w:r>
        <w:rPr>
          <w:szCs w:val="20"/>
          <w:shd w:val="clear" w:color="auto" w:fill="FFFFFF"/>
        </w:rPr>
        <w:t xml:space="preserve">Na sljedećoj je slici prikazano kako su zajednički evaluacijski elementi (ZEP-ovi, kriteriji prosudbe i pokazatelji) povezani s okvirom politike na različitim razinama. Sedam </w:t>
      </w:r>
      <w:r>
        <w:rPr>
          <w:b/>
          <w:szCs w:val="20"/>
          <w:shd w:val="clear" w:color="auto" w:fill="FFFFFF"/>
        </w:rPr>
        <w:t>zajedničkih pokazatelja</w:t>
      </w:r>
      <w:r>
        <w:rPr>
          <w:szCs w:val="20"/>
          <w:shd w:val="clear" w:color="auto" w:fill="FFFFFF"/>
        </w:rPr>
        <w:t xml:space="preserve"> povezano je sa zajedničkim evaluacijskim pitanjima za inovacije: pet pokazatelja ostvarenja i dva ciljna pokazatelja</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A45935" w:rsidRPr="00151D94" w:rsidRDefault="004C136F" w:rsidP="00230C31">
      <w:pPr>
        <w:pStyle w:val="HHeadingfigures"/>
      </w:pPr>
      <w:bookmarkStart w:id="24" w:name="_Toc508981145"/>
      <w:r w:rsidRPr="004C136F">
        <w:rPr>
          <w:noProof/>
          <w:lang w:val="en-GB" w:eastAsia="en-GB"/>
        </w:rPr>
        <w:drawing>
          <wp:anchor distT="0" distB="0" distL="114300" distR="114300" simplePos="0" relativeHeight="251678720" behindDoc="0" locked="0" layoutInCell="1" allowOverlap="1" wp14:anchorId="36EE7C46" wp14:editId="762267D6">
            <wp:simplePos x="0" y="0"/>
            <wp:positionH relativeFrom="column">
              <wp:posOffset>-358775</wp:posOffset>
            </wp:positionH>
            <wp:positionV relativeFrom="paragraph">
              <wp:posOffset>407670</wp:posOffset>
            </wp:positionV>
            <wp:extent cx="6508750" cy="376936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08750" cy="376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974">
        <w:t>Zajednički evaluacijski elementi za evaluaciju inovacija</w:t>
      </w:r>
      <w:bookmarkEnd w:id="24"/>
      <w:r w:rsidR="00EA0974">
        <w:t xml:space="preserve"> </w:t>
      </w:r>
    </w:p>
    <w:p w:rsidR="004C136F" w:rsidRPr="00E05D08" w:rsidRDefault="004C136F" w:rsidP="00E05D08">
      <w:pPr>
        <w:spacing w:before="60" w:after="140" w:line="220" w:lineRule="atLeast"/>
        <w:jc w:val="center"/>
        <w:rPr>
          <w:rFonts w:eastAsia="Times New Roman" w:cs="Arial"/>
          <w:szCs w:val="20"/>
          <w:shd w:val="clear" w:color="auto" w:fill="FFFFFF"/>
          <w:lang w:eastAsia="de-DE"/>
        </w:rPr>
      </w:pP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Izvor: Europska služba za podršku evaluaciji ruralnog razvoja, 2017.</w:t>
      </w:r>
    </w:p>
    <w:p w:rsidR="00690E70" w:rsidRDefault="00690E70">
      <w:pPr>
        <w:jc w:val="left"/>
        <w:rPr>
          <w:rFonts w:eastAsia="Times New Roman" w:cs="Times New Roman"/>
          <w:b/>
          <w:szCs w:val="20"/>
        </w:rPr>
      </w:pPr>
      <w:bookmarkStart w:id="25" w:name="_Toc493151897"/>
      <w:bookmarkStart w:id="26" w:name="_Toc501382124"/>
      <w:r>
        <w:br w:type="page"/>
      </w:r>
    </w:p>
    <w:p w:rsidR="00A45935" w:rsidRPr="003737FE" w:rsidRDefault="00A45935" w:rsidP="00230C31">
      <w:pPr>
        <w:pStyle w:val="HHeading2"/>
      </w:pPr>
      <w:bookmarkStart w:id="27" w:name="_Toc508981116"/>
      <w:r>
        <w:lastRenderedPageBreak/>
        <w:t>Izazovi u evaluaciji inovacija</w:t>
      </w:r>
      <w:bookmarkEnd w:id="25"/>
      <w:bookmarkEnd w:id="26"/>
      <w:bookmarkEnd w:id="27"/>
    </w:p>
    <w:p w:rsidR="00A45935" w:rsidRPr="00E05D08" w:rsidRDefault="00A45935" w:rsidP="00E05D08">
      <w:pPr>
        <w:spacing w:after="120" w:line="280" w:lineRule="atLeast"/>
        <w:mirrorIndents/>
        <w:rPr>
          <w:rFonts w:eastAsia="Times New Roman" w:cs="Times New Roman"/>
          <w:szCs w:val="20"/>
        </w:rPr>
      </w:pPr>
      <w:bookmarkStart w:id="28" w:name="_Toc476064466"/>
      <w:bookmarkStart w:id="29" w:name="_Toc476064526"/>
      <w:bookmarkStart w:id="30" w:name="_Toc476064467"/>
      <w:bookmarkStart w:id="31" w:name="_Toc476064527"/>
      <w:bookmarkStart w:id="32" w:name="_Toc476064468"/>
      <w:bookmarkStart w:id="33" w:name="_Toc476064528"/>
      <w:bookmarkStart w:id="34" w:name="_Toc476064469"/>
      <w:bookmarkStart w:id="35" w:name="_Toc476064529"/>
      <w:bookmarkStart w:id="36" w:name="_Toc476064470"/>
      <w:bookmarkStart w:id="37" w:name="_Toc476064530"/>
      <w:bookmarkStart w:id="38" w:name="_Toc476064471"/>
      <w:bookmarkStart w:id="39" w:name="_Toc476064531"/>
      <w:bookmarkStart w:id="40" w:name="_Toc476064472"/>
      <w:bookmarkStart w:id="41" w:name="_Toc476064532"/>
      <w:bookmarkStart w:id="42" w:name="_Toc476064473"/>
      <w:bookmarkStart w:id="43" w:name="_Toc476064533"/>
      <w:bookmarkStart w:id="44" w:name="_Toc476064474"/>
      <w:bookmarkStart w:id="45" w:name="_Toc476064534"/>
      <w:bookmarkStart w:id="46" w:name="_Toc476064475"/>
      <w:bookmarkStart w:id="47" w:name="_Toc476064535"/>
      <w:bookmarkStart w:id="48" w:name="_Toc476064476"/>
      <w:bookmarkStart w:id="49" w:name="_Toc476064536"/>
      <w:bookmarkStart w:id="50" w:name="_Toc476064477"/>
      <w:bookmarkStart w:id="51" w:name="_Toc476064537"/>
      <w:bookmarkStart w:id="52" w:name="_Toc476064478"/>
      <w:bookmarkStart w:id="53" w:name="_Toc476064538"/>
      <w:bookmarkStart w:id="54" w:name="_Toc476064479"/>
      <w:bookmarkStart w:id="55" w:name="_Toc476064539"/>
      <w:bookmarkStart w:id="56" w:name="_Toc476064481"/>
      <w:bookmarkStart w:id="57" w:name="_Toc476064541"/>
      <w:bookmarkStart w:id="58" w:name="_Toc476064482"/>
      <w:bookmarkStart w:id="59" w:name="_Toc476064542"/>
      <w:bookmarkStart w:id="60" w:name="_Toc476064483"/>
      <w:bookmarkStart w:id="61" w:name="_Toc476064543"/>
      <w:bookmarkStart w:id="62" w:name="_Toc476064484"/>
      <w:bookmarkStart w:id="63" w:name="_Toc476064544"/>
      <w:bookmarkStart w:id="64" w:name="_Toc476064485"/>
      <w:bookmarkStart w:id="65" w:name="_Toc476064545"/>
      <w:bookmarkStart w:id="66" w:name="_Toc476064486"/>
      <w:bookmarkStart w:id="67" w:name="_Toc476064546"/>
      <w:bookmarkStart w:id="68" w:name="_Toc476064487"/>
      <w:bookmarkStart w:id="69" w:name="_Toc476064547"/>
      <w:bookmarkStart w:id="70" w:name="_Toc476064488"/>
      <w:bookmarkStart w:id="71" w:name="_Toc476064548"/>
      <w:bookmarkStart w:id="72" w:name="_Toc476064489"/>
      <w:bookmarkStart w:id="73" w:name="_Toc476064549"/>
      <w:bookmarkStart w:id="74" w:name="_Toc476064490"/>
      <w:bookmarkStart w:id="75" w:name="_Toc476064550"/>
      <w:bookmarkStart w:id="76" w:name="_Toc476064491"/>
      <w:bookmarkStart w:id="77" w:name="_Toc47606455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U evaluaciji inovacija u PRR-ima potrebno je uzeti u obzir nekoliko izazova.</w:t>
      </w:r>
    </w:p>
    <w:p w:rsidR="00A45935" w:rsidRPr="00E05D08" w:rsidRDefault="00A45935" w:rsidP="00230C31">
      <w:pPr>
        <w:pStyle w:val="HHeading4"/>
        <w:rPr>
          <w:rFonts w:eastAsia="Calibri"/>
        </w:rPr>
      </w:pPr>
      <w:r>
        <w:t xml:space="preserve">Konceptualni izazovi </w:t>
      </w:r>
    </w:p>
    <w:p w:rsidR="00A45935" w:rsidRPr="00920CB9" w:rsidRDefault="00A45935" w:rsidP="00576A73">
      <w:pPr>
        <w:pStyle w:val="Hlistbullet"/>
      </w:pPr>
      <w:r>
        <w:rPr>
          <w:b/>
        </w:rPr>
        <w:t>Jasno utvrđivanje predmeta evaluacije:</w:t>
      </w:r>
      <w:r>
        <w:t xml:space="preserve"> na što će se usmjeriti u evaluaciji inovacije? </w:t>
      </w:r>
    </w:p>
    <w:p w:rsidR="00A45935" w:rsidRPr="00920CB9" w:rsidRDefault="00A45935" w:rsidP="00576A73">
      <w:pPr>
        <w:pStyle w:val="Hlistbullet"/>
      </w:pPr>
      <w:r>
        <w:rPr>
          <w:b/>
        </w:rPr>
        <w:t>Mapiranje sustava znanja i inovacija</w:t>
      </w:r>
      <w:r>
        <w:t>: koje su sastavnice, odnosi među sastavnicama i granice predmetnog sustava znanja i inovacija na ruralnom području koje se ocjenjuje? Koja je uloga PRR-a u njemu</w:t>
      </w:r>
      <w:r>
        <w:rPr>
          <w:rFonts w:cs="Arial"/>
          <w:vertAlign w:val="superscript"/>
        </w:rPr>
        <w:footnoteReference w:id="34"/>
      </w:r>
      <w:r>
        <w:t>?</w:t>
      </w:r>
    </w:p>
    <w:p w:rsidR="00A45935" w:rsidRPr="00920CB9" w:rsidRDefault="00A45935" w:rsidP="00576A73">
      <w:pPr>
        <w:pStyle w:val="Hlistbullet"/>
      </w:pPr>
      <w:r w:rsidRPr="004C136F">
        <w:rPr>
          <w:b/>
        </w:rPr>
        <w:t>Preispitivanje pristupa prema inovacijama koji se primjenjuje u PRR-u</w:t>
      </w:r>
      <w:r>
        <w:t>: kakav inovacijski potencijal ima predmetni PRR? Koji su ciljevi? Jesu li kriteriji odabira osmišljeni posebno za inovacije?</w:t>
      </w:r>
    </w:p>
    <w:p w:rsidR="00A45935" w:rsidRPr="00B76BA4" w:rsidRDefault="00A45935" w:rsidP="00230C31">
      <w:pPr>
        <w:pStyle w:val="HHeading4"/>
        <w:rPr>
          <w:rFonts w:eastAsia="Calibri"/>
          <w:shd w:val="clear" w:color="auto" w:fill="FFFFFF"/>
        </w:rPr>
      </w:pPr>
      <w:r>
        <w:rPr>
          <w:shd w:val="clear" w:color="auto" w:fill="FFFFFF"/>
        </w:rPr>
        <w:t xml:space="preserve">Izazovi povezani sa zajedničkim sustavom za praćenje i evaluaciju </w:t>
      </w:r>
    </w:p>
    <w:p w:rsidR="00A45935" w:rsidRPr="000324A5" w:rsidRDefault="00A45935" w:rsidP="00576A73">
      <w:pPr>
        <w:pStyle w:val="Hlistbullet"/>
      </w:pPr>
      <w:r>
        <w:rPr>
          <w:b/>
        </w:rPr>
        <w:t xml:space="preserve">Razvoj dodatnih evaluacijskih elemenata i evaluacijskih elemenata specifičnih za pojedine programe: </w:t>
      </w:r>
      <w:r>
        <w:t xml:space="preserve">kako osmisliti dodatne evaluacijske elemente i evaluacijske elemente specifične za pojedine programe povezane s evaluacijom inovacija? </w:t>
      </w:r>
    </w:p>
    <w:p w:rsidR="00A45935" w:rsidRPr="000324A5" w:rsidRDefault="00A45935" w:rsidP="00576A73">
      <w:pPr>
        <w:pStyle w:val="Hlistbullet"/>
        <w:rPr>
          <w:b/>
        </w:rPr>
      </w:pPr>
      <w:r>
        <w:rPr>
          <w:b/>
        </w:rPr>
        <w:t xml:space="preserve">Izvješćivanje o rezultatima: </w:t>
      </w:r>
      <w:r>
        <w:t xml:space="preserve">kako uskladiti postupke evaluacije s rokom za podnošenje godišnjeg izvješća o provedbi 2019. te s </w:t>
      </w:r>
      <w:r w:rsidRPr="008126E6">
        <w:rPr>
          <w:i/>
        </w:rPr>
        <w:t>ex post</w:t>
      </w:r>
      <w:r>
        <w:t xml:space="preserve"> evaluacijom previđenom za 2024.?</w:t>
      </w:r>
    </w:p>
    <w:p w:rsidR="00A45935" w:rsidRPr="00E05D08" w:rsidRDefault="00A45935" w:rsidP="00230C31">
      <w:pPr>
        <w:pStyle w:val="HHeading4"/>
        <w:rPr>
          <w:rFonts w:eastAsia="Calibri"/>
          <w:shd w:val="clear" w:color="auto" w:fill="FFFFFF"/>
        </w:rPr>
      </w:pPr>
      <w:r>
        <w:rPr>
          <w:shd w:val="clear" w:color="auto" w:fill="FFFFFF"/>
        </w:rPr>
        <w:t xml:space="preserve">Metodološki izazovi </w:t>
      </w:r>
    </w:p>
    <w:p w:rsidR="00A45935" w:rsidRPr="00F8743F" w:rsidRDefault="00A45935" w:rsidP="00576A73">
      <w:pPr>
        <w:pStyle w:val="Hlistbullet"/>
        <w:rPr>
          <w:shd w:val="clear" w:color="auto" w:fill="FFFFFF"/>
        </w:rPr>
      </w:pPr>
      <w:r>
        <w:rPr>
          <w:b/>
        </w:rPr>
        <w:t>Pripisivanje</w:t>
      </w:r>
      <w:r>
        <w:rPr>
          <w:b/>
          <w:shd w:val="clear" w:color="auto" w:fill="FFFFFF"/>
        </w:rPr>
        <w:t xml:space="preserve"> inovacijskih procesa intervencijama u okviru PRR-a</w:t>
      </w:r>
      <w:r>
        <w:rPr>
          <w:shd w:val="clear" w:color="auto" w:fill="FFFFFF"/>
        </w:rPr>
        <w:t xml:space="preserve">: kako izmjeriti u kojoj se mjeri inovacijski procesi nastali u ruralnim područjima mogu izravno ili neizravno pripisati intervencijama u okviru PRR-a? </w:t>
      </w:r>
    </w:p>
    <w:p w:rsidR="00A45935" w:rsidRPr="00F8743F" w:rsidRDefault="00A45935" w:rsidP="00576A73">
      <w:pPr>
        <w:pStyle w:val="Hlistbullet"/>
        <w:rPr>
          <w:shd w:val="clear" w:color="auto" w:fill="FFFFFF"/>
        </w:rPr>
      </w:pPr>
      <w:r>
        <w:rPr>
          <w:b/>
        </w:rPr>
        <w:t>Pripisivanje učinaka inovacija rezultatima i učincima PRR-a.</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Osmišljavanje primjerenih</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pristupa evaluaciji:</w:t>
      </w:r>
      <w:r>
        <w:rPr>
          <w:shd w:val="clear" w:color="auto" w:fill="FFFFFF"/>
          <w14:textFill>
            <w14:solidFill>
              <w14:srgbClr w14:val="373737">
                <w14:lumMod w14:val="75000"/>
                <w14:lumMod w14:val="75000"/>
                <w14:lumMod w14:val="75000"/>
              </w14:srgbClr>
            </w14:solidFill>
          </w14:textFill>
        </w:rPr>
        <w:t xml:space="preserve"> kako triangulirati i kombinirati kvantitativne i kvalitativne metode kako bi se evaluacijski nalazi protumačili i poslužili kao pomoć u donošenju zaključaka i preporuka? </w:t>
      </w:r>
    </w:p>
    <w:p w:rsidR="00A45935" w:rsidRPr="00E05D08" w:rsidRDefault="00A45935" w:rsidP="00230C31">
      <w:pPr>
        <w:pStyle w:val="HHeading4"/>
        <w:rPr>
          <w:rFonts w:eastAsia="Calibri"/>
          <w:shd w:val="clear" w:color="auto" w:fill="FFFFFF"/>
        </w:rPr>
      </w:pPr>
      <w:r>
        <w:rPr>
          <w:shd w:val="clear" w:color="auto" w:fill="FFFFFF"/>
        </w:rPr>
        <w:t>Organizacijski izazovi</w:t>
      </w:r>
    </w:p>
    <w:p w:rsidR="00A45935" w:rsidRPr="00D55226" w:rsidRDefault="00A45935" w:rsidP="00576A73">
      <w:pPr>
        <w:pStyle w:val="Hlistbullet"/>
        <w:rPr>
          <w:rFonts w:eastAsia="Calibri"/>
        </w:rPr>
      </w:pPr>
      <w:r>
        <w:rPr>
          <w:b/>
        </w:rPr>
        <w:t>Osiguranje djelotvornog i učinkovitog upravljanja podatcima</w:t>
      </w:r>
      <w:r>
        <w:t xml:space="preserve">: kako prikupljati i analizirati podatke povezane sa zajedničkim i dodatnim pokazateljima te upravljati njima, osobito kada su za upravljanje mjerama potpore inovacijama nadležna različita tijela? </w:t>
      </w:r>
    </w:p>
    <w:p w:rsidR="00A45935" w:rsidRPr="00D55226" w:rsidRDefault="00A45935" w:rsidP="00576A73">
      <w:pPr>
        <w:pStyle w:val="Hlistbullet"/>
        <w:rPr>
          <w:rFonts w:eastAsia="Calibri"/>
        </w:rPr>
      </w:pPr>
      <w:r>
        <w:rPr>
          <w:b/>
        </w:rPr>
        <w:t>Koordinacija uključenih dionika</w:t>
      </w:r>
      <w:r>
        <w:t>: kako uspostaviti zajednički postupak i postići dogovor između upravljačkih tijela i različitih dionika u evaluaciji inovacija (npr. LAG-ova, OS-ova EPI-ja, savjetnika poljoprivrednika/šumara, istraživača)?</w:t>
      </w:r>
    </w:p>
    <w:p w:rsidR="00A45935" w:rsidRDefault="00A45935" w:rsidP="00576A73">
      <w:pPr>
        <w:pStyle w:val="Hlistbullet"/>
        <w:rPr>
          <w:rFonts w:eastAsia="Calibri"/>
        </w:rPr>
      </w:pPr>
      <w:r>
        <w:rPr>
          <w:b/>
        </w:rPr>
        <w:t>Uporaba evaluacijskih nalaza za poboljšanje strukture i provedbe politike</w:t>
      </w:r>
      <w:r>
        <w:t>: kako iz evaluacijskih nalaza izvući zaključke i preporuke o daljnjim koracima radi poboljšanja programa PRR-a, njegove transparentnosti, utvrđivanja odgovornosti i zajedničkog učenja među dionicima PRR-a?</w:t>
      </w:r>
    </w:p>
    <w:p w:rsidR="00230C31" w:rsidRDefault="00230C31" w:rsidP="00626C0C">
      <w:pPr>
        <w:pStyle w:val="HHeading1"/>
        <w:tabs>
          <w:tab w:val="clear" w:pos="567"/>
        </w:tabs>
      </w:pPr>
      <w:bookmarkStart w:id="78" w:name="_Toc508981117"/>
      <w:r>
        <w:lastRenderedPageBreak/>
        <w:t>Kako se provodi evaluacija inovacija u PRR-ima?</w:t>
      </w:r>
      <w:bookmarkEnd w:id="78"/>
    </w:p>
    <w:p w:rsidR="00A45935" w:rsidRPr="00C84B5B" w:rsidRDefault="00A45935" w:rsidP="00B421B9">
      <w:pPr>
        <w:pStyle w:val="HHeading2"/>
        <w:numPr>
          <w:ilvl w:val="1"/>
          <w:numId w:val="119"/>
        </w:numPr>
        <w:ind w:left="567" w:hanging="567"/>
      </w:pPr>
      <w:bookmarkStart w:id="79" w:name="_Toc476063931"/>
      <w:bookmarkStart w:id="80" w:name="_Toc476064198"/>
      <w:bookmarkStart w:id="81" w:name="_Toc476064493"/>
      <w:bookmarkStart w:id="82" w:name="_Toc476064553"/>
      <w:bookmarkStart w:id="83" w:name="_Toc508981118"/>
      <w:bookmarkStart w:id="84" w:name="_Toc493151899"/>
      <w:bookmarkStart w:id="85" w:name="_Toc501382126"/>
      <w:bookmarkEnd w:id="79"/>
      <w:bookmarkEnd w:id="80"/>
      <w:bookmarkEnd w:id="81"/>
      <w:bookmarkEnd w:id="82"/>
      <w:r>
        <w:t>Pristup predložen za evaluaciju inovacija u PRR-ima u razdoblju 2014. – 2020. (pregled)</w:t>
      </w:r>
      <w:bookmarkEnd w:id="83"/>
    </w:p>
    <w:bookmarkEnd w:id="84"/>
    <w:bookmarkEnd w:id="85"/>
    <w:p w:rsidR="00A45935" w:rsidRDefault="00A45935" w:rsidP="00946806">
      <w:pPr>
        <w:pStyle w:val="HHeading4"/>
      </w:pPr>
      <w:r>
        <w:t>Upravljanje evaluacijom inovacija</w:t>
      </w:r>
    </w:p>
    <w:p w:rsidR="00A45935" w:rsidRPr="00E05D08" w:rsidRDefault="00A45935" w:rsidP="00E05D08">
      <w:pPr>
        <w:spacing w:after="120" w:line="280" w:lineRule="atLeast"/>
        <w:mirrorIndents/>
        <w:rPr>
          <w:rFonts w:eastAsia="Times New Roman" w:cs="Times New Roman"/>
          <w:szCs w:val="20"/>
        </w:rPr>
      </w:pPr>
      <w:r>
        <w:rPr>
          <w:b/>
          <w:szCs w:val="20"/>
        </w:rPr>
        <w:t>Evaluacija inovacija i odgovaranje na evaluacijska pitanja povezana s inovacijama dio su evaluacije PRR-a.</w:t>
      </w:r>
      <w:r>
        <w:t xml:space="preserve"> </w:t>
      </w:r>
      <w:r>
        <w:rPr>
          <w:szCs w:val="20"/>
          <w:shd w:val="clear" w:color="auto" w:fill="FFFFFF"/>
        </w:rPr>
        <w:t>Stoga je uobičajeno da se njima upravlja zajedno s ostalim aktivnostima evaluacije PRR-a</w:t>
      </w:r>
      <w:r>
        <w:rPr>
          <w:rFonts w:eastAsia="Calibri" w:cs="Times New Roman"/>
          <w:szCs w:val="20"/>
          <w:shd w:val="clear" w:color="auto" w:fill="FFFFFF"/>
          <w:vertAlign w:val="superscript"/>
          <w:lang w:eastAsia="de-DE"/>
        </w:rPr>
        <w:footnoteReference w:id="35"/>
      </w:r>
      <w:r>
        <w:rPr>
          <w:szCs w:val="20"/>
          <w:shd w:val="clear" w:color="auto" w:fill="FFFFFF"/>
        </w:rPr>
        <w:t>. Na slici u nastavku prikazan je pregled tog procesa.</w:t>
      </w:r>
      <w:r>
        <w:t xml:space="preserve"> </w:t>
      </w:r>
    </w:p>
    <w:p w:rsidR="00A45935" w:rsidRPr="00E05D08" w:rsidRDefault="00A45935" w:rsidP="00E05D08">
      <w:pPr>
        <w:spacing w:after="120" w:line="280" w:lineRule="atLeast"/>
        <w:mirrorIndents/>
        <w:rPr>
          <w:rFonts w:eastAsia="Times New Roman" w:cs="Times New Roman"/>
          <w:szCs w:val="20"/>
        </w:rPr>
      </w:pPr>
      <w:r>
        <w:t xml:space="preserve">Priprema, strukturiranje i provedba evaluacije inovacija detaljno su opisani u poglavljima od 2.2. do 2.4. </w:t>
      </w:r>
    </w:p>
    <w:p w:rsidR="00A45935" w:rsidRPr="0018705F" w:rsidRDefault="00A45935" w:rsidP="00B421B9">
      <w:pPr>
        <w:pStyle w:val="HHeadingfigures"/>
      </w:pPr>
      <w:bookmarkStart w:id="86" w:name="_Toc508981146"/>
      <w:r>
        <w:t>Upravljanje evaluacijom inovacija u PRR-ima u razdoblju 2014. – 2020.</w:t>
      </w:r>
      <w:bookmarkEnd w:id="86"/>
    </w:p>
    <w:p w:rsidR="00A45935" w:rsidRPr="00E05D08" w:rsidRDefault="004C136F" w:rsidP="00E05D08">
      <w:pPr>
        <w:spacing w:after="120" w:line="280" w:lineRule="atLeast"/>
        <w:mirrorIndents/>
        <w:jc w:val="center"/>
        <w:rPr>
          <w:rFonts w:eastAsia="Times New Roman" w:cs="Times New Roman"/>
          <w:szCs w:val="20"/>
        </w:rPr>
      </w:pPr>
      <w:r w:rsidRPr="004C136F">
        <w:rPr>
          <w:noProof/>
          <w:lang w:val="en-GB" w:eastAsia="en-GB"/>
        </w:rPr>
        <w:drawing>
          <wp:inline distT="0" distB="0" distL="0" distR="0" wp14:anchorId="7CD991E4" wp14:editId="41BEE48B">
            <wp:extent cx="5731510" cy="404502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045022"/>
                    </a:xfrm>
                    <a:prstGeom prst="rect">
                      <a:avLst/>
                    </a:prstGeom>
                    <a:noFill/>
                    <a:ln>
                      <a:noFill/>
                    </a:ln>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Izvor: Europska služba za podršku evaluaciji ruralnog razvoja, 2017.</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Izvješćivanje o evaluaciji inovacija</w:t>
      </w:r>
    </w:p>
    <w:p w:rsidR="00A45935" w:rsidRPr="00E05D08" w:rsidRDefault="00A45935" w:rsidP="00E05D08">
      <w:pPr>
        <w:spacing w:after="120" w:line="280" w:lineRule="atLeast"/>
        <w:mirrorIndents/>
        <w:rPr>
          <w:rFonts w:eastAsia="Times New Roman" w:cs="Times New Roman"/>
          <w:szCs w:val="20"/>
        </w:rPr>
      </w:pPr>
      <w:r>
        <w:rPr>
          <w:b/>
        </w:rPr>
        <w:t>Upravljačka tijela odgovorna su za izvješćivanje Europske komisije o evaluacijskim nalazima</w:t>
      </w:r>
      <w:r>
        <w:rPr>
          <w:rFonts w:eastAsia="Times New Roman" w:cs="Times New Roman"/>
          <w:szCs w:val="20"/>
          <w:vertAlign w:val="superscript"/>
          <w:lang w:eastAsia="de-DE"/>
        </w:rPr>
        <w:footnoteReference w:id="36"/>
      </w:r>
      <w:r>
        <w:t xml:space="preserve">. Na slici 5. prikazano je u okviru kojih se ZEP-ova evaluacijski nalazi mogu uključiti u GIP-ove koji se podnose 2017. i 2019. te u </w:t>
      </w:r>
      <w:r w:rsidRPr="008126E6">
        <w:rPr>
          <w:i/>
        </w:rPr>
        <w:t>ex post</w:t>
      </w:r>
      <w:r>
        <w:t xml:space="preserve"> evaluaciju. </w:t>
      </w:r>
    </w:p>
    <w:p w:rsidR="00A45935" w:rsidRPr="00E05D08" w:rsidRDefault="00A45935" w:rsidP="00E05D08">
      <w:pPr>
        <w:spacing w:after="120" w:line="280" w:lineRule="atLeast"/>
        <w:mirrorIndents/>
        <w:rPr>
          <w:rFonts w:eastAsia="Times New Roman" w:cs="Times New Roman"/>
          <w:szCs w:val="20"/>
        </w:rPr>
      </w:pPr>
      <w:r w:rsidRPr="004C136F">
        <w:rPr>
          <w:b/>
        </w:rPr>
        <w:t xml:space="preserve">U GIP-u koji se podnosi 2019. i u </w:t>
      </w:r>
      <w:r w:rsidRPr="004C136F">
        <w:rPr>
          <w:b/>
          <w:i/>
        </w:rPr>
        <w:t>ex post</w:t>
      </w:r>
      <w:r w:rsidRPr="004C136F">
        <w:rPr>
          <w:b/>
        </w:rPr>
        <w:t xml:space="preserve"> evaluaciji mogu se očekivati znatni evaluacijski nalazi u pogledu inovacija</w:t>
      </w:r>
      <w:r>
        <w:t>. Budući da se poticanje inovacija smatra procesom, njezine rezultate teško je uočiti u ranim fazama provedbe programa.</w:t>
      </w:r>
    </w:p>
    <w:p w:rsidR="00A45935" w:rsidRPr="006B72BF" w:rsidRDefault="00533971" w:rsidP="008D178A">
      <w:pPr>
        <w:pStyle w:val="HHeadingfigures"/>
      </w:pPr>
      <w:bookmarkStart w:id="87" w:name="_Toc508981147"/>
      <w:r>
        <w:t>Izvještajni zahtjevi povezani s inovacijama</w:t>
      </w:r>
      <w:bookmarkEnd w:id="87"/>
    </w:p>
    <w:p w:rsidR="00A45935" w:rsidRDefault="004C136F" w:rsidP="00E05D08">
      <w:pPr>
        <w:spacing w:after="120" w:line="280" w:lineRule="atLeast"/>
        <w:mirrorIndents/>
        <w:jc w:val="center"/>
        <w:rPr>
          <w:rFonts w:eastAsia="Times New Roman" w:cs="Times New Roman"/>
          <w:szCs w:val="20"/>
          <w:lang w:eastAsia="de-DE"/>
        </w:rPr>
      </w:pPr>
      <w:r w:rsidRPr="004C136F">
        <w:rPr>
          <w:noProof/>
          <w:lang w:val="en-GB" w:eastAsia="en-GB"/>
        </w:rPr>
        <w:drawing>
          <wp:inline distT="0" distB="0" distL="0" distR="0" wp14:anchorId="5FC549D1" wp14:editId="2EADC260">
            <wp:extent cx="5731510" cy="44094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409420"/>
                    </a:xfrm>
                    <a:prstGeom prst="rect">
                      <a:avLst/>
                    </a:prstGeom>
                    <a:noFill/>
                    <a:ln>
                      <a:noFill/>
                    </a:ln>
                  </pic:spPr>
                </pic:pic>
              </a:graphicData>
            </a:graphic>
          </wp:inline>
        </w:drawing>
      </w:r>
    </w:p>
    <w:p w:rsidR="004C136F" w:rsidRPr="00E05D08" w:rsidRDefault="004C136F" w:rsidP="00E05D08">
      <w:pPr>
        <w:spacing w:after="120" w:line="280" w:lineRule="atLeast"/>
        <w:mirrorIndents/>
        <w:jc w:val="center"/>
        <w:rPr>
          <w:rFonts w:eastAsia="Times New Roman" w:cs="Times New Roman"/>
          <w:szCs w:val="20"/>
          <w:lang w:eastAsia="de-DE"/>
        </w:rPr>
      </w:pP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Izvor: Europska služba za podršku evaluaciji ruralnog razvoja, 2017.</w:t>
      </w:r>
    </w:p>
    <w:p w:rsidR="00A45935" w:rsidRPr="00E05D08" w:rsidRDefault="00A45935" w:rsidP="001744D0">
      <w:r>
        <w:t>Stoga je u ovim smjernicama naglasak na načinu na koji pristupiti evaluaciji inovacija nakon 2019.</w:t>
      </w:r>
    </w:p>
    <w:p w:rsidR="00A45935" w:rsidRDefault="00A45935" w:rsidP="00804433">
      <w:pPr>
        <w:spacing w:after="120" w:line="280" w:lineRule="atLeast"/>
        <w:mirrorIndents/>
        <w:rPr>
          <w:rFonts w:eastAsia="Times New Roman" w:cs="Times New Roman"/>
          <w:szCs w:val="20"/>
        </w:rPr>
      </w:pPr>
      <w:r>
        <w:t>Osim onih utvrđenih na razini EU-a, upravljačko tijelo može upotrijebiti i druge formate za izvješćivanje kako bi obavijestilo inovacijske subjekte, dionike ruralnog razvoja i širu javnost o evaluacijskim nalazima PRR-a (vidjeti i druge smjernice</w:t>
      </w:r>
      <w:r>
        <w:rPr>
          <w:rFonts w:eastAsia="Times New Roman" w:cs="Times New Roman"/>
          <w:szCs w:val="20"/>
          <w:vertAlign w:val="superscript"/>
          <w:lang w:eastAsia="de-DE"/>
        </w:rPr>
        <w:footnoteReference w:id="37"/>
      </w:r>
      <w:r>
        <w:t xml:space="preserve">). Ako žele, države članice mogu odlučiti provesti samostalnu evaluaciju inovacija i pripremiti posebna izvješća o evaluacijama.  </w:t>
      </w:r>
    </w:p>
    <w:p w:rsidR="004C136F" w:rsidRDefault="00EE767C" w:rsidP="00804433">
      <w:pPr>
        <w:spacing w:after="120" w:line="280" w:lineRule="atLeast"/>
        <w:mirrorIndents/>
        <w:rPr>
          <w:b/>
          <w:szCs w:val="20"/>
        </w:rPr>
      </w:pPr>
      <w:r>
        <w:rPr>
          <w:noProof/>
          <w:lang w:val="en-GB" w:eastAsia="en-GB"/>
        </w:rPr>
        <w:lastRenderedPageBreak/>
        <mc:AlternateContent>
          <mc:Choice Requires="wps">
            <w:drawing>
              <wp:anchor distT="180340" distB="0" distL="114300" distR="114300" simplePos="0" relativeHeight="251639808" behindDoc="0" locked="0" layoutInCell="1" allowOverlap="1" wp14:anchorId="261C4C83" wp14:editId="233C7641">
                <wp:simplePos x="0" y="0"/>
                <wp:positionH relativeFrom="page">
                  <wp:posOffset>857250</wp:posOffset>
                </wp:positionH>
                <wp:positionV relativeFrom="page">
                  <wp:posOffset>704850</wp:posOffset>
                </wp:positionV>
                <wp:extent cx="5826760" cy="2781300"/>
                <wp:effectExtent l="0" t="0" r="21590" b="19050"/>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781300"/>
                        </a:xfrm>
                        <a:prstGeom prst="round2DiagRect">
                          <a:avLst>
                            <a:gd name="adj1" fmla="val 8810"/>
                            <a:gd name="adj2" fmla="val 0"/>
                          </a:avLst>
                        </a:prstGeom>
                        <a:noFill/>
                        <a:ln w="25400" cap="flat" cmpd="sng" algn="ctr">
                          <a:solidFill>
                            <a:srgbClr val="F07E31"/>
                          </a:solidFill>
                          <a:prstDash val="solid"/>
                        </a:ln>
                        <a:effectLst/>
                      </wps:spPr>
                      <wps:txbx>
                        <w:txbxContent>
                          <w:p w:rsidR="00FD4C56" w:rsidRPr="00E05D08" w:rsidRDefault="00FD4C56"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Primjer: stalna evaluacija EIP-AGRI-ja u Švedskoj</w:t>
                            </w:r>
                          </w:p>
                          <w:p w:rsidR="00FD4C56" w:rsidRPr="00275EE5" w:rsidRDefault="00FD4C56" w:rsidP="00E05D08">
                            <w:pPr>
                              <w:pStyle w:val="HBox"/>
                            </w:pPr>
                            <w:r>
                              <w:rPr>
                                <w:bCs/>
                                <w14:textFill>
                                  <w14:solidFill>
                                    <w14:srgbClr w14:val="373737">
                                      <w14:lumMod w14:val="75000"/>
                                    </w14:srgbClr>
                                  </w14:solidFill>
                                </w14:textFill>
                              </w:rPr>
                              <w:t>U Švedskoj se evaluacija inovacija provodi u okviru evaluacije PRR-a i sastoji se od kvantitativne i kvalitativne evaluacije. Tim dvjema evaluacijama upravlja Agencija za evaluaciju</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 xml:space="preserve">Očekuje se da će se kvantitativnom evaluacijom dobiti nalazi samo za GIP koji se podnosi 2019. i za </w:t>
                            </w:r>
                            <w:r w:rsidRPr="008126E6">
                              <w:rPr>
                                <w:i/>
                              </w:rPr>
                              <w:t>ex post</w:t>
                            </w:r>
                            <w:r>
                              <w:t xml:space="preserve"> evaluaciju.</w:t>
                            </w:r>
                            <w:r>
                              <w:rPr>
                                <w:bCs/>
                                <w14:textFill>
                                  <w14:solidFill>
                                    <w14:srgbClr w14:val="373737">
                                      <w14:lumMod w14:val="75000"/>
                                    </w14:srgbClr>
                                  </w14:solidFill>
                                </w14:textFill>
                              </w:rPr>
                              <w:t xml:space="preserve"> I dalje je usvojen relativno mali broj mjera povezanih s inovacijama, pa se kvantitativna ocjena ne može provesti 2017. Kvalitativna evaluacija zamišljena je kao stalna formativna evaluacija u kojoj je naglasak na provedbi EIP-AGRI-ja. Provodi je akcijski istraživački tim sa Sveučilišta u gradu Umeå. Cilj je te stalne evaluacije stalno pružanje povratnih informacija i preporuka o upravljanju EIP-AGRI-jem i njegovoj provedbi (M16 PRR-a). </w:t>
                            </w:r>
                            <w:r>
                              <w:t xml:space="preserve">Očekuje se da će se nalazi dobivati tijekom cijelog programskog razdoblja te za potrebe GIP-ova koji se podnose 2017. i 2019. te </w:t>
                            </w:r>
                            <w:r w:rsidRPr="008126E6">
                              <w:rPr>
                                <w:i/>
                              </w:rPr>
                              <w:t>ex post</w:t>
                            </w:r>
                            <w:r>
                              <w:t xml:space="preserve"> evaluacije.</w:t>
                            </w:r>
                            <w:r>
                              <w:rPr>
                                <w:bCs/>
                                <w14:textFill>
                                  <w14:solidFill>
                                    <w14:srgbClr w14:val="373737">
                                      <w14:lumMod w14:val="75000"/>
                                    </w14:srgbClr>
                                  </w14:solidFill>
                                </w14:textFill>
                              </w:rPr>
                              <w:t xml:space="preserve"> Obje vrste evaluacije provode neovisni evaluatori koji se odabiru u postupku javne nabave u skladu sa zakonodavstvom o javnoj nabavi.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4C83" id="Rectangle: Diagonal Corners Rounded 61" o:spid="_x0000_s1036" style="position:absolute;left:0;text-align:left;margin-left:67.5pt;margin-top:55.5pt;width:458.8pt;height:219pt;z-index:251639808;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" adj="-11796480,,5400" path="m245033,l5826760,r,l5826760,2536267v,135328,-109705,245033,-245033,245033l,2781300r,l,245033c,109705,109705,,245033,xe" filled="f" strokecolor="#f07e31" strokeweight="2pt">
                <v:stroke joinstyle="miter"/>
                <v:formulas/>
                <v:path arrowok="t" o:connecttype="custom" o:connectlocs="245033,0;5826760,0;5826760,0;5826760,2536267;5581727,2781300;0,2781300;0,2781300;0,245033;245033,0" o:connectangles="0,0,0,0,0,0,0,0,0" textboxrect="0,0,5826760,2781300"/>
                <v:textbox>
                  <w:txbxContent>
                    <w:p w:rsidR="00FD4C56" w:rsidRPr="00E05D08" w:rsidRDefault="00FD4C56" w:rsidP="00E05D08">
                      <w:pPr>
                        <w:pStyle w:val="HStandard"/>
                        <w:rPr>
                          <w:b/>
                          <w:color w:val="F07E31"/>
                          <w:sz w:val="18"/>
                          <w:szCs w:val="18"/>
                        </w:rPr>
                      </w:pPr>
                      <w:r>
                        <w:rPr>
                          <w:noProof/>
                          <w:lang w:val="en-GB" w:eastAsia="en-GB"/>
                        </w:rPr>
                        <w:drawing>
                          <wp:inline distT="0" distB="0" distL="0" distR="0" wp14:anchorId="7CEE333D" wp14:editId="59309FAC">
                            <wp:extent cx="353060" cy="359410"/>
                            <wp:effectExtent l="0" t="0" r="8890" b="2540"/>
                            <wp:docPr id="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Primjer: stalna evaluacija EIP-AGRI-ja u Švedskoj</w:t>
                      </w:r>
                    </w:p>
                    <w:p w:rsidR="00FD4C56" w:rsidRPr="00275EE5" w:rsidRDefault="00FD4C56" w:rsidP="00E05D08">
                      <w:pPr>
                        <w:pStyle w:val="HBox"/>
                      </w:pPr>
                      <w:r>
                        <w:rPr>
                          <w:bCs/>
                          <w14:textFill>
                            <w14:solidFill>
                              <w14:srgbClr w14:val="373737">
                                <w14:lumMod w14:val="75000"/>
                              </w14:srgbClr>
                            </w14:solidFill>
                          </w14:textFill>
                        </w:rPr>
                        <w:t>U Švedskoj se evaluacija inovacija provodi u okviru evaluacije PRR-a i sastoji se od kvantitativne i kvalitativne evaluacije. Tim dvjema evaluacijama upravlja Agencija za evaluaciju</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 xml:space="preserve">Očekuje se da će se kvantitativnom evaluacijom dobiti nalazi samo za GIP koji se podnosi 2019. i za </w:t>
                      </w:r>
                      <w:r w:rsidRPr="008126E6">
                        <w:rPr>
                          <w:i/>
                        </w:rPr>
                        <w:t>ex post</w:t>
                      </w:r>
                      <w:r>
                        <w:t xml:space="preserve"> evaluaciju.</w:t>
                      </w:r>
                      <w:r>
                        <w:rPr>
                          <w:bCs/>
                          <w14:textFill>
                            <w14:solidFill>
                              <w14:srgbClr w14:val="373737">
                                <w14:lumMod w14:val="75000"/>
                              </w14:srgbClr>
                            </w14:solidFill>
                          </w14:textFill>
                        </w:rPr>
                        <w:t xml:space="preserve"> I dalje je usvojen relativno mali broj mjera povezanih s inovacijama, pa se kvantitativna ocjena ne može provesti 2017. Kvalitativna evaluacija zamišljena je kao stalna formativna evaluacija u kojoj je naglasak na provedbi EIP-AGRI-ja. Provodi je akcijski istraživački tim sa Sveučilišta u gradu Umeå. Cilj je te stalne evaluacije stalno pružanje povratnih informacija i preporuka o upravljanju EIP-AGRI-jem i njegovoj provedbi (M16 PRR-a). </w:t>
                      </w:r>
                      <w:r>
                        <w:t xml:space="preserve">Očekuje se da će se nalazi dobivati tijekom cijelog programskog razdoblja te za potrebe GIP-ova koji se podnose 2017. i 2019. te </w:t>
                      </w:r>
                      <w:r w:rsidRPr="008126E6">
                        <w:rPr>
                          <w:i/>
                        </w:rPr>
                        <w:t>ex post</w:t>
                      </w:r>
                      <w:r>
                        <w:t xml:space="preserve"> evaluacije.</w:t>
                      </w:r>
                      <w:r>
                        <w:rPr>
                          <w:bCs/>
                          <w14:textFill>
                            <w14:solidFill>
                              <w14:srgbClr w14:val="373737">
                                <w14:lumMod w14:val="75000"/>
                              </w14:srgbClr>
                            </w14:solidFill>
                          </w14:textFill>
                        </w:rPr>
                        <w:t xml:space="preserve"> Obje vrste evaluacije provode neovisni evaluatori koji se odabiru u postupku javne nabave u skladu sa zakonodavstvom o javnoj nabavi.</w:t>
                      </w:r>
                    </w:p>
                  </w:txbxContent>
                </v:textbox>
                <w10:wrap type="topAndBottom" anchorx="page" anchory="page"/>
              </v:shape>
            </w:pict>
          </mc:Fallback>
        </mc:AlternateContent>
      </w:r>
    </w:p>
    <w:p w:rsidR="00AB30F5" w:rsidRPr="00AB30F5" w:rsidRDefault="00AB30F5" w:rsidP="00804433">
      <w:pPr>
        <w:spacing w:after="120" w:line="280" w:lineRule="atLeast"/>
        <w:mirrorIndents/>
        <w:rPr>
          <w:rFonts w:eastAsia="Times New Roman" w:cs="Times New Roman"/>
          <w:b/>
          <w:color w:val="FFFFFF" w:themeColor="background1"/>
          <w:szCs w:val="20"/>
        </w:rPr>
      </w:pPr>
      <w:r w:rsidRPr="00AB30F5">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Pravnim okvirom propisano je odgovaranje na sva relevantna evaluacijska pitanja povezana s inovacijama</w:t>
      </w:r>
      <w:r>
        <w:rPr>
          <w:rFonts w:eastAsia="Times New Roman" w:cs="Times New Roman"/>
          <w:szCs w:val="20"/>
          <w:vertAlign w:val="superscript"/>
          <w:lang w:eastAsia="de-DE"/>
        </w:rPr>
        <w:footnoteReference w:id="39"/>
      </w:r>
      <w:r>
        <w:t xml:space="preserve"> putem ocjene odgovarajućih zajedničkih pokazatelja</w:t>
      </w:r>
      <w:r>
        <w:rPr>
          <w:rFonts w:eastAsia="Times New Roman" w:cs="Times New Roman"/>
          <w:szCs w:val="20"/>
          <w:vertAlign w:val="superscript"/>
          <w:lang w:eastAsia="de-DE"/>
        </w:rPr>
        <w:footnoteReference w:id="40"/>
      </w:r>
      <w:r>
        <w:t xml:space="preserve"> i obuhvaćanja postignuća ruralne politike EU-a u p</w:t>
      </w:r>
      <w:bookmarkStart w:id="88" w:name="_GoBack"/>
      <w:bookmarkEnd w:id="88"/>
      <w:r>
        <w:t xml:space="preserve">oticanju inovacija. </w:t>
      </w:r>
    </w:p>
    <w:p w:rsidR="00576A73" w:rsidRDefault="00A45935" w:rsidP="00576A73">
      <w:pPr>
        <w:spacing w:after="120" w:line="280" w:lineRule="atLeast"/>
        <w:mirrorIndents/>
        <w:rPr>
          <w:rFonts w:eastAsia="Times New Roman" w:cs="Times New Roman"/>
          <w:szCs w:val="20"/>
        </w:rPr>
      </w:pPr>
      <w:r>
        <w:t>Predlažu se sljedeći neobvezujući radni koraci:</w:t>
      </w:r>
    </w:p>
    <w:p w:rsidR="00A45935" w:rsidRPr="00E05D08" w:rsidRDefault="00A45935" w:rsidP="00B421B9">
      <w:pPr>
        <w:pStyle w:val="HHeading4"/>
        <w:rPr>
          <w:rFonts w:eastAsia="Calibri"/>
          <w:shd w:val="clear" w:color="auto" w:fill="FFFFFF"/>
        </w:rPr>
      </w:pPr>
      <w:r>
        <w:rPr>
          <w:shd w:val="clear" w:color="auto" w:fill="FFFFFF"/>
        </w:rPr>
        <w:t>Analitička provjera inovacijskog potencijala mjera/podmjera PRR-a (preporučeno)</w:t>
      </w:r>
    </w:p>
    <w:p w:rsidR="00A45935" w:rsidRPr="00E05D08" w:rsidRDefault="00A45935" w:rsidP="00E05D08">
      <w:pPr>
        <w:spacing w:after="120" w:line="280" w:lineRule="atLeast"/>
        <w:mirrorIndents/>
        <w:rPr>
          <w:rFonts w:eastAsia="Times New Roman" w:cs="Times New Roman"/>
          <w:szCs w:val="20"/>
        </w:rPr>
      </w:pPr>
      <w:r>
        <w:t xml:space="preserve">Upravljačka tijela i/ili stručnjaci za evaluaciju možda će prije započinjanja evaluacijskih aktivnosti za odgovaranje na evaluacijska pitanja povezana s inovacijama htjeti analitički provjeriti inovacijski potencijal mjera/podmjera PRR-a (plavi dio na slici 6). Taj će korak pomoći evaluatoru i upravljačkim tijelima u razumijevanju načina na koji mjere/podmjere PRR-a mogu pridonijeti postizanju ciljeva PRR-a povezanih s inovacijama (vidjeti </w:t>
      </w:r>
      <w:hyperlink w:anchor="Screening_Potential" w:history="1">
        <w:r>
          <w:rPr>
            <w:rStyle w:val="Hyperlink"/>
            <w:sz w:val="20"/>
            <w:szCs w:val="20"/>
          </w:rPr>
          <w:t>poglavlje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Dopuna zajedničkih evaluacijskih elemenata za inovacije (preporučeno)</w:t>
      </w:r>
    </w:p>
    <w:p w:rsidR="00A45935" w:rsidRPr="00E05D08" w:rsidRDefault="00A45935" w:rsidP="00E05D08">
      <w:pPr>
        <w:spacing w:after="120" w:line="280" w:lineRule="atLeast"/>
        <w:mirrorIndents/>
        <w:rPr>
          <w:rFonts w:eastAsia="Times New Roman" w:cs="Times New Roman"/>
          <w:szCs w:val="20"/>
        </w:rPr>
      </w:pPr>
      <w:r>
        <w:t>ZSPE pruža osnovne evaluacijske elemente za odgovaranje na zajednička evaluacijska pitanja povezana s inovacijama. Ako zajednički evaluacijski elementi (kriteriji prosudbe</w:t>
      </w:r>
      <w:r>
        <w:rPr>
          <w:rFonts w:eastAsia="Times New Roman" w:cs="Times New Roman"/>
          <w:szCs w:val="20"/>
          <w:vertAlign w:val="superscript"/>
          <w:lang w:eastAsia="de-DE"/>
        </w:rPr>
        <w:footnoteReference w:id="41"/>
      </w:r>
      <w:r>
        <w:t xml:space="preserve"> i zajednički pokazatelji</w:t>
      </w:r>
      <w:r>
        <w:rPr>
          <w:rFonts w:eastAsia="Times New Roman" w:cs="Times New Roman"/>
          <w:szCs w:val="20"/>
          <w:vertAlign w:val="superscript"/>
          <w:lang w:eastAsia="de-DE"/>
        </w:rPr>
        <w:footnoteReference w:id="42"/>
      </w:r>
      <w:r>
        <w:t>) nisu dostatni za bilježenje svih očekivanih učinaka, elemente koji nedostaju (npr. evaluacijska potpitanja, dodatne kriterije prosudbe</w:t>
      </w:r>
      <w:r>
        <w:rPr>
          <w:rFonts w:eastAsia="Times New Roman" w:cs="Times New Roman"/>
          <w:szCs w:val="20"/>
          <w:vertAlign w:val="superscript"/>
          <w:lang w:eastAsia="de-DE"/>
        </w:rPr>
        <w:footnoteReference w:id="43"/>
      </w:r>
      <w:r>
        <w:t xml:space="preserve"> te dodatne kvantitativne i kvalitativne pokazatelje</w:t>
      </w:r>
      <w:r>
        <w:rPr>
          <w:rFonts w:eastAsia="Times New Roman" w:cs="Times New Roman"/>
          <w:szCs w:val="20"/>
          <w:vertAlign w:val="superscript"/>
          <w:lang w:eastAsia="de-DE"/>
        </w:rPr>
        <w:footnoteReference w:id="44"/>
      </w:r>
      <w:r>
        <w:t xml:space="preserve">) mogu razviti upravljačka tijela, najbolje u suradnji sa stručnjacima za evaluaciju (zeleni dijelovi na slici 6.) (vidjeti </w:t>
      </w:r>
      <w:hyperlink w:anchor="Complementing" w:history="1">
        <w:r>
          <w:rPr>
            <w:rStyle w:val="Hyperlink"/>
            <w:sz w:val="20"/>
            <w:szCs w:val="20"/>
          </w:rPr>
          <w:t>poglavlje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Odgovaranje na relevantna zajednička evaluacijska pitanja (obavezno)</w:t>
      </w:r>
    </w:p>
    <w:p w:rsidR="00A45935" w:rsidRPr="00E05D08" w:rsidRDefault="00A45935" w:rsidP="00E05D08">
      <w:pPr>
        <w:spacing w:after="120" w:line="280" w:lineRule="atLeast"/>
        <w:mirrorIndents/>
        <w:rPr>
          <w:rFonts w:eastAsia="Times New Roman" w:cs="Times New Roman"/>
          <w:szCs w:val="20"/>
        </w:rPr>
      </w:pPr>
      <w:r>
        <w:t xml:space="preserve">Evaluatori PRR-a ocijenit će postignuća PRR-a u poticanju inovacija i njegove doprinose ciljevima EU-ove i nacionalne/regionalne politike ruralnog razvoja. Upotrijebit će evaluacijske nalaze u sastavljanju odgovora na zajednička i dodatna evaluacijska pitanja te evaluacijska pitanja specifična za pojedine programe (narančasti dijelovi na slici 6.). Kako bi se odgovorilo na evaluacijska pitanja povezana s inovacijama, potreban je poseban pristup (vidjeti poglavlje </w:t>
      </w:r>
      <w:hyperlink w:anchor="Answering" w:history="1">
        <w:r>
          <w:rPr>
            <w:rStyle w:val="Hyperlink"/>
            <w:sz w:val="20"/>
            <w:szCs w:val="20"/>
          </w:rPr>
          <w:t>2.4.</w:t>
        </w:r>
      </w:hyperlink>
      <w:r>
        <w:t>).</w:t>
      </w:r>
    </w:p>
    <w:p w:rsidR="00A45935" w:rsidRPr="00EC5172" w:rsidRDefault="004C136F" w:rsidP="00B421B9">
      <w:pPr>
        <w:pStyle w:val="HHeadingfigures"/>
      </w:pPr>
      <w:bookmarkStart w:id="89" w:name="_Toc508981148"/>
      <w:r w:rsidRPr="004C136F">
        <w:rPr>
          <w:noProof/>
          <w:lang w:val="en-GB" w:eastAsia="en-GB"/>
        </w:rPr>
        <w:drawing>
          <wp:anchor distT="0" distB="0" distL="114300" distR="114300" simplePos="0" relativeHeight="251680768" behindDoc="0" locked="0" layoutInCell="1" allowOverlap="1" wp14:anchorId="613C6DA0" wp14:editId="6646714F">
            <wp:simplePos x="0" y="0"/>
            <wp:positionH relativeFrom="column">
              <wp:posOffset>-393700</wp:posOffset>
            </wp:positionH>
            <wp:positionV relativeFrom="paragraph">
              <wp:posOffset>257175</wp:posOffset>
            </wp:positionV>
            <wp:extent cx="6548755" cy="379539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8755" cy="379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C0C">
        <w:t>Pristup evaluaciji inovacija u PRR-ima</w:t>
      </w:r>
      <w:bookmarkEnd w:id="89"/>
    </w:p>
    <w:p w:rsidR="00A45935" w:rsidRPr="00E05D08" w:rsidRDefault="00A45935" w:rsidP="00E05D08">
      <w:pPr>
        <w:spacing w:after="120" w:line="280" w:lineRule="atLeast"/>
        <w:mirrorIndents/>
        <w:jc w:val="center"/>
        <w:rPr>
          <w:rFonts w:eastAsia="Times New Roman" w:cs="Times New Roman"/>
          <w:szCs w:val="20"/>
          <w:lang w:eastAsia="de-DE"/>
        </w:rPr>
      </w:pP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Izvor: Europska služba za podršku evaluaciji ruralnog razvoja, 2017.</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981119"/>
      <w:bookmarkEnd w:id="92"/>
      <w:r>
        <w:t>Analitička provjera inovacijskog potencijala mjera/podmjera PRR-a (preporučeno)</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Zašto bismo trebali analitički provjeriti inovacijski potencijal mjera PRR-a? </w:t>
      </w:r>
    </w:p>
    <w:p w:rsidR="00C64B64" w:rsidRPr="00E05D08" w:rsidRDefault="00A45935" w:rsidP="00E05D08">
      <w:pPr>
        <w:spacing w:after="120" w:line="280" w:lineRule="atLeast"/>
        <w:mirrorIndents/>
        <w:rPr>
          <w:rFonts w:eastAsia="Times New Roman" w:cs="Times New Roman"/>
          <w:szCs w:val="20"/>
        </w:rPr>
      </w:pPr>
      <w:r>
        <w:t xml:space="preserve">Upravljačka tijela vrlo su fleksibilna u kombiniranju i osmišljavanju različitih mjera ruralnog razvoja u okviru žarišnih područja, što dovodi do vrlo različitih pristupa inovacijama koji se primjenjuju u PRR-ima. Analitička provjera odabira i kombinacije mjera/podmjera u okviru PRR-a pomaže u boljem razumijevanju posebnog pristupa prema inovacijama te inovacijskog potencijala PRR-a. To je koristan temelj za odgovaranje na zajednička evaluacijska pitanja povezana s inovacijama, osobito u kasnijim fazama evaluacije (npr. GIP-u koji se podnosi 2019. ili </w:t>
      </w:r>
      <w:r w:rsidRPr="008126E6">
        <w:rPr>
          <w:i/>
        </w:rPr>
        <w:t>ex post</w:t>
      </w:r>
      <w:r>
        <w:t xml:space="preserve"> evaluaciji) kada će biti moguće obuhvatiti učinke utjecaja PRR-a na inovacijske procese. </w:t>
      </w:r>
    </w:p>
    <w:p w:rsidR="00A45935" w:rsidRPr="00E05D08" w:rsidRDefault="00A45935" w:rsidP="00B421B9">
      <w:pPr>
        <w:pStyle w:val="HHeading4"/>
        <w:rPr>
          <w:rFonts w:eastAsia="Calibri"/>
          <w:shd w:val="clear" w:color="auto" w:fill="FFFFFF"/>
        </w:rPr>
      </w:pPr>
      <w:r>
        <w:rPr>
          <w:shd w:val="clear" w:color="auto" w:fill="FFFFFF"/>
        </w:rPr>
        <w:t xml:space="preserve">Što je inovacijski potencijal mjera/podmjera PRR-a? </w:t>
      </w:r>
    </w:p>
    <w:p w:rsidR="00A45935" w:rsidRPr="00E05D08" w:rsidRDefault="00A45935" w:rsidP="00E05D08">
      <w:pPr>
        <w:spacing w:after="120" w:line="280" w:lineRule="atLeast"/>
        <w:mirrorIndents/>
        <w:rPr>
          <w:rFonts w:eastAsia="Times New Roman" w:cs="Times New Roman"/>
          <w:szCs w:val="20"/>
        </w:rPr>
      </w:pPr>
      <w:r>
        <w:t xml:space="preserve">Neovisno o tome sagledavaju li se samostalno ili u kombinaciji s drugim mjerama/podmjerama u okviru žarišnih područja, </w:t>
      </w:r>
      <w:r w:rsidRPr="00AA7F7C">
        <w:rPr>
          <w:b/>
        </w:rPr>
        <w:t>inovacijski potencijal mjera/podmjera PRR-a</w:t>
      </w:r>
      <w:r>
        <w:t xml:space="preserve"> tumači se kao njihova sposobnost da u okviru inovacijskog sustava u ruralnim područjima potaknu inovacije a) njegovanjem </w:t>
      </w:r>
      <w:r>
        <w:lastRenderedPageBreak/>
        <w:t>inovativnih ideja, b) suradničkom izgradnjom inovacijskog kapaciteta i c) stvaranjem poticajnog okruženja za inovacije.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Koji su radni koraci za utvrđivanje inovacijskog potencijala PRR-a? </w:t>
      </w:r>
    </w:p>
    <w:p w:rsidR="00A45935" w:rsidRPr="00E05D08" w:rsidRDefault="00A45935" w:rsidP="00E05D08">
      <w:pPr>
        <w:spacing w:after="120" w:line="280" w:lineRule="atLeast"/>
        <w:mirrorIndents/>
        <w:rPr>
          <w:rFonts w:eastAsia="Times New Roman" w:cs="Times New Roman"/>
          <w:szCs w:val="20"/>
        </w:rPr>
      </w:pPr>
      <w:r>
        <w:t xml:space="preserve">U </w:t>
      </w:r>
      <w:r w:rsidRPr="00AA7F7C">
        <w:rPr>
          <w:b/>
        </w:rPr>
        <w:t>analitičkoj provjeri mjera i podmjera PRR-a</w:t>
      </w:r>
      <w:r>
        <w:t xml:space="preserve"> analizira se na koji način struktura mjera pomaže u njegovanju novih ideja, izgradnji inovacijskog kapaciteta ili stvaranju poticajnog okruženja za inovacije. Radna metoda može biti ocjena stručnjaka ili participativna metoda koja uključuje više ključnih dionika PRR-a. Ta analitička provjera može se provesti odgovaranjem na predložena ključna pitanja (vidjeti </w:t>
      </w:r>
      <w:hyperlink w:anchor="Steps_of_the_screenig" w:history="1">
        <w:r>
          <w:rPr>
            <w:rStyle w:val="Hyperlink"/>
            <w:sz w:val="20"/>
            <w:szCs w:val="20"/>
          </w:rPr>
          <w:t>sliku 7.</w:t>
        </w:r>
      </w:hyperlink>
      <w:r>
        <w:t>).</w:t>
      </w:r>
    </w:p>
    <w:p w:rsidR="00A45935" w:rsidRPr="00F117CA" w:rsidRDefault="00AA7F7C" w:rsidP="00B421B9">
      <w:pPr>
        <w:pStyle w:val="HHeadingfigures"/>
      </w:pPr>
      <w:bookmarkStart w:id="94" w:name="Steps_of_the_screenig"/>
      <w:bookmarkStart w:id="95" w:name="_Toc508981149"/>
      <w:bookmarkEnd w:id="94"/>
      <w:r w:rsidRPr="00AA7F7C">
        <w:rPr>
          <w:noProof/>
          <w:lang w:val="en-GB" w:eastAsia="en-GB"/>
        </w:rPr>
        <w:drawing>
          <wp:anchor distT="0" distB="0" distL="114300" distR="114300" simplePos="0" relativeHeight="251682816" behindDoc="0" locked="0" layoutInCell="1" allowOverlap="1" wp14:anchorId="08545F8D" wp14:editId="27E24C89">
            <wp:simplePos x="0" y="0"/>
            <wp:positionH relativeFrom="column">
              <wp:posOffset>-78105</wp:posOffset>
            </wp:positionH>
            <wp:positionV relativeFrom="paragraph">
              <wp:posOffset>295910</wp:posOffset>
            </wp:positionV>
            <wp:extent cx="5834380" cy="27311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3438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C0C">
        <w:t>Koraci u analitičkoj provjeri inovacijskog potencijala mjera/podmjera PRR-a</w:t>
      </w:r>
      <w:bookmarkEnd w:id="95"/>
    </w:p>
    <w:p w:rsidR="00A45935" w:rsidRPr="00E05D08" w:rsidRDefault="00A45935" w:rsidP="00E05D08">
      <w:pPr>
        <w:suppressAutoHyphens/>
        <w:spacing w:before="60" w:after="0" w:line="240" w:lineRule="auto"/>
        <w:ind w:left="1134" w:right="1134"/>
        <w:mirrorIndents/>
        <w:rPr>
          <w:rFonts w:eastAsia="Times New Roman" w:cs="Times New Roman"/>
          <w:i/>
          <w:sz w:val="16"/>
          <w:szCs w:val="20"/>
          <w:lang w:eastAsia="de-DE"/>
        </w:rPr>
      </w:pPr>
    </w:p>
    <w:p w:rsidR="00A45935" w:rsidRDefault="008E526F" w:rsidP="00E05D08">
      <w:pPr>
        <w:suppressAutoHyphens/>
        <w:spacing w:before="60" w:after="0" w:line="240" w:lineRule="auto"/>
        <w:ind w:left="1134" w:right="1134"/>
        <w:mirrorIndents/>
        <w:jc w:val="center"/>
        <w:rPr>
          <w:rFonts w:eastAsia="Times New Roman" w:cs="Times New Roman"/>
          <w:i/>
          <w:sz w:val="16"/>
          <w:szCs w:val="20"/>
        </w:rPr>
      </w:pPr>
      <w:r>
        <w:rPr>
          <w:rFonts w:eastAsia="Times New Roman" w:cs="Times New Roman"/>
          <w:noProof/>
          <w:szCs w:val="20"/>
          <w:lang w:val="en-GB" w:eastAsia="en-GB"/>
        </w:rPr>
        <mc:AlternateContent>
          <mc:Choice Requires="wps">
            <w:drawing>
              <wp:anchor distT="0" distB="0" distL="114300" distR="114300" simplePos="0" relativeHeight="251649024" behindDoc="0" locked="0" layoutInCell="1" allowOverlap="1" wp14:anchorId="0787BB87" wp14:editId="589ECB64">
                <wp:simplePos x="0" y="0"/>
                <wp:positionH relativeFrom="column">
                  <wp:posOffset>3114675</wp:posOffset>
                </wp:positionH>
                <wp:positionV relativeFrom="paragraph">
                  <wp:posOffset>453390</wp:posOffset>
                </wp:positionV>
                <wp:extent cx="2640965" cy="311467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114675"/>
                        </a:xfrm>
                        <a:prstGeom prst="round2DiagRect">
                          <a:avLst>
                            <a:gd name="adj1" fmla="val 6437"/>
                            <a:gd name="adj2" fmla="val 0"/>
                          </a:avLst>
                        </a:prstGeom>
                        <a:noFill/>
                        <a:ln w="25400" cap="flat" cmpd="sng" algn="ctr">
                          <a:solidFill>
                            <a:srgbClr val="BE4A35"/>
                          </a:solidFill>
                          <a:prstDash val="solid"/>
                        </a:ln>
                        <a:effectLst/>
                      </wps:spPr>
                      <wps:txbx>
                        <w:txbxContent>
                          <w:p w:rsidR="00FD4C56" w:rsidRPr="00275EE5" w:rsidRDefault="00FD4C56" w:rsidP="00626C0C">
                            <w:pPr>
                              <w:pStyle w:val="Normal12PTcouleurgris"/>
                            </w:pPr>
                            <w:r>
                              <w:rPr>
                                <w:noProof/>
                                <w:lang w:val="en-GB"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Člankom 15. Uredbe (EU) 1305/2013 utvrđeno je sedam elemenata koji su obuhvaćeni</w:t>
                            </w:r>
                            <w:r>
                              <w:rPr>
                                <w:color w:val="BE4A35"/>
                                <w:sz w:val="18"/>
                              </w:rPr>
                              <w:t xml:space="preserve"> </w:t>
                            </w:r>
                            <w:r>
                              <w:rPr>
                                <w:b/>
                                <w:color w:val="BE4A35"/>
                                <w:sz w:val="18"/>
                              </w:rPr>
                              <w:t>savjetovanjem i savjetodavnim službama</w:t>
                            </w:r>
                            <w:r>
                              <w:rPr>
                                <w:sz w:val="18"/>
                                <w:vertAlign w:val="superscript"/>
                              </w:rPr>
                              <w:t>45</w:t>
                            </w:r>
                            <w:r>
                              <w:rPr>
                                <w:sz w:val="18"/>
                              </w:rPr>
                              <w:t>, od čega se samo u jednom (stavak 4. točka (c)) izričito spominju inovacije. Budući da ne postoji zahtjev da ostale vrste savjetovanja (npr. stavak 4. točka (g) – posebno savjetovanje za poljoprivrednike koji po prvi put uspostavljaju poljoprivredno gospodarstvo) potiču inovacije niti je sigurno da se njima to i postiže, analiza strukture mjere u okviru određenog PRR-a može pokazati je li mjera (ili podmjera ako se primjenjuje) relevantna za poticanje inovacija.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5.25pt;margin-top:35.7pt;width:207.95pt;height:245.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114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" adj="-11796480,,5400" path="m169999,l2640965,r,l2640965,2944676v,93888,-76111,169999,-169999,169999l,3114675r,l,169999c,76111,76111,,169999,xe" filled="f" strokecolor="#be4a35" strokeweight="2pt">
                <v:stroke joinstyle="miter"/>
                <v:formulas/>
                <v:path arrowok="t" o:connecttype="custom" o:connectlocs="169999,0;2640965,0;2640965,0;2640965,2944676;2470966,3114675;0,3114675;0,3114675;0,169999;169999,0" o:connectangles="0,0,0,0,0,0,0,0,0" textboxrect="0,0,2640965,3114675"/>
                <v:textbox>
                  <w:txbxContent>
                    <w:p w:rsidR="00FD4C56" w:rsidRPr="00275EE5" w:rsidRDefault="00FD4C56" w:rsidP="00626C0C">
                      <w:pPr>
                        <w:pStyle w:val="Normal12PTcouleurgris"/>
                      </w:pPr>
                      <w:r>
                        <w:rPr>
                          <w:noProof/>
                          <w:lang w:val="en-GB"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Člankom 15. Uredbe (EU) 1305/2013 utvrđeno je sedam elemenata koji su obuhvaćeni</w:t>
                      </w:r>
                      <w:r>
                        <w:rPr>
                          <w:color w:val="BE4A35"/>
                          <w:sz w:val="18"/>
                        </w:rPr>
                        <w:t xml:space="preserve"> </w:t>
                      </w:r>
                      <w:r>
                        <w:rPr>
                          <w:b/>
                          <w:color w:val="BE4A35"/>
                          <w:sz w:val="18"/>
                        </w:rPr>
                        <w:t>savjetovanjem i savjetodavnim službama</w:t>
                      </w:r>
                      <w:r>
                        <w:rPr>
                          <w:sz w:val="18"/>
                          <w:vertAlign w:val="superscript"/>
                        </w:rPr>
                        <w:t>45</w:t>
                      </w:r>
                      <w:r>
                        <w:rPr>
                          <w:sz w:val="18"/>
                        </w:rPr>
                        <w:t>, od čega se samo u jednom (stavak 4. točka (c)) izričito spominju inovacije. Budući da ne postoji zahtjev da ostale vrste savjetovanja (npr. stavak 4. točka (g) – posebno savjetovanje za poljoprivrednike koji po prvi put uspostavljaju poljoprivredno gospodarstvo) potiču inovacije niti je sigurno da se njima to i postiže, analiza strukture mjere u okviru određenog PRR-a može pokazati je li mjera (ili podmjera ako se primjenjuje) relevantna za poticanje inovacija.</w:t>
                      </w:r>
                    </w:p>
                  </w:txbxContent>
                </v:textbox>
                <w10:wrap type="square"/>
              </v:shape>
            </w:pict>
          </mc:Fallback>
        </mc:AlternateContent>
      </w:r>
      <w:r w:rsidR="00A45935">
        <w:rPr>
          <w:i/>
          <w:sz w:val="16"/>
          <w:szCs w:val="20"/>
        </w:rPr>
        <w:t>Izvor: Europska služba za podršku evaluaciji ruralnog razvoja, 2017.</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Što se treba analitički provjeriti u PRR-u?</w:t>
      </w:r>
    </w:p>
    <w:p w:rsidR="00A45935" w:rsidRPr="00E05D08" w:rsidRDefault="007A450E" w:rsidP="00E05D08">
      <w:pPr>
        <w:spacing w:after="120" w:line="280" w:lineRule="atLeast"/>
        <w:mirrorIndents/>
        <w:rPr>
          <w:rFonts w:eastAsia="Times New Roman" w:cs="Times New Roman"/>
          <w:szCs w:val="20"/>
        </w:rPr>
      </w:pPr>
      <w:r>
        <w:rPr>
          <w:b/>
          <w:szCs w:val="20"/>
        </w:rPr>
        <w:t>U analitičkoj provjeri treba se usmjeriti na sposobnost pojedinačnih mjera i skupina mjera u okviru žarišnog područja</w:t>
      </w:r>
      <w:r>
        <w:t xml:space="preserve"> da potiču inovacije (npr. njihovu sposobnost da pridonose trima inovacijskim putanjama koje su objašnjene u </w:t>
      </w:r>
      <w:hyperlink w:anchor="Innovation_RD" w:history="1">
        <w:r>
          <w:rPr>
            <w:rStyle w:val="Hyperlink"/>
            <w:sz w:val="20"/>
            <w:szCs w:val="20"/>
          </w:rPr>
          <w:t>poglavlju 1.1.</w:t>
        </w:r>
      </w:hyperlink>
      <w:r>
        <w:t>)</w:t>
      </w:r>
      <w:r>
        <w:rPr>
          <w:rStyle w:val="FootnoteReference"/>
          <w:rFonts w:eastAsia="Times New Roman" w:cs="Times New Roman"/>
          <w:color w:val="FFFFFF" w:themeColor="background1"/>
          <w:szCs w:val="20"/>
          <w:lang w:eastAsia="de-DE"/>
        </w:rPr>
        <w:footnoteReference w:id="45"/>
      </w:r>
      <w:r>
        <w:t xml:space="preserve">. Slično tome, analitičkom provjerom mjera NRM-a može se utvrditi i </w:t>
      </w:r>
      <w:r w:rsidRPr="00E461FB">
        <w:rPr>
          <w:b/>
        </w:rPr>
        <w:t>potencijal NRM-a za poticanje inovacija</w:t>
      </w:r>
      <w:r>
        <w:t xml:space="preserve"> (vidjeti </w:t>
      </w:r>
      <w:hyperlink w:anchor="CEQ_NRN" w:history="1">
        <w:r>
          <w:rPr>
            <w:rStyle w:val="Hyperlink"/>
            <w:sz w:val="20"/>
            <w:szCs w:val="20"/>
          </w:rPr>
          <w:t>odjeljak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Analitička provjera inovacijskog potencijala trebala bi u načelu barem obuhvatiti mjere povezane sa sljedećim ZEP-ovima: </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 xml:space="preserve">ZEP br. 1 povezan je s mjerama M1, M2 i M16 (članci 14., 15. i 35. Uredbe (EU) 1305/2013). U analitičkoj provjeri usmjerit će se na </w:t>
      </w:r>
      <w:r>
        <w:lastRenderedPageBreak/>
        <w:t>inovacijski potencijal tih mjera, a ona će pomoći u odgovaranju na dio ZEP-a o inovacijama.</w:t>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ZEP br. 2 povezan je s mjerom M16 (suradnja). Prvenstveno će se analitički provjeriti potencijal podmjera M16 za doprinos trima putanjama. Rezultati će pomoći u odgovaranju na dio ZEP-a o inovacijama.</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ZEP br. 21 obuhvaća četiri cilja NRM-a. U analitičkoj provjeri inovacijskog potencijala NRM-a naglasak će biti na mjerama NRM-a koje pridonose zajedničkom cilju NRM-a koji glasi: „poticati inovacije u poljoprivredi, proizvodnji hrane, šumarstvu i ruralnim područjima”. Ta će analitička provjera pomoći u odgovaranju na dio ZEP-a o inovacijama.</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Na ZEP br. 23 odgovorit će se ocjenom doprinosa PRR-a postizanju glavnog cilja da se 3 % BDP-a EU-a (zajedno javnog i privatnog)</w:t>
      </w:r>
      <w:r>
        <w:rPr>
          <w:rFonts w:eastAsia="Times New Roman" w:cs="Times New Roman"/>
          <w:szCs w:val="20"/>
          <w:vertAlign w:val="superscript"/>
          <w:lang w:eastAsia="de-DE"/>
        </w:rPr>
        <w:footnoteReference w:id="46"/>
      </w:r>
      <w:r>
        <w:t xml:space="preserve"> uloži u istraživanje i razvoj / inovacije, pri čemu će se upotrijebiti pokazatelji povezani s tim ciljem. Inovacijski potencijal svih mjera važno je analitički provjeriti kako bi se: a) utvrdile mjere koje pridonose poticanju inovacija i b) uzeli u obzir rashodi povezani s tim mjerama pri izračunu pokazatelja koji se upotrebljavaju za odgovaranje na ZEP br.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ZEP br. 30 povezan je s inovacijama kao horizontalnim ciljem. Ovdje se sve mjere/podmjere i njihove kombinacije u okviru svakog žarišnog područja analitički provjeravaju kako bi se utvrdile one koje imaju potencijal za poticanje inovacija u trima putanjama. Ta će analiza olakšati evaluatoru pripremu studije slučaja o evaluaciji koja se temelji na teoriji promjene čija se primjena predlaže za odgovaranje na ZEP br.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Koji je rezultat? </w:t>
      </w:r>
    </w:p>
    <w:p w:rsidR="00A45935" w:rsidRDefault="00A45935" w:rsidP="00E05D08">
      <w:pPr>
        <w:spacing w:after="120" w:line="280" w:lineRule="atLeast"/>
        <w:mirrorIndents/>
        <w:rPr>
          <w:rFonts w:eastAsia="Times New Roman" w:cs="Times New Roman"/>
          <w:szCs w:val="20"/>
        </w:rPr>
      </w:pPr>
      <w:r>
        <w:rPr>
          <w:b/>
          <w:szCs w:val="20"/>
        </w:rPr>
        <w:t>Analitička provjera pomaže u izričitijem prikazu logike intervencije PRR-a povezane s inovacijama.</w:t>
      </w:r>
      <w:r>
        <w:t xml:space="preserve"> Njome se utvrđuju mjere PRR-a s najvećim potencijalom za poticanje inovacija i razjašnjava se na koja se područja (putanje) one odnose. Rezultati ove analitičke provjere uzet će se u obzir u kasnijoj evaluaciji učinaka radi usporedbe potencijala sa stvarnim postignućima PRR-a u poticanju inovacija. To će pomoći evaluatoru da usmjeri svoj rad na one mjere i podmjere koje se smatraju osobito važnima za poticanje inovacija. </w:t>
      </w:r>
    </w:p>
    <w:p w:rsidR="007A450E" w:rsidRPr="00E05D08" w:rsidRDefault="007A450E" w:rsidP="00E05D08">
      <w:pPr>
        <w:spacing w:after="120" w:line="280" w:lineRule="atLeast"/>
        <w:mirrorIndents/>
        <w:rPr>
          <w:rFonts w:eastAsia="Times New Roman" w:cs="Times New Roman"/>
          <w:szCs w:val="20"/>
          <w:lang w:eastAsia="de-DE"/>
        </w:rPr>
      </w:pPr>
    </w:p>
    <w:p w:rsidR="00A45935" w:rsidRPr="00E05D08" w:rsidRDefault="00CC5C1C" w:rsidP="009F5AB5">
      <w:pPr>
        <w:pStyle w:val="HStandard"/>
      </w:pPr>
      <w:r>
        <w:rPr>
          <w:b/>
          <w:noProof/>
          <w:lang w:val="en-GB" w:eastAsia="en-GB"/>
        </w:rPr>
        <mc:AlternateContent>
          <mc:Choice Requires="wps">
            <w:drawing>
              <wp:anchor distT="0" distB="0" distL="114300" distR="114300" simplePos="0" relativeHeight="251674624" behindDoc="0" locked="0" layoutInCell="1" allowOverlap="1" wp14:anchorId="2A59C320" wp14:editId="509F6652">
                <wp:simplePos x="0" y="0"/>
                <wp:positionH relativeFrom="page">
                  <wp:posOffset>1705610</wp:posOffset>
                </wp:positionH>
                <wp:positionV relativeFrom="page">
                  <wp:posOffset>6750685</wp:posOffset>
                </wp:positionV>
                <wp:extent cx="4153535" cy="228600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35" cy="2286000"/>
                        </a:xfrm>
                        <a:prstGeom prst="round2DiagRect">
                          <a:avLst>
                            <a:gd name="adj1" fmla="val 9754"/>
                            <a:gd name="adj2" fmla="val 0"/>
                          </a:avLst>
                        </a:prstGeom>
                        <a:noFill/>
                        <a:ln w="25400" cap="flat" cmpd="sng" algn="ctr">
                          <a:solidFill>
                            <a:srgbClr val="8BAB80"/>
                          </a:solidFill>
                          <a:prstDash val="solid"/>
                        </a:ln>
                        <a:effectLst/>
                      </wps:spPr>
                      <wps:txbx>
                        <w:txbxContent>
                          <w:p w:rsidR="00FD4C56" w:rsidRPr="00275EE5" w:rsidRDefault="00FD4C56" w:rsidP="007A450E">
                            <w:pPr>
                              <w:pStyle w:val="Normal12PTcouleurgris"/>
                            </w:pPr>
                            <w:r w:rsidRPr="00171202">
                              <w:rPr>
                                <w:noProof/>
                                <w:sz w:val="18"/>
                                <w:lang w:val="en-GB" w:eastAsia="en-GB"/>
                              </w:rPr>
                              <w:drawing>
                                <wp:inline distT="0" distB="0" distL="0" distR="0" wp14:anchorId="26A209C3" wp14:editId="315D3EA7">
                                  <wp:extent cx="578362" cy="539115"/>
                                  <wp:effectExtent l="0" t="0" r="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02"/>
                              <w:gridCol w:w="3120"/>
                            </w:tblGrid>
                            <w:tr w:rsidR="00FD4C56" w:rsidRPr="0079762F" w:rsidTr="00E05D08">
                              <w:tc>
                                <w:tcPr>
                                  <w:tcW w:w="3402" w:type="dxa"/>
                                  <w:shd w:val="clear" w:color="auto" w:fill="FFFFFF"/>
                                </w:tcPr>
                                <w:p w:rsidR="00FD4C56" w:rsidRPr="00B63DE8" w:rsidRDefault="00FD4C56" w:rsidP="007A450E">
                                  <w:pPr>
                                    <w:suppressOverlap/>
                                    <w:jc w:val="left"/>
                                    <w:rPr>
                                      <w:rFonts w:cs="Arial"/>
                                      <w:b/>
                                      <w:color w:val="404040"/>
                                      <w:szCs w:val="18"/>
                                    </w:rPr>
                                  </w:pPr>
                                  <w:r>
                                    <w:rPr>
                                      <w:b/>
                                      <w:color w:val="404040"/>
                                      <w:szCs w:val="18"/>
                                    </w:rPr>
                                    <w:t>Trebalo bi</w:t>
                                  </w:r>
                                </w:p>
                                <w:p w:rsidR="00FD4C56" w:rsidRPr="00B63DE8" w:rsidRDefault="00FD4C56" w:rsidP="007A450E">
                                  <w:pPr>
                                    <w:pStyle w:val="Hlistbullet"/>
                                    <w:spacing w:line="160" w:lineRule="atLeast"/>
                                    <w:jc w:val="left"/>
                                    <w:rPr>
                                      <w:sz w:val="18"/>
                                      <w:szCs w:val="18"/>
                                    </w:rPr>
                                  </w:pPr>
                                  <w:r>
                                    <w:rPr>
                                      <w:sz w:val="18"/>
                                      <w:szCs w:val="18"/>
                                    </w:rPr>
                                    <w:t xml:space="preserve">ocijeniti potencijal strukture mjere (poveznice s potrebama, ciljevima, kriterijima odabira, korisnicima) da potakne inovacije i njegov intenzitet. </w:t>
                                  </w:r>
                                </w:p>
                                <w:p w:rsidR="00FD4C56" w:rsidRPr="00B63DE8" w:rsidRDefault="00FD4C56" w:rsidP="007A450E">
                                  <w:pPr>
                                    <w:pStyle w:val="Hlistbullet"/>
                                    <w:spacing w:line="160" w:lineRule="atLeast"/>
                                    <w:jc w:val="left"/>
                                  </w:pPr>
                                  <w:r>
                                    <w:rPr>
                                      <w:sz w:val="18"/>
                                      <w:szCs w:val="18"/>
                                    </w:rPr>
                                    <w:t>uvažiti temeljnu logiku intervencije PRR-a povezanu s inovacijama.</w:t>
                                  </w:r>
                                  <w:r>
                                    <w:t xml:space="preserve"> </w:t>
                                  </w:r>
                                </w:p>
                              </w:tc>
                              <w:tc>
                                <w:tcPr>
                                  <w:tcW w:w="3402" w:type="dxa"/>
                                  <w:shd w:val="clear" w:color="auto" w:fill="auto"/>
                                </w:tcPr>
                                <w:p w:rsidR="00FD4C56" w:rsidRPr="00B63DE8" w:rsidRDefault="00FD4C56" w:rsidP="007A450E">
                                  <w:pPr>
                                    <w:suppressOverlap/>
                                    <w:jc w:val="left"/>
                                    <w:rPr>
                                      <w:rFonts w:cs="Arial"/>
                                      <w:b/>
                                      <w:color w:val="404040"/>
                                      <w:szCs w:val="18"/>
                                    </w:rPr>
                                  </w:pPr>
                                  <w:r>
                                    <w:rPr>
                                      <w:b/>
                                      <w:color w:val="404040"/>
                                      <w:szCs w:val="18"/>
                                    </w:rPr>
                                    <w:t>Ne bi trebalo</w:t>
                                  </w:r>
                                </w:p>
                                <w:p w:rsidR="00FD4C56" w:rsidRPr="00B63DE8" w:rsidRDefault="00FD4C56" w:rsidP="007A450E">
                                  <w:pPr>
                                    <w:pStyle w:val="Hlistbullet"/>
                                    <w:spacing w:line="160" w:lineRule="atLeast"/>
                                    <w:jc w:val="left"/>
                                    <w:rPr>
                                      <w:sz w:val="18"/>
                                      <w:szCs w:val="18"/>
                                    </w:rPr>
                                  </w:pPr>
                                  <w:r>
                                    <w:rPr>
                                      <w:sz w:val="18"/>
                                      <w:szCs w:val="18"/>
                                    </w:rPr>
                                    <w:t xml:space="preserve">ograničiti analitičku provjeru inovacijskog potencijala PRR-a samo na puko navođenje riječi „inovativno” u kriterijima odabira i mjerama. </w:t>
                                  </w:r>
                                </w:p>
                                <w:p w:rsidR="00FD4C56" w:rsidRPr="00B63DE8" w:rsidRDefault="00FD4C56" w:rsidP="007A450E">
                                  <w:pPr>
                                    <w:suppressOverlap/>
                                    <w:jc w:val="left"/>
                                    <w:rPr>
                                      <w:rFonts w:cs="Arial"/>
                                      <w:color w:val="1A1A1A"/>
                                      <w:szCs w:val="18"/>
                                    </w:rPr>
                                  </w:pPr>
                                </w:p>
                              </w:tc>
                            </w:tr>
                          </w:tbl>
                          <w:p w:rsidR="00FD4C56" w:rsidRPr="00275EE5" w:rsidRDefault="00FD4C56"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9C320" id="Rectangle: Diagonal Corners Rounded 67" o:spid="_x0000_s1038" style="position:absolute;left:0;text-align:left;margin-left:134.3pt;margin-top:531.55pt;width:327.05pt;height:18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" adj="-11796480,,5400" path="m222976,l4153535,r,l4153535,2063024v,123146,-99830,222976,-222976,222976l,2286000r,l,222976c,99830,99830,,222976,xe" filled="f" strokecolor="#8bab80" strokeweight="2pt">
                <v:stroke joinstyle="miter"/>
                <v:formulas/>
                <v:path arrowok="t" o:connecttype="custom" o:connectlocs="222976,0;4153535,0;4153535,0;4153535,2063024;3930559,2286000;0,2286000;0,2286000;0,222976;222976,0" o:connectangles="0,0,0,0,0,0,0,0,0" textboxrect="0,0,4153535,2286000"/>
                <v:textbox>
                  <w:txbxContent>
                    <w:p w:rsidR="00FD4C56" w:rsidRPr="00275EE5" w:rsidRDefault="00FD4C56" w:rsidP="007A450E">
                      <w:pPr>
                        <w:pStyle w:val="Normal12PTcouleurgris"/>
                      </w:pPr>
                      <w:r w:rsidRPr="00171202">
                        <w:rPr>
                          <w:noProof/>
                          <w:sz w:val="18"/>
                          <w:lang w:val="en-GB" w:eastAsia="en-GB"/>
                        </w:rPr>
                        <w:drawing>
                          <wp:inline distT="0" distB="0" distL="0" distR="0" wp14:anchorId="26A209C3" wp14:editId="315D3EA7">
                            <wp:extent cx="578362" cy="539115"/>
                            <wp:effectExtent l="0" t="0" r="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02"/>
                        <w:gridCol w:w="3120"/>
                      </w:tblGrid>
                      <w:tr w:rsidR="00FD4C56" w:rsidRPr="0079762F" w:rsidTr="00E05D08">
                        <w:tc>
                          <w:tcPr>
                            <w:tcW w:w="3402" w:type="dxa"/>
                            <w:shd w:val="clear" w:color="auto" w:fill="FFFFFF"/>
                          </w:tcPr>
                          <w:p w:rsidR="00FD4C56" w:rsidRPr="00B63DE8" w:rsidRDefault="00FD4C56" w:rsidP="007A450E">
                            <w:pPr>
                              <w:suppressOverlap/>
                              <w:jc w:val="left"/>
                              <w:rPr>
                                <w:rFonts w:cs="Arial"/>
                                <w:b/>
                                <w:color w:val="404040"/>
                                <w:szCs w:val="18"/>
                              </w:rPr>
                            </w:pPr>
                            <w:r>
                              <w:rPr>
                                <w:b/>
                                <w:color w:val="404040"/>
                                <w:szCs w:val="18"/>
                              </w:rPr>
                              <w:t>Trebalo bi</w:t>
                            </w:r>
                          </w:p>
                          <w:p w:rsidR="00FD4C56" w:rsidRPr="00B63DE8" w:rsidRDefault="00FD4C56" w:rsidP="007A450E">
                            <w:pPr>
                              <w:pStyle w:val="Hlistbullet"/>
                              <w:spacing w:line="160" w:lineRule="atLeast"/>
                              <w:jc w:val="left"/>
                              <w:rPr>
                                <w:sz w:val="18"/>
                                <w:szCs w:val="18"/>
                              </w:rPr>
                            </w:pPr>
                            <w:r>
                              <w:rPr>
                                <w:sz w:val="18"/>
                                <w:szCs w:val="18"/>
                              </w:rPr>
                              <w:t xml:space="preserve">ocijeniti potencijal strukture mjere (poveznice s potrebama, ciljevima, kriterijima odabira, korisnicima) da potakne inovacije i njegov intenzitet. </w:t>
                            </w:r>
                          </w:p>
                          <w:p w:rsidR="00FD4C56" w:rsidRPr="00B63DE8" w:rsidRDefault="00FD4C56" w:rsidP="007A450E">
                            <w:pPr>
                              <w:pStyle w:val="Hlistbullet"/>
                              <w:spacing w:line="160" w:lineRule="atLeast"/>
                              <w:jc w:val="left"/>
                            </w:pPr>
                            <w:r>
                              <w:rPr>
                                <w:sz w:val="18"/>
                                <w:szCs w:val="18"/>
                              </w:rPr>
                              <w:t>uvažiti temeljnu logiku intervencije PRR-a povezanu s inovacijama.</w:t>
                            </w:r>
                            <w:r>
                              <w:t xml:space="preserve"> </w:t>
                            </w:r>
                          </w:p>
                        </w:tc>
                        <w:tc>
                          <w:tcPr>
                            <w:tcW w:w="3402" w:type="dxa"/>
                            <w:shd w:val="clear" w:color="auto" w:fill="auto"/>
                          </w:tcPr>
                          <w:p w:rsidR="00FD4C56" w:rsidRPr="00B63DE8" w:rsidRDefault="00FD4C56" w:rsidP="007A450E">
                            <w:pPr>
                              <w:suppressOverlap/>
                              <w:jc w:val="left"/>
                              <w:rPr>
                                <w:rFonts w:cs="Arial"/>
                                <w:b/>
                                <w:color w:val="404040"/>
                                <w:szCs w:val="18"/>
                              </w:rPr>
                            </w:pPr>
                            <w:r>
                              <w:rPr>
                                <w:b/>
                                <w:color w:val="404040"/>
                                <w:szCs w:val="18"/>
                              </w:rPr>
                              <w:t>Ne bi trebalo</w:t>
                            </w:r>
                          </w:p>
                          <w:p w:rsidR="00FD4C56" w:rsidRPr="00B63DE8" w:rsidRDefault="00FD4C56" w:rsidP="007A450E">
                            <w:pPr>
                              <w:pStyle w:val="Hlistbullet"/>
                              <w:spacing w:line="160" w:lineRule="atLeast"/>
                              <w:jc w:val="left"/>
                              <w:rPr>
                                <w:sz w:val="18"/>
                                <w:szCs w:val="18"/>
                              </w:rPr>
                            </w:pPr>
                            <w:r>
                              <w:rPr>
                                <w:sz w:val="18"/>
                                <w:szCs w:val="18"/>
                              </w:rPr>
                              <w:t xml:space="preserve">ograničiti analitičku provjeru inovacijskog potencijala PRR-a samo na puko navođenje riječi „inovativno” u kriterijima odabira i mjerama. </w:t>
                            </w:r>
                          </w:p>
                          <w:p w:rsidR="00FD4C56" w:rsidRPr="00B63DE8" w:rsidRDefault="00FD4C56" w:rsidP="007A450E">
                            <w:pPr>
                              <w:suppressOverlap/>
                              <w:jc w:val="left"/>
                              <w:rPr>
                                <w:rFonts w:cs="Arial"/>
                                <w:color w:val="1A1A1A"/>
                                <w:szCs w:val="18"/>
                              </w:rPr>
                            </w:pPr>
                          </w:p>
                        </w:tc>
                      </w:tr>
                    </w:tbl>
                    <w:p w:rsidR="00FD4C56" w:rsidRPr="00275EE5" w:rsidRDefault="00FD4C56" w:rsidP="007A450E">
                      <w:pPr>
                        <w:pStyle w:val="Normal12PTcouleurgris"/>
                      </w:pPr>
                    </w:p>
                  </w:txbxContent>
                </v:textbox>
                <w10:wrap type="square" anchorx="page" anchory="page"/>
              </v:shape>
            </w:pict>
          </mc:Fallback>
        </mc:AlternateContent>
      </w:r>
    </w:p>
    <w:p w:rsidR="00A45935" w:rsidRPr="00E05D08" w:rsidRDefault="00A45935" w:rsidP="009F5AB5">
      <w:pPr>
        <w:pStyle w:val="HStandard"/>
      </w:pPr>
    </w:p>
    <w:p w:rsidR="00A45935" w:rsidRDefault="00A45935" w:rsidP="009F5AB5">
      <w:pPr>
        <w:pStyle w:val="HStandard"/>
      </w:pPr>
    </w:p>
    <w:p w:rsidR="000A43B7" w:rsidRDefault="000A43B7" w:rsidP="009F5AB5">
      <w:pPr>
        <w:pStyle w:val="HStandard"/>
      </w:pPr>
    </w:p>
    <w:p w:rsidR="000A43B7" w:rsidRDefault="000A43B7" w:rsidP="009F5AB5">
      <w:pPr>
        <w:pStyle w:val="HStandard"/>
      </w:pPr>
    </w:p>
    <w:p w:rsidR="007A450E" w:rsidRDefault="007A450E">
      <w:pPr>
        <w:jc w:val="left"/>
        <w:rPr>
          <w:rFonts w:eastAsia="Times New Roman" w:cs="Times New Roman"/>
          <w:b/>
          <w:szCs w:val="20"/>
        </w:rPr>
      </w:pPr>
      <w:bookmarkStart w:id="96" w:name="_Toc493151903"/>
      <w:bookmarkStart w:id="97" w:name="_Toc501382129"/>
      <w:r>
        <w:br w:type="page"/>
      </w:r>
    </w:p>
    <w:p w:rsidR="00A45935" w:rsidRPr="00FC7364" w:rsidRDefault="00A45935" w:rsidP="00B421B9">
      <w:pPr>
        <w:pStyle w:val="HHeading2"/>
        <w:numPr>
          <w:ilvl w:val="1"/>
          <w:numId w:val="119"/>
        </w:numPr>
        <w:ind w:left="567" w:hanging="567"/>
      </w:pPr>
      <w:bookmarkStart w:id="98" w:name="Complementing"/>
      <w:bookmarkStart w:id="99" w:name="_Toc508981120"/>
      <w:bookmarkEnd w:id="98"/>
      <w:r>
        <w:lastRenderedPageBreak/>
        <w:t>Dopuna zajedničkih evaluacijskih elemenata za inovacije (preporučeno)</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Zašto i kada treba dopuniti ZSPE? </w:t>
      </w:r>
    </w:p>
    <w:p w:rsidR="00A45935" w:rsidRPr="00E05D08" w:rsidRDefault="00A45935" w:rsidP="00E05D08">
      <w:pPr>
        <w:spacing w:after="120" w:line="280" w:lineRule="atLeast"/>
        <w:mirrorIndents/>
        <w:rPr>
          <w:rFonts w:eastAsia="Times New Roman" w:cs="Times New Roman"/>
          <w:szCs w:val="20"/>
        </w:rPr>
      </w:pPr>
      <w:r w:rsidRPr="00E461FB">
        <w:rPr>
          <w:b/>
        </w:rPr>
        <w:t>ZSPE je osnovni skup evaluacijskih elemenata</w:t>
      </w:r>
      <w:r>
        <w:t xml:space="preserve"> (zajednički pokazatelji ostvarenja) za odgovaranje na relevantna zajednička evaluacijska pitanja br. 1, 2 i 21 (vidjeti </w:t>
      </w:r>
      <w:hyperlink w:anchor="Policy_framework" w:history="1">
        <w:r>
          <w:rPr>
            <w:rStyle w:val="Hyperlink"/>
            <w:sz w:val="20"/>
            <w:szCs w:val="20"/>
          </w:rPr>
          <w:t>odjeljak 1.2.1.</w:t>
        </w:r>
      </w:hyperlink>
      <w:r>
        <w:t xml:space="preserve">). Nadalje, kriteriji prosudbe za sve ZEP-ove povezane s inovacijama i određeni dodatni pokazatelji predloženi su u radnom dokumentu </w:t>
      </w:r>
      <w:hyperlink r:id="rId33" w:history="1">
        <w:r>
          <w:rPr>
            <w:rStyle w:val="Hyperlink"/>
            <w:sz w:val="20"/>
            <w:szCs w:val="20"/>
          </w:rPr>
          <w:t>Zajednička evaluacijska pitanja za PRR-e za razdoblje 2014. – 2020.</w:t>
        </w:r>
      </w:hyperlink>
      <w:r>
        <w:t xml:space="preserve"> Primjerice, ZEP br. 23 povezan je s glavnom ciljem EU-a za 2020., što se može iskoristiti kao osnova za odgovaranje na to pitanje. ZEP br. 30 jedino je pitanje koje je popraćeno dodatnim pokazateljima</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rsidRPr="00E461FB">
        <w:rPr>
          <w:b/>
        </w:rPr>
        <w:t>Zajednički evaluacijski elementi preispituju se prije započinjanja evaluacije</w:t>
      </w:r>
      <w:r>
        <w:t xml:space="preserve"> i prema potrebi se dopunjuju. U tom preispitivanju mogu se uzeti u obzir nalazi analitičke provjere inovacijskog potencijala PRR-a za poticanje inovacija (vidjeti </w:t>
      </w:r>
      <w:hyperlink w:anchor="Screening_Potential" w:history="1">
        <w:r>
          <w:rPr>
            <w:rStyle w:val="Hyperlink"/>
            <w:sz w:val="20"/>
            <w:szCs w:val="20"/>
          </w:rPr>
          <w:t>poglavlje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Koji su koraci u razvoju dodatnih evaluacijskih elemenata i evaluacijskih elemenata specifičnih za pojedine programe?</w:t>
      </w:r>
    </w:p>
    <w:p w:rsidR="00A45935" w:rsidRPr="00E05D08" w:rsidRDefault="00A45935" w:rsidP="00E05D08">
      <w:pPr>
        <w:spacing w:after="120" w:line="280" w:lineRule="atLeast"/>
        <w:mirrorIndents/>
        <w:rPr>
          <w:rFonts w:eastAsia="Calibri" w:cs="Times New Roman"/>
          <w:szCs w:val="20"/>
        </w:rPr>
      </w:pPr>
      <w:r>
        <w:t xml:space="preserve">Razvoj dodatnih evaluacijskih elemenata (detaljno opisani u Smjernicama: </w:t>
      </w:r>
      <w:hyperlink r:id="rId34" w:history="1">
        <w:r>
          <w:rPr>
            <w:rStyle w:val="Hyperlink"/>
            <w:sz w:val="20"/>
            <w:szCs w:val="20"/>
          </w:rPr>
          <w:t>ocjena rezultata PRR-a: kako se pripremiti za izvješćivanje o evaluaciji u 2017.</w:t>
        </w:r>
      </w:hyperlink>
      <w:r>
        <w:t xml:space="preserve">) može se sažeto prikazati kako slijedi: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57216" behindDoc="0" locked="0" layoutInCell="1" allowOverlap="1" wp14:anchorId="08D04920" wp14:editId="278009ED">
                <wp:simplePos x="0" y="0"/>
                <wp:positionH relativeFrom="column">
                  <wp:posOffset>2828925</wp:posOffset>
                </wp:positionH>
                <wp:positionV relativeFrom="paragraph">
                  <wp:posOffset>76835</wp:posOffset>
                </wp:positionV>
                <wp:extent cx="2832735" cy="1983740"/>
                <wp:effectExtent l="0" t="0" r="24765" b="1651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1983740"/>
                        </a:xfrm>
                        <a:prstGeom prst="round2DiagRect">
                          <a:avLst>
                            <a:gd name="adj1" fmla="val 7843"/>
                            <a:gd name="adj2" fmla="val 0"/>
                          </a:avLst>
                        </a:prstGeom>
                        <a:noFill/>
                        <a:ln w="25400" cap="flat" cmpd="sng" algn="ctr">
                          <a:solidFill>
                            <a:srgbClr val="BE4A35"/>
                          </a:solidFill>
                          <a:prstDash val="solid"/>
                        </a:ln>
                        <a:effectLst/>
                      </wps:spPr>
                      <wps:txbx>
                        <w:txbxContent>
                          <w:p w:rsidR="00FD4C56" w:rsidRPr="00D450FE" w:rsidRDefault="00FD4C56"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Dodatni evaluacijski elementi (dodatna evaluacijska pitanja, dodatni kriteriji prosudbe i dodatni pokazatelji) predloženi u ovim smjernicama u poglavlju 2.4. </w:t>
                            </w:r>
                            <w:r>
                              <w:rPr>
                                <w:b/>
                                <w:sz w:val="18"/>
                                <w:szCs w:val="18"/>
                              </w:rPr>
                              <w:t xml:space="preserve">NISU OBVEZUJUĆI! </w:t>
                            </w:r>
                            <w:r>
                              <w:rPr>
                                <w:sz w:val="18"/>
                                <w:szCs w:val="18"/>
                              </w:rPr>
                              <w:t xml:space="preserve">Svako upravljačko tijelo može odlučiti razviti i primjenjivati vlastite dodatne evaluacijske elemente i evaluacijske elemente specifične za pojedine programe.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22.75pt;margin-top:6.05pt;width:223.05pt;height:15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1983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" adj="-11796480,,5400" path="m155585,l2832735,r,l2832735,1828155v,85927,-69658,155585,-155585,155585l,1983740r,l,155585c,69658,69658,,155585,xe" filled="f" strokecolor="#be4a35" strokeweight="2pt">
                <v:stroke joinstyle="miter"/>
                <v:formulas/>
                <v:path arrowok="t" o:connecttype="custom" o:connectlocs="155585,0;2832735,0;2832735,0;2832735,1828155;2677150,1983740;0,1983740;0,1983740;0,155585;155585,0" o:connectangles="0,0,0,0,0,0,0,0,0" textboxrect="0,0,2832735,1983740"/>
                <v:textbox>
                  <w:txbxContent>
                    <w:p w:rsidR="00FD4C56" w:rsidRPr="00D450FE" w:rsidRDefault="00FD4C56" w:rsidP="00E05D08">
                      <w:pPr>
                        <w:pStyle w:val="HStandard"/>
                        <w:rPr>
                          <w:sz w:val="18"/>
                          <w:szCs w:val="18"/>
                        </w:rPr>
                      </w:pPr>
                      <w:r>
                        <w:rPr>
                          <w:noProof/>
                          <w:lang w:val="en-GB"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Dodatni evaluacijski elementi (dodatna evaluacijska pitanja, dodatni kriteriji prosudbe i dodatni pokazatelji) predloženi u ovim smjernicama u poglavlju 2.4. </w:t>
                      </w:r>
                      <w:r>
                        <w:rPr>
                          <w:b/>
                          <w:sz w:val="18"/>
                          <w:szCs w:val="18"/>
                        </w:rPr>
                        <w:t xml:space="preserve">NISU OBVEZUJUĆI! </w:t>
                      </w:r>
                      <w:r>
                        <w:rPr>
                          <w:sz w:val="18"/>
                          <w:szCs w:val="18"/>
                        </w:rPr>
                        <w:t xml:space="preserve">Svako upravljačko tijelo može odlučiti razviti i primjenjivati vlastite dodatne evaluacijske elemente i evaluacijske elemente specifične za pojedine programe. </w:t>
                      </w:r>
                    </w:p>
                  </w:txbxContent>
                </v:textbox>
                <w10:wrap type="square"/>
              </v:shape>
            </w:pict>
          </mc:Fallback>
        </mc:AlternateContent>
      </w:r>
      <w:r>
        <w:t xml:space="preserve">ponovna analiza temeljne logike intervencije PRR-a za inovacije (vidjeti </w:t>
      </w:r>
      <w:hyperlink w:anchor="Screening_Potential" w:history="1">
        <w:r>
          <w:rPr>
            <w:rStyle w:val="Hyperlink"/>
            <w:sz w:val="20"/>
          </w:rPr>
          <w:t>poglavlje 2.2.</w:t>
        </w:r>
      </w:hyperlink>
      <w:r>
        <w:t>);</w:t>
      </w:r>
    </w:p>
    <w:p w:rsidR="00A45935" w:rsidRPr="00B10B3C" w:rsidRDefault="00A45935" w:rsidP="00B421B9">
      <w:pPr>
        <w:pStyle w:val="Hlistbullet"/>
        <w:rPr>
          <w:rFonts w:eastAsia="Calibri"/>
        </w:rPr>
      </w:pPr>
      <w:r>
        <w:t xml:space="preserve">preispitivanje zajedničkih evaluacijskih pitanja, kriterija prosudbe i pokazatelja povezanih s inovacijama te provjera jesu li dostatni za odgovaranje na ZEP-ove povezane s inovacijama; </w:t>
      </w:r>
    </w:p>
    <w:p w:rsidR="00576A73" w:rsidRPr="00576A73" w:rsidRDefault="00A45935" w:rsidP="00B421B9">
      <w:pPr>
        <w:pStyle w:val="Hlistbullet"/>
        <w:rPr>
          <w:rFonts w:eastAsia="Calibri"/>
        </w:rPr>
      </w:pPr>
      <w:r>
        <w:t>dopuna ZSPE-a dodatnim evaluacijskim elementima povezanima s inovacijama ako zajednički elementi nisu dostatni za odgovaranje na ZEP-ove povezane s inovacijama;</w:t>
      </w:r>
    </w:p>
    <w:p w:rsidR="00576A73" w:rsidRPr="00576A73" w:rsidRDefault="00A45935" w:rsidP="00B421B9">
      <w:pPr>
        <w:pStyle w:val="Hlistbullet"/>
        <w:rPr>
          <w:rFonts w:eastAsia="Calibri"/>
        </w:rPr>
      </w:pPr>
      <w:r>
        <w:t>razvoj evaluacijskih elemenata specifičnih za pojedine programe radi ocjene inovacija u pogledu žarišnih područja specifičnih za pojedine programe i evaluacijskih pitanja od posebnog interesa za upravljačko tijelo.</w:t>
      </w:r>
      <w:r>
        <w:rPr>
          <w:highlight w:val="yellow"/>
        </w:rPr>
        <w:t xml:space="preserve"> </w:t>
      </w:r>
    </w:p>
    <w:p w:rsidR="000A43B7" w:rsidRDefault="000A43B7" w:rsidP="000A43B7">
      <w:pPr>
        <w:rPr>
          <w:noProof/>
          <w:szCs w:val="20"/>
          <w:highlight w:val="yellow"/>
        </w:rPr>
      </w:pPr>
    </w:p>
    <w:p w:rsidR="00CC5C1C" w:rsidRDefault="00CC5C1C" w:rsidP="000A43B7">
      <w:pPr>
        <w:rPr>
          <w:noProof/>
          <w:szCs w:val="20"/>
          <w:highlight w:val="yellow"/>
        </w:rPr>
      </w:pPr>
    </w:p>
    <w:p w:rsidR="00CC5C1C" w:rsidRDefault="00CC5C1C" w:rsidP="000A43B7">
      <w:pPr>
        <w:rPr>
          <w:noProof/>
          <w:szCs w:val="20"/>
          <w:highlight w:val="yellow"/>
        </w:rPr>
      </w:pPr>
    </w:p>
    <w:p w:rsidR="00CC5C1C" w:rsidRDefault="00CC5C1C" w:rsidP="000A43B7">
      <w:pPr>
        <w:rPr>
          <w:noProof/>
          <w:szCs w:val="20"/>
          <w:highlight w:val="yellow"/>
        </w:rPr>
      </w:pPr>
    </w:p>
    <w:p w:rsidR="00CC5C1C" w:rsidRDefault="00CC5C1C" w:rsidP="000A43B7">
      <w:pPr>
        <w:rPr>
          <w:noProof/>
          <w:szCs w:val="20"/>
          <w:highlight w:val="yellow"/>
        </w:rPr>
      </w:pPr>
    </w:p>
    <w:p w:rsidR="00CC5C1C" w:rsidRDefault="00CC5C1C" w:rsidP="000A43B7">
      <w:pPr>
        <w:rPr>
          <w:noProof/>
          <w:szCs w:val="20"/>
          <w:highlight w:val="yellow"/>
        </w:rPr>
      </w:pPr>
    </w:p>
    <w:p w:rsidR="00CC5C1C" w:rsidRDefault="00CC5C1C" w:rsidP="000A43B7">
      <w:pPr>
        <w:rPr>
          <w:noProof/>
          <w:szCs w:val="20"/>
          <w:highlight w:val="yellow"/>
        </w:rPr>
      </w:pPr>
    </w:p>
    <w:p w:rsidR="00CC5C1C" w:rsidRDefault="00CC5C1C" w:rsidP="000A43B7">
      <w:pPr>
        <w:rPr>
          <w:noProof/>
          <w:szCs w:val="20"/>
          <w:highlight w:val="yellow"/>
        </w:rPr>
      </w:pP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981121"/>
      <w:bookmarkEnd w:id="10"/>
      <w:bookmarkEnd w:id="100"/>
      <w:r>
        <w:lastRenderedPageBreak/>
        <w:t>Odgovaranje na relevantna zajednička evaluacijska pitanja (obavezno)</w:t>
      </w:r>
      <w:bookmarkEnd w:id="101"/>
      <w:bookmarkEnd w:id="102"/>
      <w:bookmarkEnd w:id="103"/>
    </w:p>
    <w:p w:rsidR="007A450E" w:rsidRDefault="00CC5C1C" w:rsidP="00725801">
      <w:pPr>
        <w:spacing w:after="120" w:line="280" w:lineRule="atLeast"/>
        <w:mirrorIndents/>
        <w:rPr>
          <w:rFonts w:eastAsia="Times New Roman" w:cs="Times New Roman"/>
          <w:szCs w:val="20"/>
          <w:shd w:val="clear" w:color="auto" w:fill="FFFFFF"/>
        </w:rPr>
      </w:pPr>
      <w:r>
        <w:rPr>
          <w:noProof/>
          <w:color w:val="F07E31"/>
          <w:highlight w:val="yellow"/>
          <w:lang w:val="en-GB" w:eastAsia="en-GB"/>
        </w:rPr>
        <mc:AlternateContent>
          <mc:Choice Requires="wps">
            <w:drawing>
              <wp:anchor distT="0" distB="0" distL="114300" distR="114300" simplePos="0" relativeHeight="251659264" behindDoc="0" locked="0" layoutInCell="1" allowOverlap="1" wp14:anchorId="3C40B129" wp14:editId="36D62EA0">
                <wp:simplePos x="0" y="0"/>
                <wp:positionH relativeFrom="page">
                  <wp:posOffset>819150</wp:posOffset>
                </wp:positionH>
                <wp:positionV relativeFrom="paragraph">
                  <wp:posOffset>3115945</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FD4C56" w:rsidRPr="00AC3522" w:rsidRDefault="00FD4C56"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Svaki ZEP analizira se prema sljedećoj strukturi:</w:t>
                            </w:r>
                          </w:p>
                          <w:p w:rsidR="00FD4C56" w:rsidRPr="00A92E91" w:rsidRDefault="00FD4C56" w:rsidP="008C0B17">
                            <w:pPr>
                              <w:pStyle w:val="Normal12PTcouleurgris"/>
                              <w:numPr>
                                <w:ilvl w:val="0"/>
                                <w:numId w:val="78"/>
                              </w:numPr>
                              <w:ind w:left="284" w:hanging="284"/>
                              <w:jc w:val="left"/>
                              <w:rPr>
                                <w:b/>
                                <w:shd w:val="clear" w:color="auto" w:fill="FFFFFF"/>
                              </w:rPr>
                            </w:pPr>
                            <w:r>
                              <w:rPr>
                                <w:b/>
                                <w:shd w:val="clear" w:color="auto" w:fill="FFFFFF"/>
                              </w:rPr>
                              <w:t>Razumijevanje ZEP-a</w:t>
                            </w:r>
                          </w:p>
                          <w:p w:rsidR="00FD4C56" w:rsidRPr="00A92E91" w:rsidRDefault="00FD4C56" w:rsidP="008C0B17">
                            <w:pPr>
                              <w:pStyle w:val="Normal12PTcouleurgris"/>
                              <w:numPr>
                                <w:ilvl w:val="0"/>
                                <w:numId w:val="78"/>
                              </w:numPr>
                              <w:ind w:left="284" w:hanging="284"/>
                              <w:jc w:val="left"/>
                              <w:rPr>
                                <w:b/>
                                <w:shd w:val="clear" w:color="auto" w:fill="FFFFFF"/>
                              </w:rPr>
                            </w:pPr>
                            <w:r>
                              <w:rPr>
                                <w:b/>
                                <w:shd w:val="clear" w:color="auto" w:fill="FFFFFF"/>
                              </w:rPr>
                              <w:t xml:space="preserve">Specifični izazovi </w:t>
                            </w:r>
                          </w:p>
                          <w:p w:rsidR="00FD4C56" w:rsidRPr="00A92E91" w:rsidRDefault="00FD4C56" w:rsidP="008C0B17">
                            <w:pPr>
                              <w:pStyle w:val="Normal12PTcouleurgris"/>
                              <w:numPr>
                                <w:ilvl w:val="0"/>
                                <w:numId w:val="78"/>
                              </w:numPr>
                              <w:ind w:left="284" w:hanging="284"/>
                              <w:jc w:val="left"/>
                              <w:rPr>
                                <w:shd w:val="clear" w:color="auto" w:fill="FFFFFF"/>
                              </w:rPr>
                            </w:pPr>
                            <w:r>
                              <w:rPr>
                                <w:b/>
                                <w:shd w:val="clear" w:color="auto" w:fill="FFFFFF"/>
                              </w:rPr>
                              <w:t>Pristup predložen za odgovaranje na ZEP</w:t>
                            </w:r>
                            <w:r>
                              <w:rPr>
                                <w:shd w:val="clear" w:color="auto" w:fill="FFFFFF"/>
                              </w:rPr>
                              <w:t xml:space="preserve">: </w:t>
                            </w:r>
                            <w:r>
                              <w:rPr>
                                <w:i/>
                                <w:shd w:val="clear" w:color="auto" w:fill="FFFFFF"/>
                              </w:rPr>
                              <w:t xml:space="preserve">u ovom se poglavlju navode koraci, metode i savjeti o uporabi zajedničkih i dodatnih pokazatelja za odgovaranje na ZEP. </w:t>
                            </w:r>
                          </w:p>
                          <w:p w:rsidR="00FD4C56" w:rsidRPr="00A92E91" w:rsidRDefault="00FD4C56" w:rsidP="008C0B17">
                            <w:pPr>
                              <w:pStyle w:val="Hlistabc2"/>
                              <w:numPr>
                                <w:ilvl w:val="0"/>
                                <w:numId w:val="54"/>
                              </w:numPr>
                              <w:spacing w:before="120" w:after="120"/>
                              <w:rPr>
                                <w:sz w:val="18"/>
                                <w:szCs w:val="18"/>
                              </w:rPr>
                            </w:pPr>
                            <w:r>
                              <w:rPr>
                                <w:sz w:val="18"/>
                                <w:szCs w:val="18"/>
                              </w:rPr>
                              <w:t xml:space="preserve">Logika intervencije </w:t>
                            </w:r>
                          </w:p>
                          <w:p w:rsidR="00FD4C56" w:rsidRPr="00A92E91" w:rsidRDefault="00FD4C56" w:rsidP="008C0B17">
                            <w:pPr>
                              <w:pStyle w:val="Hlistabc2"/>
                              <w:numPr>
                                <w:ilvl w:val="0"/>
                                <w:numId w:val="54"/>
                              </w:numPr>
                              <w:spacing w:before="120" w:after="120"/>
                              <w:rPr>
                                <w:sz w:val="18"/>
                                <w:szCs w:val="18"/>
                              </w:rPr>
                            </w:pPr>
                            <w:r>
                              <w:rPr>
                                <w:sz w:val="18"/>
                                <w:szCs w:val="18"/>
                              </w:rPr>
                              <w:t xml:space="preserve">Evaluacijski elementi </w:t>
                            </w:r>
                          </w:p>
                          <w:p w:rsidR="00FD4C56" w:rsidRPr="00A92E91" w:rsidRDefault="00FD4C56" w:rsidP="008C0B17">
                            <w:pPr>
                              <w:pStyle w:val="Hlistabc2"/>
                              <w:numPr>
                                <w:ilvl w:val="0"/>
                                <w:numId w:val="54"/>
                              </w:numPr>
                              <w:spacing w:before="120" w:after="120"/>
                              <w:rPr>
                                <w:sz w:val="18"/>
                                <w:szCs w:val="18"/>
                              </w:rPr>
                            </w:pPr>
                            <w:r>
                              <w:rPr>
                                <w:sz w:val="18"/>
                                <w:szCs w:val="18"/>
                              </w:rPr>
                              <w:t xml:space="preserve">Predložena evaluacijska metodologija </w:t>
                            </w:r>
                          </w:p>
                          <w:p w:rsidR="00FD4C56" w:rsidRPr="00A92E91" w:rsidRDefault="00FD4C56" w:rsidP="008C0B17">
                            <w:pPr>
                              <w:pStyle w:val="Hlistabc2"/>
                              <w:numPr>
                                <w:ilvl w:val="0"/>
                                <w:numId w:val="54"/>
                              </w:numPr>
                              <w:spacing w:before="120" w:after="120"/>
                              <w:rPr>
                                <w:sz w:val="18"/>
                                <w:szCs w:val="18"/>
                              </w:rPr>
                            </w:pPr>
                            <w:r>
                              <w:rPr>
                                <w:sz w:val="18"/>
                                <w:szCs w:val="18"/>
                              </w:rPr>
                              <w:t xml:space="preserve">Rizici i rješenja </w:t>
                            </w:r>
                          </w:p>
                          <w:p w:rsidR="00FD4C56" w:rsidRPr="00A92E91" w:rsidRDefault="00FD4C56" w:rsidP="008C0B17">
                            <w:pPr>
                              <w:pStyle w:val="Hlistabc2"/>
                              <w:numPr>
                                <w:ilvl w:val="0"/>
                                <w:numId w:val="54"/>
                              </w:numPr>
                              <w:spacing w:before="120" w:after="120"/>
                              <w:rPr>
                                <w:sz w:val="18"/>
                                <w:szCs w:val="18"/>
                              </w:rPr>
                            </w:pPr>
                            <w:r>
                              <w:rPr>
                                <w:sz w:val="18"/>
                                <w:szCs w:val="18"/>
                              </w:rPr>
                              <w:t>Zaključci i preporuke</w:t>
                            </w:r>
                          </w:p>
                          <w:p w:rsidR="00FD4C56" w:rsidRPr="00A92E91" w:rsidRDefault="00FD4C56" w:rsidP="007372CD">
                            <w:pPr>
                              <w:pStyle w:val="Normal12PTcouleurgris"/>
                              <w:numPr>
                                <w:ilvl w:val="0"/>
                                <w:numId w:val="78"/>
                              </w:numPr>
                              <w:ind w:left="284" w:hanging="284"/>
                              <w:jc w:val="left"/>
                              <w:rPr>
                                <w:b/>
                                <w:shd w:val="clear" w:color="auto" w:fill="FFFFFF"/>
                              </w:rPr>
                            </w:pPr>
                            <w:r>
                              <w:rPr>
                                <w:b/>
                                <w:shd w:val="clear" w:color="auto" w:fill="FFFFFF"/>
                              </w:rPr>
                              <w:t>Više o temi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B129" id="Rectangle: Diagonal Corners Rounded 19" o:spid="_x0000_s1040" style="position:absolute;left:0;text-align:left;margin-left:64.5pt;margin-top:245.35pt;width:456.35pt;height:25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FD4C56" w:rsidRPr="00AC3522" w:rsidRDefault="00FD4C56" w:rsidP="00E05D08">
                      <w:pPr>
                        <w:pStyle w:val="Normal12PTcouleurgris"/>
                        <w:rPr>
                          <w:shd w:val="clear" w:color="auto" w:fill="FFFFFF"/>
                        </w:rPr>
                      </w:pPr>
                      <w:r>
                        <w:rPr>
                          <w:noProof/>
                          <w:lang w:val="en-GB" w:eastAsia="en-GB"/>
                        </w:rPr>
                        <w:drawing>
                          <wp:inline distT="0" distB="0" distL="0" distR="0" wp14:anchorId="76CC84B8" wp14:editId="1F0C75F7">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Svaki ZEP analizira se prema sljedećoj strukturi:</w:t>
                      </w:r>
                    </w:p>
                    <w:p w:rsidR="00FD4C56" w:rsidRPr="00A92E91" w:rsidRDefault="00FD4C56" w:rsidP="008C0B17">
                      <w:pPr>
                        <w:pStyle w:val="Normal12PTcouleurgris"/>
                        <w:numPr>
                          <w:ilvl w:val="0"/>
                          <w:numId w:val="78"/>
                        </w:numPr>
                        <w:ind w:left="284" w:hanging="284"/>
                        <w:jc w:val="left"/>
                        <w:rPr>
                          <w:b/>
                          <w:shd w:val="clear" w:color="auto" w:fill="FFFFFF"/>
                        </w:rPr>
                      </w:pPr>
                      <w:r>
                        <w:rPr>
                          <w:b/>
                          <w:shd w:val="clear" w:color="auto" w:fill="FFFFFF"/>
                        </w:rPr>
                        <w:t>Razumijevanje ZEP-a</w:t>
                      </w:r>
                    </w:p>
                    <w:p w:rsidR="00FD4C56" w:rsidRPr="00A92E91" w:rsidRDefault="00FD4C56" w:rsidP="008C0B17">
                      <w:pPr>
                        <w:pStyle w:val="Normal12PTcouleurgris"/>
                        <w:numPr>
                          <w:ilvl w:val="0"/>
                          <w:numId w:val="78"/>
                        </w:numPr>
                        <w:ind w:left="284" w:hanging="284"/>
                        <w:jc w:val="left"/>
                        <w:rPr>
                          <w:b/>
                          <w:shd w:val="clear" w:color="auto" w:fill="FFFFFF"/>
                        </w:rPr>
                      </w:pPr>
                      <w:r>
                        <w:rPr>
                          <w:b/>
                          <w:shd w:val="clear" w:color="auto" w:fill="FFFFFF"/>
                        </w:rPr>
                        <w:t xml:space="preserve">Specifični izazovi </w:t>
                      </w:r>
                    </w:p>
                    <w:p w:rsidR="00FD4C56" w:rsidRPr="00A92E91" w:rsidRDefault="00FD4C56" w:rsidP="008C0B17">
                      <w:pPr>
                        <w:pStyle w:val="Normal12PTcouleurgris"/>
                        <w:numPr>
                          <w:ilvl w:val="0"/>
                          <w:numId w:val="78"/>
                        </w:numPr>
                        <w:ind w:left="284" w:hanging="284"/>
                        <w:jc w:val="left"/>
                        <w:rPr>
                          <w:shd w:val="clear" w:color="auto" w:fill="FFFFFF"/>
                        </w:rPr>
                      </w:pPr>
                      <w:r>
                        <w:rPr>
                          <w:b/>
                          <w:shd w:val="clear" w:color="auto" w:fill="FFFFFF"/>
                        </w:rPr>
                        <w:t>Pristup predložen za odgovaranje na ZEP</w:t>
                      </w:r>
                      <w:r>
                        <w:rPr>
                          <w:shd w:val="clear" w:color="auto" w:fill="FFFFFF"/>
                        </w:rPr>
                        <w:t xml:space="preserve">: </w:t>
                      </w:r>
                      <w:r>
                        <w:rPr>
                          <w:i/>
                          <w:shd w:val="clear" w:color="auto" w:fill="FFFFFF"/>
                        </w:rPr>
                        <w:t xml:space="preserve">u ovom se poglavlju navode koraci, metode i savjeti o uporabi zajedničkih i dodatnih pokazatelja za odgovaranje na ZEP. </w:t>
                      </w:r>
                    </w:p>
                    <w:p w:rsidR="00FD4C56" w:rsidRPr="00A92E91" w:rsidRDefault="00FD4C56" w:rsidP="008C0B17">
                      <w:pPr>
                        <w:pStyle w:val="Hlistabc2"/>
                        <w:numPr>
                          <w:ilvl w:val="0"/>
                          <w:numId w:val="54"/>
                        </w:numPr>
                        <w:spacing w:before="120" w:after="120"/>
                        <w:rPr>
                          <w:sz w:val="18"/>
                          <w:szCs w:val="18"/>
                        </w:rPr>
                      </w:pPr>
                      <w:r>
                        <w:rPr>
                          <w:sz w:val="18"/>
                          <w:szCs w:val="18"/>
                        </w:rPr>
                        <w:t xml:space="preserve">Logika intervencije </w:t>
                      </w:r>
                    </w:p>
                    <w:p w:rsidR="00FD4C56" w:rsidRPr="00A92E91" w:rsidRDefault="00FD4C56" w:rsidP="008C0B17">
                      <w:pPr>
                        <w:pStyle w:val="Hlistabc2"/>
                        <w:numPr>
                          <w:ilvl w:val="0"/>
                          <w:numId w:val="54"/>
                        </w:numPr>
                        <w:spacing w:before="120" w:after="120"/>
                        <w:rPr>
                          <w:sz w:val="18"/>
                          <w:szCs w:val="18"/>
                        </w:rPr>
                      </w:pPr>
                      <w:r>
                        <w:rPr>
                          <w:sz w:val="18"/>
                          <w:szCs w:val="18"/>
                        </w:rPr>
                        <w:t xml:space="preserve">Evaluacijski elementi </w:t>
                      </w:r>
                    </w:p>
                    <w:p w:rsidR="00FD4C56" w:rsidRPr="00A92E91" w:rsidRDefault="00FD4C56" w:rsidP="008C0B17">
                      <w:pPr>
                        <w:pStyle w:val="Hlistabc2"/>
                        <w:numPr>
                          <w:ilvl w:val="0"/>
                          <w:numId w:val="54"/>
                        </w:numPr>
                        <w:spacing w:before="120" w:after="120"/>
                        <w:rPr>
                          <w:sz w:val="18"/>
                          <w:szCs w:val="18"/>
                        </w:rPr>
                      </w:pPr>
                      <w:r>
                        <w:rPr>
                          <w:sz w:val="18"/>
                          <w:szCs w:val="18"/>
                        </w:rPr>
                        <w:t xml:space="preserve">Predložena evaluacijska metodologija </w:t>
                      </w:r>
                    </w:p>
                    <w:p w:rsidR="00FD4C56" w:rsidRPr="00A92E91" w:rsidRDefault="00FD4C56" w:rsidP="008C0B17">
                      <w:pPr>
                        <w:pStyle w:val="Hlistabc2"/>
                        <w:numPr>
                          <w:ilvl w:val="0"/>
                          <w:numId w:val="54"/>
                        </w:numPr>
                        <w:spacing w:before="120" w:after="120"/>
                        <w:rPr>
                          <w:sz w:val="18"/>
                          <w:szCs w:val="18"/>
                        </w:rPr>
                      </w:pPr>
                      <w:r>
                        <w:rPr>
                          <w:sz w:val="18"/>
                          <w:szCs w:val="18"/>
                        </w:rPr>
                        <w:t xml:space="preserve">Rizici i rješenja </w:t>
                      </w:r>
                    </w:p>
                    <w:p w:rsidR="00FD4C56" w:rsidRPr="00A92E91" w:rsidRDefault="00FD4C56" w:rsidP="008C0B17">
                      <w:pPr>
                        <w:pStyle w:val="Hlistabc2"/>
                        <w:numPr>
                          <w:ilvl w:val="0"/>
                          <w:numId w:val="54"/>
                        </w:numPr>
                        <w:spacing w:before="120" w:after="120"/>
                        <w:rPr>
                          <w:sz w:val="18"/>
                          <w:szCs w:val="18"/>
                        </w:rPr>
                      </w:pPr>
                      <w:r>
                        <w:rPr>
                          <w:sz w:val="18"/>
                          <w:szCs w:val="18"/>
                        </w:rPr>
                        <w:t>Zaključci i preporuke</w:t>
                      </w:r>
                    </w:p>
                    <w:p w:rsidR="00FD4C56" w:rsidRPr="00A92E91" w:rsidRDefault="00FD4C56" w:rsidP="007372CD">
                      <w:pPr>
                        <w:pStyle w:val="Normal12PTcouleurgris"/>
                        <w:numPr>
                          <w:ilvl w:val="0"/>
                          <w:numId w:val="78"/>
                        </w:numPr>
                        <w:ind w:left="284" w:hanging="284"/>
                        <w:jc w:val="left"/>
                        <w:rPr>
                          <w:b/>
                          <w:shd w:val="clear" w:color="auto" w:fill="FFFFFF"/>
                        </w:rPr>
                      </w:pPr>
                      <w:r>
                        <w:rPr>
                          <w:b/>
                          <w:shd w:val="clear" w:color="auto" w:fill="FFFFFF"/>
                        </w:rPr>
                        <w:t>Više o temi</w:t>
                      </w:r>
                    </w:p>
                  </w:txbxContent>
                </v:textbox>
                <w10:wrap type="square" anchorx="page"/>
              </v:shape>
            </w:pict>
          </mc:Fallback>
        </mc:AlternateContent>
      </w:r>
      <w:r>
        <w:rPr>
          <w:rFonts w:cs="Arial"/>
          <w:b/>
          <w:noProof/>
          <w:color w:val="F07E31"/>
          <w:lang w:val="en-GB" w:eastAsia="en-GB"/>
        </w:rPr>
        <mc:AlternateContent>
          <mc:Choice Requires="wps">
            <w:drawing>
              <wp:anchor distT="0" distB="0" distL="114300" distR="114300" simplePos="0" relativeHeight="251671552" behindDoc="0" locked="0" layoutInCell="1" allowOverlap="1" wp14:anchorId="655B162A" wp14:editId="726E445D">
                <wp:simplePos x="0" y="0"/>
                <wp:positionH relativeFrom="column">
                  <wp:posOffset>800100</wp:posOffset>
                </wp:positionH>
                <wp:positionV relativeFrom="paragraph">
                  <wp:posOffset>-190500</wp:posOffset>
                </wp:positionV>
                <wp:extent cx="4097020" cy="2152650"/>
                <wp:effectExtent l="0" t="0" r="1778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097020" cy="2152650"/>
                        </a:xfrm>
                        <a:prstGeom prst="round2DiagRect">
                          <a:avLst>
                            <a:gd name="adj1" fmla="val 7630"/>
                            <a:gd name="adj2" fmla="val 0"/>
                          </a:avLst>
                        </a:prstGeom>
                        <a:noFill/>
                        <a:ln w="25400" cap="flat" cmpd="sng" algn="ctr">
                          <a:solidFill>
                            <a:srgbClr val="8BAB80"/>
                          </a:solidFill>
                          <a:prstDash val="solid"/>
                        </a:ln>
                        <a:effectLst/>
                      </wps:spPr>
                      <wps:txbx>
                        <w:txbxContent>
                          <w:p w:rsidR="00FD4C56" w:rsidRPr="00275EE5" w:rsidRDefault="00FD4C56" w:rsidP="001744D0">
                            <w:pPr>
                              <w:pStyle w:val="Normal12PTcouleurgris"/>
                            </w:pPr>
                            <w:r w:rsidRPr="00171202">
                              <w:rPr>
                                <w:noProof/>
                                <w:lang w:val="en-GB" w:eastAsia="en-GB"/>
                              </w:rPr>
                              <w:drawing>
                                <wp:inline distT="0" distB="0" distL="0" distR="0" wp14:anchorId="627B50DF" wp14:editId="2FDA5467">
                                  <wp:extent cx="448573" cy="274877"/>
                                  <wp:effectExtent l="0" t="0" r="0" b="0"/>
                                  <wp:docPr id="8"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49253" cy="27529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FD4C56" w:rsidRPr="0079762F" w:rsidTr="00E05D08">
                              <w:tc>
                                <w:tcPr>
                                  <w:tcW w:w="2991" w:type="dxa"/>
                                  <w:shd w:val="clear" w:color="auto" w:fill="FFFFFF"/>
                                </w:tcPr>
                                <w:p w:rsidR="00FD4C56" w:rsidRPr="00654F10" w:rsidRDefault="00FD4C56" w:rsidP="001744D0">
                                  <w:pPr>
                                    <w:pStyle w:val="Normal12PTcouleurgris"/>
                                    <w:rPr>
                                      <w:b/>
                                      <w:color w:val="404040"/>
                                      <w:sz w:val="18"/>
                                    </w:rPr>
                                  </w:pPr>
                                  <w:r>
                                    <w:rPr>
                                      <w:b/>
                                      <w:color w:val="404040"/>
                                      <w:sz w:val="18"/>
                                    </w:rPr>
                                    <w:t>Trebalo bi</w:t>
                                  </w:r>
                                </w:p>
                                <w:p w:rsidR="00FD4C56" w:rsidRPr="00654F10" w:rsidRDefault="00FD4C56" w:rsidP="007A450E">
                                  <w:pPr>
                                    <w:pStyle w:val="Hlistbullet"/>
                                    <w:spacing w:line="160" w:lineRule="atLeast"/>
                                    <w:jc w:val="left"/>
                                    <w:rPr>
                                      <w:sz w:val="18"/>
                                      <w:szCs w:val="18"/>
                                    </w:rPr>
                                  </w:pPr>
                                  <w:r>
                                    <w:rPr>
                                      <w:sz w:val="18"/>
                                      <w:szCs w:val="18"/>
                                    </w:rPr>
                                    <w:t>analitički provjeriti kriterije prosudbe i pokazatelje u ZSPE-u kako bi se utvrdilo jesu li dostatni za odgovaranje na ZEP.</w:t>
                                  </w:r>
                                </w:p>
                                <w:p w:rsidR="00FD4C56" w:rsidRPr="00654F10" w:rsidRDefault="00FD4C56" w:rsidP="007A450E">
                                  <w:pPr>
                                    <w:pStyle w:val="Hlistbullet"/>
                                    <w:spacing w:line="160" w:lineRule="atLeast"/>
                                    <w:jc w:val="left"/>
                                    <w:rPr>
                                      <w:sz w:val="18"/>
                                      <w:szCs w:val="18"/>
                                    </w:rPr>
                                  </w:pPr>
                                  <w:r>
                                    <w:rPr>
                                      <w:sz w:val="18"/>
                                      <w:szCs w:val="18"/>
                                    </w:rPr>
                                    <w:t>razviti dodatne kriterije prosudbe i pokazatelje ako oni zajednički nisu dostatni za prikupljanje dokaza za odgovaranje na ZEP-ove.</w:t>
                                  </w:r>
                                </w:p>
                              </w:tc>
                              <w:tc>
                                <w:tcPr>
                                  <w:tcW w:w="2960" w:type="dxa"/>
                                  <w:shd w:val="clear" w:color="auto" w:fill="auto"/>
                                </w:tcPr>
                                <w:p w:rsidR="00FD4C56" w:rsidRPr="00654F10" w:rsidRDefault="00FD4C56" w:rsidP="001744D0">
                                  <w:pPr>
                                    <w:pStyle w:val="Normal12PTcouleurgris"/>
                                    <w:rPr>
                                      <w:b/>
                                      <w:color w:val="404040"/>
                                      <w:sz w:val="18"/>
                                    </w:rPr>
                                  </w:pPr>
                                  <w:r>
                                    <w:rPr>
                                      <w:b/>
                                      <w:color w:val="404040"/>
                                      <w:sz w:val="18"/>
                                    </w:rPr>
                                    <w:t>Ne bi trebalo</w:t>
                                  </w:r>
                                </w:p>
                                <w:p w:rsidR="00FD4C56" w:rsidRPr="00654F10" w:rsidRDefault="00FD4C56" w:rsidP="007A450E">
                                  <w:pPr>
                                    <w:pStyle w:val="Hlistbullet"/>
                                    <w:spacing w:line="160" w:lineRule="atLeast"/>
                                    <w:jc w:val="left"/>
                                    <w:rPr>
                                      <w:sz w:val="18"/>
                                      <w:szCs w:val="18"/>
                                    </w:rPr>
                                  </w:pPr>
                                  <w:r>
                                    <w:rPr>
                                      <w:sz w:val="18"/>
                                      <w:szCs w:val="18"/>
                                    </w:rPr>
                                    <w:t>upotrebljavati samo pokazatelje ostvarenja za odgovaranje na ZEP-ove (jer ne mogu u potpunosti pokazati je li politika ostvarila svoju svrhu).</w:t>
                                  </w:r>
                                </w:p>
                                <w:p w:rsidR="00FD4C56" w:rsidRPr="00654F10" w:rsidRDefault="00FD4C56" w:rsidP="001744D0">
                                  <w:pPr>
                                    <w:pStyle w:val="Normal12PTcouleurgris"/>
                                    <w:rPr>
                                      <w:color w:val="1A1A1A"/>
                                      <w:sz w:val="18"/>
                                    </w:rPr>
                                  </w:pPr>
                                </w:p>
                              </w:tc>
                            </w:tr>
                          </w:tbl>
                          <w:p w:rsidR="00FD4C56" w:rsidRPr="00275EE5" w:rsidRDefault="00FD4C56" w:rsidP="00D77178">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162A" id="Rectangle: Diagonal Corners Rounded 70" o:spid="_x0000_s1041" style="position:absolute;left:0;text-align:left;margin-left:63pt;margin-top:-15pt;width:322.6pt;height:1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7020,215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" adj="-11796480,,5400" path="m164247,l4097020,r,l4097020,1988403v,90711,-73536,164247,-164247,164247l,2152650r,l,164247c,73536,73536,,164247,xe" filled="f" strokecolor="#8bab80" strokeweight="2pt">
                <v:stroke joinstyle="miter"/>
                <v:formulas/>
                <v:path arrowok="t" o:connecttype="custom" o:connectlocs="164247,0;4097020,0;4097020,0;4097020,1988403;3932773,2152650;0,2152650;0,2152650;0,164247;164247,0" o:connectangles="0,0,0,0,0,0,0,0,0" textboxrect="0,0,4097020,2152650"/>
                <v:textbox>
                  <w:txbxContent>
                    <w:p w:rsidR="00FD4C56" w:rsidRPr="00275EE5" w:rsidRDefault="00FD4C56" w:rsidP="001744D0">
                      <w:pPr>
                        <w:pStyle w:val="Normal12PTcouleurgris"/>
                      </w:pPr>
                      <w:r w:rsidRPr="00171202">
                        <w:rPr>
                          <w:noProof/>
                          <w:lang w:val="en-GB" w:eastAsia="en-GB"/>
                        </w:rPr>
                        <w:drawing>
                          <wp:inline distT="0" distB="0" distL="0" distR="0" wp14:anchorId="627B50DF" wp14:editId="2FDA5467">
                            <wp:extent cx="448573" cy="274877"/>
                            <wp:effectExtent l="0" t="0" r="0" b="0"/>
                            <wp:docPr id="8"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49253" cy="27529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FD4C56" w:rsidRPr="0079762F" w:rsidTr="00E05D08">
                        <w:tc>
                          <w:tcPr>
                            <w:tcW w:w="2991" w:type="dxa"/>
                            <w:shd w:val="clear" w:color="auto" w:fill="FFFFFF"/>
                          </w:tcPr>
                          <w:p w:rsidR="00FD4C56" w:rsidRPr="00654F10" w:rsidRDefault="00FD4C56" w:rsidP="001744D0">
                            <w:pPr>
                              <w:pStyle w:val="Normal12PTcouleurgris"/>
                              <w:rPr>
                                <w:b/>
                                <w:color w:val="404040"/>
                                <w:sz w:val="18"/>
                              </w:rPr>
                            </w:pPr>
                            <w:r>
                              <w:rPr>
                                <w:b/>
                                <w:color w:val="404040"/>
                                <w:sz w:val="18"/>
                              </w:rPr>
                              <w:t>Trebalo bi</w:t>
                            </w:r>
                          </w:p>
                          <w:p w:rsidR="00FD4C56" w:rsidRPr="00654F10" w:rsidRDefault="00FD4C56" w:rsidP="007A450E">
                            <w:pPr>
                              <w:pStyle w:val="Hlistbullet"/>
                              <w:spacing w:line="160" w:lineRule="atLeast"/>
                              <w:jc w:val="left"/>
                              <w:rPr>
                                <w:sz w:val="18"/>
                                <w:szCs w:val="18"/>
                              </w:rPr>
                            </w:pPr>
                            <w:r>
                              <w:rPr>
                                <w:sz w:val="18"/>
                                <w:szCs w:val="18"/>
                              </w:rPr>
                              <w:t>analitički provjeriti kriterije prosudbe i pokazatelje u ZSPE-u kako bi se utvrdilo jesu li dostatni za odgovaranje na ZEP.</w:t>
                            </w:r>
                          </w:p>
                          <w:p w:rsidR="00FD4C56" w:rsidRPr="00654F10" w:rsidRDefault="00FD4C56" w:rsidP="007A450E">
                            <w:pPr>
                              <w:pStyle w:val="Hlistbullet"/>
                              <w:spacing w:line="160" w:lineRule="atLeast"/>
                              <w:jc w:val="left"/>
                              <w:rPr>
                                <w:sz w:val="18"/>
                                <w:szCs w:val="18"/>
                              </w:rPr>
                            </w:pPr>
                            <w:r>
                              <w:rPr>
                                <w:sz w:val="18"/>
                                <w:szCs w:val="18"/>
                              </w:rPr>
                              <w:t>razviti dodatne kriterije prosudbe i pokazatelje ako oni zajednički nisu dostatni za prikupljanje dokaza za odgovaranje na ZEP-ove.</w:t>
                            </w:r>
                          </w:p>
                        </w:tc>
                        <w:tc>
                          <w:tcPr>
                            <w:tcW w:w="2960" w:type="dxa"/>
                            <w:shd w:val="clear" w:color="auto" w:fill="auto"/>
                          </w:tcPr>
                          <w:p w:rsidR="00FD4C56" w:rsidRPr="00654F10" w:rsidRDefault="00FD4C56" w:rsidP="001744D0">
                            <w:pPr>
                              <w:pStyle w:val="Normal12PTcouleurgris"/>
                              <w:rPr>
                                <w:b/>
                                <w:color w:val="404040"/>
                                <w:sz w:val="18"/>
                              </w:rPr>
                            </w:pPr>
                            <w:r>
                              <w:rPr>
                                <w:b/>
                                <w:color w:val="404040"/>
                                <w:sz w:val="18"/>
                              </w:rPr>
                              <w:t>Ne bi trebalo</w:t>
                            </w:r>
                          </w:p>
                          <w:p w:rsidR="00FD4C56" w:rsidRPr="00654F10" w:rsidRDefault="00FD4C56" w:rsidP="007A450E">
                            <w:pPr>
                              <w:pStyle w:val="Hlistbullet"/>
                              <w:spacing w:line="160" w:lineRule="atLeast"/>
                              <w:jc w:val="left"/>
                              <w:rPr>
                                <w:sz w:val="18"/>
                                <w:szCs w:val="18"/>
                              </w:rPr>
                            </w:pPr>
                            <w:r>
                              <w:rPr>
                                <w:sz w:val="18"/>
                                <w:szCs w:val="18"/>
                              </w:rPr>
                              <w:t>upotrebljavati samo pokazatelje ostvarenja za odgovaranje na ZEP-ove (jer ne mogu u potpunosti pokazati je li politika ostvarila svoju svrhu).</w:t>
                            </w:r>
                          </w:p>
                          <w:p w:rsidR="00FD4C56" w:rsidRPr="00654F10" w:rsidRDefault="00FD4C56" w:rsidP="001744D0">
                            <w:pPr>
                              <w:pStyle w:val="Normal12PTcouleurgris"/>
                              <w:rPr>
                                <w:color w:val="1A1A1A"/>
                                <w:sz w:val="18"/>
                              </w:rPr>
                            </w:pPr>
                          </w:p>
                        </w:tc>
                      </w:tr>
                    </w:tbl>
                    <w:p w:rsidR="00FD4C56" w:rsidRPr="00275EE5" w:rsidRDefault="00FD4C56" w:rsidP="00D77178">
                      <w:pPr>
                        <w:pStyle w:val="Normal12PTcouleurgris"/>
                      </w:pPr>
                    </w:p>
                  </w:txbxContent>
                </v:textbox>
                <w10:wrap type="square"/>
              </v:shape>
            </w:pict>
          </mc:Fallback>
        </mc:AlternateContent>
      </w:r>
      <w:r w:rsidR="007A450E">
        <w:t>Iako je odgovaranje na ZEP-ove obvezno, u ovom se poglavlju daju neobvezujuće smjernice o tome kako odgovoriti na ZEP-ove br. 1, 2, 21, 23 i 30 koji su povezani s inovacijama.</w:t>
      </w:r>
      <w:r w:rsidR="007A450E">
        <w:rPr>
          <w:szCs w:val="20"/>
          <w:shd w:val="clear" w:color="auto" w:fill="FFFFFF"/>
        </w:rPr>
        <w:t xml:space="preserve"> Na ta se pitanja mora odgovoriti u proširenom godišnjem izvješću o provedbi koje se podnosi 2019. te u </w:t>
      </w:r>
      <w:r w:rsidR="007A450E">
        <w:rPr>
          <w:i/>
          <w:szCs w:val="20"/>
          <w:shd w:val="clear" w:color="auto" w:fill="FFFFFF"/>
        </w:rPr>
        <w:t>ex post</w:t>
      </w:r>
      <w:r w:rsidR="007A450E">
        <w:rPr>
          <w:szCs w:val="20"/>
          <w:shd w:val="clear" w:color="auto" w:fill="FFFFFF"/>
        </w:rPr>
        <w:t xml:space="preserve"> evaluaciji.</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4"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981122"/>
      <w:r>
        <w:lastRenderedPageBreak/>
        <w:t>ZEP br. 1: „U kojoj su mjeri intervencije u okviru PRR-a poduprle inovacije, suradnju i razvoj baze znanja u ruralnim područjima?”</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Razumijevanje ZEP-a</w:t>
      </w:r>
    </w:p>
    <w:p w:rsidR="00A45935" w:rsidRPr="00E05D08" w:rsidRDefault="00A45935" w:rsidP="00E05D08">
      <w:pPr>
        <w:spacing w:after="120" w:line="280" w:lineRule="atLeast"/>
        <w:mirrorIndents/>
        <w:rPr>
          <w:rFonts w:eastAsia="Times New Roman" w:cs="Times New Roman"/>
          <w:szCs w:val="20"/>
        </w:rPr>
      </w:pPr>
      <w:r>
        <w:t>Sljedeće tri mjere najviše pridonose postizanju cilja povezanog sa ZEP-om br. 1 (tj. potpori inovacijama): M1 (članak 14. „Prenošenje znanja i aktivnosti informiranja”), M2 (članak 15. „Savjetodavne službe, službe za upravljanje poljoprivrednim gospodarstvom i pomoć poljoprivrednim gospodarstvima”) i M16 (članak 35. „Suradnja”)</w:t>
      </w:r>
      <w:r>
        <w:rPr>
          <w:rFonts w:eastAsia="Times New Roman" w:cs="Times New Roman"/>
          <w:szCs w:val="20"/>
          <w:vertAlign w:val="superscript"/>
          <w:lang w:eastAsia="de-DE"/>
        </w:rPr>
        <w:footnoteReference w:id="48"/>
      </w:r>
      <w:r>
        <w:t>. Može se smatrati da, osim njih, i M19 (članci 42. i 35. Uredbe (EU) br. 1303/2013) ostvaruje veliki doprinos inovacijskom aspektu prethodno navedenog cilja.</w:t>
      </w:r>
    </w:p>
    <w:p w:rsidR="00A45935" w:rsidRPr="00E05D08" w:rsidRDefault="00A45935" w:rsidP="00E05D08">
      <w:pPr>
        <w:spacing w:after="120" w:line="280" w:lineRule="atLeast"/>
        <w:mirrorIndents/>
        <w:rPr>
          <w:rFonts w:eastAsia="Times New Roman" w:cs="Times New Roman"/>
          <w:szCs w:val="20"/>
        </w:rPr>
      </w:pPr>
      <w:r>
        <w:t xml:space="preserve">Ključno je istražiti koji aspekti mjera podupiru inovacije. Primjerice, odabrana logika intervencije za 1. prioritet mogla bi pokazati da M1 i M16 izravno pridonose ne samo žarišnom području 1.A, nego i žarišnom području 1.B (M16) ili žarišnom području 1.C (M1). </w:t>
      </w:r>
    </w:p>
    <w:p w:rsidR="00A45935" w:rsidRPr="00E05D08" w:rsidRDefault="00654F10" w:rsidP="00E05D08">
      <w:pPr>
        <w:spacing w:after="120" w:line="280" w:lineRule="atLeast"/>
        <w:mirrorIndents/>
        <w:rPr>
          <w:rFonts w:eastAsia="Times New Roman" w:cs="Times New Roman"/>
          <w:szCs w:val="20"/>
        </w:rPr>
      </w:pPr>
      <w:r>
        <w:t xml:space="preserve">Elementi tih mjera koji su povezani s inovacijama mogu se raščlaniti na sljedeći način: </w:t>
      </w:r>
    </w:p>
    <w:p w:rsidR="00A45935" w:rsidRPr="00D77178" w:rsidRDefault="00A45935" w:rsidP="00E05D08">
      <w:pPr>
        <w:spacing w:after="120" w:line="280" w:lineRule="atLeast"/>
        <w:mirrorIndents/>
        <w:rPr>
          <w:rFonts w:eastAsia="Times New Roman" w:cs="Times New Roman"/>
          <w:b/>
          <w:szCs w:val="20"/>
        </w:rPr>
      </w:pPr>
      <w:r w:rsidRPr="00D77178">
        <w:rPr>
          <w:b/>
        </w:rPr>
        <w:t>M1</w:t>
      </w:r>
      <w:r>
        <w:t xml:space="preserve"> (članak 14.) pokriva strukovno osposobljavanje i aktivnosti stjecanja vještina, demonstracijske aktivnosti i informativne aktivnosti. Osim toga, može pokrivati i razmjene u upravljanju poljoprivrednim gospodarstvom i šumama te posjete poljoprivrednim gospodarstvima i šumama. Iako inovacije nisu izričito spomenute u članku 14., te aktivnosti mogu imati važnu ulogu u </w:t>
      </w:r>
      <w:r w:rsidRPr="00D77178">
        <w:rPr>
          <w:b/>
        </w:rPr>
        <w:t>izgradnji inovacijskog kapaciteta.</w:t>
      </w:r>
    </w:p>
    <w:p w:rsidR="00A45935" w:rsidRPr="00E05D08" w:rsidRDefault="00A45935" w:rsidP="00E05D08">
      <w:pPr>
        <w:spacing w:after="120" w:line="280" w:lineRule="atLeast"/>
        <w:mirrorIndents/>
        <w:rPr>
          <w:rFonts w:eastAsia="Times New Roman" w:cs="Times New Roman"/>
          <w:szCs w:val="20"/>
        </w:rPr>
      </w:pPr>
      <w:r w:rsidRPr="00D77178">
        <w:rPr>
          <w:b/>
        </w:rPr>
        <w:t>M2</w:t>
      </w:r>
      <w:r>
        <w:t xml:space="preserve"> (članak 15.) obuhvaća savjetovanje pojedinačnih poljoprivrednika, mladih poljoprivrednika i drugih upravitelja zemljišta te osposobljavanje savjetnika ili uspostavu usluga potpore inovacijama. To obuhvaća nekoliko elemenata, primjerice savjetovanje o mjerama PRR-a na razini poljoprivrednih gospodarstva čiji su cilj, među ostalim, inovacije</w:t>
      </w:r>
      <w:r>
        <w:rPr>
          <w:rFonts w:eastAsia="Times New Roman" w:cs="Times New Roman"/>
          <w:szCs w:val="20"/>
          <w:vertAlign w:val="superscript"/>
          <w:lang w:eastAsia="de-DE"/>
        </w:rPr>
        <w:footnoteReference w:id="49"/>
      </w:r>
      <w:r>
        <w:t xml:space="preserve">. Pružanje savjetodavnih usluga jedan je od načina </w:t>
      </w:r>
      <w:r w:rsidRPr="00D77178">
        <w:rPr>
          <w:b/>
        </w:rPr>
        <w:t>izgradnje inovacijskog kapaciteta</w:t>
      </w:r>
      <w:r>
        <w:t xml:space="preserve"> (vidjeti </w:t>
      </w:r>
      <w:hyperlink w:anchor="Innovation_RD" w:history="1">
        <w:r>
          <w:rPr>
            <w:rStyle w:val="Hyperlink"/>
            <w:sz w:val="20"/>
            <w:szCs w:val="20"/>
          </w:rPr>
          <w:t>poglavlje 1.1.</w:t>
        </w:r>
      </w:hyperlink>
      <w:r>
        <w:t>) jer se nudi mogućnost za prijenos znanja. Osim toga, savjetnici / pružatelji usluga potpore inovacijama preuzimaju „mentorsku” ulogu u interaktivnim inovacijskim procesima u kontekstu OS-ova EPI-ja.</w:t>
      </w:r>
    </w:p>
    <w:p w:rsidR="00A45935" w:rsidRDefault="00A45935" w:rsidP="00E05D08">
      <w:pPr>
        <w:spacing w:after="120" w:line="280" w:lineRule="atLeast"/>
        <w:mirrorIndents/>
        <w:rPr>
          <w:rFonts w:eastAsia="Times New Roman" w:cs="Times New Roman"/>
          <w:szCs w:val="20"/>
        </w:rPr>
      </w:pPr>
      <w:r>
        <w:rPr>
          <w:b/>
          <w:szCs w:val="20"/>
        </w:rPr>
        <w:t>M16</w:t>
      </w:r>
      <w:r>
        <w:t xml:space="preserve"> (članak 35.) podupire (a) suradnju među raznim subjektima koji pridonose postizanju ciljeva politike ruralnog razvoja (poljoprivredni i šumarski sektor, lanac opskrbe hranom, skupine proizvođača, zadruge, međusektorske organizacije i ostali), (b) stvaranje klastera i mreža te (c) osnivanje i rad OS-ova EIP-AGRI-ja. M16 obuhvaća 10 podmjera i podupire inovacije u pogledu </w:t>
      </w:r>
      <w:r w:rsidRPr="00D77178">
        <w:rPr>
          <w:b/>
        </w:rPr>
        <w:t>svih triju putanja</w:t>
      </w:r>
      <w:r>
        <w:t xml:space="preserve"> opisanih u poglavlju 1.1. (vidjeti okvir u nastavku).</w:t>
      </w:r>
    </w:p>
    <w:p w:rsidR="006F1601" w:rsidRDefault="00A45935" w:rsidP="00E05D08">
      <w:pPr>
        <w:spacing w:after="120" w:line="280" w:lineRule="atLeast"/>
        <w:mirrorIndents/>
        <w:rPr>
          <w:rFonts w:eastAsia="Times New Roman" w:cs="Times New Roman"/>
          <w:szCs w:val="20"/>
        </w:rPr>
      </w:pPr>
      <w:r w:rsidRPr="00D77178">
        <w:rPr>
          <w:b/>
        </w:rPr>
        <w:t>M19</w:t>
      </w:r>
      <w:r>
        <w:t xml:space="preserve"> (članak 42.) podupire lokalni ruralni razvoj primjenom načela LEADER-a</w:t>
      </w:r>
      <w:r>
        <w:rPr>
          <w:rFonts w:eastAsia="Calibri" w:cs="Times New Roman"/>
          <w:szCs w:val="20"/>
          <w:vertAlign w:val="superscript"/>
          <w:lang w:eastAsia="de-DE"/>
        </w:rPr>
        <w:footnoteReference w:id="50"/>
      </w:r>
      <w:r>
        <w:t>. Jedno od tih načela usmjereno je na promicanje inovacija putem aktivnosti lokalnih akcijskih skupina i korisnika strategija CLLD-a. M19 obuhvaća pet podmjera koje bi mogle podupirati inovacije putem jedne putanje, dviju ili svih triju putanja opisanih u poglavlju 1.1. (vidjeti okvir u nastavku).</w:t>
      </w:r>
    </w:p>
    <w:p w:rsidR="006F1601" w:rsidRDefault="006F1601" w:rsidP="00E05D08">
      <w:pPr>
        <w:spacing w:after="120" w:line="280" w:lineRule="atLeast"/>
        <w:mirrorIndents/>
        <w:rPr>
          <w:rFonts w:eastAsia="Calibri" w:cs="Times New Roman"/>
          <w:szCs w:val="20"/>
          <w:lang w:eastAsia="de-DE"/>
        </w:rPr>
      </w:pPr>
    </w:p>
    <w:p w:rsidR="00A66F3C" w:rsidRDefault="00D77178"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3872" behindDoc="1" locked="0" layoutInCell="1" allowOverlap="1" wp14:anchorId="14585B98" wp14:editId="1CBE8979">
                <wp:simplePos x="0" y="0"/>
                <wp:positionH relativeFrom="column">
                  <wp:posOffset>0</wp:posOffset>
                </wp:positionH>
                <wp:positionV relativeFrom="paragraph">
                  <wp:posOffset>285750</wp:posOffset>
                </wp:positionV>
                <wp:extent cx="5913755" cy="7791450"/>
                <wp:effectExtent l="0" t="0" r="10795" b="19050"/>
                <wp:wrapTight wrapText="bothSides">
                  <wp:wrapPolygon edited="0">
                    <wp:start x="765" y="0"/>
                    <wp:lineTo x="0" y="264"/>
                    <wp:lineTo x="0" y="21600"/>
                    <wp:lineTo x="20874" y="21600"/>
                    <wp:lineTo x="21013" y="21600"/>
                    <wp:lineTo x="21570" y="21230"/>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791450"/>
                        </a:xfrm>
                        <a:prstGeom prst="round2DiagRect">
                          <a:avLst>
                            <a:gd name="adj1" fmla="val 5642"/>
                            <a:gd name="adj2" fmla="val 0"/>
                          </a:avLst>
                        </a:prstGeom>
                        <a:noFill/>
                        <a:ln w="25400" cap="flat" cmpd="sng" algn="ctr">
                          <a:solidFill>
                            <a:srgbClr val="F07E31"/>
                          </a:solidFill>
                          <a:prstDash val="solid"/>
                        </a:ln>
                        <a:effectLst/>
                      </wps:spPr>
                      <wps:txbx>
                        <w:txbxContent>
                          <w:p w:rsidR="00FD4C56" w:rsidRDefault="00FD4C56" w:rsidP="00C3334D">
                            <w:pPr>
                              <w:pStyle w:val="HStandard"/>
                              <w:ind w:left="284" w:right="23"/>
                            </w:pPr>
                            <w:r>
                              <w:rPr>
                                <w:noProof/>
                                <w:lang w:val="en-GB" w:eastAsia="en-GB"/>
                              </w:rPr>
                              <w:drawing>
                                <wp:inline distT="0" distB="0" distL="0" distR="0" wp14:anchorId="59591535" wp14:editId="498F66B3">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FD4C56" w:rsidRPr="00A66F3C" w:rsidRDefault="00FD4C56" w:rsidP="00A66F3C">
                            <w:pPr>
                              <w:pStyle w:val="HStandard"/>
                              <w:ind w:right="23"/>
                              <w:rPr>
                                <w:b/>
                                <w:color w:val="F07E31"/>
                                <w:sz w:val="18"/>
                                <w:szCs w:val="18"/>
                              </w:rPr>
                            </w:pPr>
                            <w:r>
                              <w:rPr>
                                <w:b/>
                                <w:color w:val="F07E31"/>
                                <w:sz w:val="18"/>
                                <w:szCs w:val="18"/>
                              </w:rPr>
                              <w:t>Primjeri načina na koji M1 može izgraditi inovacijski kapacitet:</w:t>
                            </w:r>
                          </w:p>
                          <w:p w:rsidR="00FD4C56" w:rsidRPr="00A66F3C" w:rsidRDefault="00FD4C56" w:rsidP="00A66F3C">
                            <w:pPr>
                              <w:pStyle w:val="Hlistbullet"/>
                              <w:rPr>
                                <w:sz w:val="18"/>
                                <w:szCs w:val="18"/>
                              </w:rPr>
                            </w:pPr>
                            <w:r>
                              <w:rPr>
                                <w:sz w:val="18"/>
                                <w:szCs w:val="18"/>
                              </w:rPr>
                              <w:t>nove vještine za poljoprivrednike/MSP-ove za primjenu inovativnih procesa/tehnika ili nove organizacijske vještine</w:t>
                            </w:r>
                          </w:p>
                          <w:p w:rsidR="00FD4C56" w:rsidRPr="00A66F3C" w:rsidRDefault="00FD4C56" w:rsidP="00A66F3C">
                            <w:pPr>
                              <w:pStyle w:val="Hlistbullet"/>
                              <w:rPr>
                                <w:sz w:val="18"/>
                                <w:szCs w:val="18"/>
                              </w:rPr>
                            </w:pPr>
                            <w:r>
                              <w:rPr>
                                <w:sz w:val="18"/>
                                <w:szCs w:val="18"/>
                              </w:rPr>
                              <w:t>razmjene i posjeti koji pomažu u prijenosu znanja iz jednog poljoprivrednog gospodarstava / regije u drugo poljoprivredno gospodarstvo / regiju.</w:t>
                            </w:r>
                          </w:p>
                          <w:p w:rsidR="00FD4C56" w:rsidRPr="00A66F3C" w:rsidRDefault="00FD4C56" w:rsidP="00C3334D">
                            <w:pPr>
                              <w:pStyle w:val="HStandard"/>
                              <w:ind w:right="54"/>
                              <w:rPr>
                                <w:b/>
                                <w:color w:val="F07E31"/>
                                <w:sz w:val="18"/>
                                <w:szCs w:val="18"/>
                              </w:rPr>
                            </w:pPr>
                            <w:r>
                              <w:rPr>
                                <w:b/>
                                <w:color w:val="F07E31"/>
                                <w:sz w:val="18"/>
                                <w:szCs w:val="18"/>
                              </w:rPr>
                              <w:t>Primjeri načina na koji M16 podupire inovacije:</w:t>
                            </w:r>
                          </w:p>
                          <w:p w:rsidR="00FD4C56" w:rsidRPr="00A66F3C" w:rsidRDefault="00FD4C56" w:rsidP="00A66F3C">
                            <w:pPr>
                              <w:pStyle w:val="Hlistbullet"/>
                              <w:rPr>
                                <w:sz w:val="18"/>
                                <w:szCs w:val="18"/>
                              </w:rPr>
                            </w:pPr>
                            <w:r>
                              <w:rPr>
                                <w:sz w:val="18"/>
                                <w:szCs w:val="18"/>
                              </w:rPr>
                              <w:t>Razvoj novih proizvoda, praksi, tehnologija u poljoprivrednom, prehrambenom i šumarskom sektoru (podmjera M16.2</w:t>
                            </w:r>
                            <w:r w:rsidRPr="002B21C5">
                              <w:rPr>
                                <w:sz w:val="18"/>
                                <w:szCs w:val="18"/>
                                <w:vertAlign w:val="superscript"/>
                              </w:rPr>
                              <w:t>51</w:t>
                            </w:r>
                            <w:r>
                              <w:rPr>
                                <w:sz w:val="18"/>
                                <w:szCs w:val="18"/>
                              </w:rPr>
                              <w:t xml:space="preserve">) povezan je s utvrđivanjem i njegovanjem inovacija na suradnički način. </w:t>
                            </w:r>
                          </w:p>
                          <w:p w:rsidR="00FD4C56" w:rsidRPr="00A66F3C" w:rsidRDefault="00FD4C56" w:rsidP="00A66F3C">
                            <w:pPr>
                              <w:pStyle w:val="Hlistbullet"/>
                              <w:rPr>
                                <w:sz w:val="18"/>
                                <w:szCs w:val="18"/>
                              </w:rPr>
                            </w:pPr>
                            <w:r>
                              <w:rPr>
                                <w:sz w:val="18"/>
                                <w:szCs w:val="18"/>
                              </w:rPr>
                              <w:t xml:space="preserve">Sve druge podmjere imaju potencijal za </w:t>
                            </w:r>
                            <w:r w:rsidRPr="00D77178">
                              <w:rPr>
                                <w:b/>
                                <w:sz w:val="18"/>
                                <w:szCs w:val="18"/>
                              </w:rPr>
                              <w:t>izgradnju inovacijskog kapaci</w:t>
                            </w:r>
                            <w:r>
                              <w:rPr>
                                <w:sz w:val="18"/>
                                <w:szCs w:val="18"/>
                              </w:rPr>
                              <w:t>teta s obzirom na to da proces suradnje podrazumijeva zajedničko utvrđivanje novih mogućnosti, osmišljavanje novih ideja, ispitivanje novih tehnologija ili utvrđivanja novih načina rada.</w:t>
                            </w:r>
                          </w:p>
                          <w:p w:rsidR="00FD4C56" w:rsidRPr="00A66F3C" w:rsidRDefault="00FD4C56" w:rsidP="00A66F3C">
                            <w:pPr>
                              <w:pStyle w:val="Hlistbullet"/>
                              <w:rPr>
                                <w:sz w:val="18"/>
                                <w:szCs w:val="18"/>
                              </w:rPr>
                            </w:pPr>
                            <w:r>
                              <w:rPr>
                                <w:sz w:val="18"/>
                                <w:szCs w:val="18"/>
                              </w:rPr>
                              <w:t xml:space="preserve">Osim toga, potpora koju savjetnici / pružatelji usluga potpore inovacijama nude projektima suradnje, uključujući potporu koju u tu svrhu nude NRM-ovi, može pridonijeti </w:t>
                            </w:r>
                            <w:r w:rsidRPr="00D77178">
                              <w:rPr>
                                <w:b/>
                                <w:sz w:val="18"/>
                                <w:szCs w:val="18"/>
                              </w:rPr>
                              <w:t>izgradnji inovacijskog kapaciteta</w:t>
                            </w:r>
                            <w:r>
                              <w:rPr>
                                <w:sz w:val="18"/>
                                <w:szCs w:val="18"/>
                              </w:rPr>
                              <w:t>.</w:t>
                            </w:r>
                          </w:p>
                          <w:p w:rsidR="00FD4C56" w:rsidRPr="00A66F3C" w:rsidRDefault="00FD4C56" w:rsidP="00A66F3C">
                            <w:pPr>
                              <w:pStyle w:val="Hlistbullet"/>
                              <w:rPr>
                                <w:sz w:val="18"/>
                                <w:szCs w:val="18"/>
                              </w:rPr>
                            </w:pPr>
                            <w:r>
                              <w:rPr>
                                <w:sz w:val="18"/>
                                <w:szCs w:val="18"/>
                              </w:rPr>
                              <w:t xml:space="preserve">Sudjelovanje inovacijskih dionika u projektima suradnje (npr. usluge potpore inovacijama, odjeli za inovacije, centri za istraživanje i razvoj ili centri za inovacije i tehnologije) može pridonijeti </w:t>
                            </w:r>
                            <w:r w:rsidRPr="00D77178">
                              <w:rPr>
                                <w:b/>
                                <w:sz w:val="18"/>
                                <w:szCs w:val="18"/>
                              </w:rPr>
                              <w:t>izgradnji poticajnog okruženja za inovacije</w:t>
                            </w:r>
                            <w:r>
                              <w:rPr>
                                <w:sz w:val="18"/>
                                <w:szCs w:val="18"/>
                              </w:rPr>
                              <w:t>. Primjerice, zajednički istraživački projekt mogao bi rezultirati ishodom koji bi mogao imati utjecaj na zakonodavstvo (npr. zakonodavstvo o okolišu).</w:t>
                            </w:r>
                          </w:p>
                          <w:p w:rsidR="00FD4C56" w:rsidRPr="00A66F3C" w:rsidRDefault="00FD4C56" w:rsidP="00A66F3C">
                            <w:pPr>
                              <w:pStyle w:val="Hlistbullet"/>
                              <w:rPr>
                                <w:sz w:val="18"/>
                                <w:szCs w:val="18"/>
                              </w:rPr>
                            </w:pPr>
                            <w:r>
                              <w:rPr>
                                <w:sz w:val="18"/>
                                <w:szCs w:val="18"/>
                              </w:rPr>
                              <w:t xml:space="preserve">Osnivanjem i radom OS-ova inovacije se mogu podupirati još cjelovitijim pristupom i to kombinacijom </w:t>
                            </w:r>
                            <w:r>
                              <w:rPr>
                                <w:b/>
                                <w:sz w:val="18"/>
                                <w:szCs w:val="18"/>
                              </w:rPr>
                              <w:t>svih triju putanja</w:t>
                            </w:r>
                            <w:r>
                              <w:rPr>
                                <w:sz w:val="18"/>
                                <w:szCs w:val="18"/>
                              </w:rPr>
                              <w:t>: utvrđivanja novih ideja (početna točka OS-ova), izgradnje inovacijskog kapaciteta (potpora savjetnika / pružatelja usluga potpore inovacijama) i stvaranja poticajnog okruženja za inovacije (rezultati projekata OS-ova).</w:t>
                            </w:r>
                          </w:p>
                          <w:p w:rsidR="00FD4C56" w:rsidRPr="00A66F3C" w:rsidRDefault="00FD4C56" w:rsidP="00C3334D">
                            <w:pPr>
                              <w:pStyle w:val="Normal12PTcouleurgris"/>
                              <w:ind w:left="284"/>
                              <w:rPr>
                                <w:color w:val="F07E31"/>
                                <w:sz w:val="18"/>
                              </w:rPr>
                            </w:pPr>
                            <w:r>
                              <w:rPr>
                                <w:b/>
                                <w:color w:val="F07E31"/>
                                <w:sz w:val="18"/>
                              </w:rPr>
                              <w:t>Primjeri načina na koji M19 podupire inovacije:</w:t>
                            </w:r>
                          </w:p>
                          <w:p w:rsidR="00FD4C56" w:rsidRPr="00A66F3C" w:rsidRDefault="00FD4C56" w:rsidP="00A66F3C">
                            <w:pPr>
                              <w:pStyle w:val="Hlistbullet"/>
                              <w:rPr>
                                <w:sz w:val="18"/>
                                <w:szCs w:val="18"/>
                              </w:rPr>
                            </w:pPr>
                            <w:r>
                              <w:rPr>
                                <w:sz w:val="18"/>
                                <w:szCs w:val="18"/>
                              </w:rPr>
                              <w:t xml:space="preserve">primjena novih načina izrade strategije, uključujući različite jedinstvene oblike osiguranja sudjelovanja lokalnog stanovništva u strateškim odlukama (npr. različite aktivnosti animiranja povezane s prikupljanjem informacija, različite radionice i platforme za razmjenu mišljenja itd.), čime se pridonosi </w:t>
                            </w:r>
                            <w:r w:rsidRPr="00D77178">
                              <w:rPr>
                                <w:b/>
                                <w:sz w:val="18"/>
                                <w:szCs w:val="18"/>
                              </w:rPr>
                              <w:t>poticajnom okruženju za inovacije (3. putanja)</w:t>
                            </w:r>
                          </w:p>
                          <w:p w:rsidR="00FD4C56" w:rsidRPr="00A66F3C" w:rsidRDefault="00FD4C56" w:rsidP="00A66F3C">
                            <w:pPr>
                              <w:pStyle w:val="Hlistbullet"/>
                              <w:rPr>
                                <w:sz w:val="18"/>
                                <w:szCs w:val="18"/>
                              </w:rPr>
                            </w:pPr>
                            <w:r>
                              <w:rPr>
                                <w:sz w:val="18"/>
                                <w:szCs w:val="18"/>
                              </w:rPr>
                              <w:t xml:space="preserve">provedba inovativnih aktivnosti animiranja koji nadilaze izradu i provedbu strategije te osiguravaju sudjelovanje šireg sloja stanovništva u različitim inovativnim aktivnostima LAG-a (npr. usmjerene na izgradnju snažnog teritorijalnog identiteta, primjerice, uključivanjem prirodne i kulturne baštine), čime se dodatno podupire </w:t>
                            </w:r>
                            <w:r w:rsidRPr="00D77178">
                              <w:rPr>
                                <w:b/>
                                <w:sz w:val="18"/>
                                <w:szCs w:val="18"/>
                              </w:rPr>
                              <w:t>poticajno okruženje i njeguju potencijalne inovativne ideje (1. i 3. putanja)</w:t>
                            </w:r>
                          </w:p>
                          <w:p w:rsidR="00FD4C56" w:rsidRPr="00A66F3C" w:rsidRDefault="00FD4C56" w:rsidP="00A66F3C">
                            <w:pPr>
                              <w:pStyle w:val="Hlistbullet"/>
                              <w:rPr>
                                <w:sz w:val="18"/>
                                <w:szCs w:val="18"/>
                              </w:rPr>
                            </w:pPr>
                            <w:r>
                              <w:rPr>
                                <w:sz w:val="18"/>
                                <w:szCs w:val="18"/>
                              </w:rPr>
                              <w:t xml:space="preserve">pokretanje inovativnih projekata suradnje koji omogućuju prijenos novih znanja, iskustava i tehnologija na području LAG-a i pružaju prostor </w:t>
                            </w:r>
                            <w:r w:rsidRPr="00D77178">
                              <w:rPr>
                                <w:b/>
                                <w:sz w:val="18"/>
                                <w:szCs w:val="18"/>
                              </w:rPr>
                              <w:t>za njegovanje potencijalno inovativnih ideja (1. putanja).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5B98" id="Rectangle: Diagonal Corners Rounded 11" o:spid="_x0000_s1042" style="position:absolute;left:0;text-align:left;margin-left:0;margin-top:22.5pt;width:465.65pt;height:6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79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" adj="-11796480,,5400" path="m333654,l5913755,r,l5913755,7457796v,184272,-149382,333654,-333654,333654l,7791450r,l,333654c,149382,149382,,333654,xe" filled="f" strokecolor="#f07e31" strokeweight="2pt">
                <v:stroke joinstyle="miter"/>
                <v:formulas/>
                <v:path arrowok="t" o:connecttype="custom" o:connectlocs="333654,0;5913755,0;5913755,0;5913755,7457796;5580101,7791450;0,7791450;0,7791450;0,333654;333654,0" o:connectangles="0,0,0,0,0,0,0,0,0" textboxrect="0,0,5913755,7791450"/>
                <v:textbox>
                  <w:txbxContent>
                    <w:p w:rsidR="00FD4C56" w:rsidRDefault="00FD4C56" w:rsidP="00C3334D">
                      <w:pPr>
                        <w:pStyle w:val="HStandard"/>
                        <w:ind w:left="284" w:right="23"/>
                      </w:pPr>
                      <w:r>
                        <w:rPr>
                          <w:noProof/>
                          <w:lang w:val="en-GB" w:eastAsia="en-GB"/>
                        </w:rPr>
                        <w:drawing>
                          <wp:inline distT="0" distB="0" distL="0" distR="0" wp14:anchorId="59591535" wp14:editId="498F66B3">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FD4C56" w:rsidRPr="00A66F3C" w:rsidRDefault="00FD4C56" w:rsidP="00A66F3C">
                      <w:pPr>
                        <w:pStyle w:val="HStandard"/>
                        <w:ind w:right="23"/>
                        <w:rPr>
                          <w:b/>
                          <w:color w:val="F07E31"/>
                          <w:sz w:val="18"/>
                          <w:szCs w:val="18"/>
                        </w:rPr>
                      </w:pPr>
                      <w:r>
                        <w:rPr>
                          <w:b/>
                          <w:color w:val="F07E31"/>
                          <w:sz w:val="18"/>
                          <w:szCs w:val="18"/>
                        </w:rPr>
                        <w:t>Primjeri načina na koji M1 može izgraditi inovacijski kapacitet:</w:t>
                      </w:r>
                    </w:p>
                    <w:p w:rsidR="00FD4C56" w:rsidRPr="00A66F3C" w:rsidRDefault="00FD4C56" w:rsidP="00A66F3C">
                      <w:pPr>
                        <w:pStyle w:val="Hlistbullet"/>
                        <w:rPr>
                          <w:sz w:val="18"/>
                          <w:szCs w:val="18"/>
                        </w:rPr>
                      </w:pPr>
                      <w:r>
                        <w:rPr>
                          <w:sz w:val="18"/>
                          <w:szCs w:val="18"/>
                        </w:rPr>
                        <w:t>nove vještine za poljoprivrednike/MSP-ove za primjenu inovativnih procesa/tehnika ili nove organizacijske vještine</w:t>
                      </w:r>
                    </w:p>
                    <w:p w:rsidR="00FD4C56" w:rsidRPr="00A66F3C" w:rsidRDefault="00FD4C56" w:rsidP="00A66F3C">
                      <w:pPr>
                        <w:pStyle w:val="Hlistbullet"/>
                        <w:rPr>
                          <w:sz w:val="18"/>
                          <w:szCs w:val="18"/>
                        </w:rPr>
                      </w:pPr>
                      <w:r>
                        <w:rPr>
                          <w:sz w:val="18"/>
                          <w:szCs w:val="18"/>
                        </w:rPr>
                        <w:t>razmjene i posjeti koji pomažu u prijenosu znanja iz jednog poljoprivrednog gospodarstava / regije u drugo poljoprivredno gospodarstvo / regiju.</w:t>
                      </w:r>
                    </w:p>
                    <w:p w:rsidR="00FD4C56" w:rsidRPr="00A66F3C" w:rsidRDefault="00FD4C56" w:rsidP="00C3334D">
                      <w:pPr>
                        <w:pStyle w:val="HStandard"/>
                        <w:ind w:right="54"/>
                        <w:rPr>
                          <w:b/>
                          <w:color w:val="F07E31"/>
                          <w:sz w:val="18"/>
                          <w:szCs w:val="18"/>
                        </w:rPr>
                      </w:pPr>
                      <w:r>
                        <w:rPr>
                          <w:b/>
                          <w:color w:val="F07E31"/>
                          <w:sz w:val="18"/>
                          <w:szCs w:val="18"/>
                        </w:rPr>
                        <w:t>Primjeri načina na koji M16 podupire inovacije:</w:t>
                      </w:r>
                    </w:p>
                    <w:p w:rsidR="00FD4C56" w:rsidRPr="00A66F3C" w:rsidRDefault="00FD4C56" w:rsidP="00A66F3C">
                      <w:pPr>
                        <w:pStyle w:val="Hlistbullet"/>
                        <w:rPr>
                          <w:sz w:val="18"/>
                          <w:szCs w:val="18"/>
                        </w:rPr>
                      </w:pPr>
                      <w:r>
                        <w:rPr>
                          <w:sz w:val="18"/>
                          <w:szCs w:val="18"/>
                        </w:rPr>
                        <w:t>Razvoj novih proizvoda, praksi, tehnologija u poljoprivrednom, prehrambenom i šumarskom sektoru (podmjera M16.2</w:t>
                      </w:r>
                      <w:r w:rsidRPr="002B21C5">
                        <w:rPr>
                          <w:sz w:val="18"/>
                          <w:szCs w:val="18"/>
                          <w:vertAlign w:val="superscript"/>
                        </w:rPr>
                        <w:t>51</w:t>
                      </w:r>
                      <w:r>
                        <w:rPr>
                          <w:sz w:val="18"/>
                          <w:szCs w:val="18"/>
                        </w:rPr>
                        <w:t xml:space="preserve">) povezan je s utvrđivanjem i njegovanjem inovacija na suradnički način. </w:t>
                      </w:r>
                    </w:p>
                    <w:p w:rsidR="00FD4C56" w:rsidRPr="00A66F3C" w:rsidRDefault="00FD4C56" w:rsidP="00A66F3C">
                      <w:pPr>
                        <w:pStyle w:val="Hlistbullet"/>
                        <w:rPr>
                          <w:sz w:val="18"/>
                          <w:szCs w:val="18"/>
                        </w:rPr>
                      </w:pPr>
                      <w:r>
                        <w:rPr>
                          <w:sz w:val="18"/>
                          <w:szCs w:val="18"/>
                        </w:rPr>
                        <w:t xml:space="preserve">Sve druge podmjere imaju potencijal za </w:t>
                      </w:r>
                      <w:r w:rsidRPr="00D77178">
                        <w:rPr>
                          <w:b/>
                          <w:sz w:val="18"/>
                          <w:szCs w:val="18"/>
                        </w:rPr>
                        <w:t>izgradnju inovacijskog kapaci</w:t>
                      </w:r>
                      <w:r>
                        <w:rPr>
                          <w:sz w:val="18"/>
                          <w:szCs w:val="18"/>
                        </w:rPr>
                        <w:t>teta s obzirom na to da proces suradnje podrazumijeva zajedničko utvrđivanje novih mogućnosti, osmišljavanje novih ideja, ispitivanje novih tehnologija ili utvrđivanja novih načina rada.</w:t>
                      </w:r>
                    </w:p>
                    <w:p w:rsidR="00FD4C56" w:rsidRPr="00A66F3C" w:rsidRDefault="00FD4C56" w:rsidP="00A66F3C">
                      <w:pPr>
                        <w:pStyle w:val="Hlistbullet"/>
                        <w:rPr>
                          <w:sz w:val="18"/>
                          <w:szCs w:val="18"/>
                        </w:rPr>
                      </w:pPr>
                      <w:r>
                        <w:rPr>
                          <w:sz w:val="18"/>
                          <w:szCs w:val="18"/>
                        </w:rPr>
                        <w:t xml:space="preserve">Osim toga, potpora koju savjetnici / pružatelji usluga potpore inovacijama nude projektima suradnje, uključujući potporu koju u tu svrhu nude NRM-ovi, može pridonijeti </w:t>
                      </w:r>
                      <w:r w:rsidRPr="00D77178">
                        <w:rPr>
                          <w:b/>
                          <w:sz w:val="18"/>
                          <w:szCs w:val="18"/>
                        </w:rPr>
                        <w:t>izgradnji inovacijskog kapaciteta</w:t>
                      </w:r>
                      <w:r>
                        <w:rPr>
                          <w:sz w:val="18"/>
                          <w:szCs w:val="18"/>
                        </w:rPr>
                        <w:t>.</w:t>
                      </w:r>
                    </w:p>
                    <w:p w:rsidR="00FD4C56" w:rsidRPr="00A66F3C" w:rsidRDefault="00FD4C56" w:rsidP="00A66F3C">
                      <w:pPr>
                        <w:pStyle w:val="Hlistbullet"/>
                        <w:rPr>
                          <w:sz w:val="18"/>
                          <w:szCs w:val="18"/>
                        </w:rPr>
                      </w:pPr>
                      <w:r>
                        <w:rPr>
                          <w:sz w:val="18"/>
                          <w:szCs w:val="18"/>
                        </w:rPr>
                        <w:t xml:space="preserve">Sudjelovanje inovacijskih dionika u projektima suradnje (npr. usluge potpore inovacijama, odjeli za inovacije, centri za istraživanje i razvoj ili centri za inovacije i tehnologije) može pridonijeti </w:t>
                      </w:r>
                      <w:r w:rsidRPr="00D77178">
                        <w:rPr>
                          <w:b/>
                          <w:sz w:val="18"/>
                          <w:szCs w:val="18"/>
                        </w:rPr>
                        <w:t>izgradnji poticajnog okruženja za inovacije</w:t>
                      </w:r>
                      <w:r>
                        <w:rPr>
                          <w:sz w:val="18"/>
                          <w:szCs w:val="18"/>
                        </w:rPr>
                        <w:t>. Primjerice, zajednički istraživački projekt mogao bi rezultirati ishodom koji bi mogao imati utjecaj na zakonodavstvo (npr. zakonodavstvo o okolišu).</w:t>
                      </w:r>
                    </w:p>
                    <w:p w:rsidR="00FD4C56" w:rsidRPr="00A66F3C" w:rsidRDefault="00FD4C56" w:rsidP="00A66F3C">
                      <w:pPr>
                        <w:pStyle w:val="Hlistbullet"/>
                        <w:rPr>
                          <w:sz w:val="18"/>
                          <w:szCs w:val="18"/>
                        </w:rPr>
                      </w:pPr>
                      <w:r>
                        <w:rPr>
                          <w:sz w:val="18"/>
                          <w:szCs w:val="18"/>
                        </w:rPr>
                        <w:t xml:space="preserve">Osnivanjem i radom OS-ova inovacije se mogu podupirati još cjelovitijim pristupom i to kombinacijom </w:t>
                      </w:r>
                      <w:r>
                        <w:rPr>
                          <w:b/>
                          <w:sz w:val="18"/>
                          <w:szCs w:val="18"/>
                        </w:rPr>
                        <w:t>svih triju putanja</w:t>
                      </w:r>
                      <w:r>
                        <w:rPr>
                          <w:sz w:val="18"/>
                          <w:szCs w:val="18"/>
                        </w:rPr>
                        <w:t>: utvrđivanja novih ideja (početna točka OS-ova), izgradnje inovacijskog kapaciteta (potpora savjetnika / pružatelja usluga potpore inovacijama) i stvaranja poticajnog okruženja za inovacije (rezultati projekata OS-ova).</w:t>
                      </w:r>
                    </w:p>
                    <w:p w:rsidR="00FD4C56" w:rsidRPr="00A66F3C" w:rsidRDefault="00FD4C56" w:rsidP="00C3334D">
                      <w:pPr>
                        <w:pStyle w:val="Normal12PTcouleurgris"/>
                        <w:ind w:left="284"/>
                        <w:rPr>
                          <w:color w:val="F07E31"/>
                          <w:sz w:val="18"/>
                        </w:rPr>
                      </w:pPr>
                      <w:r>
                        <w:rPr>
                          <w:b/>
                          <w:color w:val="F07E31"/>
                          <w:sz w:val="18"/>
                        </w:rPr>
                        <w:t>Primjeri načina na koji M19 podupire inovacije:</w:t>
                      </w:r>
                    </w:p>
                    <w:p w:rsidR="00FD4C56" w:rsidRPr="00A66F3C" w:rsidRDefault="00FD4C56" w:rsidP="00A66F3C">
                      <w:pPr>
                        <w:pStyle w:val="Hlistbullet"/>
                        <w:rPr>
                          <w:sz w:val="18"/>
                          <w:szCs w:val="18"/>
                        </w:rPr>
                      </w:pPr>
                      <w:r>
                        <w:rPr>
                          <w:sz w:val="18"/>
                          <w:szCs w:val="18"/>
                        </w:rPr>
                        <w:t xml:space="preserve">primjena novih načina izrade strategije, uključujući različite jedinstvene oblike osiguranja sudjelovanja lokalnog stanovništva u strateškim odlukama (npr. različite aktivnosti animiranja povezane s prikupljanjem informacija, različite radionice i platforme za razmjenu mišljenja itd.), čime se pridonosi </w:t>
                      </w:r>
                      <w:r w:rsidRPr="00D77178">
                        <w:rPr>
                          <w:b/>
                          <w:sz w:val="18"/>
                          <w:szCs w:val="18"/>
                        </w:rPr>
                        <w:t>poticajnom okruženju za inovacije (3. putanja)</w:t>
                      </w:r>
                    </w:p>
                    <w:p w:rsidR="00FD4C56" w:rsidRPr="00A66F3C" w:rsidRDefault="00FD4C56" w:rsidP="00A66F3C">
                      <w:pPr>
                        <w:pStyle w:val="Hlistbullet"/>
                        <w:rPr>
                          <w:sz w:val="18"/>
                          <w:szCs w:val="18"/>
                        </w:rPr>
                      </w:pPr>
                      <w:r>
                        <w:rPr>
                          <w:sz w:val="18"/>
                          <w:szCs w:val="18"/>
                        </w:rPr>
                        <w:t xml:space="preserve">provedba inovativnih aktivnosti animiranja koji nadilaze izradu i provedbu strategije te osiguravaju sudjelovanje šireg sloja stanovništva u različitim inovativnim aktivnostima LAG-a (npr. usmjerene na izgradnju snažnog teritorijalnog identiteta, primjerice, uključivanjem prirodne i kulturne baštine), čime se dodatno podupire </w:t>
                      </w:r>
                      <w:r w:rsidRPr="00D77178">
                        <w:rPr>
                          <w:b/>
                          <w:sz w:val="18"/>
                          <w:szCs w:val="18"/>
                        </w:rPr>
                        <w:t>poticajno okruženje i njeguju potencijalne inovativne ideje (1. i 3. putanja)</w:t>
                      </w:r>
                    </w:p>
                    <w:p w:rsidR="00FD4C56" w:rsidRPr="00A66F3C" w:rsidRDefault="00FD4C56" w:rsidP="00A66F3C">
                      <w:pPr>
                        <w:pStyle w:val="Hlistbullet"/>
                        <w:rPr>
                          <w:sz w:val="18"/>
                          <w:szCs w:val="18"/>
                        </w:rPr>
                      </w:pPr>
                      <w:r>
                        <w:rPr>
                          <w:sz w:val="18"/>
                          <w:szCs w:val="18"/>
                        </w:rPr>
                        <w:t xml:space="preserve">pokretanje inovativnih projekata suradnje koji omogućuju prijenos novih znanja, iskustava i tehnologija na području LAG-a i pružaju prostor </w:t>
                      </w:r>
                      <w:r w:rsidRPr="00D77178">
                        <w:rPr>
                          <w:b/>
                          <w:sz w:val="18"/>
                          <w:szCs w:val="18"/>
                        </w:rPr>
                        <w:t>za njegovanje potencijalno inovativnih ideja (1. putanja).</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p>
    <w:p w:rsidR="00863DB0" w:rsidRDefault="00863DB0">
      <w:pPr>
        <w:jc w:val="left"/>
        <w:rPr>
          <w:rFonts w:eastAsia="Calibri" w:cs="Times New Roman"/>
          <w:b/>
          <w:color w:val="57825E"/>
          <w:szCs w:val="20"/>
          <w:shd w:val="clear" w:color="auto" w:fill="FFFFFF"/>
        </w:rPr>
      </w:pPr>
      <w:r>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Specifični izazovi </w:t>
      </w:r>
    </w:p>
    <w:p w:rsidR="00A45935" w:rsidRPr="000A718F" w:rsidRDefault="00A45935" w:rsidP="00A66F3C">
      <w:pPr>
        <w:pStyle w:val="Hlistbullet"/>
      </w:pPr>
      <w:r>
        <w:rPr>
          <w:b/>
          <w:shd w:val="clear" w:color="auto" w:fill="FFFFFF"/>
        </w:rPr>
        <w:t>Razvoj dodatnih evaluacijskih elemenata i evaluacijskih elemenata specifičnih za pojedine programe:</w:t>
      </w:r>
      <w:r>
        <w:rPr>
          <w:shd w:val="clear" w:color="auto" w:fill="FFFFFF"/>
        </w:rPr>
        <w:t xml:space="preserve"> ZEP br. 1 povezan je s jednim zajedničkim ciljnim pokazateljem (T1), a on možda neće biti dostatan za odgovaranje na ZEP i stoga će se možda trebati upotrijebiti dodatni pokazatelji za mjerenje rashoda relevantnih mjera povezanih s inovacijama. Istodobno se za odgovaranje na ZEP br. 1 mogu upotrijebiti dva zajednička pokazatelja ostvarenja (O13 Broj korisnika kojima su pruženi savjeti i O16 Broj operacija EPI-ja). Ovisno o primijenjenoj logici intervencije možda će biti potrebno još evaluacijskih elemenata za ocjenu svih aspekata povezanih s inovacijama. </w:t>
      </w:r>
    </w:p>
    <w:p w:rsidR="00A45935" w:rsidRPr="000A718F" w:rsidRDefault="00A45935" w:rsidP="00A66F3C">
      <w:pPr>
        <w:pStyle w:val="Hlistbullet"/>
        <w:rPr>
          <w:rFonts w:eastAsia="Calibri"/>
          <w:shd w:val="clear" w:color="auto" w:fill="FFFFFF"/>
        </w:rPr>
      </w:pPr>
      <w:r>
        <w:rPr>
          <w:b/>
          <w:shd w:val="clear" w:color="auto" w:fill="FFFFFF"/>
        </w:rPr>
        <w:t xml:space="preserve">Pripisivanje promjena uočenih </w:t>
      </w:r>
      <w:r>
        <w:rPr>
          <w:shd w:val="clear" w:color="auto" w:fill="FFFFFF"/>
        </w:rPr>
        <w:t xml:space="preserve">u pogledu potpore inovacijama </w:t>
      </w:r>
      <w:r>
        <w:rPr>
          <w:b/>
          <w:shd w:val="clear" w:color="auto" w:fill="FFFFFF"/>
        </w:rPr>
        <w:t>mjerama</w:t>
      </w:r>
      <w:r>
        <w:rPr>
          <w:shd w:val="clear" w:color="auto" w:fill="FFFFFF"/>
        </w:rPr>
        <w:t xml:space="preserve"> M1, M2, M16 i M19.</w:t>
      </w:r>
    </w:p>
    <w:p w:rsidR="00A45935" w:rsidRPr="000A718F" w:rsidRDefault="00A45935" w:rsidP="00A66F3C">
      <w:pPr>
        <w:pStyle w:val="Hlistbullet"/>
        <w:rPr>
          <w:rFonts w:eastAsia="Calibri"/>
          <w:shd w:val="clear" w:color="auto" w:fill="FFFFFF"/>
        </w:rPr>
      </w:pPr>
      <w:r>
        <w:rPr>
          <w:b/>
          <w:shd w:val="clear" w:color="auto" w:fill="FFFFFF"/>
        </w:rPr>
        <w:t>Obuhvaćanje doprinosa mjera programiranih u okviru drugih žarišnih područja</w:t>
      </w:r>
      <w:r>
        <w:rPr>
          <w:shd w:val="clear" w:color="auto" w:fill="FFFFFF"/>
        </w:rPr>
        <w:t xml:space="preserve"> (koji nisu žarišno područje 1.B) za potporu inovacijama.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Pristup predložen za odgovaranje na ZEP br.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Logika intervencije </w:t>
      </w:r>
    </w:p>
    <w:p w:rsidR="00863DB0" w:rsidRDefault="00A45935" w:rsidP="00A66F3C">
      <w:pPr>
        <w:spacing w:after="120" w:line="280" w:lineRule="atLeast"/>
        <w:mirrorIndents/>
        <w:rPr>
          <w:rFonts w:eastAsia="Times New Roman" w:cs="Times New Roman"/>
          <w:szCs w:val="20"/>
        </w:rPr>
      </w:pPr>
      <w:r>
        <w:t xml:space="preserve">Logika intervencije povezana sa ZEP-om br. 1 može se ponovno analizirati i sa stajališta inovacija. U tom će se slučaju ponovna analiza temeljiti na rezultatima analitičke provjere inovacijskog potencijala (vidjeti </w:t>
      </w:r>
      <w:hyperlink w:anchor="Screening_Potential" w:history="1">
        <w:r>
          <w:rPr>
            <w:rStyle w:val="Hyperlink"/>
            <w:sz w:val="20"/>
            <w:szCs w:val="20"/>
          </w:rPr>
          <w:t>poglavlje 2.2.</w:t>
        </w:r>
      </w:hyperlink>
      <w:r>
        <w:t xml:space="preserve">) za mjere M1, M2, M16 i M19 koje su u pravilu programirane u žarišnim područjima, koja nisu žarišno područje 1.A, u kombinaciji s drugim mjerama. To će pomoći u obuhvaćanju postignuća programa u pogledu ciljeva žarišnog područja 1.A i utvrđivanju korisnika i dionika PRR-a koji mogu poslužiti kao pružatelji podataka i informacija. </w:t>
      </w:r>
    </w:p>
    <w:p w:rsidR="00863DB0" w:rsidRDefault="00863DB0">
      <w:pPr>
        <w:jc w:val="left"/>
        <w:rPr>
          <w:rFonts w:eastAsia="Times New Roman" w:cs="Times New Roman"/>
          <w:szCs w:val="20"/>
        </w:rPr>
      </w:pPr>
      <w:r>
        <w:br w:type="page"/>
      </w:r>
    </w:p>
    <w:p w:rsidR="00A45935" w:rsidRPr="00D66501" w:rsidRDefault="00783963" w:rsidP="00A66F3C">
      <w:pPr>
        <w:pStyle w:val="HHeadingfigures"/>
      </w:pPr>
      <w:bookmarkStart w:id="106" w:name="_Toc508981150"/>
      <w:r w:rsidRPr="00783963">
        <w:rPr>
          <w:noProof/>
          <w:lang w:val="en-GB" w:eastAsia="en-GB"/>
        </w:rPr>
        <w:lastRenderedPageBreak/>
        <w:drawing>
          <wp:anchor distT="0" distB="0" distL="114300" distR="114300" simplePos="0" relativeHeight="251667968" behindDoc="0" locked="0" layoutInCell="1" allowOverlap="1" wp14:anchorId="0A2E356F" wp14:editId="29C48FD5">
            <wp:simplePos x="0" y="0"/>
            <wp:positionH relativeFrom="column">
              <wp:posOffset>-353695</wp:posOffset>
            </wp:positionH>
            <wp:positionV relativeFrom="paragraph">
              <wp:posOffset>207010</wp:posOffset>
            </wp:positionV>
            <wp:extent cx="6351270" cy="344170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5127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47A">
        <w:t>Primjer logike intervencije povezane sa ZEP-om br. 1</w:t>
      </w:r>
      <w:bookmarkEnd w:id="106"/>
      <w:r w:rsidR="00DD247A">
        <w:t xml:space="preserve"> </w:t>
      </w:r>
    </w:p>
    <w:p w:rsidR="007D2A0C" w:rsidRDefault="007D2A0C" w:rsidP="00690E70">
      <w:pPr>
        <w:spacing w:after="120" w:line="280" w:lineRule="atLeast"/>
        <w:mirrorIndents/>
        <w:jc w:val="center"/>
        <w:rPr>
          <w:rFonts w:eastAsia="Times New Roman" w:cs="Times New Roman"/>
          <w:i/>
          <w:sz w:val="16"/>
          <w:szCs w:val="16"/>
          <w:lang w:eastAsia="de-DE"/>
        </w:rPr>
      </w:pP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64896" behindDoc="0" locked="0" layoutInCell="1" allowOverlap="1" wp14:anchorId="324B7104" wp14:editId="1536FF22">
                <wp:simplePos x="0" y="0"/>
                <wp:positionH relativeFrom="column">
                  <wp:posOffset>0</wp:posOffset>
                </wp:positionH>
                <wp:positionV relativeFrom="paragraph">
                  <wp:posOffset>300990</wp:posOffset>
                </wp:positionV>
                <wp:extent cx="5732780" cy="188595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885950"/>
                        </a:xfrm>
                        <a:prstGeom prst="round2DiagRect">
                          <a:avLst>
                            <a:gd name="adj1" fmla="val 11556"/>
                            <a:gd name="adj2" fmla="val 0"/>
                          </a:avLst>
                        </a:prstGeom>
                        <a:noFill/>
                        <a:ln w="25400" cap="flat" cmpd="sng" algn="ctr">
                          <a:solidFill>
                            <a:srgbClr val="F07E31"/>
                          </a:solidFill>
                          <a:prstDash val="solid"/>
                        </a:ln>
                        <a:effectLst/>
                      </wps:spPr>
                      <wps:txbx>
                        <w:txbxContent>
                          <w:p w:rsidR="00FD4C56" w:rsidRPr="00D33212" w:rsidRDefault="00FD4C56"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U ovom je primjeru utvrđeno da podmjera M1 „osposobljavanje i aktivnosti stjecanja vještina” i podmjera M2 „osposobljavanje savjetnika” imaju potencijal za potporu inovacijama putem izgradnje inovacijskih kapaciteta. Kombinacija mjera M16.7 i M16.8 ima potencijal za potporu inovacijama putem njegovanja inovativnih ideja, a mjera M16.1 ima potencijal za potporu inovacijama putem svih triju putanja. Podmjera 19.2, koja podupire strategije CLLD-a, pridonosi poticajnom okruženju. Podmjera povezana sa suradnjom u okviru LEADER-a (M 19.3) pomaže u suradničkom njegovanju inovativnih ideja i izgradnji inovacijskih kapaciteta.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3.7pt;width:451.4pt;height:1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88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" adj="-11796480,,5400" path="m217940,l5732780,r,l5732780,1668010v,120365,-97575,217940,-217940,217940l,1885950r,l,217940c,97575,97575,,217940,xe" filled="f" strokecolor="#f07e31" strokeweight="2pt">
                <v:stroke joinstyle="miter"/>
                <v:formulas/>
                <v:path arrowok="t" o:connecttype="custom" o:connectlocs="217940,0;5732780,0;5732780,0;5732780,1668010;5514840,1885950;0,1885950;0,1885950;0,217940;217940,0" o:connectangles="0,0,0,0,0,0,0,0,0" textboxrect="0,0,5732780,1885950"/>
                <v:textbox>
                  <w:txbxContent>
                    <w:p w:rsidR="00FD4C56" w:rsidRPr="00D33212" w:rsidRDefault="00FD4C56" w:rsidP="00863DB0">
                      <w:pPr>
                        <w:pStyle w:val="H-Standard"/>
                      </w:pPr>
                      <w:r>
                        <w:rPr>
                          <w:noProof/>
                          <w:lang w:val="en-GB"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U ovom je primjeru utvrđeno da podmjera M1 „osposobljavanje i aktivnosti stjecanja vještina” i podmjera M2 „osposobljavanje savjetnika” imaju potencijal za potporu inovacijama putem izgradnje inovacijskih kapaciteta. Kombinacija mjera M16.7 i M16.8 ima potencijal za potporu inovacijama putem njegovanja inovativnih ideja, a mjera M16.1 ima potencijal za potporu inovacijama putem svih triju putanja. Podmjera 19.2, koja podupire strategije CLLD-a, pridonosi poticajnom okruženju. Podmjera povezana sa suradnjom u okviru LEADER-a (M 19.3) pomaže u suradničkom njegovanju inovativnih ideja i izgradnji inovacijskih kapaciteta.</w:t>
                      </w:r>
                    </w:p>
                  </w:txbxContent>
                </v:textbox>
                <w10:wrap type="square"/>
              </v:shape>
            </w:pict>
          </mc:Fallback>
        </mc:AlternateContent>
      </w:r>
      <w:r>
        <w:rPr>
          <w:i/>
          <w:sz w:val="16"/>
          <w:szCs w:val="16"/>
        </w:rPr>
        <w:t>Izvor: Europska služba za podršku evaluaciji ruralnog razvoja, 2017.</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Evaluacijski elementi </w:t>
      </w:r>
    </w:p>
    <w:p w:rsidR="00A45935" w:rsidRDefault="00734B11" w:rsidP="00E05D08">
      <w:pPr>
        <w:spacing w:before="120" w:after="120" w:line="280" w:lineRule="atLeast"/>
        <w:mirrorIndents/>
        <w:rPr>
          <w:rFonts w:eastAsia="Times New Roman" w:cs="Times New Roman"/>
          <w:szCs w:val="20"/>
        </w:rPr>
      </w:pPr>
      <w:r>
        <w:t xml:space="preserve">Zajednički kriteriji prosudbe i pokazatelji za ZEP br. 1 ostaju na razini ostvarenja operacija provedenih u okviru mjera M1, M2 te M16 i M19. Možda će trebati razviti dodatne kriterije prosudbe i pokazatelje kako bi se ocijenili rezultati tih mjera (vidjeti </w:t>
      </w:r>
      <w:hyperlink w:anchor="Evaluation_elements" w:history="1">
        <w:r>
          <w:rPr>
            <w:rStyle w:val="Hyperlink"/>
            <w:sz w:val="20"/>
            <w:szCs w:val="20"/>
          </w:rPr>
          <w:t>tablicu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783963">
      <w:pPr>
        <w:pStyle w:val="HHeadingtables"/>
      </w:pPr>
      <w:bookmarkStart w:id="107" w:name="Evaluation_elements"/>
      <w:bookmarkStart w:id="108" w:name="_Toc508981130"/>
      <w:r>
        <w:lastRenderedPageBreak/>
        <w:t>Evaluacijski elementi i izvori informacija</w:t>
      </w:r>
      <w:bookmarkEnd w:id="107"/>
      <w:r>
        <w:t xml:space="preserve"> povezani sa ZEP-om br.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Kriteriji prosudbe</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Pokazatelji</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Potrebni podatci</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Izvori podataka</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Zajednički evaluacijski elementi (ZSPE i elementi predloženi u radnom dokumentu „Zajednička evaluacijska pitanja za razdoblje 2014. – 2020.”)</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Projekti PRR-a bili su inovativni i temeljili su se na postojećem znanju.</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T1: udio (%) rashoda nastalih na temelju članaka 14., 15. i 35. Uredbe (EU) 1305/2013 u ukupnim rashodima PRR-a</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Dodatni pokazatelj</w:t>
            </w:r>
            <w:r>
              <w:rPr>
                <w:color w:val="57825E"/>
                <w:sz w:val="18"/>
                <w:szCs w:val="18"/>
                <w14:textFill>
                  <w14:solidFill>
                    <w14:srgbClr w14:val="57825E">
                      <w14:lumMod w14:val="75000"/>
                    </w14:srgbClr>
                  </w14:solidFill>
                </w14:textFill>
              </w:rPr>
              <w:t xml:space="preserve">: udio (%) inovativnih projekata u ukupnom broju projekata za koje je dodijeljena potpora u okviru PRR-a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Podatci o rashodima nastalima za mjere 1, 2 i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Ako postoje, trebalo bi prikupiti i podatke o rashodima podmjera za koje je utvrđeno da imaju potencijal za potporu inovacijama.</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Sustav za praćenje PRR-a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Obrasci za prijavu korisnika (početak projekta)</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Zahtjevi za plaćanje korisnika (kraj projekta)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Osnovane su operativne skupine.</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Broj operacija EPI-ja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operacija EPI-ja (podatkovna stavka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Sustav za praćenje PRR-a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Obrasci za prijavu korisnika (početak projekta)</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Zahtjevi za plaćanje korisnika (kraj projekta)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Raznoliki partneri uključeni u OS-ove EPI-ja</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Broj i vrsta partnera u operacijama EPI-ja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Dodatni pokazatelj</w:t>
            </w:r>
            <w:r>
              <w:rPr>
                <w:color w:val="57825E"/>
                <w:sz w:val="18"/>
                <w:szCs w:val="18"/>
                <w14:textFill>
                  <w14:solidFill>
                    <w14:srgbClr w14:val="57825E">
                      <w14:lumMod w14:val="75000"/>
                    </w14:srgbClr>
                  </w14:solidFill>
                </w14:textFill>
              </w:rPr>
              <w:t>: broj i vrsta partnera uključenih u projekte suradnje.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i vrsta partnera</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Sustav za praćenje PRR-a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Obrasci za prijavu korisnika (početak projekta)</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Zahtjevi za plaćanje korisnika (kraj projekta)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Sažetci prakse OS-a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OS-ovi EPI-ja proveli su i proširili inovativne aktivnosti.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Broj operacija EPI-ja</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Dodatni pokazatelj</w:t>
            </w:r>
            <w:r>
              <w:rPr>
                <w:color w:val="57825E"/>
                <w:sz w:val="18"/>
                <w:szCs w:val="18"/>
              </w:rPr>
              <w:t>: broj inovativnih aktivnosti koje su proveli i proširili OS-ovi EPI-ja, a za koje je dodijeljena potpora, raspoređene po vrsti, sektoru itd.</w:t>
            </w:r>
          </w:p>
          <w:p w:rsidR="00F200A2" w:rsidRPr="00F86385"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Broj operacija EPI-ja (podatkovna stavka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Sustav za praćenje PRR-a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Obrasci za prijavu korisnika (početak projekta)</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Zahtjevi za plaćanje korisnika (kraj projekta)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Sažetci prakse OS-a</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Dodatni evaluacijski elementi (neobvezno)</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Operativne skupine EPI-ja uključuju inovacijske dionike.</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inovacijskih partnera u sastavu operativnih skupina EPI-ja (broj i vrsta partnera)</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Broj partnera OS-a</w:t>
            </w:r>
          </w:p>
          <w:p w:rsidR="00A45935" w:rsidRPr="00E05D08" w:rsidRDefault="00A45935" w:rsidP="007E63EF">
            <w:pPr>
              <w:suppressAutoHyphens/>
              <w:spacing w:before="40" w:after="40"/>
              <w:jc w:val="left"/>
              <w:rPr>
                <w:rFonts w:cs="Arial"/>
                <w:sz w:val="18"/>
                <w:szCs w:val="18"/>
              </w:rPr>
            </w:pPr>
            <w:r>
              <w:rPr>
                <w:sz w:val="18"/>
                <w:szCs w:val="18"/>
              </w:rPr>
              <w:t>Vrsta partnera OS-a</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Sustav za praćenje PRR-a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Obrasci za prijavu korisnika (početak projekta)</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Zahtjevi za plaćanje korisnika (kraj projekta)</w:t>
            </w:r>
          </w:p>
          <w:p w:rsidR="00A45935" w:rsidRPr="00385368" w:rsidRDefault="00A45935" w:rsidP="007E63EF">
            <w:pPr>
              <w:suppressAutoHyphens/>
              <w:spacing w:before="40" w:after="40"/>
              <w:jc w:val="left"/>
              <w:rPr>
                <w:rFonts w:cs="Arial"/>
                <w:sz w:val="18"/>
                <w:szCs w:val="18"/>
              </w:rPr>
            </w:pPr>
            <w:r>
              <w:rPr>
                <w:sz w:val="18"/>
                <w:szCs w:val="18"/>
              </w:rPr>
              <w:t>Ankete operativnih skupina EPI-ja i LAG-ova</w:t>
            </w:r>
          </w:p>
          <w:p w:rsidR="00A45935" w:rsidRPr="00385368" w:rsidRDefault="00A45935" w:rsidP="007E63EF">
            <w:pPr>
              <w:suppressAutoHyphens/>
              <w:spacing w:before="40" w:after="40"/>
              <w:jc w:val="left"/>
              <w:rPr>
                <w:rFonts w:cs="Arial"/>
                <w:sz w:val="18"/>
                <w:szCs w:val="18"/>
              </w:rPr>
            </w:pPr>
            <w:r>
              <w:rPr>
                <w:sz w:val="18"/>
                <w:szCs w:val="18"/>
              </w:rPr>
              <w:t>Internetske platforme OS-ova</w:t>
            </w:r>
          </w:p>
          <w:p w:rsidR="00A45935" w:rsidRPr="00E05D08" w:rsidRDefault="00A45935" w:rsidP="007E63EF">
            <w:pPr>
              <w:suppressAutoHyphens/>
              <w:spacing w:before="40" w:after="40"/>
              <w:jc w:val="left"/>
              <w:rPr>
                <w:rFonts w:cs="Arial"/>
                <w:sz w:val="18"/>
                <w:szCs w:val="18"/>
              </w:rPr>
            </w:pPr>
            <w:r>
              <w:rPr>
                <w:sz w:val="18"/>
                <w:szCs w:val="18"/>
              </w:rPr>
              <w:t>Sažetci prakse OS-a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LAG-ovi su pružili potporu inovacijskim projektima.</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projekata koje su proveli LAG-ovi i njihovi korisnici, a koji su kategorizirani kao inovativni (uzimajući u obzir kriterije prihvatljivosti i odabira)</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Podatci o praćenju za projekte LAG-a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Baza podataka operacija LAG-a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Osposobljeni su inovacijski dionici.</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i vrsta inovacijskih dionika koji su osposobljeni</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i vrsta dionika koji su osposobljeni</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Sustav za praćenje PRR-a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Obrasci za prijavu korisnika (početak projekta)</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Zahtjevi za plaćanje korisnika (kraj projekta)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Razgovori, ankete upravljačkog tijela i pružatelja osposobljavanja</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Ključni čimbenici uspjeha za potporu inovacijama putem mjera M1, M2, M16 i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Opis ključnih čimbenika koji su pridonijeli potpori inovacijama u ruralnim područjima</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Kvalitativne informacije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Razgovori, ankete i fokusne skupine s OS-ovima i s korisnicima podmjera povezanih s inovacijama u okviru mjera M1 i M2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i LAG-ovi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Sažetci prakse OS-a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Baza podataka operacija LAG-a</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Evaluacijska metodologija predložena za odgovaranje na ZEP 1 </w:t>
      </w:r>
    </w:p>
    <w:p w:rsidR="00A45935" w:rsidRPr="00E05D08" w:rsidRDefault="00A45935" w:rsidP="00E05D08">
      <w:pPr>
        <w:spacing w:after="120" w:line="280" w:lineRule="atLeast"/>
        <w:mirrorIndents/>
        <w:rPr>
          <w:rFonts w:eastAsia="Times New Roman" w:cs="Times New Roman"/>
          <w:szCs w:val="20"/>
        </w:rPr>
      </w:pPr>
      <w:r>
        <w:t xml:space="preserve">Izračun zajedničkih pokazatelja povezanih sa ZEP-om 1 opisan je u Prilogu 11. Smjernicama: </w:t>
      </w:r>
      <w:hyperlink r:id="rId40" w:history="1">
        <w:r>
          <w:rPr>
            <w:color w:val="F07E31"/>
            <w:szCs w:val="20"/>
            <w:u w:val="single"/>
          </w:rPr>
          <w:t>ocjena rezultata PRR-a: kako se pripremiti za izvješćivanje o evaluaciji u 2017.</w:t>
        </w:r>
      </w:hyperlink>
      <w:r>
        <w:t xml:space="preserve"> </w:t>
      </w:r>
    </w:p>
    <w:p w:rsidR="00A45935" w:rsidRPr="00E05D08" w:rsidRDefault="00A45935" w:rsidP="00E05D08">
      <w:pPr>
        <w:spacing w:after="120" w:line="280" w:lineRule="atLeast"/>
        <w:mirrorIndents/>
        <w:rPr>
          <w:rFonts w:eastAsia="Times New Roman" w:cs="Times New Roman"/>
          <w:szCs w:val="20"/>
        </w:rPr>
      </w:pPr>
      <w:r>
        <w:t>Za ocjenu dijela ZEP-a br. 1 koji je povezan s inovacijama predlaže se sljedeće:</w:t>
      </w:r>
    </w:p>
    <w:p w:rsidR="00A45935" w:rsidRPr="00331223" w:rsidRDefault="00A45935" w:rsidP="00C202EC">
      <w:pPr>
        <w:pStyle w:val="Hlistbullet"/>
      </w:pPr>
      <w:r>
        <w:rPr>
          <w:b/>
        </w:rPr>
        <w:t xml:space="preserve">1. KORAK: </w:t>
      </w:r>
      <w:r>
        <w:t xml:space="preserve">utvrđivanje inovacijskog potencijala korisnika mjera/podmjera M1, M2, M16 i M19 (korisnici koji su proveli operacije kategorizirane kao inovativne). </w:t>
      </w:r>
    </w:p>
    <w:p w:rsidR="00A45935" w:rsidRPr="00331223" w:rsidRDefault="00A45935" w:rsidP="00C202EC">
      <w:pPr>
        <w:pStyle w:val="Hlistbullet"/>
      </w:pPr>
      <w:r>
        <w:rPr>
          <w:b/>
        </w:rPr>
        <w:t xml:space="preserve">2. KORAK: </w:t>
      </w:r>
      <w:r>
        <w:t xml:space="preserve">kvantifikacija pokazatelja ostvarenja i ciljnih pokazatelja uporabom podataka o praćenju iz baze podataka operacija korisnika PRR-a/LAG-a (koji su proveli operacije kategorizirane kao inovativne). Kako bi bazu podataka operacija upotrijebila za evaluaciju inovacija, upravljačka tijela mogu odlučiti dodati i prikupiti podatkovne stavke povezane s inovacijama. </w:t>
      </w:r>
    </w:p>
    <w:p w:rsidR="00A45935" w:rsidRPr="00331223" w:rsidRDefault="00A45935" w:rsidP="00C202EC">
      <w:pPr>
        <w:pStyle w:val="Hlistbullet"/>
      </w:pPr>
      <w:r>
        <w:rPr>
          <w:b/>
        </w:rPr>
        <w:t xml:space="preserve">3. KORAK: </w:t>
      </w:r>
      <w:r>
        <w:t xml:space="preserve">prikupljanje dokaza za odgovaranje na ZEP primjenom navedenih metoda. Primjerice, ankete, fokusne skupine i metoda Delphi mogu pomoći u prikupljanju podataka za predložene kriterije prosudbe i dodatne pokazatelje rezultata. Pri primjeni tih metoda potrebno je uzeti u obzir pitanje kvalitete i valjanosti podataka koje dostavljaju korisnici (vidjeti </w:t>
      </w:r>
      <w:hyperlink w:anchor="Recommended_Methods" w:history="1">
        <w:r>
          <w:rPr>
            <w:rStyle w:val="Hyperlink"/>
            <w:sz w:val="20"/>
          </w:rPr>
          <w:t>tablicu 2.</w:t>
        </w:r>
      </w:hyperlink>
      <w:r>
        <w:t xml:space="preserve">). </w:t>
      </w:r>
    </w:p>
    <w:p w:rsidR="00A45935" w:rsidRPr="00C202EC" w:rsidRDefault="00A45935" w:rsidP="00C202EC">
      <w:pPr>
        <w:pStyle w:val="Hlistbullet"/>
        <w:rPr>
          <w:b/>
          <w:sz w:val="16"/>
        </w:rPr>
      </w:pPr>
      <w:r>
        <w:rPr>
          <w:b/>
        </w:rPr>
        <w:t xml:space="preserve">4. KORAK: </w:t>
      </w:r>
      <w:r>
        <w:t xml:space="preserve">analiza i tumačenje prikupljenih dokaza te njihova uporaba za odgovaranje na ZEP br. 1 u dijelu u kojem se odnosi na potporu inovacijama. </w:t>
      </w:r>
    </w:p>
    <w:p w:rsidR="00A45935" w:rsidRPr="00FA6691" w:rsidRDefault="00A45935" w:rsidP="00FA6691">
      <w:pPr>
        <w:pStyle w:val="HHeadingtables"/>
        <w:rPr>
          <w:color w:val="6F6F6F"/>
          <w:sz w:val="18"/>
          <w:szCs w:val="18"/>
        </w:rPr>
      </w:pPr>
      <w:bookmarkStart w:id="109" w:name="Recommended_Methods"/>
      <w:bookmarkStart w:id="110" w:name="_Toc508981131"/>
      <w:bookmarkEnd w:id="109"/>
      <w:r>
        <w:rPr>
          <w:color w:val="6F6F6F"/>
          <w:sz w:val="18"/>
          <w:szCs w:val="18"/>
        </w:rPr>
        <w:t>Preporučene metode za ZEP br. 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Savjeti o uporabi metoda</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Ankete upraviteljâ mjera M1 i M2 </w:t>
            </w:r>
          </w:p>
          <w:p w:rsidR="00A45935" w:rsidRPr="00385368" w:rsidRDefault="00A45935" w:rsidP="007E63EF">
            <w:pPr>
              <w:spacing w:after="120" w:line="280" w:lineRule="atLeast"/>
              <w:ind w:right="116"/>
              <w:mirrorIndents/>
              <w:jc w:val="left"/>
              <w:rPr>
                <w:sz w:val="18"/>
                <w:szCs w:val="18"/>
              </w:rPr>
            </w:pPr>
            <w:r>
              <w:rPr>
                <w:sz w:val="18"/>
                <w:szCs w:val="18"/>
              </w:rPr>
              <w:t>Ankete korisnikâ mjera M1 i M2</w:t>
            </w:r>
          </w:p>
          <w:p w:rsidR="00A45935" w:rsidRPr="00385368" w:rsidRDefault="00A45935" w:rsidP="007E63EF">
            <w:pPr>
              <w:spacing w:after="120" w:line="280" w:lineRule="atLeast"/>
              <w:ind w:right="116"/>
              <w:mirrorIndents/>
              <w:jc w:val="left"/>
              <w:rPr>
                <w:sz w:val="18"/>
                <w:szCs w:val="18"/>
              </w:rPr>
            </w:pPr>
            <w:r>
              <w:rPr>
                <w:sz w:val="18"/>
                <w:szCs w:val="18"/>
              </w:rPr>
              <w:t>Ankete o projektima suradnje OS-ova</w:t>
            </w:r>
          </w:p>
          <w:p w:rsidR="00A45935" w:rsidRPr="00385368" w:rsidRDefault="00A45935" w:rsidP="007E63EF">
            <w:pPr>
              <w:spacing w:after="120" w:line="280" w:lineRule="atLeast"/>
              <w:ind w:right="116"/>
              <w:mirrorIndents/>
              <w:jc w:val="left"/>
              <w:rPr>
                <w:sz w:val="18"/>
                <w:szCs w:val="18"/>
              </w:rPr>
            </w:pPr>
            <w:r>
              <w:rPr>
                <w:sz w:val="18"/>
                <w:szCs w:val="18"/>
              </w:rPr>
              <w:t xml:space="preserve">Ankete LAG-ova i njihovih korisnika </w:t>
            </w:r>
          </w:p>
        </w:tc>
        <w:tc>
          <w:tcPr>
            <w:tcW w:w="6770" w:type="dxa"/>
          </w:tcPr>
          <w:p w:rsidR="00A45935" w:rsidRPr="00385368" w:rsidRDefault="00A45935" w:rsidP="00C202EC">
            <w:pPr>
              <w:pStyle w:val="Hlistbullet"/>
              <w:rPr>
                <w:sz w:val="18"/>
                <w:szCs w:val="18"/>
              </w:rPr>
            </w:pPr>
            <w:r>
              <w:rPr>
                <w:sz w:val="18"/>
                <w:szCs w:val="18"/>
              </w:rPr>
              <w:t xml:space="preserve">Odaberite upravitelje/korisnike podmjera povezanih s inovacijama u okviru mjera M1 i M2 kako biste proveli anketu. </w:t>
            </w:r>
          </w:p>
          <w:p w:rsidR="00A45935" w:rsidRPr="00385368" w:rsidRDefault="00A45935" w:rsidP="00C202EC">
            <w:pPr>
              <w:pStyle w:val="Hlistbullet"/>
              <w:rPr>
                <w:sz w:val="18"/>
                <w:szCs w:val="18"/>
              </w:rPr>
            </w:pPr>
            <w:r>
              <w:rPr>
                <w:sz w:val="18"/>
                <w:szCs w:val="18"/>
              </w:rPr>
              <w:t>Odaberite uzorak projekata suradnje (npr. po sektoru, veličini OS-a, geografskom položaju itd.) kako biste prikupili podatke i informacije od korisnika i tako anketom dobili pokazatelje.</w:t>
            </w:r>
          </w:p>
          <w:p w:rsidR="00A45935" w:rsidRPr="00385368" w:rsidRDefault="00A45935" w:rsidP="00C202EC">
            <w:pPr>
              <w:pStyle w:val="Hlistbullet"/>
              <w:rPr>
                <w:sz w:val="18"/>
                <w:szCs w:val="18"/>
              </w:rPr>
            </w:pPr>
            <w:r>
              <w:rPr>
                <w:sz w:val="18"/>
                <w:szCs w:val="18"/>
              </w:rPr>
              <w:t>Sastavite ankete koje uključuju i pitanja otvorenog tipa o tome kako su aktivnosti u okviru mjera M1 i M2 te OS-ovi i LAG-ovi pridonijeli: a) razmjeni inovativnih ideja, b) izgradnji inovacijskog kapaciteta, c) stvaranju poticajnog okruženja za inovacije.</w:t>
            </w:r>
          </w:p>
          <w:p w:rsidR="00A45935" w:rsidRPr="00385368" w:rsidRDefault="00A45935" w:rsidP="00C202EC">
            <w:pPr>
              <w:pStyle w:val="Hlistbullet"/>
              <w:rPr>
                <w:sz w:val="18"/>
                <w:szCs w:val="18"/>
              </w:rPr>
            </w:pPr>
            <w:r>
              <w:rPr>
                <w:sz w:val="18"/>
                <w:szCs w:val="18"/>
              </w:rPr>
              <w:t>Nalaze anketa upotrijebite kako biste:</w:t>
            </w:r>
          </w:p>
          <w:p w:rsidR="00A45935" w:rsidRPr="00385368" w:rsidRDefault="00A45935" w:rsidP="00C202EC">
            <w:pPr>
              <w:pStyle w:val="Hlistbullet2"/>
              <w:rPr>
                <w:sz w:val="18"/>
                <w:szCs w:val="18"/>
              </w:rPr>
            </w:pPr>
            <w:r>
              <w:rPr>
                <w:sz w:val="18"/>
                <w:szCs w:val="18"/>
              </w:rPr>
              <w:t>ocijenili kako su različiti oblici osposobljavanja i aktivnosti informiranja u okviru mjere M1 pridonijeli potpori inovacijama;</w:t>
            </w:r>
          </w:p>
          <w:p w:rsidR="00A45935" w:rsidRPr="00385368" w:rsidRDefault="00A45935" w:rsidP="00C202EC">
            <w:pPr>
              <w:pStyle w:val="Hlistbullet2"/>
              <w:rPr>
                <w:sz w:val="18"/>
                <w:szCs w:val="18"/>
              </w:rPr>
            </w:pPr>
            <w:r>
              <w:rPr>
                <w:sz w:val="18"/>
                <w:szCs w:val="18"/>
              </w:rPr>
              <w:t>ocijenili kako su savjetodavne službe pridonijele potpori inovacijama;</w:t>
            </w:r>
          </w:p>
          <w:p w:rsidR="00A45935" w:rsidRPr="00385368" w:rsidRDefault="00A45935" w:rsidP="00C202EC">
            <w:pPr>
              <w:pStyle w:val="Hlistbullet2"/>
              <w:rPr>
                <w:sz w:val="18"/>
                <w:szCs w:val="18"/>
              </w:rPr>
            </w:pPr>
            <w:r>
              <w:rPr>
                <w:sz w:val="18"/>
                <w:szCs w:val="18"/>
              </w:rPr>
              <w:t xml:space="preserve">ocijenili kako su OS-ovi pridonijeli ostvarivanju rezultata koji se mogu upotrijebiti; </w:t>
            </w:r>
          </w:p>
          <w:p w:rsidR="00A45935" w:rsidRPr="00385368" w:rsidRDefault="00A45935" w:rsidP="00C202EC">
            <w:pPr>
              <w:pStyle w:val="Hlistbullet2"/>
            </w:pPr>
            <w:r>
              <w:rPr>
                <w:sz w:val="18"/>
                <w:szCs w:val="18"/>
              </w:rPr>
              <w:t>ocijenili kako su LAG-ovi promicali inovacije putem projekata za koje je dodijeljena potpora u okviru strategija CLLD-a ili putem aktivnosti koje je LAG provodio u okviru svojih aktivnosti animiranja.</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Fokusne skupine</w:t>
            </w:r>
          </w:p>
        </w:tc>
        <w:tc>
          <w:tcPr>
            <w:tcW w:w="6770" w:type="dxa"/>
          </w:tcPr>
          <w:p w:rsidR="00A45935" w:rsidRPr="00385368" w:rsidRDefault="00A45935" w:rsidP="00C202EC">
            <w:pPr>
              <w:pStyle w:val="Hlistbullet"/>
              <w:rPr>
                <w:sz w:val="18"/>
                <w:szCs w:val="18"/>
              </w:rPr>
            </w:pPr>
            <w:r>
              <w:rPr>
                <w:sz w:val="18"/>
                <w:szCs w:val="18"/>
              </w:rPr>
              <w:t>Uključite inovacijske subjekte u fokusne skupine (npr. pružatelje usluga potpore inovacijama i savjetnike u svojstvu inovacijskih posrednika, centre za istraživanja i inovacije itd.).</w:t>
            </w:r>
          </w:p>
          <w:p w:rsidR="00A45935" w:rsidRPr="00385368" w:rsidRDefault="00A45935" w:rsidP="00C202EC">
            <w:pPr>
              <w:pStyle w:val="Hlistbullet"/>
              <w:rPr>
                <w:sz w:val="18"/>
                <w:szCs w:val="18"/>
              </w:rPr>
            </w:pPr>
            <w:r>
              <w:rPr>
                <w:sz w:val="18"/>
                <w:szCs w:val="18"/>
              </w:rPr>
              <w:t xml:space="preserve">Analizirajte kako relevantne podmjere mjera M1 i M2 te OS-ovi i LAG-ovi </w:t>
            </w:r>
            <w:r>
              <w:rPr>
                <w:sz w:val="18"/>
                <w:szCs w:val="18"/>
              </w:rPr>
              <w:lastRenderedPageBreak/>
              <w:t>utječu na inovacijski kapacitet i stvaranje poticajnog okruženja za inovacije.</w:t>
            </w:r>
          </w:p>
          <w:p w:rsidR="00A45935" w:rsidRPr="00385368" w:rsidRDefault="00A45935" w:rsidP="00C202EC">
            <w:pPr>
              <w:pStyle w:val="Hlistbullet"/>
              <w:rPr>
                <w:sz w:val="18"/>
                <w:szCs w:val="18"/>
              </w:rPr>
            </w:pPr>
            <w:r>
              <w:rPr>
                <w:sz w:val="18"/>
                <w:szCs w:val="18"/>
              </w:rPr>
              <w:t>Razmotrite mogućnost uspostavljanja tematskih fokusnih skupina (npr. fokusna skupina o inovacijskom posredovanju).</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Metoda Delphi</w:t>
            </w:r>
          </w:p>
        </w:tc>
        <w:tc>
          <w:tcPr>
            <w:tcW w:w="6770" w:type="dxa"/>
          </w:tcPr>
          <w:p w:rsidR="00A45935" w:rsidRPr="00385368" w:rsidRDefault="00A45935" w:rsidP="00C202EC">
            <w:pPr>
              <w:pStyle w:val="Hlistbullet"/>
              <w:rPr>
                <w:sz w:val="18"/>
                <w:szCs w:val="18"/>
              </w:rPr>
            </w:pPr>
            <w:r>
              <w:rPr>
                <w:sz w:val="18"/>
                <w:szCs w:val="18"/>
              </w:rPr>
              <w:t>Uključite stručnjake za inovacije (npr. one koji su uključeni u mjere i projekte suradnje, no i druge stručnjake za inovacije kao što su akademski stručnjaci).</w:t>
            </w:r>
          </w:p>
        </w:tc>
      </w:tr>
    </w:tbl>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t>Evaluacijske prakse o kojima je izvješteno u GIP-ovima podnesenima 2017.</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39F6C028" wp14:editId="57336FA5">
                <wp:extent cx="5878195" cy="5695950"/>
                <wp:effectExtent l="0" t="0" r="27305" b="19050"/>
                <wp:docPr id="60" name="Rectangle: Diagonal Corners Rounded 60"/>
                <wp:cNvGraphicFramePr/>
                <a:graphic xmlns:a="http://schemas.openxmlformats.org/drawingml/2006/main">
                  <a:graphicData uri="http://schemas.microsoft.com/office/word/2010/wordprocessingShape">
                    <wps:wsp>
                      <wps:cNvSpPr/>
                      <wps:spPr>
                        <a:xfrm>
                          <a:off x="0" y="0"/>
                          <a:ext cx="5878195" cy="5695950"/>
                        </a:xfrm>
                        <a:prstGeom prst="round2DiagRect">
                          <a:avLst>
                            <a:gd name="adj1" fmla="val 5521"/>
                            <a:gd name="adj2" fmla="val 0"/>
                          </a:avLst>
                        </a:prstGeom>
                        <a:noFill/>
                        <a:ln w="25400" cap="flat" cmpd="sng" algn="ctr">
                          <a:solidFill>
                            <a:srgbClr val="F07E31"/>
                          </a:solidFill>
                          <a:prstDash val="solid"/>
                        </a:ln>
                        <a:effectLst/>
                      </wps:spPr>
                      <wps:txbx>
                        <w:txbxContent>
                          <w:p w:rsidR="00FD4C56" w:rsidRPr="00C202EC" w:rsidRDefault="00FD4C56"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FD4C56" w:rsidRPr="00C202EC" w:rsidRDefault="00FD4C56" w:rsidP="00C202EC">
                            <w:pPr>
                              <w:pStyle w:val="Normal12PTcouleurgris"/>
                              <w:spacing w:after="120"/>
                              <w:ind w:left="567" w:hanging="567"/>
                              <w:rPr>
                                <w:b/>
                                <w:color w:val="F07E31"/>
                                <w:sz w:val="18"/>
                              </w:rPr>
                            </w:pPr>
                            <w:r>
                              <w:rPr>
                                <w:b/>
                                <w:color w:val="F07E31"/>
                                <w:sz w:val="18"/>
                              </w:rPr>
                              <w:t>Primjeri utvrđivanja inovacijskog potencijala</w:t>
                            </w:r>
                          </w:p>
                          <w:p w:rsidR="00FD4C56" w:rsidRPr="00C202EC" w:rsidRDefault="00FD4C56" w:rsidP="00C202EC">
                            <w:pPr>
                              <w:pStyle w:val="Hlistbullet"/>
                              <w:rPr>
                                <w:sz w:val="18"/>
                                <w:szCs w:val="18"/>
                              </w:rPr>
                            </w:pPr>
                            <w:r>
                              <w:rPr>
                                <w:sz w:val="18"/>
                                <w:szCs w:val="18"/>
                              </w:rPr>
                              <w:t>Kastilja i León (ES) – ističe se inovacijski potencijal LAG-ova i preporučuje se analiza strategija lokalnog razvoja kako bi se utvrdile vrste operacija koje se provode u okviru strategija kojima se promiče doprinos LAG-ova ciljevima žarišnog područja 1.A povezanima s inovacijama.</w:t>
                            </w:r>
                            <w:r>
                              <w:rPr>
                                <w:b/>
                                <w:sz w:val="18"/>
                                <w:szCs w:val="18"/>
                              </w:rPr>
                              <w:t xml:space="preserve"> </w:t>
                            </w:r>
                          </w:p>
                          <w:p w:rsidR="00FD4C56" w:rsidRPr="00C202EC" w:rsidRDefault="00FD4C56" w:rsidP="00C202EC">
                            <w:pPr>
                              <w:pStyle w:val="Hlistbullet"/>
                              <w:rPr>
                                <w:sz w:val="18"/>
                                <w:szCs w:val="18"/>
                              </w:rPr>
                            </w:pPr>
                            <w:r>
                              <w:rPr>
                                <w:sz w:val="18"/>
                                <w:szCs w:val="18"/>
                              </w:rPr>
                              <w:t>Kanarski otoci (ES) – ističe se inovacijski potencijal LAG-ova i preporučuje se da se u sustav za praćenje i evaluaciju uključi varijabla koja ukazuje na to jesu li operacije koje LAG-ovi provode u kontekstu strategija lokalnog razvoja u okviru mjere M19 inovativne.</w:t>
                            </w:r>
                          </w:p>
                          <w:p w:rsidR="00FD4C56" w:rsidRPr="00C202EC" w:rsidRDefault="00FD4C56" w:rsidP="003F6478">
                            <w:pPr>
                              <w:pStyle w:val="HStandard"/>
                              <w:ind w:left="567" w:hanging="567"/>
                              <w:rPr>
                                <w:b/>
                                <w:color w:val="F07E31"/>
                                <w:sz w:val="18"/>
                                <w:szCs w:val="18"/>
                              </w:rPr>
                            </w:pPr>
                            <w:r>
                              <w:rPr>
                                <w:b/>
                                <w:color w:val="F07E31"/>
                                <w:sz w:val="18"/>
                                <w:szCs w:val="18"/>
                              </w:rPr>
                              <w:t xml:space="preserve">Primjeri dodatnih evaluacijskih elemenata </w:t>
                            </w:r>
                          </w:p>
                          <w:p w:rsidR="00FD4C56" w:rsidRPr="00C202EC" w:rsidRDefault="00FD4C56" w:rsidP="00C202EC">
                            <w:pPr>
                              <w:pStyle w:val="Hlistbullet"/>
                              <w:rPr>
                                <w:sz w:val="18"/>
                                <w:szCs w:val="18"/>
                              </w:rPr>
                            </w:pPr>
                            <w:r>
                              <w:rPr>
                                <w:sz w:val="18"/>
                                <w:szCs w:val="18"/>
                              </w:rPr>
                              <w:t xml:space="preserve">Bavarska (DE) – navodi se uporaba dodatnih kriterija prosudbe povezanih s inovacijama na razini LAG-a (npr. novi višesektorski projekti koje provodi LAG, ispitani su novi procesi/tehnike). Upotrijebljen je i dodatni pokazatelj rezultata (nove ideje/rješenja, inovacije – M19). Pokazatelj je kvantificiran, a informacije su prikupljene (a) internetskom anketom voditelja LAG-a, (b) polustrukturiranim razgovorima s odabranim voditeljima LAG-a. </w:t>
                            </w:r>
                          </w:p>
                          <w:p w:rsidR="00FD4C56" w:rsidRPr="00C202EC" w:rsidRDefault="00FD4C56" w:rsidP="00C202EC">
                            <w:pPr>
                              <w:pStyle w:val="Hlistbullet"/>
                              <w:rPr>
                                <w:sz w:val="18"/>
                                <w:szCs w:val="18"/>
                              </w:rPr>
                            </w:pPr>
                            <w:r>
                              <w:rPr>
                                <w:sz w:val="18"/>
                                <w:szCs w:val="18"/>
                              </w:rPr>
                              <w:t>Češka – opisuje se prikupljanje podataka iz baze podataka operacija za dodatni pokazatelj rezultata „broj sudionika koji završavaju aktivnosti usmjerene na inovacije”. Navodi se i da su se informacije o inovacijama prikupljale anketom među korisnicima projekata za koje je dodijeljena potpora.</w:t>
                            </w:r>
                          </w:p>
                          <w:p w:rsidR="00FD4C56" w:rsidRPr="00C202EC" w:rsidRDefault="00FD4C56" w:rsidP="00142A64">
                            <w:pPr>
                              <w:pStyle w:val="HStandard"/>
                              <w:rPr>
                                <w:b/>
                                <w:sz w:val="18"/>
                                <w:szCs w:val="18"/>
                              </w:rPr>
                            </w:pPr>
                            <w:r>
                              <w:rPr>
                                <w:b/>
                                <w:color w:val="F07E31"/>
                                <w:sz w:val="18"/>
                                <w:szCs w:val="18"/>
                              </w:rPr>
                              <w:t>Primjeri metoda</w:t>
                            </w:r>
                          </w:p>
                          <w:p w:rsidR="00FD4C56" w:rsidRPr="00C202EC" w:rsidRDefault="00FD4C56" w:rsidP="00C202EC">
                            <w:pPr>
                              <w:pStyle w:val="Hlistbullet"/>
                              <w:rPr>
                                <w:sz w:val="18"/>
                                <w:szCs w:val="18"/>
                              </w:rPr>
                            </w:pPr>
                            <w:r>
                              <w:rPr>
                                <w:sz w:val="18"/>
                                <w:szCs w:val="18"/>
                              </w:rPr>
                              <w:t>Kastilja i León (ES) – preporučuje se razgovor s upraviteljem svake mjere te uključivanje dodatnih podatkovnih elemenata u sustav za praćenje koji omogućuje ocjenu različitih operacija u pogledu načina na koji integriraju inovativne elemente i na koji pridonose ciljevima povezanima s inovacijama.</w:t>
                            </w:r>
                          </w:p>
                          <w:p w:rsidR="00FD4C56" w:rsidRPr="00C202EC" w:rsidRDefault="00FD4C56" w:rsidP="00C202EC">
                            <w:pPr>
                              <w:pStyle w:val="Hlistbullet"/>
                            </w:pPr>
                            <w:r>
                              <w:rPr>
                                <w:sz w:val="18"/>
                                <w:szCs w:val="18"/>
                              </w:rPr>
                              <w:t>Kastilja-La Mancha (ES) – poslana je anketa svim sudionicima osposobljavanja i upotrijebljena je za evaluaciju, među ostalim, doprinosa prijenosa znanja i aktivnosti informiranja inovacijama. Anketa je omogućila ocjenu inovativnih tečajeva.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F6C028" id="Rectangle: Diagonal Corners Rounded 60" o:spid="_x0000_s1044" style="width:462.85pt;height:448.5pt;visibility:visible;mso-wrap-style:square;mso-left-percent:-10001;mso-top-percent:-10001;mso-position-horizontal:absolute;mso-position-horizontal-relative:char;mso-position-vertical:absolute;mso-position-vertical-relative:line;mso-left-percent:-10001;mso-top-percent:-10001;v-text-anchor:middle" coordsize="5878195,569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" adj="-11796480,,5400" path="m314473,l5878195,r,l5878195,5381477v,173679,-140794,314473,-314473,314473l,5695950r,l,314473c,140794,140794,,314473,xe" filled="f" strokecolor="#f07e31" strokeweight="2pt">
                <v:stroke joinstyle="miter"/>
                <v:formulas/>
                <v:path arrowok="t" o:connecttype="custom" o:connectlocs="314473,0;5878195,0;5878195,0;5878195,5381477;5563722,5695950;0,5695950;0,5695950;0,314473;314473,0" o:connectangles="0,0,0,0,0,0,0,0,0" textboxrect="0,0,5878195,5695950"/>
                <v:textbox>
                  <w:txbxContent>
                    <w:p w:rsidR="00FD4C56" w:rsidRPr="00C202EC" w:rsidRDefault="00FD4C56" w:rsidP="00E05D08">
                      <w:pPr>
                        <w:pStyle w:val="Normal12PTcouleurgris"/>
                        <w:ind w:left="567" w:hanging="567"/>
                        <w:rPr>
                          <w:b/>
                          <w:color w:val="F07E31"/>
                          <w:sz w:val="18"/>
                        </w:rPr>
                      </w:pPr>
                      <w:r>
                        <w:rPr>
                          <w:noProof/>
                          <w:color w:val="F07E31"/>
                          <w:lang w:val="en-GB" w:eastAsia="en-GB"/>
                        </w:rPr>
                        <w:drawing>
                          <wp:inline distT="0" distB="0" distL="0" distR="0" wp14:anchorId="421568C1" wp14:editId="4A608F00">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FD4C56" w:rsidRPr="00C202EC" w:rsidRDefault="00FD4C56" w:rsidP="00C202EC">
                      <w:pPr>
                        <w:pStyle w:val="Normal12PTcouleurgris"/>
                        <w:spacing w:after="120"/>
                        <w:ind w:left="567" w:hanging="567"/>
                        <w:rPr>
                          <w:b/>
                          <w:color w:val="F07E31"/>
                          <w:sz w:val="18"/>
                        </w:rPr>
                      </w:pPr>
                      <w:r>
                        <w:rPr>
                          <w:b/>
                          <w:color w:val="F07E31"/>
                          <w:sz w:val="18"/>
                        </w:rPr>
                        <w:t>Primjeri utvrđivanja inovacijskog potencijala</w:t>
                      </w:r>
                    </w:p>
                    <w:p w:rsidR="00FD4C56" w:rsidRPr="00C202EC" w:rsidRDefault="00FD4C56" w:rsidP="00C202EC">
                      <w:pPr>
                        <w:pStyle w:val="Hlistbullet"/>
                        <w:rPr>
                          <w:sz w:val="18"/>
                          <w:szCs w:val="18"/>
                        </w:rPr>
                      </w:pPr>
                      <w:r>
                        <w:rPr>
                          <w:sz w:val="18"/>
                          <w:szCs w:val="18"/>
                        </w:rPr>
                        <w:t>Kastilja i León (ES) – ističe se inovacijski potencijal LAG-ova i preporučuje se analiza strategija lokalnog razvoja kako bi se utvrdile vrste operacija koje se provode u okviru strategija kojima se promiče doprinos LAG-ova ciljevima žarišnog područja 1.A povezanima s inovacijama.</w:t>
                      </w:r>
                      <w:r>
                        <w:rPr>
                          <w:b/>
                          <w:sz w:val="18"/>
                          <w:szCs w:val="18"/>
                        </w:rPr>
                        <w:t xml:space="preserve"> </w:t>
                      </w:r>
                    </w:p>
                    <w:p w:rsidR="00FD4C56" w:rsidRPr="00C202EC" w:rsidRDefault="00FD4C56" w:rsidP="00C202EC">
                      <w:pPr>
                        <w:pStyle w:val="Hlistbullet"/>
                        <w:rPr>
                          <w:sz w:val="18"/>
                          <w:szCs w:val="18"/>
                        </w:rPr>
                      </w:pPr>
                      <w:r>
                        <w:rPr>
                          <w:sz w:val="18"/>
                          <w:szCs w:val="18"/>
                        </w:rPr>
                        <w:t>Kanarski otoci (ES) – ističe se inovacijski potencijal LAG-ova i preporučuje se da se u sustav za praćenje i evaluaciju uključi varijabla koja ukazuje na to jesu li operacije koje LAG-ovi provode u kontekstu strategija lokalnog razvoja u okviru mjere M19 inovativne.</w:t>
                      </w:r>
                    </w:p>
                    <w:p w:rsidR="00FD4C56" w:rsidRPr="00C202EC" w:rsidRDefault="00FD4C56" w:rsidP="003F6478">
                      <w:pPr>
                        <w:pStyle w:val="HStandard"/>
                        <w:ind w:left="567" w:hanging="567"/>
                        <w:rPr>
                          <w:b/>
                          <w:color w:val="F07E31"/>
                          <w:sz w:val="18"/>
                          <w:szCs w:val="18"/>
                        </w:rPr>
                      </w:pPr>
                      <w:r>
                        <w:rPr>
                          <w:b/>
                          <w:color w:val="F07E31"/>
                          <w:sz w:val="18"/>
                          <w:szCs w:val="18"/>
                        </w:rPr>
                        <w:t xml:space="preserve">Primjeri dodatnih evaluacijskih elemenata </w:t>
                      </w:r>
                    </w:p>
                    <w:p w:rsidR="00FD4C56" w:rsidRPr="00C202EC" w:rsidRDefault="00FD4C56" w:rsidP="00C202EC">
                      <w:pPr>
                        <w:pStyle w:val="Hlistbullet"/>
                        <w:rPr>
                          <w:sz w:val="18"/>
                          <w:szCs w:val="18"/>
                        </w:rPr>
                      </w:pPr>
                      <w:r>
                        <w:rPr>
                          <w:sz w:val="18"/>
                          <w:szCs w:val="18"/>
                        </w:rPr>
                        <w:t xml:space="preserve">Bavarska (DE) – navodi se uporaba dodatnih kriterija prosudbe povezanih s inovacijama na razini LAG-a (npr. novi višesektorski projekti koje provodi LAG, ispitani su novi procesi/tehnike). Upotrijebljen je i dodatni pokazatelj rezultata (nove ideje/rješenja, inovacije – M19). Pokazatelj je kvantificiran, a informacije su prikupljene (a) internetskom anketom voditelja LAG-a, (b) polustrukturiranim razgovorima s odabranim voditeljima LAG-a. </w:t>
                      </w:r>
                    </w:p>
                    <w:p w:rsidR="00FD4C56" w:rsidRPr="00C202EC" w:rsidRDefault="00FD4C56" w:rsidP="00C202EC">
                      <w:pPr>
                        <w:pStyle w:val="Hlistbullet"/>
                        <w:rPr>
                          <w:sz w:val="18"/>
                          <w:szCs w:val="18"/>
                        </w:rPr>
                      </w:pPr>
                      <w:r>
                        <w:rPr>
                          <w:sz w:val="18"/>
                          <w:szCs w:val="18"/>
                        </w:rPr>
                        <w:t>Češka – opisuje se prikupljanje podataka iz baze podataka operacija za dodatni pokazatelj rezultata „broj sudionika koji završavaju aktivnosti usmjerene na inovacije”. Navodi se i da su se informacije o inovacijama prikupljale anketom među korisnicima projekata za koje je dodijeljena potpora.</w:t>
                      </w:r>
                    </w:p>
                    <w:p w:rsidR="00FD4C56" w:rsidRPr="00C202EC" w:rsidRDefault="00FD4C56" w:rsidP="00142A64">
                      <w:pPr>
                        <w:pStyle w:val="HStandard"/>
                        <w:rPr>
                          <w:b/>
                          <w:sz w:val="18"/>
                          <w:szCs w:val="18"/>
                        </w:rPr>
                      </w:pPr>
                      <w:r>
                        <w:rPr>
                          <w:b/>
                          <w:color w:val="F07E31"/>
                          <w:sz w:val="18"/>
                          <w:szCs w:val="18"/>
                        </w:rPr>
                        <w:t>Primjeri metoda</w:t>
                      </w:r>
                    </w:p>
                    <w:p w:rsidR="00FD4C56" w:rsidRPr="00C202EC" w:rsidRDefault="00FD4C56" w:rsidP="00C202EC">
                      <w:pPr>
                        <w:pStyle w:val="Hlistbullet"/>
                        <w:rPr>
                          <w:sz w:val="18"/>
                          <w:szCs w:val="18"/>
                        </w:rPr>
                      </w:pPr>
                      <w:r>
                        <w:rPr>
                          <w:sz w:val="18"/>
                          <w:szCs w:val="18"/>
                        </w:rPr>
                        <w:t>Kastilja i León (ES) – preporučuje se razgovor s upraviteljem svake mjere te uključivanje dodatnih podatkovnih elemenata u sustav za praćenje koji omogućuje ocjenu različitih operacija u pogledu načina na koji integriraju inovativne elemente i na koji pridonose ciljevima povezanima s inovacijama.</w:t>
                      </w:r>
                    </w:p>
                    <w:p w:rsidR="00FD4C56" w:rsidRPr="00C202EC" w:rsidRDefault="00FD4C56" w:rsidP="00C202EC">
                      <w:pPr>
                        <w:pStyle w:val="Hlistbullet"/>
                      </w:pPr>
                      <w:r>
                        <w:rPr>
                          <w:sz w:val="18"/>
                          <w:szCs w:val="18"/>
                        </w:rPr>
                        <w:t>Kastilja-La Mancha (ES) – poslana je anketa svim sudionicima osposobljavanja i upotrijebljena je za evaluaciju, među ostalim, doprinosa prijenosa znanja i aktivnosti informiranja inovacijama. Anketa je omogućila ocjenu inovativnih tečajeva.</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Rizici i rješenja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Rizici</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Rješenja</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Određeni podatkovni elementi (npr. konačan broj projekata suradnje) možda neće biti dostupni sve do kraja programskog razdoblja.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Za analizu vrsta stvorenih struktura suradnje / OS-ova (pravna struktura, sastav, izjava partnera o preuzimanju obveza itd.) umjesto konačnog broja struktura za suradnju može se upotrijebiti kvalitativna ocjena.</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Informacije o sastavu i vrstama partnera u projektima suradnje ili inovacijskih dionika u mjerama M1 i M2 možda se neće evidentirati u podatcima o praćenju.</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Sastav i vrste partnera mogu se ocijeniti anketama i razgovorima o operacijama za koje je dodijeljena potpora. Osim toga, obrasci za prijavu operacija za koje je dodijeljena potpora mogli bi sadržavati korisne podatke.</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U tablicama za praćenje možda se neće evidentirati vrsta stvorene inovacije i njezina uporaba.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Ankete, fokusne skupine i razgovori s operativnim skupinama mogu pomoći u procjeni vrsta stvorenih inovacija.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Zaključci i preporuke</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Zaključcima i preporukama trebala bi se obuhvatiti barem sljedeća pitanja politike:</w:t>
      </w:r>
    </w:p>
    <w:p w:rsidR="00A45935" w:rsidRPr="00B41573" w:rsidRDefault="00A45935" w:rsidP="00AB16BB">
      <w:pPr>
        <w:pStyle w:val="Hlistbullet"/>
        <w:rPr>
          <w:rFonts w:eastAsia="Calibri"/>
          <w:shd w:val="clear" w:color="auto" w:fill="FFFFFF"/>
        </w:rPr>
      </w:pPr>
      <w:r>
        <w:rPr>
          <w:b/>
          <w:shd w:val="clear" w:color="auto" w:fill="FFFFFF"/>
        </w:rPr>
        <w:t>ostvarivanje inovacijskog potencijala</w:t>
      </w:r>
      <w:r>
        <w:rPr>
          <w:shd w:val="clear" w:color="auto" w:fill="FFFFFF"/>
        </w:rPr>
        <w:t xml:space="preserve"> (putem triju putanja) mjera M1, M2, M16 i M19 te njihovih utvrđenih podmjera</w:t>
      </w:r>
    </w:p>
    <w:p w:rsidR="00A45935" w:rsidRPr="00B41573" w:rsidRDefault="00A45935" w:rsidP="00AB16BB">
      <w:pPr>
        <w:pStyle w:val="Hlistbullet"/>
        <w:rPr>
          <w:rFonts w:eastAsia="Calibri"/>
          <w:shd w:val="clear" w:color="auto" w:fill="FFFFFF"/>
        </w:rPr>
      </w:pPr>
      <w:r>
        <w:rPr>
          <w:b/>
          <w:shd w:val="clear" w:color="auto" w:fill="FFFFFF"/>
        </w:rPr>
        <w:t>učinak osposobljavanja i aktivnosti informiranja</w:t>
      </w:r>
      <w:r>
        <w:rPr>
          <w:shd w:val="clear" w:color="auto" w:fill="FFFFFF"/>
        </w:rPr>
        <w:t xml:space="preserve"> u okviru mjere M1 i savjetodavnih službi u okviru mjere M2 na izgradnju inovacijskog kapaciteta</w:t>
      </w:r>
    </w:p>
    <w:p w:rsidR="00A45935" w:rsidRPr="00B41573" w:rsidRDefault="00A45935" w:rsidP="00AB16BB">
      <w:pPr>
        <w:pStyle w:val="Hlistbullet"/>
        <w:rPr>
          <w:rFonts w:eastAsia="Calibri"/>
          <w:shd w:val="clear" w:color="auto" w:fill="FFFFFF"/>
        </w:rPr>
      </w:pPr>
      <w:r>
        <w:rPr>
          <w:b/>
          <w:shd w:val="clear" w:color="auto" w:fill="FFFFFF"/>
        </w:rPr>
        <w:t>učinak projekata suradnje</w:t>
      </w:r>
      <w:r>
        <w:rPr>
          <w:shd w:val="clear" w:color="auto" w:fill="FFFFFF"/>
        </w:rPr>
        <w:t>, osobito OS-ova, na potporu inovacijama, točnije:</w:t>
      </w:r>
    </w:p>
    <w:p w:rsidR="00A45935" w:rsidRPr="00E05D08" w:rsidRDefault="00A45935" w:rsidP="00AB16BB">
      <w:pPr>
        <w:pStyle w:val="Hlistbullet2"/>
        <w:rPr>
          <w:rFonts w:eastAsia="Calibri"/>
          <w:shd w:val="clear" w:color="auto" w:fill="FFFFFF"/>
        </w:rPr>
      </w:pPr>
      <w:r>
        <w:rPr>
          <w:shd w:val="clear" w:color="auto" w:fill="FFFFFF"/>
        </w:rPr>
        <w:t>broj, opseg, sadržaj i trajanje projekata OS-a mogu poslužiti kao informacije za donošenje korisnih zaključaka o utvrđivanju inovativnih ideja koje bi se trebale provesti u praksi</w:t>
      </w:r>
    </w:p>
    <w:p w:rsidR="00A45935" w:rsidRPr="00E05D08" w:rsidRDefault="00A45935" w:rsidP="00AB16BB">
      <w:pPr>
        <w:pStyle w:val="Hlistbullet2"/>
        <w:rPr>
          <w:rFonts w:eastAsia="Calibri"/>
          <w:shd w:val="clear" w:color="auto" w:fill="FFFFFF"/>
        </w:rPr>
      </w:pPr>
      <w:r>
        <w:rPr>
          <w:shd w:val="clear" w:color="auto" w:fill="FFFFFF"/>
        </w:rPr>
        <w:t>broj i vrsta projekata OS-a te sudjelovanje inovacijskih dionika mogu poslužiti kao informacije za donošenje važnih zaključaka o postignućima mjere suradnje koja su povezana s inovacijskim kapacitetom u ruralnim područjima</w:t>
      </w:r>
    </w:p>
    <w:p w:rsidR="00A45935" w:rsidRPr="00E05D08" w:rsidRDefault="00A45935" w:rsidP="00AB16BB">
      <w:pPr>
        <w:pStyle w:val="Hlistbullet2"/>
        <w:rPr>
          <w:rFonts w:eastAsia="Calibri"/>
          <w:shd w:val="clear" w:color="auto" w:fill="FFFFFF"/>
        </w:rPr>
      </w:pPr>
      <w:r>
        <w:rPr>
          <w:shd w:val="clear" w:color="auto" w:fill="FFFFFF"/>
        </w:rPr>
        <w:t xml:space="preserve">zaključci o mjeri u kojoj projekti OS-a stvaraju strukture i postupke koji olakšavaju stvaranje inovacija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učinci aktivnosti LAG-ova </w:t>
      </w:r>
      <w:r>
        <w:rPr>
          <w:szCs w:val="20"/>
          <w:shd w:val="clear" w:color="auto" w:fill="FFFFFF"/>
        </w:rPr>
        <w:t xml:space="preserve">(uključujući suradnju među LAG-ovima) i projekata koji se provode u okviru strategija CLLD-a.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Više o temi</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0EBD5931" wp14:editId="250CB79C">
                <wp:extent cx="5633634" cy="1847850"/>
                <wp:effectExtent l="0" t="0" r="24765" b="19050"/>
                <wp:docPr id="5" name="Rectangle: Diagonal Corners Rounded 5"/>
                <wp:cNvGraphicFramePr/>
                <a:graphic xmlns:a="http://schemas.openxmlformats.org/drawingml/2006/main">
                  <a:graphicData uri="http://schemas.microsoft.com/office/word/2010/wordprocessingShape">
                    <wps:wsp>
                      <wps:cNvSpPr/>
                      <wps:spPr>
                        <a:xfrm>
                          <a:off x="0" y="0"/>
                          <a:ext cx="5633634" cy="1847850"/>
                        </a:xfrm>
                        <a:prstGeom prst="round2DiagRect">
                          <a:avLst>
                            <a:gd name="adj1" fmla="val 11556"/>
                            <a:gd name="adj2" fmla="val 0"/>
                          </a:avLst>
                        </a:prstGeom>
                        <a:noFill/>
                        <a:ln w="25400" cap="flat" cmpd="sng" algn="ctr">
                          <a:solidFill>
                            <a:srgbClr val="59638E"/>
                          </a:solidFill>
                          <a:prstDash val="solid"/>
                        </a:ln>
                        <a:effectLst/>
                      </wps:spPr>
                      <wps:txbx>
                        <w:txbxContent>
                          <w:p w:rsidR="00FD4C56" w:rsidRDefault="00FD4C56"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EB3015" w:rsidRDefault="00FD4C56" w:rsidP="00E05D08">
                            <w:pPr>
                              <w:pStyle w:val="HStandard"/>
                              <w:rPr>
                                <w:color w:val="000000"/>
                                <w:sz w:val="18"/>
                              </w:rPr>
                            </w:pPr>
                            <w:r>
                              <w:t xml:space="preserve">Smjernice: </w:t>
                            </w:r>
                            <w:hyperlink r:id="rId42" w:history="1">
                              <w:r>
                                <w:rPr>
                                  <w:rStyle w:val="Hyperlink"/>
                                  <w:sz w:val="18"/>
                                </w:rPr>
                                <w:t>ocjena rezultata PRR-a:</w:t>
                              </w:r>
                            </w:hyperlink>
                            <w:hyperlink r:id="rId43" w:history="1">
                              <w:r>
                                <w:rPr>
                                  <w:rStyle w:val="Hyperlink"/>
                                  <w:sz w:val="18"/>
                                </w:rPr>
                                <w:t>kako se pripremiti za izvješćivanje o evaluaciji u 2017.</w:t>
                              </w:r>
                            </w:hyperlink>
                            <w:r>
                              <w:rPr>
                                <w:sz w:val="18"/>
                              </w:rPr>
                              <w:t>, Prilog 11.;</w:t>
                            </w:r>
                            <w:r>
                              <w:rPr>
                                <w:color w:val="000000"/>
                                <w:sz w:val="18"/>
                              </w:rPr>
                              <w:t xml:space="preserve"> </w:t>
                            </w:r>
                          </w:p>
                          <w:p w:rsidR="00FD4C56" w:rsidRPr="00730192" w:rsidRDefault="00FD4C56" w:rsidP="00E05D08">
                            <w:pPr>
                              <w:pStyle w:val="HStandard"/>
                              <w:rPr>
                                <w:sz w:val="18"/>
                              </w:rPr>
                            </w:pPr>
                            <w:r>
                              <w:t>Smjernice „</w:t>
                            </w:r>
                            <w:hyperlink r:id="rId44" w:history="1">
                              <w:r>
                                <w:rPr>
                                  <w:rStyle w:val="Hyperlink"/>
                                  <w:sz w:val="18"/>
                                </w:rPr>
                                <w:t>Mjera suradnje</w:t>
                              </w:r>
                            </w:hyperlink>
                            <w:r>
                              <w:t>”, članak 35. Uredbe (EU) br. 1305/2013, studeni 2014.</w:t>
                            </w:r>
                          </w:p>
                          <w:p w:rsidR="00FD4C56" w:rsidRPr="009D62F4" w:rsidRDefault="00FD4C56" w:rsidP="00E05D08">
                            <w:pPr>
                              <w:pStyle w:val="HStandard"/>
                              <w:rPr>
                                <w:sz w:val="18"/>
                                <w:szCs w:val="18"/>
                              </w:rPr>
                            </w:pPr>
                            <w:r>
                              <w:rPr>
                                <w:sz w:val="18"/>
                              </w:rPr>
                              <w:t xml:space="preserve">Dokumenti s radionice EMRR-a o mjeri M 16 „Suradnja”, lipanj 2016., Bruxelles: </w:t>
                            </w:r>
                            <w:hyperlink r:id="rId45"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45.5pt;visibility:visible;mso-wrap-style:square;mso-left-percent:-10001;mso-top-percent:-10001;mso-position-horizontal:absolute;mso-position-horizontal-relative:char;mso-position-vertical:absolute;mso-position-vertical-relative:line;mso-left-percent:-10001;mso-top-percent:-10001;v-text-anchor:middle" coordsize="5633634,184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" adj="-11796480,,5400" path="m213538,l5633634,r,l5633634,1634312v,117934,-95604,213538,-213538,213538l,1847850r,l,213538c,95604,95604,,213538,xe" filled="f" strokecolor="#59638e" strokeweight="2pt">
                <v:stroke joinstyle="miter"/>
                <v:formulas/>
                <v:path arrowok="t" o:connecttype="custom" o:connectlocs="213538,0;5633634,0;5633634,0;5633634,1634312;5420096,1847850;0,1847850;0,1847850;0,213538;213538,0" o:connectangles="0,0,0,0,0,0,0,0,0" textboxrect="0,0,5633634,1847850"/>
                <v:textbox>
                  <w:txbxContent>
                    <w:p w:rsidR="00FD4C56" w:rsidRDefault="00FD4C56" w:rsidP="00E05D08">
                      <w:pPr>
                        <w:pStyle w:val="HStandard"/>
                        <w:rPr>
                          <w:color w:val="000000"/>
                          <w:sz w:val="18"/>
                        </w:rPr>
                      </w:pPr>
                      <w:r>
                        <w:rPr>
                          <w:noProof/>
                          <w:lang w:val="en-GB"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EB3015" w:rsidRDefault="00FD4C56" w:rsidP="00E05D08">
                      <w:pPr>
                        <w:pStyle w:val="HStandard"/>
                        <w:rPr>
                          <w:color w:val="000000"/>
                          <w:sz w:val="18"/>
                        </w:rPr>
                      </w:pPr>
                      <w:r>
                        <w:t xml:space="preserve">Smjernice: </w:t>
                      </w:r>
                      <w:hyperlink r:id="rId46" w:history="1">
                        <w:r>
                          <w:rPr>
                            <w:rStyle w:val="Hyperlink"/>
                            <w:sz w:val="18"/>
                          </w:rPr>
                          <w:t>ocjena rezultata PRR-a:</w:t>
                        </w:r>
                      </w:hyperlink>
                      <w:hyperlink r:id="rId47" w:history="1">
                        <w:r>
                          <w:rPr>
                            <w:rStyle w:val="Hyperlink"/>
                            <w:sz w:val="18"/>
                          </w:rPr>
                          <w:t>kako se pripremiti za izvješćivanje o evaluaciji u 2017.</w:t>
                        </w:r>
                      </w:hyperlink>
                      <w:r>
                        <w:rPr>
                          <w:sz w:val="18"/>
                        </w:rPr>
                        <w:t>, Prilog 11.;</w:t>
                      </w:r>
                      <w:r>
                        <w:rPr>
                          <w:color w:val="000000"/>
                          <w:sz w:val="18"/>
                        </w:rPr>
                        <w:t xml:space="preserve"> </w:t>
                      </w:r>
                    </w:p>
                    <w:p w:rsidR="00FD4C56" w:rsidRPr="00730192" w:rsidRDefault="00FD4C56" w:rsidP="00E05D08">
                      <w:pPr>
                        <w:pStyle w:val="HStandard"/>
                        <w:rPr>
                          <w:sz w:val="18"/>
                        </w:rPr>
                      </w:pPr>
                      <w:r>
                        <w:t>Smjernice „</w:t>
                      </w:r>
                      <w:hyperlink r:id="rId48" w:history="1">
                        <w:r>
                          <w:rPr>
                            <w:rStyle w:val="Hyperlink"/>
                            <w:sz w:val="18"/>
                          </w:rPr>
                          <w:t>Mjera suradnje</w:t>
                        </w:r>
                      </w:hyperlink>
                      <w:r>
                        <w:t>”, članak 35. Uredbe (EU) br. 1305/2013, studeni 2014.</w:t>
                      </w:r>
                    </w:p>
                    <w:p w:rsidR="00FD4C56" w:rsidRPr="009D62F4" w:rsidRDefault="00FD4C56" w:rsidP="00E05D08">
                      <w:pPr>
                        <w:pStyle w:val="HStandard"/>
                        <w:rPr>
                          <w:sz w:val="18"/>
                          <w:szCs w:val="18"/>
                        </w:rPr>
                      </w:pPr>
                      <w:r>
                        <w:rPr>
                          <w:sz w:val="18"/>
                        </w:rPr>
                        <w:t xml:space="preserve">Dokumenti s radionice EMRR-a o mjeri M 16 „Suradnja”, lipanj 2016., Bruxelles: </w:t>
                      </w:r>
                      <w:hyperlink r:id="rId49"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981123"/>
      <w:r>
        <w:lastRenderedPageBreak/>
        <w:t>ZEP br. 2: „U kojoj su mjeri intervencije u okviru PRR-a poduprle jačanje poveznica između poljoprivrede, proizvodnje hrane i šumarstva te istraživanja i inovacija, među ostalim, u svrhu boljeg upravljanja okolišem i ekološke učinkovitosti?”</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Razumijevanje ZEP-a</w:t>
      </w:r>
    </w:p>
    <w:p w:rsidR="00A45935" w:rsidRPr="00E05D08" w:rsidRDefault="00A45935" w:rsidP="00E05D08">
      <w:pPr>
        <w:spacing w:after="120" w:line="280" w:lineRule="atLeast"/>
        <w:mirrorIndents/>
        <w:rPr>
          <w:rFonts w:eastAsia="Times New Roman" w:cs="Times New Roman"/>
          <w:szCs w:val="20"/>
        </w:rPr>
      </w:pPr>
      <w:r>
        <w:t>ZEP 2 prvenstveno je povezan s mjerom M16 i njezinih 10 podmjera iz članka 35. – Suradnja</w:t>
      </w:r>
      <w:r>
        <w:rPr>
          <w:rFonts w:eastAsia="Times New Roman" w:cs="Arial"/>
          <w:szCs w:val="20"/>
          <w:vertAlign w:val="superscript"/>
          <w:lang w:eastAsia="de-DE"/>
        </w:rPr>
        <w:footnoteReference w:id="52"/>
      </w:r>
      <w:r>
        <w:t>. Poveznice između poljoprivrede, proizvodnje hrane i šumarstva te istraživanja i inovacija mogu se promicati na tri načina</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suradnjom među raznim subjektima u poljoprivrednom sektoru, šumarskom sektoru te lancu opskrbe hranom i ostalim subjektima koji pridonose ostvarivanju ciljeva politike ruralnog razvoja, uključujući skupine proizvođača, zadruge i međusektorske organizacije;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stvaranjem klastera i mreža, što su specifičniji, no važni oblici suradnje;</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osnivanjem operativnih skupina EIP-AGRI-ja, što je nova sastavnica politike ruralnog razvoja čiji je cilj stvaranje veće povezanosti između istraživanja i prakse.</w:t>
      </w:r>
    </w:p>
    <w:p w:rsidR="00A45935" w:rsidRPr="00E05D08" w:rsidRDefault="00A45935" w:rsidP="00E05D08">
      <w:pPr>
        <w:spacing w:after="120" w:line="280" w:lineRule="atLeast"/>
        <w:mirrorIndents/>
        <w:rPr>
          <w:rFonts w:eastAsia="Times New Roman" w:cs="Times New Roman"/>
          <w:szCs w:val="20"/>
        </w:rPr>
      </w:pPr>
      <w:r>
        <w:t>Potpora tim oblicima suradnje razvila se tijekom vremena u okviru politike ruralnog razvoja. U prethodnom programskom razdoblju potpore su se dodjeljivale za vrlo specifične oblike suradnje (programi kvalitete hrane i skupine proizvođača) ili suradnju na lokalnoj razini (u okviru LEADER-a). U važećoj se politici promiču poveznice između većeg raspona subjekata i osigurava se veća fleksibilnost u opsegu i sastavu aktivnosti suradnje. Povezivanjem poljoprivrede, šumarstva i lanca opskrbe hranom sa subjektima u istraživanju/inovacijama u politici ruralnog razvoja posebno su istaknute inovacije kao put do postizanja ciljeva PRR-a. Primjerice:</w:t>
      </w:r>
    </w:p>
    <w:p w:rsidR="00A45935" w:rsidRPr="00D35751" w:rsidRDefault="00A45935" w:rsidP="00AB16BB">
      <w:pPr>
        <w:pStyle w:val="Hlistbullet"/>
      </w:pPr>
      <w:r>
        <w:t>Povezivanje istraživanja i prakse može pomoći u utvrđivanju inovacija koje mogu unaprijediti provedbu programa i pridonijeti ciljevima PRR-a.</w:t>
      </w:r>
    </w:p>
    <w:p w:rsidR="00EF1B0F" w:rsidRPr="00EF1B0F" w:rsidRDefault="00A45935" w:rsidP="00734B11">
      <w:pPr>
        <w:pStyle w:val="Hlistbullet"/>
      </w:pPr>
      <w:r>
        <w:t xml:space="preserve">Naglasak na potpori koju savjetnici i usluge potpore inovacijama nude za projekte suradnje (uključujući potporu koju nude NRM-ovi) može pridonijeti izgradnji inovacijskog kapaciteta i poboljšanju konkurentnosti i/ili okruženja. </w:t>
      </w:r>
    </w:p>
    <w:p w:rsidR="00EF1B0F" w:rsidRDefault="00A45935" w:rsidP="00734B11">
      <w:pPr>
        <w:pStyle w:val="Hlistbullet"/>
      </w:pPr>
      <w:r>
        <w:t>Suradnja u svrhu boljeg upravljanja okolišem i ekološke učinkovitosti još je jedan od prioriteta istaknutih u ZEP-u br. 2. Projekti suradnje obuhvaćaju zaštitu i poboljšanje resursa (vode, tla, zraka), bioraznolikosti i prirodnog okoliša te prilagodbu klimatskim promjenama i njihovo ublažavanje. Upravljanje okolišem u kontekstu klimatskih promjena može uključivati aktivnosti povezane s učinkovitosti potrošnje vode i energetskom učinkovitosti te uštedama vode i energije.</w:t>
      </w:r>
    </w:p>
    <w:p w:rsidR="00A45935" w:rsidRPr="00A66638" w:rsidRDefault="00A66638" w:rsidP="00EF1B0F">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657728" behindDoc="0" locked="0" layoutInCell="1" allowOverlap="1" wp14:anchorId="30EE039E" wp14:editId="2974153D">
                <wp:simplePos x="0" y="0"/>
                <wp:positionH relativeFrom="column">
                  <wp:posOffset>95250</wp:posOffset>
                </wp:positionH>
                <wp:positionV relativeFrom="page">
                  <wp:posOffset>762000</wp:posOffset>
                </wp:positionV>
                <wp:extent cx="5763260" cy="661987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619875"/>
                        </a:xfrm>
                        <a:prstGeom prst="round2DiagRect">
                          <a:avLst>
                            <a:gd name="adj1" fmla="val 5422"/>
                            <a:gd name="adj2" fmla="val 0"/>
                          </a:avLst>
                        </a:prstGeom>
                        <a:noFill/>
                        <a:ln w="25400" cap="flat" cmpd="sng" algn="ctr">
                          <a:solidFill>
                            <a:srgbClr val="F07E31"/>
                          </a:solidFill>
                          <a:prstDash val="solid"/>
                        </a:ln>
                        <a:effectLst/>
                      </wps:spPr>
                      <wps:txbx>
                        <w:txbxContent>
                          <w:p w:rsidR="00FD4C56" w:rsidRPr="007B4A6D" w:rsidRDefault="00FD4C56"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Primjer: mjere suradnje koje se upotrebljavaju za bolje upravljanje okolišem</w:t>
                            </w:r>
                          </w:p>
                          <w:p w:rsidR="00FD4C56" w:rsidRPr="007B4A6D" w:rsidRDefault="00FD4C56" w:rsidP="00E05D08">
                            <w:pPr>
                              <w:pStyle w:val="HStandard"/>
                              <w:rPr>
                                <w:sz w:val="18"/>
                                <w:szCs w:val="18"/>
                              </w:rPr>
                            </w:pPr>
                            <w:r>
                              <w:rPr>
                                <w:sz w:val="18"/>
                                <w:szCs w:val="18"/>
                              </w:rPr>
                              <w:t>Finska – M16 dopunjuje ostale mjere PRR-a kako bi se postigli ciljevi prioriteta P4 i P5:</w:t>
                            </w:r>
                          </w:p>
                          <w:p w:rsidR="00FD4C56" w:rsidRPr="00055039" w:rsidRDefault="00FD4C56" w:rsidP="008C0B17">
                            <w:pPr>
                              <w:pStyle w:val="HStandard"/>
                              <w:numPr>
                                <w:ilvl w:val="0"/>
                                <w:numId w:val="24"/>
                              </w:numPr>
                              <w:ind w:left="567" w:hanging="567"/>
                              <w:rPr>
                                <w:sz w:val="18"/>
                                <w:szCs w:val="18"/>
                              </w:rPr>
                            </w:pPr>
                            <w:r>
                              <w:rPr>
                                <w:sz w:val="18"/>
                                <w:szCs w:val="18"/>
                              </w:rPr>
                              <w:t>58 % mjere M16 te dijelovi mjera M1 i M2 upotrebljavaju se za promicanje energetske učinkovitosti;</w:t>
                            </w:r>
                          </w:p>
                          <w:p w:rsidR="00FD4C56" w:rsidRPr="00D66182" w:rsidRDefault="00FD4C56" w:rsidP="008C0B17">
                            <w:pPr>
                              <w:pStyle w:val="HStandard"/>
                              <w:numPr>
                                <w:ilvl w:val="0"/>
                                <w:numId w:val="24"/>
                              </w:numPr>
                              <w:ind w:left="567" w:hanging="567"/>
                              <w:rPr>
                                <w:sz w:val="18"/>
                                <w:szCs w:val="18"/>
                              </w:rPr>
                            </w:pPr>
                            <w:r>
                              <w:rPr>
                                <w:sz w:val="18"/>
                                <w:szCs w:val="18"/>
                              </w:rPr>
                              <w:t>49 % mjere M16 te dijelovi mjera M1 i M2 upotrebljavaju se za sekvestraciju i pohranu ugljika;</w:t>
                            </w:r>
                          </w:p>
                          <w:p w:rsidR="00FD4C56" w:rsidRPr="000E1D4B" w:rsidRDefault="00FD4C56" w:rsidP="008C0B17">
                            <w:pPr>
                              <w:pStyle w:val="HStandard"/>
                              <w:numPr>
                                <w:ilvl w:val="0"/>
                                <w:numId w:val="24"/>
                              </w:numPr>
                              <w:ind w:left="567" w:hanging="567"/>
                              <w:rPr>
                                <w:sz w:val="18"/>
                                <w:szCs w:val="18"/>
                              </w:rPr>
                            </w:pPr>
                            <w:r>
                              <w:rPr>
                                <w:sz w:val="18"/>
                                <w:szCs w:val="18"/>
                              </w:rPr>
                              <w:t>10 % mjere M16, 84 % mjere M4 te dijelovi mjera M1 i M2 upotrebljavaju se za upravljanje obnovljivim izvorima i gospodarenje otpadom;</w:t>
                            </w:r>
                          </w:p>
                          <w:p w:rsidR="00FD4C56" w:rsidRPr="000E1D4B" w:rsidRDefault="00FD4C56" w:rsidP="008C0B17">
                            <w:pPr>
                              <w:pStyle w:val="HStandard"/>
                              <w:numPr>
                                <w:ilvl w:val="0"/>
                                <w:numId w:val="24"/>
                              </w:numPr>
                              <w:ind w:left="567" w:hanging="567"/>
                              <w:rPr>
                                <w:sz w:val="18"/>
                                <w:szCs w:val="18"/>
                              </w:rPr>
                            </w:pPr>
                            <w:r>
                              <w:rPr>
                                <w:sz w:val="18"/>
                                <w:szCs w:val="18"/>
                              </w:rPr>
                              <w:t>5,5 % mjere M16, 89 % mjere M4 te dijelovi mjera M1 i M2 upotrebljavaju se za smanjenje emisija stakleničkih plinova i amonijaka.</w:t>
                            </w:r>
                          </w:p>
                          <w:p w:rsidR="00FD4C56" w:rsidRPr="000E1D4B" w:rsidRDefault="00FD4C56" w:rsidP="00E05D08">
                            <w:pPr>
                              <w:pStyle w:val="HStandard"/>
                              <w:rPr>
                                <w:sz w:val="18"/>
                                <w:szCs w:val="18"/>
                              </w:rPr>
                            </w:pPr>
                            <w:r>
                              <w:rPr>
                                <w:sz w:val="18"/>
                                <w:szCs w:val="18"/>
                              </w:rPr>
                              <w:t>Podmjere suradnje (npr. M16.2: potpora za pilot-projekte, M16.5: potpora za zajedničke aktivnosti koje se poduzimaju radi prilagodbe klimatskim promjenama ili njihova ublažavanja te za zajedničke pristupe projektima zaštite okoliša i tekućim praksama zaštite okoliša) prvenstveno imaju učinak na žarišna područja 4.A – C i 5.A – E.</w:t>
                            </w:r>
                          </w:p>
                          <w:p w:rsidR="00FD4C56" w:rsidRPr="00AB16BB" w:rsidRDefault="00FD4C56" w:rsidP="00AB16BB">
                            <w:pPr>
                              <w:pStyle w:val="HSource"/>
                              <w:ind w:right="8"/>
                              <w:jc w:val="right"/>
                              <w:rPr>
                                <w:rFonts w:eastAsia="Calibri"/>
                                <w:sz w:val="14"/>
                                <w:szCs w:val="14"/>
                              </w:rPr>
                            </w:pPr>
                            <w:r>
                              <w:rPr>
                                <w:sz w:val="14"/>
                                <w:szCs w:val="14"/>
                              </w:rPr>
                              <w:t>Izvor: EMRR (2016.). Radionica o mjeri suradnje M 16</w:t>
                            </w:r>
                            <w:r w:rsidRPr="0005568E">
                              <w:rPr>
                                <w:sz w:val="18"/>
                                <w:szCs w:val="14"/>
                                <w:vertAlign w:val="superscript"/>
                              </w:rPr>
                              <w:t>54</w:t>
                            </w:r>
                            <w:r>
                              <w:rPr>
                                <w:sz w:val="14"/>
                                <w:szCs w:val="14"/>
                              </w:rPr>
                              <w:t>.</w:t>
                            </w:r>
                          </w:p>
                          <w:p w:rsidR="00FD4C56" w:rsidRPr="007B4A6D" w:rsidRDefault="00FD4C56" w:rsidP="00235D46">
                            <w:pPr>
                              <w:pStyle w:val="HStandard"/>
                              <w:spacing w:after="0"/>
                              <w:ind w:left="567" w:hanging="567"/>
                              <w:rPr>
                                <w:b/>
                                <w:sz w:val="18"/>
                                <w:szCs w:val="18"/>
                              </w:rPr>
                            </w:pPr>
                            <w:r>
                              <w:rPr>
                                <w:b/>
                                <w:color w:val="F07E31"/>
                                <w:sz w:val="18"/>
                                <w:szCs w:val="18"/>
                              </w:rPr>
                              <w:t>Primjer:</w:t>
                            </w:r>
                            <w:r>
                              <w:rPr>
                                <w:color w:val="F07E31"/>
                                <w:sz w:val="18"/>
                                <w:szCs w:val="18"/>
                              </w:rPr>
                              <w:t xml:space="preserve"> </w:t>
                            </w:r>
                            <w:r>
                              <w:rPr>
                                <w:b/>
                                <w:color w:val="F07E31"/>
                                <w:sz w:val="18"/>
                                <w:szCs w:val="18"/>
                              </w:rPr>
                              <w:t>povezivanje istraživača i poljoprivrednika</w:t>
                            </w:r>
                            <w:r>
                              <w:rPr>
                                <w:color w:val="F07E31"/>
                                <w:sz w:val="18"/>
                                <w:szCs w:val="18"/>
                              </w:rPr>
                              <w:t xml:space="preserve"> </w:t>
                            </w:r>
                          </w:p>
                          <w:p w:rsidR="00FD4C56" w:rsidRPr="00D66182" w:rsidRDefault="00FD4C56" w:rsidP="00235D46">
                            <w:pPr>
                              <w:pStyle w:val="HStandard"/>
                              <w:rPr>
                                <w:sz w:val="18"/>
                                <w:szCs w:val="18"/>
                              </w:rPr>
                            </w:pPr>
                            <w:r>
                              <w:rPr>
                                <w:sz w:val="18"/>
                                <w:szCs w:val="18"/>
                              </w:rPr>
                              <w:t xml:space="preserve">Belgija – inovativni obor za svinje pomaže u smanjenju emisija amonijaka. Povezivanje istraživača i poljoprivrednika u okviru usluga potpore inovacijama bilo je ključno u razvoju i ispitivanju tih tehnika za smanjenje emisija amonijaka dodavanjem specifičnih bakterija u svinjski gnoj. To je pridonijelo i ostvarenju okolišnih ciljeva PRR-a. </w:t>
                            </w:r>
                          </w:p>
                          <w:p w:rsidR="00FD4C56" w:rsidRPr="00AB16BB" w:rsidRDefault="00FD4C56" w:rsidP="00AB16BB">
                            <w:pPr>
                              <w:pStyle w:val="HStandard"/>
                              <w:jc w:val="right"/>
                              <w:rPr>
                                <w:sz w:val="14"/>
                                <w:szCs w:val="14"/>
                                <w:vertAlign w:val="superscript"/>
                              </w:rPr>
                            </w:pPr>
                            <w:r>
                              <w:rPr>
                                <w:i/>
                                <w:sz w:val="14"/>
                                <w:szCs w:val="14"/>
                              </w:rPr>
                              <w:t>Izvor: EPI – uslužna točka</w:t>
                            </w:r>
                            <w:r w:rsidRPr="0005568E">
                              <w:rPr>
                                <w:i/>
                                <w:sz w:val="18"/>
                                <w:szCs w:val="14"/>
                                <w:vertAlign w:val="superscript"/>
                              </w:rPr>
                              <w:t>55</w:t>
                            </w:r>
                          </w:p>
                          <w:p w:rsidR="00FD4C56" w:rsidRPr="007B4A6D" w:rsidRDefault="00FD4C56" w:rsidP="00235D46">
                            <w:pPr>
                              <w:pStyle w:val="HStandard"/>
                              <w:rPr>
                                <w:b/>
                                <w:color w:val="F07E31"/>
                                <w:sz w:val="18"/>
                                <w:szCs w:val="18"/>
                              </w:rPr>
                            </w:pPr>
                            <w:r>
                              <w:rPr>
                                <w:b/>
                                <w:color w:val="F07E31"/>
                                <w:sz w:val="18"/>
                                <w:szCs w:val="18"/>
                              </w:rPr>
                              <w:t xml:space="preserve">Primjer: usluge potpore inovacijama </w:t>
                            </w:r>
                          </w:p>
                          <w:p w:rsidR="00FD4C56" w:rsidRPr="007B4A6D" w:rsidRDefault="00FD4C56" w:rsidP="00235D46">
                            <w:pPr>
                              <w:pStyle w:val="HStandard"/>
                              <w:spacing w:after="0"/>
                              <w:rPr>
                                <w:b/>
                                <w:sz w:val="18"/>
                                <w:szCs w:val="18"/>
                              </w:rPr>
                            </w:pPr>
                            <w:r>
                              <w:rPr>
                                <w:sz w:val="18"/>
                                <w:szCs w:val="18"/>
                              </w:rPr>
                              <w:t>Hessen (DE) – usluge potpore inovacijama pomogle su u izgradnji inovacijskog kapaciteta:</w:t>
                            </w:r>
                          </w:p>
                          <w:p w:rsidR="00FD4C56" w:rsidRPr="00055039" w:rsidRDefault="00FD4C56" w:rsidP="00235D46">
                            <w:pPr>
                              <w:pStyle w:val="HStandard"/>
                              <w:numPr>
                                <w:ilvl w:val="0"/>
                                <w:numId w:val="24"/>
                              </w:numPr>
                              <w:ind w:left="567" w:hanging="567"/>
                              <w:rPr>
                                <w:sz w:val="18"/>
                                <w:szCs w:val="18"/>
                              </w:rPr>
                            </w:pPr>
                            <w:r>
                              <w:rPr>
                                <w:sz w:val="18"/>
                                <w:szCs w:val="18"/>
                              </w:rPr>
                              <w:t>potporom u provedbi mjere M16,</w:t>
                            </w:r>
                          </w:p>
                          <w:p w:rsidR="00FD4C56" w:rsidRPr="00D66182" w:rsidRDefault="00FD4C56" w:rsidP="00235D46">
                            <w:pPr>
                              <w:pStyle w:val="HStandard"/>
                              <w:numPr>
                                <w:ilvl w:val="0"/>
                                <w:numId w:val="24"/>
                              </w:numPr>
                              <w:ind w:left="567" w:hanging="567"/>
                              <w:rPr>
                                <w:sz w:val="18"/>
                                <w:szCs w:val="18"/>
                              </w:rPr>
                            </w:pPr>
                            <w:r>
                              <w:rPr>
                                <w:sz w:val="18"/>
                                <w:szCs w:val="18"/>
                              </w:rPr>
                              <w:t>informiranjem i promidžbom u regiji,</w:t>
                            </w:r>
                          </w:p>
                          <w:p w:rsidR="00FD4C56" w:rsidRPr="000E1D4B" w:rsidRDefault="00FD4C56" w:rsidP="00235D46">
                            <w:pPr>
                              <w:pStyle w:val="HStandard"/>
                              <w:numPr>
                                <w:ilvl w:val="0"/>
                                <w:numId w:val="24"/>
                              </w:numPr>
                              <w:ind w:left="567" w:hanging="567"/>
                              <w:rPr>
                                <w:sz w:val="18"/>
                                <w:szCs w:val="18"/>
                              </w:rPr>
                            </w:pPr>
                            <w:r>
                              <w:rPr>
                                <w:sz w:val="18"/>
                                <w:szCs w:val="18"/>
                              </w:rPr>
                              <w:t>umrežavanjem aktivnosti suradnje u Hessenu u Njemačkoj,</w:t>
                            </w:r>
                          </w:p>
                          <w:p w:rsidR="00FD4C56" w:rsidRPr="000E1D4B" w:rsidRDefault="00FD4C56" w:rsidP="00235D46">
                            <w:pPr>
                              <w:pStyle w:val="HStandard"/>
                              <w:numPr>
                                <w:ilvl w:val="0"/>
                                <w:numId w:val="24"/>
                              </w:numPr>
                              <w:ind w:left="567" w:hanging="567"/>
                              <w:rPr>
                                <w:sz w:val="18"/>
                                <w:szCs w:val="18"/>
                              </w:rPr>
                            </w:pPr>
                            <w:r>
                              <w:rPr>
                                <w:sz w:val="18"/>
                                <w:szCs w:val="18"/>
                              </w:rPr>
                              <w:t>potporom za aktivnosti suradnje u fazi pripreme i provedbe.</w:t>
                            </w:r>
                          </w:p>
                          <w:p w:rsidR="00FD4C56" w:rsidRPr="00AB16BB" w:rsidRDefault="00FD4C56" w:rsidP="00AB16BB">
                            <w:pPr>
                              <w:pStyle w:val="HSource"/>
                              <w:spacing w:before="0" w:after="0"/>
                              <w:ind w:right="11"/>
                              <w:jc w:val="right"/>
                              <w:rPr>
                                <w:rFonts w:eastAsia="Calibri"/>
                                <w:sz w:val="14"/>
                                <w:szCs w:val="14"/>
                              </w:rPr>
                            </w:pPr>
                            <w:r>
                              <w:rPr>
                                <w:sz w:val="14"/>
                                <w:szCs w:val="14"/>
                              </w:rPr>
                              <w:t xml:space="preserve">Izvor: EMRR (2016.) </w:t>
                            </w:r>
                          </w:p>
                          <w:p w:rsidR="00FD4C56" w:rsidRPr="00AB16BB" w:rsidRDefault="00FD4C56" w:rsidP="00AB16BB">
                            <w:pPr>
                              <w:pStyle w:val="HSource"/>
                              <w:spacing w:before="0" w:after="0"/>
                              <w:ind w:right="11"/>
                              <w:jc w:val="right"/>
                              <w:rPr>
                                <w:sz w:val="14"/>
                                <w:szCs w:val="14"/>
                              </w:rPr>
                            </w:pPr>
                            <w:r>
                              <w:rPr>
                                <w:sz w:val="14"/>
                                <w:szCs w:val="14"/>
                              </w:rPr>
                              <w:t>Radionica o mjeri suradnje M 16</w:t>
                            </w:r>
                            <w:r w:rsidRPr="0005568E">
                              <w:rPr>
                                <w:sz w:val="18"/>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7.5pt;margin-top:60pt;width:453.8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61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" adj="-11796480,,5400" path="m312484,l5763260,r,l5763260,6307391v,172580,-139904,312484,-312484,312484l,6619875r,l,312484c,139904,139904,,312484,xe" filled="f" strokecolor="#f07e31" strokeweight="2pt">
                <v:stroke joinstyle="miter"/>
                <v:formulas/>
                <v:path arrowok="t" o:connecttype="custom" o:connectlocs="312484,0;5763260,0;5763260,0;5763260,6307391;5450776,6619875;0,6619875;0,6619875;0,312484;312484,0" o:connectangles="0,0,0,0,0,0,0,0,0" textboxrect="0,0,5763260,6619875"/>
                <v:textbox>
                  <w:txbxContent>
                    <w:p w:rsidR="00FD4C56" w:rsidRPr="007B4A6D" w:rsidRDefault="00FD4C56" w:rsidP="00E05D08">
                      <w:pPr>
                        <w:pStyle w:val="HStandard"/>
                        <w:ind w:left="567" w:hanging="567"/>
                        <w:rPr>
                          <w:b/>
                          <w:color w:val="648659"/>
                          <w:sz w:val="18"/>
                          <w:szCs w:val="18"/>
                        </w:rPr>
                      </w:pPr>
                      <w:r>
                        <w:rPr>
                          <w:noProof/>
                          <w:sz w:val="18"/>
                          <w:szCs w:val="18"/>
                          <w:lang w:val="en-GB" w:eastAsia="en-GB"/>
                        </w:rPr>
                        <w:drawing>
                          <wp:inline distT="0" distB="0" distL="0" distR="0" wp14:anchorId="74B4A279" wp14:editId="50C9F770">
                            <wp:extent cx="353060" cy="359410"/>
                            <wp:effectExtent l="0" t="0" r="8890" b="2540"/>
                            <wp:docPr id="1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Primjer: mjere suradnje koje se upotrebljavaju za bolje upravljanje okolišem</w:t>
                      </w:r>
                    </w:p>
                    <w:p w:rsidR="00FD4C56" w:rsidRPr="007B4A6D" w:rsidRDefault="00FD4C56" w:rsidP="00E05D08">
                      <w:pPr>
                        <w:pStyle w:val="HStandard"/>
                        <w:rPr>
                          <w:sz w:val="18"/>
                          <w:szCs w:val="18"/>
                        </w:rPr>
                      </w:pPr>
                      <w:r>
                        <w:rPr>
                          <w:sz w:val="18"/>
                          <w:szCs w:val="18"/>
                        </w:rPr>
                        <w:t>Finska – M16 dopunjuje ostale mjere PRR-a kako bi se postigli ciljevi prioriteta P4 i P5:</w:t>
                      </w:r>
                    </w:p>
                    <w:p w:rsidR="00FD4C56" w:rsidRPr="00055039" w:rsidRDefault="00FD4C56" w:rsidP="008C0B17">
                      <w:pPr>
                        <w:pStyle w:val="HStandard"/>
                        <w:numPr>
                          <w:ilvl w:val="0"/>
                          <w:numId w:val="24"/>
                        </w:numPr>
                        <w:ind w:left="567" w:hanging="567"/>
                        <w:rPr>
                          <w:sz w:val="18"/>
                          <w:szCs w:val="18"/>
                        </w:rPr>
                      </w:pPr>
                      <w:r>
                        <w:rPr>
                          <w:sz w:val="18"/>
                          <w:szCs w:val="18"/>
                        </w:rPr>
                        <w:t>58 % mjere M16 te dijelovi mjera M1 i M2 upotrebljavaju se za promicanje energetske učinkovitosti;</w:t>
                      </w:r>
                    </w:p>
                    <w:p w:rsidR="00FD4C56" w:rsidRPr="00D66182" w:rsidRDefault="00FD4C56" w:rsidP="008C0B17">
                      <w:pPr>
                        <w:pStyle w:val="HStandard"/>
                        <w:numPr>
                          <w:ilvl w:val="0"/>
                          <w:numId w:val="24"/>
                        </w:numPr>
                        <w:ind w:left="567" w:hanging="567"/>
                        <w:rPr>
                          <w:sz w:val="18"/>
                          <w:szCs w:val="18"/>
                        </w:rPr>
                      </w:pPr>
                      <w:r>
                        <w:rPr>
                          <w:sz w:val="18"/>
                          <w:szCs w:val="18"/>
                        </w:rPr>
                        <w:t>49 % mjere M16 te dijelovi mjera M1 i M2 upotrebljavaju se za sekvestraciju i pohranu ugljika;</w:t>
                      </w:r>
                    </w:p>
                    <w:p w:rsidR="00FD4C56" w:rsidRPr="000E1D4B" w:rsidRDefault="00FD4C56" w:rsidP="008C0B17">
                      <w:pPr>
                        <w:pStyle w:val="HStandard"/>
                        <w:numPr>
                          <w:ilvl w:val="0"/>
                          <w:numId w:val="24"/>
                        </w:numPr>
                        <w:ind w:left="567" w:hanging="567"/>
                        <w:rPr>
                          <w:sz w:val="18"/>
                          <w:szCs w:val="18"/>
                        </w:rPr>
                      </w:pPr>
                      <w:r>
                        <w:rPr>
                          <w:sz w:val="18"/>
                          <w:szCs w:val="18"/>
                        </w:rPr>
                        <w:t>10 % mjere M16, 84 % mjere M4 te dijelovi mjera M1 i M2 upotrebljavaju se za upravljanje obnovljivim izvorima i gospodarenje otpadom;</w:t>
                      </w:r>
                    </w:p>
                    <w:p w:rsidR="00FD4C56" w:rsidRPr="000E1D4B" w:rsidRDefault="00FD4C56" w:rsidP="008C0B17">
                      <w:pPr>
                        <w:pStyle w:val="HStandard"/>
                        <w:numPr>
                          <w:ilvl w:val="0"/>
                          <w:numId w:val="24"/>
                        </w:numPr>
                        <w:ind w:left="567" w:hanging="567"/>
                        <w:rPr>
                          <w:sz w:val="18"/>
                          <w:szCs w:val="18"/>
                        </w:rPr>
                      </w:pPr>
                      <w:r>
                        <w:rPr>
                          <w:sz w:val="18"/>
                          <w:szCs w:val="18"/>
                        </w:rPr>
                        <w:t>5,5 % mjere M16, 89 % mjere M4 te dijelovi mjera M1 i M2 upotrebljavaju se za smanjenje emisija stakleničkih plinova i amonijaka.</w:t>
                      </w:r>
                    </w:p>
                    <w:p w:rsidR="00FD4C56" w:rsidRPr="000E1D4B" w:rsidRDefault="00FD4C56" w:rsidP="00E05D08">
                      <w:pPr>
                        <w:pStyle w:val="HStandard"/>
                        <w:rPr>
                          <w:sz w:val="18"/>
                          <w:szCs w:val="18"/>
                        </w:rPr>
                      </w:pPr>
                      <w:r>
                        <w:rPr>
                          <w:sz w:val="18"/>
                          <w:szCs w:val="18"/>
                        </w:rPr>
                        <w:t>Podmjere suradnje (npr. M16.2: potpora za pilot-projekte, M16.5: potpora za zajedničke aktivnosti koje se poduzimaju radi prilagodbe klimatskim promjenama ili njihova ublažavanja te za zajedničke pristupe projektima zaštite okoliša i tekućim praksama zaštite okoliša) prvenstveno imaju učinak na žarišna područja 4.A – C i 5.A – E.</w:t>
                      </w:r>
                    </w:p>
                    <w:p w:rsidR="00FD4C56" w:rsidRPr="00AB16BB" w:rsidRDefault="00FD4C56" w:rsidP="00AB16BB">
                      <w:pPr>
                        <w:pStyle w:val="HSource"/>
                        <w:ind w:right="8"/>
                        <w:jc w:val="right"/>
                        <w:rPr>
                          <w:rFonts w:eastAsia="Calibri"/>
                          <w:sz w:val="14"/>
                          <w:szCs w:val="14"/>
                        </w:rPr>
                      </w:pPr>
                      <w:r>
                        <w:rPr>
                          <w:sz w:val="14"/>
                          <w:szCs w:val="14"/>
                        </w:rPr>
                        <w:t>Izvor: EMRR (2016.). Radionica o mjeri suradnje M 16</w:t>
                      </w:r>
                      <w:r w:rsidRPr="0005568E">
                        <w:rPr>
                          <w:sz w:val="18"/>
                          <w:szCs w:val="14"/>
                          <w:vertAlign w:val="superscript"/>
                        </w:rPr>
                        <w:t>54</w:t>
                      </w:r>
                      <w:r>
                        <w:rPr>
                          <w:sz w:val="14"/>
                          <w:szCs w:val="14"/>
                        </w:rPr>
                        <w:t>.</w:t>
                      </w:r>
                    </w:p>
                    <w:p w:rsidR="00FD4C56" w:rsidRPr="007B4A6D" w:rsidRDefault="00FD4C56" w:rsidP="00235D46">
                      <w:pPr>
                        <w:pStyle w:val="HStandard"/>
                        <w:spacing w:after="0"/>
                        <w:ind w:left="567" w:hanging="567"/>
                        <w:rPr>
                          <w:b/>
                          <w:sz w:val="18"/>
                          <w:szCs w:val="18"/>
                        </w:rPr>
                      </w:pPr>
                      <w:r>
                        <w:rPr>
                          <w:b/>
                          <w:color w:val="F07E31"/>
                          <w:sz w:val="18"/>
                          <w:szCs w:val="18"/>
                        </w:rPr>
                        <w:t>Primjer:</w:t>
                      </w:r>
                      <w:r>
                        <w:rPr>
                          <w:color w:val="F07E31"/>
                          <w:sz w:val="18"/>
                          <w:szCs w:val="18"/>
                        </w:rPr>
                        <w:t xml:space="preserve"> </w:t>
                      </w:r>
                      <w:r>
                        <w:rPr>
                          <w:b/>
                          <w:color w:val="F07E31"/>
                          <w:sz w:val="18"/>
                          <w:szCs w:val="18"/>
                        </w:rPr>
                        <w:t>povezivanje istraživača i poljoprivrednika</w:t>
                      </w:r>
                      <w:r>
                        <w:rPr>
                          <w:color w:val="F07E31"/>
                          <w:sz w:val="18"/>
                          <w:szCs w:val="18"/>
                        </w:rPr>
                        <w:t xml:space="preserve"> </w:t>
                      </w:r>
                    </w:p>
                    <w:p w:rsidR="00FD4C56" w:rsidRPr="00D66182" w:rsidRDefault="00FD4C56" w:rsidP="00235D46">
                      <w:pPr>
                        <w:pStyle w:val="HStandard"/>
                        <w:rPr>
                          <w:sz w:val="18"/>
                          <w:szCs w:val="18"/>
                        </w:rPr>
                      </w:pPr>
                      <w:r>
                        <w:rPr>
                          <w:sz w:val="18"/>
                          <w:szCs w:val="18"/>
                        </w:rPr>
                        <w:t xml:space="preserve">Belgija – inovativni obor za svinje pomaže u smanjenju emisija amonijaka. Povezivanje istraživača i poljoprivrednika u okviru usluga potpore inovacijama bilo je ključno u razvoju i ispitivanju tih tehnika za smanjenje emisija amonijaka dodavanjem specifičnih bakterija u svinjski gnoj. To je pridonijelo i ostvarenju okolišnih ciljeva PRR-a. </w:t>
                      </w:r>
                    </w:p>
                    <w:p w:rsidR="00FD4C56" w:rsidRPr="00AB16BB" w:rsidRDefault="00FD4C56" w:rsidP="00AB16BB">
                      <w:pPr>
                        <w:pStyle w:val="HStandard"/>
                        <w:jc w:val="right"/>
                        <w:rPr>
                          <w:sz w:val="14"/>
                          <w:szCs w:val="14"/>
                          <w:vertAlign w:val="superscript"/>
                        </w:rPr>
                      </w:pPr>
                      <w:r>
                        <w:rPr>
                          <w:i/>
                          <w:sz w:val="14"/>
                          <w:szCs w:val="14"/>
                        </w:rPr>
                        <w:t>Izvor: EPI – uslužna točka</w:t>
                      </w:r>
                      <w:r w:rsidRPr="0005568E">
                        <w:rPr>
                          <w:i/>
                          <w:sz w:val="18"/>
                          <w:szCs w:val="14"/>
                          <w:vertAlign w:val="superscript"/>
                        </w:rPr>
                        <w:t>55</w:t>
                      </w:r>
                    </w:p>
                    <w:p w:rsidR="00FD4C56" w:rsidRPr="007B4A6D" w:rsidRDefault="00FD4C56" w:rsidP="00235D46">
                      <w:pPr>
                        <w:pStyle w:val="HStandard"/>
                        <w:rPr>
                          <w:b/>
                          <w:color w:val="F07E31"/>
                          <w:sz w:val="18"/>
                          <w:szCs w:val="18"/>
                        </w:rPr>
                      </w:pPr>
                      <w:r>
                        <w:rPr>
                          <w:b/>
                          <w:color w:val="F07E31"/>
                          <w:sz w:val="18"/>
                          <w:szCs w:val="18"/>
                        </w:rPr>
                        <w:t xml:space="preserve">Primjer: usluge potpore inovacijama </w:t>
                      </w:r>
                    </w:p>
                    <w:p w:rsidR="00FD4C56" w:rsidRPr="007B4A6D" w:rsidRDefault="00FD4C56" w:rsidP="00235D46">
                      <w:pPr>
                        <w:pStyle w:val="HStandard"/>
                        <w:spacing w:after="0"/>
                        <w:rPr>
                          <w:b/>
                          <w:sz w:val="18"/>
                          <w:szCs w:val="18"/>
                        </w:rPr>
                      </w:pPr>
                      <w:r>
                        <w:rPr>
                          <w:sz w:val="18"/>
                          <w:szCs w:val="18"/>
                        </w:rPr>
                        <w:t>Hessen (DE) – usluge potpore inovacijama pomogle su u izgradnji inovacijskog kapaciteta:</w:t>
                      </w:r>
                    </w:p>
                    <w:p w:rsidR="00FD4C56" w:rsidRPr="00055039" w:rsidRDefault="00FD4C56" w:rsidP="00235D46">
                      <w:pPr>
                        <w:pStyle w:val="HStandard"/>
                        <w:numPr>
                          <w:ilvl w:val="0"/>
                          <w:numId w:val="24"/>
                        </w:numPr>
                        <w:ind w:left="567" w:hanging="567"/>
                        <w:rPr>
                          <w:sz w:val="18"/>
                          <w:szCs w:val="18"/>
                        </w:rPr>
                      </w:pPr>
                      <w:r>
                        <w:rPr>
                          <w:sz w:val="18"/>
                          <w:szCs w:val="18"/>
                        </w:rPr>
                        <w:t>potporom u provedbi mjere M16,</w:t>
                      </w:r>
                    </w:p>
                    <w:p w:rsidR="00FD4C56" w:rsidRPr="00D66182" w:rsidRDefault="00FD4C56" w:rsidP="00235D46">
                      <w:pPr>
                        <w:pStyle w:val="HStandard"/>
                        <w:numPr>
                          <w:ilvl w:val="0"/>
                          <w:numId w:val="24"/>
                        </w:numPr>
                        <w:ind w:left="567" w:hanging="567"/>
                        <w:rPr>
                          <w:sz w:val="18"/>
                          <w:szCs w:val="18"/>
                        </w:rPr>
                      </w:pPr>
                      <w:r>
                        <w:rPr>
                          <w:sz w:val="18"/>
                          <w:szCs w:val="18"/>
                        </w:rPr>
                        <w:t>informiranjem i promidžbom u regiji,</w:t>
                      </w:r>
                    </w:p>
                    <w:p w:rsidR="00FD4C56" w:rsidRPr="000E1D4B" w:rsidRDefault="00FD4C56" w:rsidP="00235D46">
                      <w:pPr>
                        <w:pStyle w:val="HStandard"/>
                        <w:numPr>
                          <w:ilvl w:val="0"/>
                          <w:numId w:val="24"/>
                        </w:numPr>
                        <w:ind w:left="567" w:hanging="567"/>
                        <w:rPr>
                          <w:sz w:val="18"/>
                          <w:szCs w:val="18"/>
                        </w:rPr>
                      </w:pPr>
                      <w:r>
                        <w:rPr>
                          <w:sz w:val="18"/>
                          <w:szCs w:val="18"/>
                        </w:rPr>
                        <w:t>umrežavanjem aktivnosti suradnje u Hessenu u Njemačkoj,</w:t>
                      </w:r>
                    </w:p>
                    <w:p w:rsidR="00FD4C56" w:rsidRPr="000E1D4B" w:rsidRDefault="00FD4C56" w:rsidP="00235D46">
                      <w:pPr>
                        <w:pStyle w:val="HStandard"/>
                        <w:numPr>
                          <w:ilvl w:val="0"/>
                          <w:numId w:val="24"/>
                        </w:numPr>
                        <w:ind w:left="567" w:hanging="567"/>
                        <w:rPr>
                          <w:sz w:val="18"/>
                          <w:szCs w:val="18"/>
                        </w:rPr>
                      </w:pPr>
                      <w:r>
                        <w:rPr>
                          <w:sz w:val="18"/>
                          <w:szCs w:val="18"/>
                        </w:rPr>
                        <w:t>potporom za aktivnosti suradnje u fazi pripreme i provedbe.</w:t>
                      </w:r>
                    </w:p>
                    <w:p w:rsidR="00FD4C56" w:rsidRPr="00AB16BB" w:rsidRDefault="00FD4C56" w:rsidP="00AB16BB">
                      <w:pPr>
                        <w:pStyle w:val="HSource"/>
                        <w:spacing w:before="0" w:after="0"/>
                        <w:ind w:right="11"/>
                        <w:jc w:val="right"/>
                        <w:rPr>
                          <w:rFonts w:eastAsia="Calibri"/>
                          <w:sz w:val="14"/>
                          <w:szCs w:val="14"/>
                        </w:rPr>
                      </w:pPr>
                      <w:r>
                        <w:rPr>
                          <w:sz w:val="14"/>
                          <w:szCs w:val="14"/>
                        </w:rPr>
                        <w:t xml:space="preserve">Izvor: EMRR (2016.) </w:t>
                      </w:r>
                    </w:p>
                    <w:p w:rsidR="00FD4C56" w:rsidRPr="00AB16BB" w:rsidRDefault="00FD4C56" w:rsidP="00AB16BB">
                      <w:pPr>
                        <w:pStyle w:val="HSource"/>
                        <w:spacing w:before="0" w:after="0"/>
                        <w:ind w:right="11"/>
                        <w:jc w:val="right"/>
                        <w:rPr>
                          <w:sz w:val="14"/>
                          <w:szCs w:val="14"/>
                        </w:rPr>
                      </w:pPr>
                      <w:r>
                        <w:rPr>
                          <w:sz w:val="14"/>
                          <w:szCs w:val="14"/>
                        </w:rPr>
                        <w:t>Radionica o mjeri suradnje M 16</w:t>
                      </w:r>
                      <w:r w:rsidRPr="0005568E">
                        <w:rPr>
                          <w:sz w:val="18"/>
                          <w:szCs w:val="14"/>
                          <w:vertAlign w:val="superscript"/>
                        </w:rPr>
                        <w:t>56</w:t>
                      </w:r>
                      <w:r>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Specifični izazovi </w:t>
      </w:r>
    </w:p>
    <w:p w:rsidR="00A45935" w:rsidRPr="00183E9B" w:rsidRDefault="00A45935" w:rsidP="00AB16BB">
      <w:pPr>
        <w:pStyle w:val="Hlistbullet"/>
      </w:pPr>
      <w:r>
        <w:rPr>
          <w:shd w:val="clear" w:color="auto" w:fill="FFFFFF"/>
        </w:rPr>
        <w:t xml:space="preserve">Razvoj dodatnih evaluacijskih elemenata i evaluacijskih elemenata specifičnih za pojedine programe: </w:t>
      </w:r>
      <w:r>
        <w:rPr>
          <w:color w:val="545454"/>
          <w:shd w:val="clear" w:color="auto" w:fill="FFFFFF"/>
        </w:rPr>
        <w:t xml:space="preserve">ZEP br. 2 povezan je samo s jednim zajedničkim ciljnim pokazateljem (T2: </w:t>
      </w:r>
      <w:r>
        <w:t xml:space="preserve">ukupan broj operacija suradnje za koje je dodijeljena potpora u okviru mjere suradnje), </w:t>
      </w:r>
      <w:r>
        <w:rPr>
          <w:color w:val="545454"/>
          <w:shd w:val="clear" w:color="auto" w:fill="FFFFFF"/>
        </w:rPr>
        <w:t>što možda neće biti dostatno za odgovaranje na ZEP.</w:t>
      </w:r>
    </w:p>
    <w:p w:rsidR="00A45935" w:rsidRPr="00183E9B" w:rsidRDefault="00A45935" w:rsidP="00AB16BB">
      <w:pPr>
        <w:pStyle w:val="Hlistbullet"/>
        <w:rPr>
          <w:rFonts w:eastAsia="Calibri"/>
          <w:shd w:val="clear" w:color="auto" w:fill="FFFFFF"/>
        </w:rPr>
      </w:pPr>
      <w:r>
        <w:rPr>
          <w:b/>
          <w:shd w:val="clear" w:color="auto" w:fill="FFFFFF"/>
        </w:rPr>
        <w:lastRenderedPageBreak/>
        <w:t xml:space="preserve">Pripisivanje uočenih promjena </w:t>
      </w:r>
      <w:r>
        <w:rPr>
          <w:shd w:val="clear" w:color="auto" w:fill="FFFFFF"/>
        </w:rPr>
        <w:t>poveznicama između</w:t>
      </w:r>
      <w:r>
        <w:rPr>
          <w:b/>
          <w:shd w:val="clear" w:color="auto" w:fill="FFFFFF"/>
        </w:rPr>
        <w:t xml:space="preserve"> </w:t>
      </w:r>
      <w:r>
        <w:rPr>
          <w:shd w:val="clear" w:color="auto" w:fill="FFFFFF"/>
        </w:rPr>
        <w:t xml:space="preserve">poljoprivrede, šumarstva te istraživanja i inovacija. Riječ je o promjenama koje su povezane s upravljanjem okolišem i okolišnom učinkovitosti, mjerom suradnje M16 i njezinim doprinosom postizanju ciljeva PRR-a. </w:t>
      </w:r>
    </w:p>
    <w:p w:rsidR="00A45935" w:rsidRPr="00183E9B" w:rsidRDefault="00A45935" w:rsidP="00AB16BB">
      <w:pPr>
        <w:pStyle w:val="Hlistbullet"/>
        <w:rPr>
          <w:rFonts w:eastAsia="Calibri"/>
          <w:shd w:val="clear" w:color="auto" w:fill="FFFFFF"/>
        </w:rPr>
      </w:pPr>
      <w:r>
        <w:rPr>
          <w:b/>
          <w:shd w:val="clear" w:color="auto" w:fill="FFFFFF"/>
        </w:rPr>
        <w:t xml:space="preserve">Obuhvaćanje doprinosa mjera koje nisu programirane u u okviru žarišnog područja 1.B nego u druge žarišna područja </w:t>
      </w:r>
      <w:r>
        <w:rPr>
          <w:shd w:val="clear" w:color="auto" w:fill="FFFFFF"/>
        </w:rPr>
        <w:t>(uključujući podmjere mjere M16) koji su osmišljeni za jačanje poveznica između</w:t>
      </w:r>
      <w:r>
        <w:rPr>
          <w:b/>
          <w:shd w:val="clear" w:color="auto" w:fill="FFFFFF"/>
        </w:rPr>
        <w:t xml:space="preserve"> </w:t>
      </w:r>
      <w:r>
        <w:rPr>
          <w:shd w:val="clear" w:color="auto" w:fill="FFFFFF"/>
        </w:rPr>
        <w:t xml:space="preserve">poljoprivrede, šumarstva te istraživanja i inovacija, točnije onih koji su povezani s upravljanjem okolišem i okolišnom učinkovitosti.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Pristup predložen za odgovaranje na ZEP br.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Logika intervencije </w:t>
      </w:r>
    </w:p>
    <w:p w:rsidR="00A45935" w:rsidRPr="00E05D08" w:rsidRDefault="00A45935" w:rsidP="00E05D08">
      <w:pPr>
        <w:spacing w:after="120" w:line="280" w:lineRule="atLeast"/>
        <w:mirrorIndents/>
        <w:rPr>
          <w:rFonts w:eastAsia="Times New Roman" w:cs="Times New Roman"/>
          <w:szCs w:val="20"/>
        </w:rPr>
      </w:pPr>
      <w:r>
        <w:t xml:space="preserve">U primjeru u nastavku logika intervencija povezana sa ZEP-om br. 2 sastoji se od podmjera mjere M16 u obliku u kojem su programirane u okviru žarišnog područja 1.B ili drugih žarišnih područja koja pridonose ciljevima žarišnog područja 1.B. </w:t>
      </w:r>
    </w:p>
    <w:p w:rsidR="00A45935" w:rsidRPr="00E05D08" w:rsidRDefault="00A45935" w:rsidP="00E05D08">
      <w:pPr>
        <w:spacing w:after="120" w:line="280" w:lineRule="atLeast"/>
        <w:mirrorIndents/>
        <w:rPr>
          <w:rFonts w:eastAsia="Times New Roman" w:cs="Times New Roman"/>
          <w:szCs w:val="20"/>
        </w:rPr>
      </w:pPr>
      <w:r>
        <w:t xml:space="preserve">Moguća početna točka za preispitivanje logike intervencije analitička je provjera inovacijskog potencijala podmjera mjere M16 za poticanje inovacija putem triju putanja. </w:t>
      </w:r>
    </w:p>
    <w:p w:rsidR="00A45935" w:rsidRPr="00BC5B1D" w:rsidRDefault="00BE1F31" w:rsidP="00547012">
      <w:pPr>
        <w:pStyle w:val="HHeadingfigures"/>
      </w:pPr>
      <w:bookmarkStart w:id="113" w:name="_Toc508981151"/>
      <w:r>
        <w:t>Primjer inovacijskog potencijala svake podmjere mjere M16</w:t>
      </w:r>
      <w:bookmarkEnd w:id="113"/>
    </w:p>
    <w:p w:rsidR="00A45935" w:rsidRPr="00E05D08" w:rsidRDefault="00783963" w:rsidP="002C2C15">
      <w:pPr>
        <w:spacing w:after="120" w:line="280" w:lineRule="atLeast"/>
        <w:mirrorIndents/>
        <w:jc w:val="center"/>
        <w:rPr>
          <w:rFonts w:eastAsia="Times New Roman" w:cs="Times New Roman"/>
          <w:szCs w:val="20"/>
          <w:lang w:eastAsia="de-DE"/>
        </w:rPr>
      </w:pPr>
      <w:r w:rsidRPr="00783963">
        <w:rPr>
          <w:noProof/>
          <w:lang w:val="en-GB" w:eastAsia="en-GB"/>
        </w:rPr>
        <w:drawing>
          <wp:inline distT="0" distB="0" distL="0" distR="0" wp14:anchorId="3EB0A9B5" wp14:editId="1A6B4C03">
            <wp:extent cx="5598543" cy="317068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02784" cy="3173086"/>
                    </a:xfrm>
                    <a:prstGeom prst="rect">
                      <a:avLst/>
                    </a:prstGeom>
                    <a:noFill/>
                    <a:ln>
                      <a:noFill/>
                    </a:ln>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Izvor: Europska služba za podršku evaluaciji ruralnog razvoja, 2017.</w:t>
      </w:r>
    </w:p>
    <w:p w:rsidR="00A45935" w:rsidRDefault="00647766" w:rsidP="00E05D08">
      <w:pPr>
        <w:spacing w:after="120" w:line="280" w:lineRule="atLeast"/>
        <w:mirrorIndents/>
      </w:pPr>
      <w:r>
        <w:t>Osim toga, sve podmjere mjere M16 programirane u okviru žarišnih područja koja nisu žarišno područje 1.B trebaju se uključiti u ocjenu postignuća aspekata ZEP-a br. 2 koji su povezani s inovacijama. Primjerice, ako je M16.1 programiran u okviru žarišnog područja 2.A, doprinosi poveznicama među poljoprivrednicima, istraživačima i savjetnicima za inovacije mogu se razmatrati u ocjeni ZEP-a br. 2.</w:t>
      </w:r>
    </w:p>
    <w:p w:rsidR="006F111F" w:rsidRDefault="006F111F" w:rsidP="00E05D08">
      <w:pPr>
        <w:spacing w:after="120" w:line="280" w:lineRule="atLeast"/>
        <w:mirrorIndents/>
      </w:pPr>
    </w:p>
    <w:p w:rsidR="006F111F" w:rsidRDefault="006F111F" w:rsidP="00E05D08">
      <w:pPr>
        <w:spacing w:after="120" w:line="280" w:lineRule="atLeast"/>
        <w:mirrorIndents/>
      </w:pPr>
    </w:p>
    <w:p w:rsidR="006F111F" w:rsidRDefault="006F111F" w:rsidP="00E05D08">
      <w:pPr>
        <w:spacing w:after="120" w:line="280" w:lineRule="atLeast"/>
        <w:mirrorIndents/>
      </w:pPr>
    </w:p>
    <w:p w:rsidR="006F111F" w:rsidRDefault="006F111F" w:rsidP="00E05D08">
      <w:pPr>
        <w:spacing w:after="120" w:line="280" w:lineRule="atLeast"/>
        <w:mirrorIndents/>
      </w:pPr>
    </w:p>
    <w:p w:rsidR="006F111F" w:rsidRDefault="006F111F" w:rsidP="00E05D08">
      <w:pPr>
        <w:spacing w:after="120" w:line="280" w:lineRule="atLeast"/>
        <w:mirrorIndents/>
      </w:pPr>
    </w:p>
    <w:p w:rsidR="006F111F" w:rsidRDefault="006F111F" w:rsidP="00E05D08">
      <w:pPr>
        <w:spacing w:after="120" w:line="280" w:lineRule="atLeast"/>
        <w:mirrorIndents/>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1312" behindDoc="0" locked="0" layoutInCell="1" allowOverlap="1" wp14:anchorId="0187B8F4" wp14:editId="6D4D0473">
                <wp:simplePos x="0" y="0"/>
                <wp:positionH relativeFrom="column">
                  <wp:posOffset>-47625</wp:posOffset>
                </wp:positionH>
                <wp:positionV relativeFrom="paragraph">
                  <wp:posOffset>499110</wp:posOffset>
                </wp:positionV>
                <wp:extent cx="5733415" cy="1990725"/>
                <wp:effectExtent l="0" t="0" r="19685" b="28575"/>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90725"/>
                        </a:xfrm>
                        <a:prstGeom prst="round2DiagRect">
                          <a:avLst>
                            <a:gd name="adj1" fmla="val 11556"/>
                            <a:gd name="adj2" fmla="val 0"/>
                          </a:avLst>
                        </a:prstGeom>
                        <a:noFill/>
                        <a:ln w="25400" cap="flat" cmpd="sng" algn="ctr">
                          <a:solidFill>
                            <a:srgbClr val="F07E31"/>
                          </a:solidFill>
                          <a:prstDash val="solid"/>
                        </a:ln>
                        <a:effectLst/>
                      </wps:spPr>
                      <wps:txbx>
                        <w:txbxContent>
                          <w:p w:rsidR="00FD4C56" w:rsidRPr="00A10ACC" w:rsidRDefault="00FD4C56"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Primjer pokazuje inovacijski potencijal podmjera mjere M16 (u obliku u kojem mogu biti programirane u okviru bilo kojeg žarišnog područja ruralnog razvoja) koje pridonose cilju politike žarišnog područja 1.B. Iako svih deset podmjera mjere M16 pridonose jačanju poveznica između poljoprivrede, proizvodnje hrane, šumarstva te istraživanja i inovacija, samo podmjere 5, 6, 8 i 9 pokazuju potencijal da pridonesu jačanju tih poveznica u pogledu upravljanja okolišem i okolišne učinkovitosti. U kontekstu triju inovacijskih putanja podmjere 1, 5, 6, 7 i 8 potiču njegovanje inovativnih ideja (1. putanja). Podmjera 1 potiče i izgradnju kapaciteta i stvaranje poticajnnog okruženja (2. i 3. putanja).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3.75pt;margin-top:39.3pt;width:451.45pt;height:15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" adj="-11796480,,5400" path="m230048,l5733415,r,l5733415,1760677v,127052,-102996,230048,-230048,230048l,1990725r,l,230048c,102996,102996,,230048,xe" filled="f" strokecolor="#f07e31" strokeweight="2pt">
                <v:stroke joinstyle="miter"/>
                <v:formulas/>
                <v:path arrowok="t" o:connecttype="custom" o:connectlocs="230048,0;5733415,0;5733415,0;5733415,1760677;5503367,1990725;0,1990725;0,1990725;0,230048;230048,0" o:connectangles="0,0,0,0,0,0,0,0,0" textboxrect="0,0,5733415,1990725"/>
                <v:textbox>
                  <w:txbxContent>
                    <w:p w:rsidR="00FD4C56" w:rsidRPr="00A10ACC" w:rsidRDefault="00FD4C56" w:rsidP="00E05D08">
                      <w:pPr>
                        <w:pStyle w:val="HStandard"/>
                        <w:rPr>
                          <w:sz w:val="18"/>
                        </w:rPr>
                      </w:pPr>
                      <w:r>
                        <w:rPr>
                          <w:noProof/>
                          <w:lang w:val="en-GB"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Primjer pokazuje inovacijski potencijal podmjera mjere M16 (u obliku u kojem mogu biti programirane u okviru bilo kojeg žarišnog područja ruralnog razvoja) koje pridonose cilju politike žarišnog područja 1.B. Iako svih deset podmjera mjere M16 pridonose jačanju poveznica između poljoprivrede, proizvodnje hrane, šumarstva te istraživanja i inovacija, samo podmjere 5, 6, 8 i 9 pokazuju potencijal da pridonesu jačanju tih poveznica u pogledu upravljanja okolišem i okolišne učinkovitosti. U kontekstu triju inovacijskih putanja podmjere 1, 5, 6, 7 i 8 potiču njegovanje inovativnih ideja (1. putanja). Podmjera 1 potiče i izgradnju kapaciteta i stvaranje poticajnnog okruženja (2. i 3. putanja).</w:t>
                      </w:r>
                    </w:p>
                  </w:txbxContent>
                </v:textbox>
                <w10:wrap type="square"/>
              </v:shape>
            </w:pict>
          </mc:Fallback>
        </mc:AlternateContent>
      </w:r>
    </w:p>
    <w:p w:rsidR="006F111F" w:rsidRPr="00E05D08" w:rsidRDefault="006F111F" w:rsidP="00E05D08">
      <w:pPr>
        <w:spacing w:after="120" w:line="280" w:lineRule="atLeast"/>
        <w:mirrorIndents/>
        <w:rPr>
          <w:rFonts w:eastAsia="Times New Roman" w:cs="Times New Roman"/>
          <w:szCs w:val="20"/>
        </w:r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Evaluacijski elementi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Zajednički kriteriji prosudbe i pokazatelji za ZEP br. 2 ostaju na razini ostvarenja operacija provedenih u okviru mjere suradnje. Možda će trebati razviti dodatne kriterije prosudbe i pokazatelje kako bi se ocijenili rezultati tih mjera. U tablici u nastavku nalazi se popis kriterija prosudbe, pokazatelja i podataka potrebnih za odgovaranje na ZEP br. 2.</w:t>
      </w:r>
    </w:p>
    <w:p w:rsidR="00A45935" w:rsidRPr="009A2DAD" w:rsidRDefault="00A45935" w:rsidP="009A2DAD">
      <w:pPr>
        <w:pStyle w:val="HHeadingtables"/>
        <w:rPr>
          <w:color w:val="6F6F6F"/>
          <w:sz w:val="18"/>
          <w:szCs w:val="18"/>
        </w:rPr>
      </w:pPr>
      <w:bookmarkStart w:id="114" w:name="_Toc508981132"/>
      <w:r>
        <w:rPr>
          <w:color w:val="6F6F6F"/>
          <w:sz w:val="18"/>
          <w:szCs w:val="18"/>
        </w:rPr>
        <w:lastRenderedPageBreak/>
        <w:t>Kriteriji prosudbe, pokazatelji te potrebni podatci i izvori podataka</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Kriteriji prosudbe</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Pokazatelji</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Potrebni podatci</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Izvori podataka</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Zajednički evaluacijski elementi (ZSPE i elementi predloženi u radnom dokumentu „Zajednička evaluacijska pitanja za razdoblje 2014. – 2020.”)</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Uspostavljena je dugoročna suradnja između subjekata u poljoprivredi, šumarstvu i lancu opskrbe hranom te institucija za istraživanja i inovacije.</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T2: ukupan broj operacija suradnje za koje je dodijeljena potpora u okviru mjere suradnje (članak 35. Uredbe (EU) br. 1305/2013) (skupine, mreže/klasteri, pilot-projekti)</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Dodatni pokazatelj:</w:t>
            </w:r>
            <w:r>
              <w:rPr>
                <w:color w:val="57825E"/>
                <w:sz w:val="18"/>
                <w:szCs w:val="18"/>
              </w:rPr>
              <w:t xml:space="preserve"> broj i vrsta partnera uključenih u projekte suradnje, uključujući njihove uloge i odgovornosti</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Broj operacija EPI-ja (podatkovna stavka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Broj drugih operacija suradnje (skupine, mreže/klasteri, pilot-projekti) za koje će biti dodijeljena potpora u okviru mjere M16 „Suradnja” (podatkovna stavka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Vrsta i broj uključenih partnera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Sustav za praćenje PRR-a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Obrasci za prijavu korisnika (početak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Zahtjevi za plaćanje korisnika (kraj projekta)</w:t>
            </w:r>
          </w:p>
        </w:tc>
      </w:tr>
      <w:tr w:rsidR="00A45935" w:rsidRPr="00E05D08" w:rsidTr="005520BA">
        <w:tc>
          <w:tcPr>
            <w:tcW w:w="3578" w:type="dxa"/>
            <w:tcBorders>
              <w:top w:val="nil"/>
              <w:bottom w:val="single" w:sz="4" w:space="0" w:color="808080"/>
            </w:tcBorders>
          </w:tcPr>
          <w:p w:rsidR="00A45935" w:rsidRPr="00F86385" w:rsidRDefault="00A45935" w:rsidP="007E63EF">
            <w:pPr>
              <w:spacing w:after="120" w:line="280" w:lineRule="atLeast"/>
              <w:ind w:left="29" w:right="110"/>
              <w:mirrorIndents/>
              <w:jc w:val="left"/>
              <w:rPr>
                <w:rFonts w:cs="Arial"/>
                <w:sz w:val="18"/>
                <w:szCs w:val="18"/>
                <w:lang w:val="pl-PL"/>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Broj operacija za koje je dodijeljena potpora</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Ukupan broj operacija za koje je dodijeljena potpora</w:t>
            </w:r>
          </w:p>
          <w:p w:rsidR="00A45935" w:rsidRPr="00385368" w:rsidRDefault="00A45935" w:rsidP="007E63EF">
            <w:pPr>
              <w:spacing w:after="120" w:line="280" w:lineRule="atLeast"/>
              <w:ind w:left="11" w:right="12"/>
              <w:mirrorIndents/>
              <w:jc w:val="left"/>
              <w:rPr>
                <w:rFonts w:cs="Arial"/>
                <w:sz w:val="18"/>
                <w:szCs w:val="18"/>
              </w:rPr>
            </w:pPr>
            <w:r>
              <w:rPr>
                <w:sz w:val="18"/>
                <w:szCs w:val="18"/>
              </w:rPr>
              <w:t>Broj operacija suradnje za koje je dodijeljena potpora (O.16 + 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Sustav za praćenje PRR-a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Obrasci za prijavu korisnika (početak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Zahtjevi za plaćanje korisnika (kraj projekta)</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Provedene su operacije suradnje između subjekata u poljoprivredi, proizvodnji hrane, šumarstvu te istraživanju i inovacijama u svrhu boljeg upravljanja okolišem i okolišne učinkovitosti.</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T2: ukupan broj operacija suradnje za koje je dodijeljena potpora u okviru mjere suradnje (članak 35. Uredbe (EU) br. 1305/2013) (skupine, mreže/klasteri, pilot-projekti)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Dodatni pokazatelj:</w:t>
            </w:r>
            <w:r>
              <w:rPr>
                <w:color w:val="57825E"/>
                <w:sz w:val="18"/>
                <w:szCs w:val="18"/>
              </w:rPr>
              <w:t xml:space="preserve"> udio (%) operacija suradnje koje se nastavljaju nakon završetka potpore, uključujući u svrhu boljeg upravljanja okolišem i okolišne učinkovitosti</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Dodatni pokazatelj:</w:t>
            </w:r>
            <w:r>
              <w:rPr>
                <w:color w:val="57825E"/>
                <w:sz w:val="18"/>
                <w:szCs w:val="18"/>
              </w:rPr>
              <w:t xml:space="preserve"> broj i vrsta partnera </w:t>
            </w:r>
            <w:r>
              <w:rPr>
                <w:color w:val="57825E"/>
                <w:sz w:val="18"/>
                <w:szCs w:val="18"/>
              </w:rPr>
              <w:lastRenderedPageBreak/>
              <w:t>uključenih u projekte suradnje, uključujući njihove uloge i odgovornosti</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Broj operacija EPI-ja (podatkovna stavka O.16) koje se odnose na bolje upravljanje okolišem i okolišnu učinkovitost</w:t>
            </w:r>
          </w:p>
          <w:p w:rsidR="00A45935" w:rsidRPr="00385368" w:rsidRDefault="00A45935" w:rsidP="007E63EF">
            <w:pPr>
              <w:spacing w:after="120" w:line="280" w:lineRule="atLeast"/>
              <w:ind w:left="11" w:right="12"/>
              <w:mirrorIndents/>
              <w:jc w:val="left"/>
              <w:rPr>
                <w:rFonts w:cs="Arial"/>
                <w:sz w:val="18"/>
                <w:szCs w:val="18"/>
              </w:rPr>
            </w:pPr>
            <w:r>
              <w:rPr>
                <w:sz w:val="18"/>
                <w:szCs w:val="18"/>
              </w:rPr>
              <w:t>Broj drugih operacija suradnje (skupine, mreže/klasteri, pilot-projekti) za koje će biti dodijeljena potpora u okviru mjere M16 „Suradnja” (podatkovna stavka O.17), a koje se odnose na bolje upravljanje okolišem i okolišnu učinkovitost</w:t>
            </w:r>
          </w:p>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Vrsta i broj uključenih partnera</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Sustav za praćenje PRR-a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Obrasci za prijavu korisnika (početak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Zahtjevi za plaćanje korisnika (kraj projekta)</w:t>
            </w:r>
          </w:p>
        </w:tc>
      </w:tr>
      <w:tr w:rsidR="00A45935" w:rsidRPr="00E05D08" w:rsidTr="005520BA">
        <w:tc>
          <w:tcPr>
            <w:tcW w:w="3578" w:type="dxa"/>
            <w:tcBorders>
              <w:top w:val="single" w:sz="4" w:space="0" w:color="808080"/>
            </w:tcBorders>
          </w:tcPr>
          <w:p w:rsidR="00A45935" w:rsidRPr="00F86385" w:rsidRDefault="00A45935" w:rsidP="00E05D08">
            <w:pPr>
              <w:spacing w:after="120" w:line="280" w:lineRule="atLeast"/>
              <w:ind w:left="29" w:right="110"/>
              <w:mirrorIndents/>
              <w:rPr>
                <w:rFonts w:cs="Arial"/>
                <w:sz w:val="18"/>
                <w:szCs w:val="18"/>
                <w:lang w:val="pl-PL"/>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Broj operacija za koje je dodijeljena potpora</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Ukupan broj operacija za koje je dodijeljena potpora</w:t>
            </w:r>
          </w:p>
          <w:p w:rsidR="00A45935" w:rsidRPr="00385368" w:rsidRDefault="00A45935" w:rsidP="007E63EF">
            <w:pPr>
              <w:spacing w:after="120" w:line="280" w:lineRule="atLeast"/>
              <w:ind w:left="11" w:right="12"/>
              <w:mirrorIndents/>
              <w:jc w:val="left"/>
              <w:rPr>
                <w:rFonts w:cs="Arial"/>
                <w:sz w:val="18"/>
                <w:szCs w:val="18"/>
              </w:rPr>
            </w:pPr>
            <w:r>
              <w:rPr>
                <w:sz w:val="18"/>
                <w:szCs w:val="18"/>
              </w:rPr>
              <w:t>Broj operacija suradnje za koje je dodijeljena potpora (O.16 + 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Sustav za praćenje PRR-a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Obrasci za prijavu korisnika (početak projekta)</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Zahtjevi za plaćanje korisnika (kraj projekta)</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Dodatni evaluacijski elementi (neobvezno)</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Projekti suradnje poboljšali su inovacijski kapacitet, uključujući u području upravljanja okolišem i okolišne učinkovitosti.</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Broj i vrsta inovacija koje su stvorene projektima suradnje te, među njima, one koje su usmjerene na upravljanje okolišem i okolišnu učinkovitost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Broj stvorenih inovacija</w:t>
            </w:r>
          </w:p>
          <w:p w:rsidR="00A45935" w:rsidRPr="00385368" w:rsidRDefault="00A45935" w:rsidP="007E63EF">
            <w:pPr>
              <w:spacing w:after="120" w:line="280" w:lineRule="atLeast"/>
              <w:ind w:left="11" w:right="12"/>
              <w:mirrorIndents/>
              <w:jc w:val="left"/>
              <w:rPr>
                <w:rFonts w:cs="Arial"/>
                <w:sz w:val="18"/>
                <w:szCs w:val="18"/>
              </w:rPr>
            </w:pPr>
            <w:r>
              <w:rPr>
                <w:sz w:val="18"/>
                <w:szCs w:val="18"/>
              </w:rPr>
              <w:t>Broj inovacija za bolje upravljanje okolišem i okolišnu učinkovitost</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Ankete</w:t>
            </w:r>
          </w:p>
          <w:p w:rsidR="00A45935" w:rsidRPr="00385368" w:rsidRDefault="00A45935" w:rsidP="007E63EF">
            <w:pPr>
              <w:spacing w:after="120" w:line="280" w:lineRule="atLeast"/>
              <w:ind w:right="31"/>
              <w:mirrorIndents/>
              <w:jc w:val="left"/>
              <w:rPr>
                <w:rFonts w:cs="Arial"/>
                <w:sz w:val="18"/>
                <w:szCs w:val="18"/>
              </w:rPr>
            </w:pPr>
            <w:r>
              <w:rPr>
                <w:sz w:val="18"/>
                <w:szCs w:val="18"/>
              </w:rPr>
              <w:t>Razgovori i fokusne skupine sa sudionicima projekata suradnje</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Predložena evaluacijska metodologija </w:t>
      </w:r>
    </w:p>
    <w:p w:rsidR="00A45935" w:rsidRPr="00E05D08" w:rsidRDefault="00A45935" w:rsidP="00E05D08">
      <w:pPr>
        <w:spacing w:after="120" w:line="280" w:lineRule="atLeast"/>
        <w:mirrorIndents/>
        <w:rPr>
          <w:rFonts w:eastAsia="Times New Roman" w:cs="Times New Roman"/>
          <w:color w:val="F07E31"/>
          <w:szCs w:val="20"/>
          <w:u w:val="single"/>
        </w:rPr>
      </w:pPr>
      <w:r>
        <w:t xml:space="preserve">Izračun zajedničkih pokazatelja povezanih sa ZEP-om 2 opisan je u Prilogu 11. Smjernicama: </w:t>
      </w:r>
      <w:hyperlink r:id="rId51" w:history="1">
        <w:r>
          <w:rPr>
            <w:color w:val="F07E31"/>
            <w:szCs w:val="20"/>
            <w:u w:val="single"/>
          </w:rPr>
          <w:t>ocjena rezultata PRR-a: kako se pripremiti za izvješćivanje o evaluaciji u 2017.</w:t>
        </w:r>
      </w:hyperlink>
    </w:p>
    <w:p w:rsidR="00A45935" w:rsidRPr="00E05D08" w:rsidRDefault="00A45935" w:rsidP="00E05D08">
      <w:pPr>
        <w:spacing w:after="120" w:line="280" w:lineRule="atLeast"/>
        <w:mirrorIndents/>
        <w:rPr>
          <w:rFonts w:eastAsia="Times New Roman" w:cs="Times New Roman"/>
          <w:szCs w:val="20"/>
        </w:rPr>
      </w:pPr>
      <w:r>
        <w:t>Za ocjenu dijela ZEP-a br. 2 koji je povezan s inovacijama predlaže se sljedeće:</w:t>
      </w:r>
    </w:p>
    <w:p w:rsidR="00A45935" w:rsidRPr="008F1F04" w:rsidRDefault="00A45935" w:rsidP="00547012">
      <w:pPr>
        <w:pStyle w:val="Hlistbullet"/>
      </w:pPr>
      <w:r>
        <w:rPr>
          <w:b/>
        </w:rPr>
        <w:t xml:space="preserve">1. KORAK: </w:t>
      </w:r>
      <w:r>
        <w:t xml:space="preserve">utvrđivanje korisnika mjere M16 i njezinih podmjera u skladu s rezultatima utvrđivanja njihova inovacijskog potencijala (korisnici koji su proveli operacije kategorizirane kao inovativne). </w:t>
      </w:r>
    </w:p>
    <w:p w:rsidR="00A45935" w:rsidRPr="008F1F04" w:rsidRDefault="00A45935" w:rsidP="00547012">
      <w:pPr>
        <w:pStyle w:val="Hlistbullet"/>
      </w:pPr>
      <w:r>
        <w:rPr>
          <w:b/>
        </w:rPr>
        <w:t xml:space="preserve">2. KORAK: </w:t>
      </w:r>
      <w:r>
        <w:t xml:space="preserve">kvantifikacija pokazatelja ostvarenja i ciljnih pokazatelja, pri čemu se upotrebljavaju podatci o praćenju iz baza podataka operacija OS-ova u okviru PRR-a. Kako bi bazu podataka operacija upotrijebila za evaluaciju inovacija, upravljačka tijela mogu dodati i prikupiti podatkovne stavke povezane s OS-ovima i inovacijama. </w:t>
      </w:r>
    </w:p>
    <w:p w:rsidR="00A45935" w:rsidRPr="008F1F04" w:rsidRDefault="00A45935" w:rsidP="00547012">
      <w:pPr>
        <w:pStyle w:val="Hlistbullet"/>
      </w:pPr>
      <w:r>
        <w:rPr>
          <w:b/>
        </w:rPr>
        <w:t xml:space="preserve">3. KORAK: </w:t>
      </w:r>
      <w:r>
        <w:t>prikupljanje dokaza za odgovaranje na ZEP primjenom navedenih metoda. Sastavljanje pitanja otvorenog tipa za uporabu u metodama navedenima u tablici u nastavku (ankete, fokusne skupine i metoda Delphi), pri čemu se poštuju predloženi kriteriji prosudbe i pokazatelji te rezultati utvrđivanja inovacijskog potencijala.</w:t>
      </w:r>
    </w:p>
    <w:p w:rsidR="00A45935" w:rsidRPr="008F1F04" w:rsidRDefault="00A45935" w:rsidP="00547012">
      <w:pPr>
        <w:pStyle w:val="Hlistbullet"/>
      </w:pPr>
      <w:r>
        <w:rPr>
          <w:b/>
        </w:rPr>
        <w:t xml:space="preserve">4. KORAK: </w:t>
      </w:r>
      <w:r>
        <w:t>analiza i tumačenje prikupljenih dokaza te njihova uporaba za odgovaranje na ZEP br. 2 u dijelu u kojem se odnosi na jačanje poveznica u pogledu inovacija.</w:t>
      </w:r>
    </w:p>
    <w:p w:rsidR="00A45935" w:rsidRPr="00897804" w:rsidRDefault="00A45935" w:rsidP="00897804">
      <w:pPr>
        <w:pStyle w:val="HHeadingtables"/>
        <w:rPr>
          <w:color w:val="6F6F6F"/>
          <w:sz w:val="18"/>
          <w:szCs w:val="18"/>
        </w:rPr>
      </w:pPr>
      <w:bookmarkStart w:id="115" w:name="_Toc508981133"/>
      <w:r>
        <w:rPr>
          <w:color w:val="6F6F6F"/>
          <w:sz w:val="18"/>
          <w:szCs w:val="18"/>
        </w:rPr>
        <w:t>Preporučene metode za ZEP br. 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Metode</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Savjeti o uporabi metoda</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Anketa o projektima suradnje i anketa krajnjih korisnika</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Odaberite uzorak projekata suradnje (npr. po sektoru, veličini OS-a, geografskom položaju itd.) kako biste prikupili podatke i informacije od korisnika i tako anketom dobili pokazatelje.</w:t>
            </w:r>
          </w:p>
          <w:p w:rsidR="00A45935" w:rsidRPr="00385368" w:rsidRDefault="00A45935" w:rsidP="008C0B17">
            <w:pPr>
              <w:numPr>
                <w:ilvl w:val="0"/>
                <w:numId w:val="21"/>
              </w:numPr>
              <w:spacing w:before="60" w:after="120" w:line="280" w:lineRule="atLeast"/>
              <w:ind w:left="459"/>
              <w:rPr>
                <w:sz w:val="18"/>
                <w:szCs w:val="18"/>
              </w:rPr>
            </w:pPr>
            <w:r>
              <w:rPr>
                <w:sz w:val="18"/>
                <w:szCs w:val="18"/>
              </w:rPr>
              <w:t>Odaberite, među ostalim, projekte suradnje čiji je opseg u nekoj mjeri obuhvaćao upravljanje okolišem i okolišnu učinkovitost (npr. podmjere 5, 6, 8 i 9 ili operativne skupine u tom području – M16.1).</w:t>
            </w:r>
          </w:p>
          <w:p w:rsidR="00A45935" w:rsidRPr="00385368" w:rsidRDefault="00A45935" w:rsidP="008C0B17">
            <w:pPr>
              <w:numPr>
                <w:ilvl w:val="0"/>
                <w:numId w:val="21"/>
              </w:numPr>
              <w:spacing w:before="60" w:after="120" w:line="280" w:lineRule="atLeast"/>
              <w:ind w:left="459"/>
              <w:rPr>
                <w:sz w:val="18"/>
                <w:szCs w:val="18"/>
              </w:rPr>
            </w:pPr>
            <w:r>
              <w:rPr>
                <w:sz w:val="18"/>
                <w:szCs w:val="18"/>
              </w:rPr>
              <w:t>Sastavite ankete koje uključuju i pitanja otvorenog tipa o tome kako su projekti suradnje pridonijeli: a) razmjeni inovativnih ideja, b) izgradnji inovacijskog kapaciteta, c) stvaranju poticajnog okruženja za inovacije.</w:t>
            </w:r>
          </w:p>
          <w:p w:rsidR="00A45935" w:rsidRPr="00385368" w:rsidRDefault="00A45935" w:rsidP="008C0B17">
            <w:pPr>
              <w:numPr>
                <w:ilvl w:val="0"/>
                <w:numId w:val="21"/>
              </w:numPr>
              <w:spacing w:before="60" w:after="120" w:line="280" w:lineRule="atLeast"/>
              <w:ind w:left="459"/>
            </w:pPr>
            <w:r>
              <w:rPr>
                <w:sz w:val="18"/>
                <w:szCs w:val="18"/>
              </w:rPr>
              <w:t>Nalaze anketa upotrijebite kako biste: ocijenili kako različiti oblici projekata suradnje (suradnja među različitim subjektima, klasterima i mrežama te operativnim skupinama) pridonose jačim poveznicama između istraživanja/inovacija i prakse.</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Strukturirane fokusne skupine</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U rad fokusnih skupina uključite inovacijske dionike (npr. pružatelje usluga potpore inovacijama i savjetnike u svojstvu inovacijskih posrednika, istraživače i centre za inovacije itd.).</w:t>
            </w:r>
          </w:p>
          <w:p w:rsidR="00A45935" w:rsidRPr="00385368" w:rsidRDefault="00A45935" w:rsidP="008C0B17">
            <w:pPr>
              <w:numPr>
                <w:ilvl w:val="0"/>
                <w:numId w:val="22"/>
              </w:numPr>
              <w:spacing w:before="60" w:after="120" w:line="280" w:lineRule="atLeast"/>
              <w:ind w:left="459"/>
              <w:rPr>
                <w:sz w:val="18"/>
                <w:szCs w:val="18"/>
              </w:rPr>
            </w:pPr>
            <w:r>
              <w:rPr>
                <w:sz w:val="18"/>
                <w:szCs w:val="18"/>
              </w:rPr>
              <w:t>Analizirajte kako poveznice među dionicima utječu na inovacijski kapacitet i stvaranje poticajnog okruženja za inovacije.</w:t>
            </w:r>
          </w:p>
          <w:p w:rsidR="00A45935" w:rsidRPr="00385368" w:rsidRDefault="00A45935" w:rsidP="008C0B17">
            <w:pPr>
              <w:numPr>
                <w:ilvl w:val="0"/>
                <w:numId w:val="22"/>
              </w:numPr>
              <w:spacing w:before="60" w:after="120" w:line="280" w:lineRule="atLeast"/>
              <w:ind w:left="459"/>
              <w:rPr>
                <w:sz w:val="18"/>
                <w:szCs w:val="18"/>
              </w:rPr>
            </w:pPr>
            <w:r>
              <w:rPr>
                <w:sz w:val="18"/>
                <w:szCs w:val="18"/>
              </w:rPr>
              <w:t>Razmotrite mogućnost uspostavljanja tematskih fokusnih skupina (npr. fokusnu skupinu za projekte suradnje koji se bave okolišnim pitanjima, drugu za operativne skupine EPI-ja itd.).</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t>Metoda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 xml:space="preserve">Organizirajte proces po metodi Delphi uz pomoć stručnjaka za inovacije (npr. onih koji su uključeni u projekte suradnje, ali i akademskih stručnjaka </w:t>
            </w:r>
            <w:r>
              <w:rPr>
                <w:sz w:val="18"/>
                <w:szCs w:val="18"/>
              </w:rPr>
              <w:lastRenderedPageBreak/>
              <w:t>itd.) kako biste donijeli prosudbe o relevantnim kriterijima.</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7C36E865" wp14:editId="23284F1A">
                <wp:extent cx="5707380" cy="410527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105275"/>
                        </a:xfrm>
                        <a:prstGeom prst="round2DiagRect">
                          <a:avLst>
                            <a:gd name="adj1" fmla="val 7299"/>
                            <a:gd name="adj2" fmla="val 0"/>
                          </a:avLst>
                        </a:prstGeom>
                        <a:noFill/>
                        <a:ln w="25400" cap="flat" cmpd="sng" algn="ctr">
                          <a:solidFill>
                            <a:srgbClr val="F07E31"/>
                          </a:solidFill>
                          <a:prstDash val="solid"/>
                        </a:ln>
                        <a:effectLst/>
                      </wps:spPr>
                      <wps:txbx>
                        <w:txbxContent>
                          <w:p w:rsidR="00FD4C56" w:rsidRPr="001954EB" w:rsidRDefault="00FD4C56"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Primjeri iz GIP-ova podnesenih 2017.</w:t>
                            </w:r>
                          </w:p>
                          <w:p w:rsidR="00FD4C56" w:rsidRPr="00547012" w:rsidRDefault="00FD4C56" w:rsidP="00E05D08">
                            <w:pPr>
                              <w:rPr>
                                <w:rFonts w:cs="Arial"/>
                                <w:sz w:val="18"/>
                                <w:szCs w:val="18"/>
                              </w:rPr>
                            </w:pPr>
                            <w:r>
                              <w:rPr>
                                <w:sz w:val="18"/>
                                <w:szCs w:val="18"/>
                              </w:rPr>
                              <w:t>Mecklenburg-Vorpommern (DE) – upotrebljavaju se tri kriterija prosudbe povezana s inovacijama:</w:t>
                            </w:r>
                          </w:p>
                          <w:p w:rsidR="00FD4C56" w:rsidRPr="001954EB" w:rsidRDefault="00FD4C56" w:rsidP="008C0B17">
                            <w:pPr>
                              <w:numPr>
                                <w:ilvl w:val="0"/>
                                <w:numId w:val="57"/>
                              </w:numPr>
                              <w:rPr>
                                <w:rFonts w:cs="Arial"/>
                                <w:sz w:val="18"/>
                                <w:szCs w:val="18"/>
                              </w:rPr>
                            </w:pPr>
                            <w:r>
                              <w:rPr>
                                <w:sz w:val="18"/>
                                <w:szCs w:val="18"/>
                              </w:rPr>
                              <w:t xml:space="preserve">procesi za koje je dodijeljena potpora u okviru PRR-a bili su inovativni i temeljili su se na stečenom znanju, </w:t>
                            </w:r>
                          </w:p>
                          <w:p w:rsidR="00FD4C56" w:rsidRPr="001954EB" w:rsidRDefault="00FD4C56" w:rsidP="008C0B17">
                            <w:pPr>
                              <w:numPr>
                                <w:ilvl w:val="0"/>
                                <w:numId w:val="57"/>
                              </w:numPr>
                              <w:rPr>
                                <w:rFonts w:cs="Arial"/>
                                <w:sz w:val="18"/>
                                <w:szCs w:val="18"/>
                              </w:rPr>
                            </w:pPr>
                            <w:r>
                              <w:rPr>
                                <w:sz w:val="18"/>
                                <w:szCs w:val="18"/>
                              </w:rPr>
                              <w:t>OS-ovi provode i šire inovativne aktivnosti,</w:t>
                            </w:r>
                          </w:p>
                          <w:p w:rsidR="00FD4C56" w:rsidRPr="001954EB" w:rsidRDefault="00FD4C56" w:rsidP="008C0B17">
                            <w:pPr>
                              <w:numPr>
                                <w:ilvl w:val="0"/>
                                <w:numId w:val="57"/>
                              </w:numPr>
                              <w:rPr>
                                <w:rFonts w:cs="Arial"/>
                                <w:sz w:val="18"/>
                                <w:szCs w:val="18"/>
                              </w:rPr>
                            </w:pPr>
                            <w:r>
                              <w:rPr>
                                <w:sz w:val="18"/>
                                <w:szCs w:val="18"/>
                              </w:rPr>
                              <w:t>dobiveni rezultati dovode do boljeg tržišnog položaja uključenih partnera zahvaljujući inovacijama.</w:t>
                            </w:r>
                          </w:p>
                          <w:p w:rsidR="00FD4C56" w:rsidRPr="00547012" w:rsidRDefault="00FD4C56" w:rsidP="00E05D08">
                            <w:pPr>
                              <w:rPr>
                                <w:rFonts w:cs="Arial"/>
                                <w:sz w:val="18"/>
                                <w:szCs w:val="18"/>
                              </w:rPr>
                            </w:pPr>
                            <w:r>
                              <w:rPr>
                                <w:sz w:val="18"/>
                                <w:szCs w:val="18"/>
                              </w:rPr>
                              <w:t>Nekoliko se metoda upotrebljava kako bi se prikupile informacije od OS-ova EPI-ja. Njima se obuhvaćaju različite dimenzije inovacija, a cilj im je donošenje prosudbe o kvaliteti i učincima OS-ova:</w:t>
                            </w:r>
                          </w:p>
                          <w:p w:rsidR="00FD4C56" w:rsidRPr="001954EB" w:rsidRDefault="00FD4C56" w:rsidP="008C0B17">
                            <w:pPr>
                              <w:numPr>
                                <w:ilvl w:val="0"/>
                                <w:numId w:val="58"/>
                              </w:numPr>
                              <w:rPr>
                                <w:rFonts w:cs="Arial"/>
                                <w:sz w:val="18"/>
                                <w:szCs w:val="18"/>
                              </w:rPr>
                            </w:pPr>
                            <w:r>
                              <w:rPr>
                                <w:sz w:val="18"/>
                                <w:szCs w:val="18"/>
                              </w:rPr>
                              <w:t>početna analiza (ocjena okvirnih uvjeta, razgovori sa subjektima itd.);</w:t>
                            </w:r>
                          </w:p>
                          <w:p w:rsidR="00FD4C56" w:rsidRPr="001954EB" w:rsidRDefault="00FD4C56" w:rsidP="008C0B17">
                            <w:pPr>
                              <w:numPr>
                                <w:ilvl w:val="0"/>
                                <w:numId w:val="58"/>
                              </w:numPr>
                              <w:rPr>
                                <w:rFonts w:cs="Arial"/>
                                <w:sz w:val="18"/>
                                <w:szCs w:val="18"/>
                              </w:rPr>
                            </w:pPr>
                            <w:r>
                              <w:rPr>
                                <w:sz w:val="18"/>
                                <w:szCs w:val="18"/>
                              </w:rPr>
                              <w:t xml:space="preserve">ocjena obilježja i vrsta inovacija analizom kriterija odabira i studija slučaja; </w:t>
                            </w:r>
                          </w:p>
                          <w:p w:rsidR="00FD4C56" w:rsidRPr="001954EB" w:rsidRDefault="00FD4C56" w:rsidP="008C0B17">
                            <w:pPr>
                              <w:numPr>
                                <w:ilvl w:val="0"/>
                                <w:numId w:val="58"/>
                              </w:numPr>
                              <w:rPr>
                                <w:rFonts w:cs="Arial"/>
                                <w:sz w:val="18"/>
                                <w:szCs w:val="18"/>
                              </w:rPr>
                            </w:pPr>
                            <w:r>
                              <w:rPr>
                                <w:sz w:val="18"/>
                                <w:szCs w:val="18"/>
                              </w:rPr>
                              <w:t>analiza dobivenih rezultata i njihovo širenje (anketa i samoocjenjivanje OS-ova).</w:t>
                            </w:r>
                          </w:p>
                          <w:p w:rsidR="00FD4C56" w:rsidRPr="00547012" w:rsidRDefault="00FD4C56" w:rsidP="00E05D08">
                            <w:pPr>
                              <w:rPr>
                                <w:rFonts w:cs="Arial"/>
                                <w:sz w:val="18"/>
                                <w:szCs w:val="18"/>
                              </w:rPr>
                            </w:pPr>
                            <w:r>
                              <w:rPr>
                                <w:sz w:val="18"/>
                                <w:szCs w:val="18"/>
                              </w:rPr>
                              <w:t xml:space="preserve">Izvori podataka i informacija uključuju podatke o praćenju, obrasce za prijavu, projektnu dokumentaciju, primarne statističke podatke prikupljene anketama, sekundarne statističke podatke iz različitih izvora. </w:t>
                            </w:r>
                          </w:p>
                          <w:p w:rsidR="00FD4C56" w:rsidRPr="00547012" w:rsidRDefault="00FD4C56" w:rsidP="00E05D08">
                            <w:pPr>
                              <w:rPr>
                                <w:rFonts w:cs="Arial"/>
                                <w:sz w:val="18"/>
                                <w:szCs w:val="18"/>
                              </w:rPr>
                            </w:pPr>
                            <w:r>
                              <w:rPr>
                                <w:sz w:val="18"/>
                                <w:szCs w:val="18"/>
                              </w:rPr>
                              <w:t xml:space="preserve">Anketa korisnika (OS-ova EPI-ja) provodi se prije i nakon intervencije. </w:t>
                            </w:r>
                          </w:p>
                          <w:p w:rsidR="00FD4C56" w:rsidRPr="001954EB" w:rsidRDefault="00FD4C56" w:rsidP="00E05D08">
                            <w:pPr>
                              <w:pStyle w:val="HStandard"/>
                              <w:rPr>
                                <w:sz w:val="18"/>
                                <w:szCs w:val="18"/>
                              </w:rPr>
                            </w:pPr>
                            <w:r>
                              <w:rPr>
                                <w:sz w:val="18"/>
                                <w:szCs w:val="18"/>
                              </w:rPr>
                              <w:t>Češka – predlaže se primjena pristupa koji se temelji na studiji slučaja za prikupljanje informacija od OS-ova i iz projekata suradnje povezanih s inovacijama.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23.25pt;visibility:visible;mso-wrap-style:square;mso-left-percent:-10001;mso-top-percent:-10001;mso-position-horizontal:absolute;mso-position-horizontal-relative:char;mso-position-vertical:absolute;mso-position-vertical-relative:line;mso-left-percent:-10001;mso-top-percent:-10001;v-text-anchor:middle" coordsize="5707380,410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" adj="-11796480,,5400" path="m299644,l5707380,r,l5707380,3805631v,165489,-134155,299644,-299644,299644l,4105275r,l,299644c,134155,134155,,299644,xe" filled="f" strokecolor="#f07e31" strokeweight="2pt">
                <v:stroke joinstyle="miter"/>
                <v:formulas/>
                <v:path arrowok="t" o:connecttype="custom" o:connectlocs="299644,0;5707380,0;5707380,0;5707380,3805631;5407736,4105275;0,4105275;0,4105275;0,299644;299644,0" o:connectangles="0,0,0,0,0,0,0,0,0" textboxrect="0,0,5707380,4105275"/>
                <v:textbox>
                  <w:txbxContent>
                    <w:p w:rsidR="00FD4C56" w:rsidRPr="001954EB" w:rsidRDefault="00FD4C56" w:rsidP="00E05D08">
                      <w:pPr>
                        <w:pStyle w:val="HStandard"/>
                        <w:rPr>
                          <w:b/>
                          <w:color w:val="F07E31"/>
                          <w:sz w:val="18"/>
                          <w:szCs w:val="18"/>
                        </w:rPr>
                      </w:pPr>
                      <w:r>
                        <w:rPr>
                          <w:noProof/>
                          <w:sz w:val="18"/>
                          <w:szCs w:val="18"/>
                          <w:lang w:val="en-GB"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Primjeri iz GIP-ova podnesenih 2017.</w:t>
                      </w:r>
                    </w:p>
                    <w:p w:rsidR="00FD4C56" w:rsidRPr="00547012" w:rsidRDefault="00FD4C56" w:rsidP="00E05D08">
                      <w:pPr>
                        <w:rPr>
                          <w:rFonts w:cs="Arial"/>
                          <w:sz w:val="18"/>
                          <w:szCs w:val="18"/>
                        </w:rPr>
                      </w:pPr>
                      <w:r>
                        <w:rPr>
                          <w:sz w:val="18"/>
                          <w:szCs w:val="18"/>
                        </w:rPr>
                        <w:t>Mecklenburg-Vorpommern (DE) – upotrebljavaju se tri kriterija prosudbe povezana s inovacijama:</w:t>
                      </w:r>
                    </w:p>
                    <w:p w:rsidR="00FD4C56" w:rsidRPr="001954EB" w:rsidRDefault="00FD4C56" w:rsidP="008C0B17">
                      <w:pPr>
                        <w:numPr>
                          <w:ilvl w:val="0"/>
                          <w:numId w:val="57"/>
                        </w:numPr>
                        <w:rPr>
                          <w:rFonts w:cs="Arial"/>
                          <w:sz w:val="18"/>
                          <w:szCs w:val="18"/>
                        </w:rPr>
                      </w:pPr>
                      <w:r>
                        <w:rPr>
                          <w:sz w:val="18"/>
                          <w:szCs w:val="18"/>
                        </w:rPr>
                        <w:t xml:space="preserve">procesi za koje je dodijeljena potpora u okviru PRR-a bili su inovativni i temeljili su se na stečenom znanju, </w:t>
                      </w:r>
                    </w:p>
                    <w:p w:rsidR="00FD4C56" w:rsidRPr="001954EB" w:rsidRDefault="00FD4C56" w:rsidP="008C0B17">
                      <w:pPr>
                        <w:numPr>
                          <w:ilvl w:val="0"/>
                          <w:numId w:val="57"/>
                        </w:numPr>
                        <w:rPr>
                          <w:rFonts w:cs="Arial"/>
                          <w:sz w:val="18"/>
                          <w:szCs w:val="18"/>
                        </w:rPr>
                      </w:pPr>
                      <w:r>
                        <w:rPr>
                          <w:sz w:val="18"/>
                          <w:szCs w:val="18"/>
                        </w:rPr>
                        <w:t>OS-ovi provode i šire inovativne aktivnosti,</w:t>
                      </w:r>
                    </w:p>
                    <w:p w:rsidR="00FD4C56" w:rsidRPr="001954EB" w:rsidRDefault="00FD4C56" w:rsidP="008C0B17">
                      <w:pPr>
                        <w:numPr>
                          <w:ilvl w:val="0"/>
                          <w:numId w:val="57"/>
                        </w:numPr>
                        <w:rPr>
                          <w:rFonts w:cs="Arial"/>
                          <w:sz w:val="18"/>
                          <w:szCs w:val="18"/>
                        </w:rPr>
                      </w:pPr>
                      <w:r>
                        <w:rPr>
                          <w:sz w:val="18"/>
                          <w:szCs w:val="18"/>
                        </w:rPr>
                        <w:t>dobiveni rezultati dovode do boljeg tržišnog položaja uključenih partnera zahvaljujući inovacijama.</w:t>
                      </w:r>
                    </w:p>
                    <w:p w:rsidR="00FD4C56" w:rsidRPr="00547012" w:rsidRDefault="00FD4C56" w:rsidP="00E05D08">
                      <w:pPr>
                        <w:rPr>
                          <w:rFonts w:cs="Arial"/>
                          <w:sz w:val="18"/>
                          <w:szCs w:val="18"/>
                        </w:rPr>
                      </w:pPr>
                      <w:r>
                        <w:rPr>
                          <w:sz w:val="18"/>
                          <w:szCs w:val="18"/>
                        </w:rPr>
                        <w:t>Nekoliko se metoda upotrebljava kako bi se prikupile informacije od OS-ova EPI-ja. Njima se obuhvaćaju različite dimenzije inovacija, a cilj im je donošenje prosudbe o kvaliteti i učincima OS-ova:</w:t>
                      </w:r>
                    </w:p>
                    <w:p w:rsidR="00FD4C56" w:rsidRPr="001954EB" w:rsidRDefault="00FD4C56" w:rsidP="008C0B17">
                      <w:pPr>
                        <w:numPr>
                          <w:ilvl w:val="0"/>
                          <w:numId w:val="58"/>
                        </w:numPr>
                        <w:rPr>
                          <w:rFonts w:cs="Arial"/>
                          <w:sz w:val="18"/>
                          <w:szCs w:val="18"/>
                        </w:rPr>
                      </w:pPr>
                      <w:r>
                        <w:rPr>
                          <w:sz w:val="18"/>
                          <w:szCs w:val="18"/>
                        </w:rPr>
                        <w:t>početna analiza (ocjena okvirnih uvjeta, razgovori sa subjektima itd.);</w:t>
                      </w:r>
                    </w:p>
                    <w:p w:rsidR="00FD4C56" w:rsidRPr="001954EB" w:rsidRDefault="00FD4C56" w:rsidP="008C0B17">
                      <w:pPr>
                        <w:numPr>
                          <w:ilvl w:val="0"/>
                          <w:numId w:val="58"/>
                        </w:numPr>
                        <w:rPr>
                          <w:rFonts w:cs="Arial"/>
                          <w:sz w:val="18"/>
                          <w:szCs w:val="18"/>
                        </w:rPr>
                      </w:pPr>
                      <w:r>
                        <w:rPr>
                          <w:sz w:val="18"/>
                          <w:szCs w:val="18"/>
                        </w:rPr>
                        <w:t xml:space="preserve">ocjena obilježja i vrsta inovacija analizom kriterija odabira i studija slučaja; </w:t>
                      </w:r>
                    </w:p>
                    <w:p w:rsidR="00FD4C56" w:rsidRPr="001954EB" w:rsidRDefault="00FD4C56" w:rsidP="008C0B17">
                      <w:pPr>
                        <w:numPr>
                          <w:ilvl w:val="0"/>
                          <w:numId w:val="58"/>
                        </w:numPr>
                        <w:rPr>
                          <w:rFonts w:cs="Arial"/>
                          <w:sz w:val="18"/>
                          <w:szCs w:val="18"/>
                        </w:rPr>
                      </w:pPr>
                      <w:r>
                        <w:rPr>
                          <w:sz w:val="18"/>
                          <w:szCs w:val="18"/>
                        </w:rPr>
                        <w:t>analiza dobivenih rezultata i njihovo širenje (anketa i samoocjenjivanje OS-ova).</w:t>
                      </w:r>
                    </w:p>
                    <w:p w:rsidR="00FD4C56" w:rsidRPr="00547012" w:rsidRDefault="00FD4C56" w:rsidP="00E05D08">
                      <w:pPr>
                        <w:rPr>
                          <w:rFonts w:cs="Arial"/>
                          <w:sz w:val="18"/>
                          <w:szCs w:val="18"/>
                        </w:rPr>
                      </w:pPr>
                      <w:r>
                        <w:rPr>
                          <w:sz w:val="18"/>
                          <w:szCs w:val="18"/>
                        </w:rPr>
                        <w:t xml:space="preserve">Izvori podataka i informacija uključuju podatke o praćenju, obrasce za prijavu, projektnu dokumentaciju, primarne statističke podatke prikupljene anketama, sekundarne statističke podatke iz različitih izvora. </w:t>
                      </w:r>
                    </w:p>
                    <w:p w:rsidR="00FD4C56" w:rsidRPr="00547012" w:rsidRDefault="00FD4C56" w:rsidP="00E05D08">
                      <w:pPr>
                        <w:rPr>
                          <w:rFonts w:cs="Arial"/>
                          <w:sz w:val="18"/>
                          <w:szCs w:val="18"/>
                        </w:rPr>
                      </w:pPr>
                      <w:r>
                        <w:rPr>
                          <w:sz w:val="18"/>
                          <w:szCs w:val="18"/>
                        </w:rPr>
                        <w:t xml:space="preserve">Anketa korisnika (OS-ova EPI-ja) provodi se prije i nakon intervencije. </w:t>
                      </w:r>
                    </w:p>
                    <w:p w:rsidR="00FD4C56" w:rsidRPr="001954EB" w:rsidRDefault="00FD4C56" w:rsidP="00E05D08">
                      <w:pPr>
                        <w:pStyle w:val="HStandard"/>
                        <w:rPr>
                          <w:sz w:val="18"/>
                          <w:szCs w:val="18"/>
                        </w:rPr>
                      </w:pPr>
                      <w:r>
                        <w:rPr>
                          <w:sz w:val="18"/>
                          <w:szCs w:val="18"/>
                        </w:rPr>
                        <w:t>Češka – predlaže se primjena pristupa koji se temelji na studiji slučaja za prikupljanje informacija od OS-ova i iz projekata suradnje povezanih s inovacijama.</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Rizici i rješenja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Rizici</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Rješenja</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Podatci za određene pokazatelje možda neće biti dostupni sve do kraja programskog razdoblja (npr. broj operacija suradnje koje se nastavljaju nakon završetka potpore).</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Vrsta stvorenih struktura suradnje (pravna struktura, sastav, izjava partnera o preuzimanju obveza itd.) može se analizirati kvalitativnom ocjenom (npr. uporabom fokusnih skupina ili razgovora s partnerima OS-a).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Prikupljanje informacija za neke pokazatelje koji možda nisu uključeni u sustav za praćenje PRR-a (npr. dodatni pokazatelji)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Informacije se mogu prikupiti anketama i razgovorima. </w:t>
            </w:r>
          </w:p>
          <w:p w:rsidR="00A45935" w:rsidRPr="00385368" w:rsidRDefault="00A45935" w:rsidP="00E05D08">
            <w:pPr>
              <w:spacing w:after="120" w:line="280" w:lineRule="atLeast"/>
              <w:ind w:left="27" w:right="47"/>
              <w:mirrorIndents/>
              <w:rPr>
                <w:sz w:val="18"/>
                <w:szCs w:val="18"/>
              </w:rPr>
            </w:pPr>
            <w:r>
              <w:rPr>
                <w:sz w:val="18"/>
                <w:szCs w:val="18"/>
              </w:rPr>
              <w:t xml:space="preserve">Osim toga, upravljačka tijela mogu razmotriti prikupljanje podataka za dodatne pokazatelje iz baze podataka operacija.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Zaključci i preporuke</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Glavnim zaključcima i preporukama trebala bi se obuhvatiti barem sljedeća pitanja politike:</w:t>
      </w:r>
    </w:p>
    <w:p w:rsidR="00A45935" w:rsidRPr="00E54929" w:rsidRDefault="00A45935" w:rsidP="00547012">
      <w:pPr>
        <w:pStyle w:val="Hlistbullet"/>
        <w:rPr>
          <w:rFonts w:eastAsia="Calibri"/>
          <w:shd w:val="clear" w:color="auto" w:fill="FFFFFF"/>
        </w:rPr>
      </w:pPr>
      <w:r>
        <w:rPr>
          <w:b/>
          <w:shd w:val="clear" w:color="auto" w:fill="FFFFFF"/>
        </w:rPr>
        <w:t>sklonost uporabe mjera suradnje u PRR-u za utvrđivanje inovacija u ruralnim područjima.</w:t>
      </w:r>
      <w:r>
        <w:rPr>
          <w:shd w:val="clear" w:color="auto" w:fill="FFFFFF"/>
        </w:rPr>
        <w:t xml:space="preserve"> Primjerice, osnivanje operativne skupine pokazuje da je inovativna ideja utvrđena i da se može provesti povezivanjem istraživanja i prakse. Informacije o opsegu, sadržaju i trajanju projekta koji je pripremio i proveo OS mogu biti korisne za donošenje daljnjih zaključaka o tome.</w:t>
      </w:r>
    </w:p>
    <w:p w:rsidR="00A45935" w:rsidRPr="00E54929" w:rsidRDefault="00A45935" w:rsidP="00547012">
      <w:pPr>
        <w:pStyle w:val="Hlistbullet"/>
        <w:rPr>
          <w:rFonts w:eastAsia="Calibri"/>
          <w:shd w:val="clear" w:color="auto" w:fill="FFFFFF"/>
        </w:rPr>
      </w:pPr>
      <w:r>
        <w:rPr>
          <w:b/>
          <w:shd w:val="clear" w:color="auto" w:fill="FFFFFF"/>
        </w:rPr>
        <w:t>učinci projekata suradnje na inovacijski kapacitet.</w:t>
      </w:r>
      <w:r>
        <w:rPr>
          <w:shd w:val="clear" w:color="auto" w:fill="FFFFFF"/>
        </w:rPr>
        <w:t xml:space="preserve"> Analiza broja i vrste projekata suradnje te sudjelovanja inovacijskih dionika može poslužiti za donošenje zaključaka o postignućima mjere suradnje koja su povezana s inovacijskim kapacitetom u ruralnim područjima.</w:t>
      </w:r>
    </w:p>
    <w:p w:rsidR="00A45935" w:rsidRPr="00E54929" w:rsidRDefault="00A45935" w:rsidP="00547012">
      <w:pPr>
        <w:pStyle w:val="Hlistbullet"/>
        <w:rPr>
          <w:rFonts w:eastAsia="Calibri"/>
          <w:shd w:val="clear" w:color="auto" w:fill="FFFFFF"/>
        </w:rPr>
      </w:pPr>
      <w:r>
        <w:rPr>
          <w:b/>
          <w:shd w:val="clear" w:color="auto" w:fill="FFFFFF"/>
        </w:rPr>
        <w:t>učinci projekata suradnje na izgradnju poticajnog okruženja za inovacije</w:t>
      </w:r>
      <w:r>
        <w:rPr>
          <w:shd w:val="clear" w:color="auto" w:fill="FFFFFF"/>
        </w:rPr>
        <w:t xml:space="preserve"> (tj. mjera u kojoj su projekti suradnje omogućili stvaranje struktura i postupaka koji olakšavaju stvaranje </w:t>
      </w:r>
      <w:r>
        <w:rPr>
          <w:shd w:val="clear" w:color="auto" w:fill="FFFFFF"/>
        </w:rPr>
        <w:lastRenderedPageBreak/>
        <w:t>inovativnih ideja). Primjerice, to uključuje strukture i metode za inovacijsko posredovanje, uspostavljanje trajnih poveznica među MSP-ovima, inovacijske usluge i tijela za financiranje itd.</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Više o temi</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4722E42E" wp14:editId="4AEA29C1">
                <wp:extent cx="5633451" cy="18002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1800225"/>
                        </a:xfrm>
                        <a:prstGeom prst="round2DiagRect">
                          <a:avLst>
                            <a:gd name="adj1" fmla="val 11556"/>
                            <a:gd name="adj2" fmla="val 0"/>
                          </a:avLst>
                        </a:prstGeom>
                        <a:noFill/>
                        <a:ln w="25400" cap="flat" cmpd="sng" algn="ctr">
                          <a:solidFill>
                            <a:srgbClr val="59638E"/>
                          </a:solidFill>
                          <a:prstDash val="solid"/>
                        </a:ln>
                        <a:effectLst/>
                      </wps:spPr>
                      <wps:txbx>
                        <w:txbxContent>
                          <w:p w:rsidR="00FD4C56" w:rsidRDefault="00FD4C56"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0041C9" w:rsidRDefault="00FD4C56" w:rsidP="00E05D08">
                            <w:pPr>
                              <w:pStyle w:val="HStandard"/>
                              <w:rPr>
                                <w:sz w:val="18"/>
                                <w:szCs w:val="18"/>
                              </w:rPr>
                            </w:pPr>
                            <w:r>
                              <w:t xml:space="preserve">Smjernice: </w:t>
                            </w:r>
                            <w:hyperlink r:id="rId52" w:history="1">
                              <w:r>
                                <w:rPr>
                                  <w:rStyle w:val="Hyperlink"/>
                                  <w:sz w:val="18"/>
                                  <w:szCs w:val="18"/>
                                </w:rPr>
                                <w:t>ocjena rezultata PRR-a:</w:t>
                              </w:r>
                            </w:hyperlink>
                            <w:hyperlink r:id="rId53" w:history="1">
                              <w:r>
                                <w:rPr>
                                  <w:rStyle w:val="Hyperlink"/>
                                  <w:sz w:val="18"/>
                                  <w:szCs w:val="18"/>
                                </w:rPr>
                                <w:t>kako se pripremiti za izvješćivanje o evaluaciji u 2017.</w:t>
                              </w:r>
                            </w:hyperlink>
                            <w:r>
                              <w:rPr>
                                <w:sz w:val="18"/>
                                <w:szCs w:val="18"/>
                              </w:rPr>
                              <w:t xml:space="preserve">, Prilog 11.; </w:t>
                            </w:r>
                          </w:p>
                          <w:p w:rsidR="00FD4C56" w:rsidRDefault="00FD4C56" w:rsidP="00E05D08">
                            <w:pPr>
                              <w:pStyle w:val="HStandard"/>
                              <w:rPr>
                                <w:sz w:val="18"/>
                                <w:szCs w:val="18"/>
                              </w:rPr>
                            </w:pPr>
                            <w:r>
                              <w:t>Smjernice „</w:t>
                            </w:r>
                            <w:hyperlink r:id="rId54" w:history="1">
                              <w:r>
                                <w:rPr>
                                  <w:rStyle w:val="Hyperlink"/>
                                  <w:sz w:val="18"/>
                                </w:rPr>
                                <w:t>Mjera suradnje</w:t>
                              </w:r>
                            </w:hyperlink>
                            <w:r>
                              <w:t>”, članak 35. Uredbe (EU) br. 1305/2013, studeni 2014.</w:t>
                            </w:r>
                          </w:p>
                          <w:p w:rsidR="00FD4C56" w:rsidRPr="000041C9" w:rsidRDefault="00FD4C56" w:rsidP="00E05D08">
                            <w:pPr>
                              <w:pStyle w:val="HStandard"/>
                              <w:rPr>
                                <w:sz w:val="18"/>
                                <w:szCs w:val="18"/>
                              </w:rPr>
                            </w:pPr>
                            <w:r>
                              <w:rPr>
                                <w:sz w:val="18"/>
                                <w:szCs w:val="18"/>
                              </w:rPr>
                              <w:t xml:space="preserve">Dokumenti s radionice EMRR-a o mjeri M 16 „Suradnja”, lipanj 2016., Bruxelles: </w:t>
                            </w:r>
                            <w:hyperlink r:id="rId55"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141.75pt;visibility:visible;mso-wrap-style:square;mso-left-percent:-10001;mso-top-percent:-10001;mso-position-horizontal:absolute;mso-position-horizontal-relative:char;mso-position-vertical:absolute;mso-position-vertical-relative:line;mso-left-percent:-10001;mso-top-percent:-10001;v-text-anchor:middle" coordsize="5633451,1800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" adj="-11796480,,5400" path="m208034,l5633451,r,l5633451,1592191v,114894,-93140,208034,-208034,208034l,1800225r,l,208034c,93140,93140,,208034,xe" filled="f" strokecolor="#59638e" strokeweight="2pt">
                <v:stroke joinstyle="miter"/>
                <v:formulas/>
                <v:path arrowok="t" o:connecttype="custom" o:connectlocs="208034,0;5633451,0;5633451,0;5633451,1592191;5425417,1800225;0,1800225;0,1800225;0,208034;208034,0" o:connectangles="0,0,0,0,0,0,0,0,0" textboxrect="0,0,5633451,1800225"/>
                <v:textbox>
                  <w:txbxContent>
                    <w:p w:rsidR="00FD4C56" w:rsidRDefault="00FD4C56" w:rsidP="00E05D08">
                      <w:pPr>
                        <w:pStyle w:val="HStandard"/>
                        <w:rPr>
                          <w:color w:val="000000"/>
                          <w:sz w:val="18"/>
                        </w:rPr>
                      </w:pPr>
                      <w:r>
                        <w:rPr>
                          <w:noProof/>
                          <w:lang w:val="en-GB"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0041C9" w:rsidRDefault="00FD4C56" w:rsidP="00E05D08">
                      <w:pPr>
                        <w:pStyle w:val="HStandard"/>
                        <w:rPr>
                          <w:sz w:val="18"/>
                          <w:szCs w:val="18"/>
                        </w:rPr>
                      </w:pPr>
                      <w:r>
                        <w:t xml:space="preserve">Smjernice: </w:t>
                      </w:r>
                      <w:hyperlink r:id="rId56" w:history="1">
                        <w:r>
                          <w:rPr>
                            <w:rStyle w:val="Hyperlink"/>
                            <w:sz w:val="18"/>
                            <w:szCs w:val="18"/>
                          </w:rPr>
                          <w:t>ocjena rezultata PRR-a:</w:t>
                        </w:r>
                      </w:hyperlink>
                      <w:hyperlink r:id="rId57" w:history="1">
                        <w:r>
                          <w:rPr>
                            <w:rStyle w:val="Hyperlink"/>
                            <w:sz w:val="18"/>
                            <w:szCs w:val="18"/>
                          </w:rPr>
                          <w:t>kako se pripremiti za izvješćivanje o evaluaciji u 2017.</w:t>
                        </w:r>
                      </w:hyperlink>
                      <w:r>
                        <w:rPr>
                          <w:sz w:val="18"/>
                          <w:szCs w:val="18"/>
                        </w:rPr>
                        <w:t xml:space="preserve">, Prilog 11.; </w:t>
                      </w:r>
                    </w:p>
                    <w:p w:rsidR="00FD4C56" w:rsidRDefault="00FD4C56" w:rsidP="00E05D08">
                      <w:pPr>
                        <w:pStyle w:val="HStandard"/>
                        <w:rPr>
                          <w:sz w:val="18"/>
                          <w:szCs w:val="18"/>
                        </w:rPr>
                      </w:pPr>
                      <w:r>
                        <w:t>Smjernice „</w:t>
                      </w:r>
                      <w:hyperlink r:id="rId58" w:history="1">
                        <w:r>
                          <w:rPr>
                            <w:rStyle w:val="Hyperlink"/>
                            <w:sz w:val="18"/>
                          </w:rPr>
                          <w:t>Mjera suradnje</w:t>
                        </w:r>
                      </w:hyperlink>
                      <w:r>
                        <w:t>”, članak 35. Uredbe (EU) br. 1305/2013, studeni 2014.</w:t>
                      </w:r>
                    </w:p>
                    <w:p w:rsidR="00FD4C56" w:rsidRPr="000041C9" w:rsidRDefault="00FD4C56" w:rsidP="00E05D08">
                      <w:pPr>
                        <w:pStyle w:val="HStandard"/>
                        <w:rPr>
                          <w:sz w:val="18"/>
                          <w:szCs w:val="18"/>
                        </w:rPr>
                      </w:pPr>
                      <w:r>
                        <w:rPr>
                          <w:sz w:val="18"/>
                          <w:szCs w:val="18"/>
                        </w:rPr>
                        <w:t xml:space="preserve">Dokumenti s radionice EMRR-a o mjeri M 16 „Suradnja”, lipanj 2016., Bruxelles: </w:t>
                      </w:r>
                      <w:hyperlink r:id="rId59"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981124"/>
      <w:bookmarkEnd w:id="117"/>
      <w:r>
        <w:t>ZEP br. 21: „U kojoj je mjeri nacionalna ruralna mreža pridonijela ostvarenju ciljeva utvrđenih u članku 54. stavku 2. Uredbe (EU) br. 1305/2013?”</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Razumijevanje ZEP-a</w:t>
      </w:r>
    </w:p>
    <w:p w:rsidR="00A45935" w:rsidRPr="00E05D08" w:rsidRDefault="00A45935" w:rsidP="00E05D08">
      <w:pPr>
        <w:spacing w:after="120" w:line="280" w:lineRule="atLeast"/>
        <w:mirrorIndents/>
        <w:rPr>
          <w:rFonts w:eastAsia="Calibri" w:cs="Times New Roman"/>
          <w:szCs w:val="20"/>
        </w:rPr>
      </w:pPr>
      <w:r>
        <w:t>To se pitanje odnosi na ostvarenje četiriju ciljeva NRM-a</w:t>
      </w:r>
      <w:r>
        <w:rPr>
          <w:rFonts w:eastAsia="Times New Roman" w:cs="Times New Roman"/>
          <w:szCs w:val="20"/>
          <w:vertAlign w:val="superscript"/>
          <w:lang w:eastAsia="de-DE"/>
        </w:rPr>
        <w:footnoteReference w:id="57"/>
      </w:r>
      <w:r>
        <w:t>. U ovim se smjernicama</w:t>
      </w:r>
      <w:r>
        <w:rPr>
          <w:rFonts w:eastAsia="Times New Roman" w:cs="Times New Roman"/>
          <w:szCs w:val="20"/>
          <w:vertAlign w:val="superscript"/>
          <w:lang w:eastAsia="de-DE"/>
        </w:rPr>
        <w:footnoteReference w:id="58"/>
      </w:r>
      <w:r>
        <w:t xml:space="preserve"> za potrebe evaluacije inovacije ZEP br. 21 razmatra u kontekstu cilja NRM-a koji glasi „poticati inovacije u poljoprivredi, proizvodnji hrane, šumarstvu i ruralnim područjima”, a koji će NRM-ovi poticati od 2019. </w:t>
      </w:r>
    </w:p>
    <w:p w:rsidR="00A45935" w:rsidRPr="00E05D08" w:rsidRDefault="00A45935" w:rsidP="00E05D08">
      <w:pPr>
        <w:spacing w:after="120" w:line="280" w:lineRule="atLeast"/>
        <w:mirrorIndents/>
        <w:rPr>
          <w:rFonts w:eastAsia="Calibri" w:cs="Times New Roman"/>
          <w:szCs w:val="20"/>
        </w:rPr>
      </w:pPr>
      <w:r>
        <w:t>NRM djeluje provedbom različitih skupina aktivnosti utvrđenih u akcijskom planu NRM-a i obuhvaća različite vrste dionika među kojima su i inovacijski subjekti. Stoga je važno prepoznati koje skupine aktivnosti</w:t>
      </w:r>
      <w:r>
        <w:rPr>
          <w:rFonts w:eastAsia="Calibri" w:cs="Times New Roman"/>
          <w:szCs w:val="20"/>
          <w:vertAlign w:val="superscript"/>
        </w:rPr>
        <w:footnoteReference w:id="59"/>
      </w:r>
      <w:r>
        <w:t xml:space="preserve"> imaju potencijal za poticanje inovacija putem triju putanja (vidjeti </w:t>
      </w:r>
      <w:hyperlink w:anchor="Innovation_RD" w:history="1">
        <w:r>
          <w:rPr>
            <w:rStyle w:val="Hyperlink"/>
            <w:sz w:val="20"/>
            <w:szCs w:val="20"/>
          </w:rPr>
          <w:t>poglavlje 1.1.</w:t>
        </w:r>
      </w:hyperlink>
      <w:r>
        <w:t xml:space="preserve">), koje su vrste dionika inovacijskog sustava uključene u te aktivnosti u smislu poticanja inovacija te na koje vrste dionika inovacijskog sustava one mogu utjecati. </w:t>
      </w:r>
    </w:p>
    <w:p w:rsidR="001327F5" w:rsidRDefault="00A45935" w:rsidP="00E05D08">
      <w:pPr>
        <w:spacing w:after="120" w:line="280" w:lineRule="atLeast"/>
        <w:mirrorIndents/>
        <w:rPr>
          <w:rFonts w:eastAsia="Calibri" w:cs="Times New Roman"/>
          <w:szCs w:val="20"/>
        </w:rPr>
      </w:pPr>
      <w:r>
        <w:t>Aktivnosti iz akcijskog plana NRM-a mogu se podijeliti u sedam skupina aktivnosti kako je utvrđeno Uredbom</w:t>
      </w:r>
      <w:r>
        <w:rPr>
          <w:rFonts w:eastAsia="Calibri" w:cs="Times New Roman"/>
          <w:szCs w:val="20"/>
          <w:vertAlign w:val="superscript"/>
        </w:rPr>
        <w:footnoteReference w:id="60"/>
      </w:r>
      <w:r>
        <w:t>. Primjeri načina na koji se te aktivnosti mogu povezati s poticanjem inovacija navedeni su u okvirima u nastavku.</w:t>
      </w:r>
    </w:p>
    <w:p w:rsidR="001327F5" w:rsidRPr="00E05D08" w:rsidRDefault="001327F5" w:rsidP="001327F5">
      <w:pPr>
        <w:spacing w:after="120" w:line="280" w:lineRule="atLeast"/>
        <w:mirrorIndents/>
        <w:rPr>
          <w:rFonts w:eastAsia="Calibri" w:cs="Times New Roman"/>
          <w:szCs w:val="20"/>
        </w:rPr>
      </w:pPr>
      <w:r>
        <w:t>U okviru tehničke pomoći NRM-ovi su predani praćenju i podupiranju provedbe PRR-a i u tom smislu izravno pridonose poticanju inovacija kao horizontalnom cilju. No NRM-ovi mogu raditi i u sinergiji s drugim inovacijskim subjektima u ruralnom razvoju, primjerice LAG-ovima LEADER-a ili EIP-AGRI-jem (vidjeti primjer u okviru).</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2848" behindDoc="1" locked="0" layoutInCell="1" allowOverlap="1" wp14:anchorId="2A356B5B" wp14:editId="64ABF431">
                <wp:simplePos x="0" y="0"/>
                <wp:positionH relativeFrom="column">
                  <wp:posOffset>0</wp:posOffset>
                </wp:positionH>
                <wp:positionV relativeFrom="paragraph">
                  <wp:posOffset>298450</wp:posOffset>
                </wp:positionV>
                <wp:extent cx="5780405" cy="6524625"/>
                <wp:effectExtent l="0" t="0" r="10795" b="28575"/>
                <wp:wrapTight wrapText="bothSides">
                  <wp:wrapPolygon edited="0">
                    <wp:start x="854" y="0"/>
                    <wp:lineTo x="0" y="378"/>
                    <wp:lineTo x="0" y="21632"/>
                    <wp:lineTo x="20786" y="21632"/>
                    <wp:lineTo x="20857" y="21632"/>
                    <wp:lineTo x="21498" y="21253"/>
                    <wp:lineTo x="21569" y="20875"/>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524625"/>
                        </a:xfrm>
                        <a:prstGeom prst="round2DiagRect">
                          <a:avLst>
                            <a:gd name="adj1" fmla="val 6054"/>
                            <a:gd name="adj2" fmla="val 0"/>
                          </a:avLst>
                        </a:prstGeom>
                        <a:noFill/>
                        <a:ln w="25400" cap="flat" cmpd="sng" algn="ctr">
                          <a:solidFill>
                            <a:srgbClr val="F07E31"/>
                          </a:solidFill>
                          <a:prstDash val="solid"/>
                        </a:ln>
                        <a:effectLst/>
                      </wps:spPr>
                      <wps:txbx>
                        <w:txbxContent>
                          <w:p w:rsidR="00FD4C56" w:rsidRPr="0079762F" w:rsidRDefault="00FD4C56"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Njegovanje novih ideja i razmjena inovacija:</w:t>
                            </w:r>
                          </w:p>
                          <w:p w:rsidR="00FD4C56" w:rsidRPr="0079762F" w:rsidRDefault="00FD4C56" w:rsidP="008C0B17">
                            <w:pPr>
                              <w:pStyle w:val="HStandard"/>
                              <w:numPr>
                                <w:ilvl w:val="0"/>
                                <w:numId w:val="26"/>
                              </w:numPr>
                              <w:ind w:left="567" w:hanging="567"/>
                              <w:rPr>
                                <w:sz w:val="18"/>
                                <w:szCs w:val="18"/>
                              </w:rPr>
                            </w:pPr>
                            <w:r>
                              <w:rPr>
                                <w:sz w:val="18"/>
                                <w:szCs w:val="18"/>
                              </w:rPr>
                              <w:t>Prikupljanje primjera projekata kojima se obuhvaćaju svi prioriteti PRR-a: ovdje se primjerice može usmjeriti na inovativne projekte ili stvaranje baza podataka inovativnih projekata, čime se pridonosi utvrđivanju i razmjeni inovacija.</w:t>
                            </w:r>
                          </w:p>
                          <w:p w:rsidR="00FD4C56" w:rsidRPr="0079762F" w:rsidRDefault="00FD4C56" w:rsidP="008C0B17">
                            <w:pPr>
                              <w:pStyle w:val="HStandard"/>
                              <w:numPr>
                                <w:ilvl w:val="0"/>
                                <w:numId w:val="26"/>
                              </w:numPr>
                              <w:ind w:left="567" w:hanging="567"/>
                              <w:rPr>
                                <w:sz w:val="18"/>
                                <w:szCs w:val="18"/>
                              </w:rPr>
                            </w:pPr>
                            <w:r>
                              <w:rPr>
                                <w:sz w:val="18"/>
                                <w:szCs w:val="18"/>
                              </w:rPr>
                              <w:t>Olakšavanje tematskih i analitičkih razmjena između dionika ruralnog razvoja, dijeljenje i širenje rezultata. Takvim se razmjenama mogu poticati inovacije jer se njeguju i dijele nove ideje te se stvaraju uvjeti za razvoj novih znanja.</w:t>
                            </w:r>
                          </w:p>
                          <w:p w:rsidR="00FD4C56" w:rsidRDefault="00FD4C56" w:rsidP="008C0B17">
                            <w:pPr>
                              <w:pStyle w:val="HStandard"/>
                              <w:numPr>
                                <w:ilvl w:val="0"/>
                                <w:numId w:val="26"/>
                              </w:numPr>
                              <w:ind w:left="567" w:hanging="567"/>
                              <w:rPr>
                                <w:sz w:val="18"/>
                                <w:szCs w:val="18"/>
                              </w:rPr>
                            </w:pPr>
                            <w:r>
                              <w:rPr>
                                <w:sz w:val="18"/>
                                <w:szCs w:val="18"/>
                              </w:rPr>
                              <w:t>Promidžba PRR-a i informiranje o njemu te informacijske i komunikacijske aktivnosti usmjerene na širu javnost. To, među ostalim, može uključivati informiranje o postignućima PRR-a koja su povezana s inovacijama, postignućima OS-ova EPI-ja, načinu na koje strategije CLLD-a i partnerstva u okviru CLLD-a potiču inovacije te primjerima takvih partnerstava i inovativnih projekata u okviru LEADER-a/CLLD-a itd.</w:t>
                            </w:r>
                          </w:p>
                          <w:p w:rsidR="00FD4C56" w:rsidRPr="00E05D08" w:rsidRDefault="00FD4C56" w:rsidP="008A0CFF">
                            <w:pPr>
                              <w:pStyle w:val="HStandard"/>
                              <w:rPr>
                                <w:b/>
                                <w:color w:val="F07E31"/>
                                <w:sz w:val="18"/>
                                <w:szCs w:val="18"/>
                              </w:rPr>
                            </w:pPr>
                            <w:r>
                              <w:rPr>
                                <w:b/>
                                <w:color w:val="F07E31"/>
                                <w:sz w:val="18"/>
                                <w:szCs w:val="18"/>
                              </w:rPr>
                              <w:t>Izgradnja inovacijskog kapaciteta:</w:t>
                            </w:r>
                          </w:p>
                          <w:p w:rsidR="00FD4C56" w:rsidRPr="0079762F" w:rsidRDefault="00FD4C56" w:rsidP="008A0CFF">
                            <w:pPr>
                              <w:pStyle w:val="HStandard"/>
                              <w:numPr>
                                <w:ilvl w:val="0"/>
                                <w:numId w:val="26"/>
                              </w:numPr>
                              <w:rPr>
                                <w:sz w:val="18"/>
                                <w:szCs w:val="18"/>
                              </w:rPr>
                            </w:pPr>
                            <w:r>
                              <w:rPr>
                                <w:sz w:val="18"/>
                                <w:szCs w:val="18"/>
                              </w:rPr>
                              <w:t>Provedba aktivnosti osposobljavanja i umrežavanja za savjetnike i usluge potpore inovacijama koje su usmjerene na inovacije u poljoprivredi, šumarstvu i drugim sektorima povezanima s PRR-om. Osposobljavanje savjetnika i osposobljavanje za usluge potpore inovacijama može, primjerice, olakšati osnivanje OS-ova EPI-ja i stoga pridonijeti izgradnji inovacijskog kapaciteta u ruralnim područjima jer se od OS-ova očekuje da razvijaju inovativne projekte.</w:t>
                            </w:r>
                          </w:p>
                          <w:p w:rsidR="00FD4C56" w:rsidRPr="00ED3BAD" w:rsidRDefault="00FD4C56" w:rsidP="008A0CFF">
                            <w:pPr>
                              <w:pStyle w:val="HStandard"/>
                              <w:numPr>
                                <w:ilvl w:val="0"/>
                                <w:numId w:val="26"/>
                              </w:numPr>
                              <w:rPr>
                                <w:sz w:val="18"/>
                                <w:szCs w:val="18"/>
                              </w:rPr>
                            </w:pPr>
                            <w:r>
                              <w:rPr>
                                <w:sz w:val="18"/>
                                <w:szCs w:val="18"/>
                              </w:rPr>
                              <w:t>Provedba aktivnosti osposobljavanja i umrežavanja za LAG-ove i osobito pružanje tehničke pomoći za međuregionalnu i transnacionalnu suradnju, olakšavanje suradnje među LAG-ovima i traženja partnera u okviru mjere M16 (suradnja). NRM može, primjerice, olakšati aktivnosti zadruga kojima se podupiru eksperimentiranje i inovacije.</w:t>
                            </w:r>
                          </w:p>
                          <w:p w:rsidR="00FD4C56" w:rsidRPr="0079762F" w:rsidRDefault="00FD4C56" w:rsidP="008A0CFF">
                            <w:pPr>
                              <w:pStyle w:val="HStandard"/>
                              <w:ind w:left="567" w:hanging="567"/>
                              <w:rPr>
                                <w:i/>
                                <w:sz w:val="18"/>
                                <w:szCs w:val="18"/>
                              </w:rPr>
                            </w:pPr>
                            <w:r>
                              <w:rPr>
                                <w:b/>
                                <w:color w:val="F07E31"/>
                                <w:sz w:val="18"/>
                                <w:szCs w:val="18"/>
                              </w:rPr>
                              <w:t>Izgradnja poticajnog okruženja za inovacije:</w:t>
                            </w:r>
                          </w:p>
                          <w:p w:rsidR="00FD4C56" w:rsidRPr="00ED3BAD" w:rsidRDefault="00FD4C56" w:rsidP="008A0CFF">
                            <w:pPr>
                              <w:pStyle w:val="HStandard"/>
                              <w:numPr>
                                <w:ilvl w:val="0"/>
                                <w:numId w:val="29"/>
                              </w:numPr>
                              <w:ind w:left="567" w:hanging="567"/>
                              <w:rPr>
                                <w:sz w:val="18"/>
                                <w:szCs w:val="18"/>
                              </w:rPr>
                            </w:pPr>
                            <w:r>
                              <w:rPr>
                                <w:sz w:val="18"/>
                                <w:szCs w:val="18"/>
                              </w:rPr>
                              <w:t>Doprinos aktivnostima europskih mreža, osobito EMRR-a i EIP-AGRI-ja, i sudjelovanje u njima mogu pridonijeti postizanju poticajnog okruženja za inovacije.</w:t>
                            </w:r>
                          </w:p>
                          <w:p w:rsidR="00FD4C56" w:rsidRPr="00547012" w:rsidRDefault="00FD4C56" w:rsidP="00547012">
                            <w:pPr>
                              <w:pStyle w:val="HStandard"/>
                              <w:numPr>
                                <w:ilvl w:val="0"/>
                                <w:numId w:val="29"/>
                              </w:numPr>
                              <w:ind w:left="567" w:hanging="567"/>
                              <w:rPr>
                                <w:sz w:val="18"/>
                                <w:szCs w:val="18"/>
                              </w:rPr>
                            </w:pPr>
                            <w:r>
                              <w:rPr>
                                <w:sz w:val="18"/>
                                <w:szCs w:val="18"/>
                              </w:rPr>
                              <w:t>NRM-ovi mogu poticati inovacije povezivanjem inovacijskih subjekata (poljoprivrednika, istraživača, NVO-a, LAG-ova itd.), prikupljanjem informacija, inicijativama animiranja „odozdo prema gore”, pružanjem pomoći u dotjerivanju inovativnih ideja i pružanjem potpore u traženju partnera i financiranja, pri čemu sve to pridonosi poticajnom okruženju za inovacije.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23.5pt;width:455.15pt;height:51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524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" adj="-11796480,,5400" path="m349946,l5780405,r,l5780405,6174679v,193270,-156676,349946,-349946,349946l,6524625r,l,349946c,156676,156676,,349946,xe" filled="f" strokecolor="#f07e31" strokeweight="2pt">
                <v:stroke joinstyle="miter"/>
                <v:formulas/>
                <v:path arrowok="t" o:connecttype="custom" o:connectlocs="349946,0;5780405,0;5780405,0;5780405,6174679;5430459,6524625;0,6524625;0,6524625;0,349946;349946,0" o:connectangles="0,0,0,0,0,0,0,0,0" textboxrect="0,0,5780405,6524625"/>
                <v:textbox>
                  <w:txbxContent>
                    <w:p w:rsidR="00FD4C56" w:rsidRPr="0079762F" w:rsidRDefault="00FD4C56" w:rsidP="00E05D08">
                      <w:pPr>
                        <w:pStyle w:val="HStandard"/>
                        <w:ind w:left="567" w:hanging="567"/>
                        <w:rPr>
                          <w:i/>
                          <w:sz w:val="18"/>
                          <w:szCs w:val="18"/>
                        </w:rPr>
                      </w:pPr>
                      <w:r>
                        <w:rPr>
                          <w:noProof/>
                          <w:sz w:val="18"/>
                          <w:szCs w:val="18"/>
                          <w:lang w:val="en-GB"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Njegovanje novih ideja i razmjena inovacija:</w:t>
                      </w:r>
                    </w:p>
                    <w:p w:rsidR="00FD4C56" w:rsidRPr="0079762F" w:rsidRDefault="00FD4C56" w:rsidP="008C0B17">
                      <w:pPr>
                        <w:pStyle w:val="HStandard"/>
                        <w:numPr>
                          <w:ilvl w:val="0"/>
                          <w:numId w:val="26"/>
                        </w:numPr>
                        <w:ind w:left="567" w:hanging="567"/>
                        <w:rPr>
                          <w:sz w:val="18"/>
                          <w:szCs w:val="18"/>
                        </w:rPr>
                      </w:pPr>
                      <w:r>
                        <w:rPr>
                          <w:sz w:val="18"/>
                          <w:szCs w:val="18"/>
                        </w:rPr>
                        <w:t>Prikupljanje primjera projekata kojima se obuhvaćaju svi prioriteti PRR-a: ovdje se primjerice može usmjeriti na inovativne projekte ili stvaranje baza podataka inovativnih projekata, čime se pridonosi utvrđivanju i razmjeni inovacija.</w:t>
                      </w:r>
                    </w:p>
                    <w:p w:rsidR="00FD4C56" w:rsidRPr="0079762F" w:rsidRDefault="00FD4C56" w:rsidP="008C0B17">
                      <w:pPr>
                        <w:pStyle w:val="HStandard"/>
                        <w:numPr>
                          <w:ilvl w:val="0"/>
                          <w:numId w:val="26"/>
                        </w:numPr>
                        <w:ind w:left="567" w:hanging="567"/>
                        <w:rPr>
                          <w:sz w:val="18"/>
                          <w:szCs w:val="18"/>
                        </w:rPr>
                      </w:pPr>
                      <w:r>
                        <w:rPr>
                          <w:sz w:val="18"/>
                          <w:szCs w:val="18"/>
                        </w:rPr>
                        <w:t>Olakšavanje tematskih i analitičkih razmjena između dionika ruralnog razvoja, dijeljenje i širenje rezultata. Takvim se razmjenama mogu poticati inovacije jer se njeguju i dijele nove ideje te se stvaraju uvjeti za razvoj novih znanja.</w:t>
                      </w:r>
                    </w:p>
                    <w:p w:rsidR="00FD4C56" w:rsidRDefault="00FD4C56" w:rsidP="008C0B17">
                      <w:pPr>
                        <w:pStyle w:val="HStandard"/>
                        <w:numPr>
                          <w:ilvl w:val="0"/>
                          <w:numId w:val="26"/>
                        </w:numPr>
                        <w:ind w:left="567" w:hanging="567"/>
                        <w:rPr>
                          <w:sz w:val="18"/>
                          <w:szCs w:val="18"/>
                        </w:rPr>
                      </w:pPr>
                      <w:r>
                        <w:rPr>
                          <w:sz w:val="18"/>
                          <w:szCs w:val="18"/>
                        </w:rPr>
                        <w:t>Promidžba PRR-a i informiranje o njemu te informacijske i komunikacijske aktivnosti usmjerene na širu javnost. To, među ostalim, može uključivati informiranje o postignućima PRR-a koja su povezana s inovacijama, postignućima OS-ova EPI-ja, načinu na koje strategije CLLD-a i partnerstva u okviru CLLD-a potiču inovacije te primjerima takvih partnerstava i inovativnih projekata u okviru LEADER-a/CLLD-a itd.</w:t>
                      </w:r>
                    </w:p>
                    <w:p w:rsidR="00FD4C56" w:rsidRPr="00E05D08" w:rsidRDefault="00FD4C56" w:rsidP="008A0CFF">
                      <w:pPr>
                        <w:pStyle w:val="HStandard"/>
                        <w:rPr>
                          <w:b/>
                          <w:color w:val="F07E31"/>
                          <w:sz w:val="18"/>
                          <w:szCs w:val="18"/>
                        </w:rPr>
                      </w:pPr>
                      <w:r>
                        <w:rPr>
                          <w:b/>
                          <w:color w:val="F07E31"/>
                          <w:sz w:val="18"/>
                          <w:szCs w:val="18"/>
                        </w:rPr>
                        <w:t>Izgradnja inovacijskog kapaciteta:</w:t>
                      </w:r>
                    </w:p>
                    <w:p w:rsidR="00FD4C56" w:rsidRPr="0079762F" w:rsidRDefault="00FD4C56" w:rsidP="008A0CFF">
                      <w:pPr>
                        <w:pStyle w:val="HStandard"/>
                        <w:numPr>
                          <w:ilvl w:val="0"/>
                          <w:numId w:val="26"/>
                        </w:numPr>
                        <w:rPr>
                          <w:sz w:val="18"/>
                          <w:szCs w:val="18"/>
                        </w:rPr>
                      </w:pPr>
                      <w:r>
                        <w:rPr>
                          <w:sz w:val="18"/>
                          <w:szCs w:val="18"/>
                        </w:rPr>
                        <w:t>Provedba aktivnosti osposobljavanja i umrežavanja za savjetnike i usluge potpore inovacijama koje su usmjerene na inovacije u poljoprivredi, šumarstvu i drugim sektorima povezanima s PRR-om. Osposobljavanje savjetnika i osposobljavanje za usluge potpore inovacijama može, primjerice, olakšati osnivanje OS-ova EPI-ja i stoga pridonijeti izgradnji inovacijskog kapaciteta u ruralnim područjima jer se od OS-ova očekuje da razvijaju inovativne projekte.</w:t>
                      </w:r>
                    </w:p>
                    <w:p w:rsidR="00FD4C56" w:rsidRPr="00ED3BAD" w:rsidRDefault="00FD4C56" w:rsidP="008A0CFF">
                      <w:pPr>
                        <w:pStyle w:val="HStandard"/>
                        <w:numPr>
                          <w:ilvl w:val="0"/>
                          <w:numId w:val="26"/>
                        </w:numPr>
                        <w:rPr>
                          <w:sz w:val="18"/>
                          <w:szCs w:val="18"/>
                        </w:rPr>
                      </w:pPr>
                      <w:r>
                        <w:rPr>
                          <w:sz w:val="18"/>
                          <w:szCs w:val="18"/>
                        </w:rPr>
                        <w:t>Provedba aktivnosti osposobljavanja i umrežavanja za LAG-ove i osobito pružanje tehničke pomoći za međuregionalnu i transnacionalnu suradnju, olakšavanje suradnje među LAG-ovima i traženja partnera u okviru mjere M16 (suradnja). NRM može, primjerice, olakšati aktivnosti zadruga kojima se podupiru eksperimentiranje i inovacije.</w:t>
                      </w:r>
                    </w:p>
                    <w:p w:rsidR="00FD4C56" w:rsidRPr="0079762F" w:rsidRDefault="00FD4C56" w:rsidP="008A0CFF">
                      <w:pPr>
                        <w:pStyle w:val="HStandard"/>
                        <w:ind w:left="567" w:hanging="567"/>
                        <w:rPr>
                          <w:i/>
                          <w:sz w:val="18"/>
                          <w:szCs w:val="18"/>
                        </w:rPr>
                      </w:pPr>
                      <w:r>
                        <w:rPr>
                          <w:b/>
                          <w:color w:val="F07E31"/>
                          <w:sz w:val="18"/>
                          <w:szCs w:val="18"/>
                        </w:rPr>
                        <w:t>Izgradnja poticajnog okruženja za inovacije:</w:t>
                      </w:r>
                    </w:p>
                    <w:p w:rsidR="00FD4C56" w:rsidRPr="00ED3BAD" w:rsidRDefault="00FD4C56" w:rsidP="008A0CFF">
                      <w:pPr>
                        <w:pStyle w:val="HStandard"/>
                        <w:numPr>
                          <w:ilvl w:val="0"/>
                          <w:numId w:val="29"/>
                        </w:numPr>
                        <w:ind w:left="567" w:hanging="567"/>
                        <w:rPr>
                          <w:sz w:val="18"/>
                          <w:szCs w:val="18"/>
                        </w:rPr>
                      </w:pPr>
                      <w:r>
                        <w:rPr>
                          <w:sz w:val="18"/>
                          <w:szCs w:val="18"/>
                        </w:rPr>
                        <w:t>Doprinos aktivnostima europskih mreža, osobito EMRR-a i EIP-AGRI-ja, i sudjelovanje u njima mogu pridonijeti postizanju poticajnog okruženja za inovacije.</w:t>
                      </w:r>
                    </w:p>
                    <w:p w:rsidR="00FD4C56" w:rsidRPr="00547012" w:rsidRDefault="00FD4C56" w:rsidP="00547012">
                      <w:pPr>
                        <w:pStyle w:val="HStandard"/>
                        <w:numPr>
                          <w:ilvl w:val="0"/>
                          <w:numId w:val="29"/>
                        </w:numPr>
                        <w:ind w:left="567" w:hanging="567"/>
                        <w:rPr>
                          <w:sz w:val="18"/>
                          <w:szCs w:val="18"/>
                        </w:rPr>
                      </w:pPr>
                      <w:r>
                        <w:rPr>
                          <w:sz w:val="18"/>
                          <w:szCs w:val="18"/>
                        </w:rPr>
                        <w:t>NRM-ovi mogu poticati inovacije povezivanjem inovacijskih subjekata (poljoprivrednika, istraživača, NVO-a, LAG-ova itd.), prikupljanjem informacija, inicijativama animiranja „odozdo prema gore”, pružanjem pomoći u dotjerivanju inovativnih ideja i pružanjem potpore u traženju partnera i financiranja, pri čemu sve to pridonosi poticajnom okruženju za inovacije.</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Treba imati na umu da se ovo evaluacijsko pitanje odnosi na NRM-ove koji potiču inovacije ne samo u poljoprivredi nego općenito u svim ruralnim područjima. NRM-ovima je dostupno mnogo načina na koji mogu poticati inovacije i donijeti „nešto novo” ruralnim zajednicama: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rad s ruralnim organizacijama i poduzećima radi stvaranja novih ideja i pristupa za rješavanje zajedničkih potreba;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iskorištavanje dobrih praksi povezivanjem praktičara u ruralnom razvoju s odgovarajućim stručnjacima, akademskim subjektima i istraživačkim institutima;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provedba osposobljavanja o specifičnim temama povezanim s inovacijama;</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pružanje pomoći LAG-ovima i dionicima LEADER-a u potpori inovacijama kao ključnom načelu njihovih strategija lokalnog razvoja i u razvoju novih ideja i pristupa. </w:t>
      </w:r>
    </w:p>
    <w:p w:rsidR="00A45935" w:rsidRPr="00E05D08" w:rsidRDefault="00A45935" w:rsidP="00E05D08">
      <w:pPr>
        <w:spacing w:after="120" w:line="280" w:lineRule="atLeast"/>
        <w:mirrorIndents/>
        <w:rPr>
          <w:rFonts w:eastAsia="Times New Roman" w:cs="Times New Roman"/>
          <w:szCs w:val="20"/>
        </w:rPr>
      </w:pPr>
      <w:r>
        <w:lastRenderedPageBreak/>
        <w:t>Stoga je važno da se, prije nego što se pokuša odgovoriti na ZEP br. 21, razjasne ti aspekti i dobro razumije kako određeni NRM može svojim aktivnostima poticati inovacije.</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Specifični izazovi </w:t>
      </w:r>
    </w:p>
    <w:p w:rsidR="00A45935" w:rsidRPr="00C9522B" w:rsidRDefault="00A45935" w:rsidP="00547012">
      <w:pPr>
        <w:pStyle w:val="Hlistbullet"/>
      </w:pPr>
      <w:r>
        <w:rPr>
          <w:b/>
          <w:shd w:val="clear" w:color="auto" w:fill="FFFFFF"/>
        </w:rPr>
        <w:t>Razvoj dodatnih evaluacijskih elemenata i evaluacijskih elemenata specifičnih za pojedine programe za potrebe evaluacije inovacija u kontekstu NRM-ova</w:t>
      </w:r>
      <w:r>
        <w:rPr>
          <w:shd w:val="clear" w:color="auto" w:fill="FFFFFF"/>
        </w:rPr>
        <w:t xml:space="preserve">. </w:t>
      </w:r>
      <w:r>
        <w:t xml:space="preserve">Kako strukturirati dodatne pokazatelje (rezultata i učinka) i kako ih u kombinaciji s pokazateljima ostvarenja koji već postoje u ZSPE-u upotrebljavati za odgovaranje na ZEP br. 21 u pogledu poticanja inovacija? </w:t>
      </w:r>
    </w:p>
    <w:p w:rsidR="00A45935" w:rsidRPr="00C9522B" w:rsidRDefault="00A45935" w:rsidP="00547012">
      <w:pPr>
        <w:pStyle w:val="Hlistbullet"/>
      </w:pPr>
      <w:r>
        <w:rPr>
          <w:b/>
          <w:shd w:val="clear" w:color="auto" w:fill="FFFFFF"/>
        </w:rPr>
        <w:t xml:space="preserve">Pripisivanje inovacijskih procesa intervencijama NRM-a. </w:t>
      </w:r>
      <w:r>
        <w:t>Kako izmjeriti u kojoj se mjeri inovacijski procesi nastali u ruralnim područjima mogu izravno ili neizravno pripisati intervencijama NRM-a?</w:t>
      </w:r>
    </w:p>
    <w:p w:rsidR="00A45935" w:rsidRPr="00C9522B" w:rsidRDefault="00A45935" w:rsidP="00547012">
      <w:pPr>
        <w:pStyle w:val="Hlistbullet"/>
      </w:pPr>
      <w:r w:rsidRPr="003A6C78">
        <w:rPr>
          <w:b/>
        </w:rPr>
        <w:t>Pripisivanje inovacija potaknutih u okviru PRR-a NRM-u</w:t>
      </w:r>
      <w:r>
        <w:t xml:space="preserve">, osobito ocjenom mjere u kojoj se inovacije potaknute u okviru PRR-a mogu povezati s aktivnostima NRM-a. To znači da bi učinci aktivnosti NRM-a na poticanje inovacija trebali biti odvojeni od učinaka drugih intervencija u okviru PRR-a (ostale mjere itd.).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Pristup predložen za odgovaranje na ZEP br.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Logika intervencije </w:t>
      </w:r>
    </w:p>
    <w:p w:rsidR="00A45935" w:rsidRPr="00E05D08" w:rsidRDefault="00A45935" w:rsidP="00E05D08">
      <w:pPr>
        <w:spacing w:after="120" w:line="280" w:lineRule="atLeast"/>
        <w:mirrorIndents/>
        <w:rPr>
          <w:rFonts w:eastAsia="Times New Roman" w:cs="Times New Roman"/>
          <w:szCs w:val="20"/>
        </w:rPr>
      </w:pPr>
      <w:r>
        <w:t>Pristup prema inovacijama koji se primjenjuje u PRR-u utvrđen pri izradi</w:t>
      </w:r>
      <w:r>
        <w:rPr>
          <w:rFonts w:eastAsia="Times New Roman" w:cs="Times New Roman"/>
          <w:szCs w:val="20"/>
          <w:vertAlign w:val="superscript"/>
          <w:lang w:eastAsia="de-DE"/>
        </w:rPr>
        <w:footnoteReference w:id="61"/>
      </w:r>
      <w:r>
        <w:t xml:space="preserve"> programa uključuje i NRM. U pripremi evaluacije o kojoj će se izvijestiti u GIP-u koji se podnosi 2019. potencijal aktivnosti NRM-a uključenih u akcijski plan NRM-a za poticanje inovacija analitički se provjerava na isti način na koji se analitički provjeravaju mjere PRR-a. To se odnosi na potencijal NRM-a za: a) utvrđivanje i razmjenu inovativnih ideja, b) izgradnju inovacijskog kapaciteta, c) stvaranje poticajnog okruženja za inovacije. Stoga se sve aktivnosti koje su provedene u okviru skupine aktivnosti NRM-a, a za koje je utvrđeno da imaju inovacijski potencijal, smatraju dijelom temeljne logike intervencije NRM-a koja je povezana s inovacijama.</w:t>
      </w:r>
    </w:p>
    <w:p w:rsidR="00A45935" w:rsidRPr="00E05D08" w:rsidRDefault="00A45935" w:rsidP="006E2A31">
      <w:pPr>
        <w:pStyle w:val="HStandard"/>
        <w:rPr>
          <w:b/>
          <w:sz w:val="16"/>
        </w:rPr>
      </w:pPr>
      <w:r>
        <w:t xml:space="preserve">Na slici u nastavku prikazana je logika intervencije NRM-a povezana s inovacijama te je prikazano kako se ona može rekonstruirati iz postojeće logike intervencije NRM-a ili iz akcijskog plana NRM-a. </w:t>
      </w:r>
      <w:r>
        <w:br w:type="page"/>
      </w:r>
    </w:p>
    <w:p w:rsidR="00A45935" w:rsidRPr="00CB68D9" w:rsidRDefault="00A45935" w:rsidP="00676B41">
      <w:pPr>
        <w:pStyle w:val="HHeadingfigures"/>
      </w:pPr>
      <w:bookmarkStart w:id="119" w:name="_Toc508981152"/>
      <w:r>
        <w:lastRenderedPageBreak/>
        <w:t>Logika intervencije NRM-a u pogledu inovacija</w:t>
      </w:r>
      <w:bookmarkEnd w:id="119"/>
    </w:p>
    <w:p w:rsidR="00A45935" w:rsidRPr="00E05D08" w:rsidRDefault="003A6C78" w:rsidP="00E05D08">
      <w:pPr>
        <w:spacing w:before="240" w:after="120" w:line="280" w:lineRule="atLeast"/>
        <w:ind w:left="-142"/>
        <w:mirrorIndents/>
        <w:jc w:val="center"/>
        <w:rPr>
          <w:rFonts w:eastAsia="Times New Roman" w:cs="Times New Roman"/>
          <w:b/>
          <w:szCs w:val="20"/>
        </w:rPr>
      </w:pPr>
      <w:r w:rsidRPr="003A6C78">
        <w:rPr>
          <w:noProof/>
          <w:lang w:val="en-GB" w:eastAsia="en-GB"/>
        </w:rPr>
        <w:drawing>
          <wp:inline distT="0" distB="0" distL="0" distR="0" wp14:anchorId="377CF43A" wp14:editId="4FB21BBA">
            <wp:extent cx="5731510" cy="3633000"/>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3633000"/>
                    </a:xfrm>
                    <a:prstGeom prst="rect">
                      <a:avLst/>
                    </a:prstGeom>
                    <a:noFill/>
                    <a:ln>
                      <a:noFill/>
                    </a:ln>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Izvor: Europska služba za podršku evaluaciji ruralnog razvoja, 2017.</w:t>
      </w:r>
    </w:p>
    <w:p w:rsidR="00A45935" w:rsidRPr="00E05D08" w:rsidRDefault="00A45935" w:rsidP="00E05D08">
      <w:pPr>
        <w:spacing w:before="120" w:after="120" w:line="280" w:lineRule="atLeast"/>
        <w:mirrorIndents/>
        <w:rPr>
          <w:rFonts w:eastAsia="Times New Roman" w:cs="Times New Roman"/>
          <w:szCs w:val="20"/>
        </w:rPr>
      </w:pPr>
      <w:r>
        <w:t>Iz slike se može zaključiti da se logika intervencije NRM-a povezana s inovacijama može rekonstruirati na sljedeći način:</w:t>
      </w:r>
    </w:p>
    <w:p w:rsidR="00A45935" w:rsidRPr="00BC2432" w:rsidRDefault="00A45935" w:rsidP="00676B41">
      <w:pPr>
        <w:pStyle w:val="Hlistbullet"/>
      </w:pPr>
      <w:r w:rsidRPr="003A6C78">
        <w:rPr>
          <w:b/>
        </w:rPr>
        <w:t>1. KORAK</w:t>
      </w:r>
      <w:r>
        <w:t xml:space="preserve">: utvrđivanje potreba područja obuhvaćenog PRR-om koje su povezane s inovacijama, a koje se mogu riješiti u okviru ruralnih mreža. </w:t>
      </w:r>
    </w:p>
    <w:p w:rsidR="00A45935" w:rsidRPr="00BC2432" w:rsidRDefault="00A45935" w:rsidP="00676B41">
      <w:pPr>
        <w:pStyle w:val="Hlistbullet"/>
      </w:pPr>
      <w:r>
        <w:rPr>
          <w:b/>
        </w:rPr>
        <w:t>2. KORAK:</w:t>
      </w:r>
      <w:r>
        <w:t xml:space="preserve"> povezivanje aktivnosti navedenih u akcijskom planu NRM-a (i unaprijed definiranih u regulatornom okviru za programsko razdoblje 2014. – 2020.</w:t>
      </w:r>
      <w:r>
        <w:rPr>
          <w:rFonts w:cs="Arial"/>
          <w:vertAlign w:val="superscript"/>
        </w:rPr>
        <w:footnoteReference w:id="62"/>
      </w:r>
      <w:r>
        <w:t xml:space="preserve">) s trima putanjama i posljedično s općim ciljem poticanja inovacija putem NRM-a (na temelju analize inovacijskog potencijala mjera – vidjeti </w:t>
      </w:r>
      <w:hyperlink w:anchor="Screening_Potential" w:history="1">
        <w:r>
          <w:rPr>
            <w:rStyle w:val="Hyperlink"/>
            <w:sz w:val="20"/>
          </w:rPr>
          <w:t>poglavlje 2.2.</w:t>
        </w:r>
      </w:hyperlink>
      <w:r>
        <w:t>).</w:t>
      </w:r>
    </w:p>
    <w:p w:rsidR="00A45935" w:rsidRPr="00BC2432" w:rsidRDefault="00A45935" w:rsidP="00676B41">
      <w:pPr>
        <w:pStyle w:val="Hlistbullet"/>
      </w:pPr>
      <w:r>
        <w:rPr>
          <w:b/>
        </w:rPr>
        <w:t>3. KORAK:</w:t>
      </w:r>
      <w:r>
        <w:t xml:space="preserve"> primjena teorije promjene za određivanje očekivanih ostvarenja aktivnosti, što dovodi do očekivanih rezultata u mjeri u kojoj su povezani s trima putanjama. Učinci u mjeri u kojoj su povezani sa zajedničkim ciljevima NRM-a i ciljevima PRR-a.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Evaluacijski elementi </w:t>
      </w:r>
    </w:p>
    <w:p w:rsidR="00A45935" w:rsidRPr="00E05D08" w:rsidRDefault="00A45935" w:rsidP="00676B41">
      <w:pPr>
        <w:spacing w:after="120" w:line="280" w:lineRule="atLeast"/>
        <w:ind w:left="142"/>
        <w:mirrorIndents/>
        <w:rPr>
          <w:rFonts w:eastAsia="Times New Roman" w:cs="Times New Roman"/>
          <w:szCs w:val="20"/>
        </w:rPr>
      </w:pPr>
      <w:r>
        <w:t>Za odgovaranje na ZEP br. 21 postoji samo jedan kriterij prosudbe, točnije: „NRM je poticao inovacije u poljoprivredi, proizvodnji hrane, šumarstvu i ruralnim područjima”</w:t>
      </w:r>
      <w:r>
        <w:rPr>
          <w:rFonts w:eastAsia="Times New Roman" w:cs="Times New Roman"/>
          <w:szCs w:val="20"/>
          <w:vertAlign w:val="superscript"/>
          <w:lang w:eastAsia="de-DE"/>
        </w:rPr>
        <w:footnoteReference w:id="63"/>
      </w:r>
      <w:r>
        <w:t>. To je popraćeno dvama zajedničkim pokazateljima ostvarenja</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brojem tematskih i analitičkih razmjena uspostavljenih uz potporu NRM-a (O24)</w:t>
      </w:r>
    </w:p>
    <w:p w:rsidR="00A45935" w:rsidRPr="005D0347" w:rsidRDefault="00A45935" w:rsidP="008C0B17">
      <w:pPr>
        <w:numPr>
          <w:ilvl w:val="0"/>
          <w:numId w:val="95"/>
        </w:numPr>
        <w:tabs>
          <w:tab w:val="left" w:pos="426"/>
        </w:tabs>
        <w:ind w:left="426" w:hanging="284"/>
        <w:mirrorIndents/>
        <w:rPr>
          <w:szCs w:val="20"/>
        </w:rPr>
      </w:pPr>
      <w:r>
        <w:t>brojem aktivnosti EMRR-a u kojima je sudjelovao NRM (O26).</w:t>
      </w:r>
    </w:p>
    <w:p w:rsidR="00A45935" w:rsidRPr="00E05D08" w:rsidRDefault="00A45935" w:rsidP="00E05D08">
      <w:pPr>
        <w:spacing w:after="120" w:line="280" w:lineRule="atLeast"/>
        <w:mirrorIndents/>
        <w:rPr>
          <w:rFonts w:eastAsia="Times New Roman" w:cs="Times New Roman"/>
          <w:szCs w:val="20"/>
        </w:rPr>
      </w:pPr>
      <w:r>
        <w:t>U tablici 5. predloženi su dodatni kriteriji prosudbe i pokazatelji. U tu je svrhu postojeći kriterij prosudbe raščlanjen na više njih u okviru triju inovacijskih putanja.</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8981134"/>
      <w:r>
        <w:rPr>
          <w:color w:val="6F6F6F"/>
          <w:sz w:val="18"/>
          <w:szCs w:val="18"/>
        </w:rPr>
        <w:lastRenderedPageBreak/>
        <w:t>Predloženi dodatni kriteriji prosudbe, pokazatelji i podatci za odgovaranje na ZEP br.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Kriteriji prosudbe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Pokazatelji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Potrebni podatci</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Izvori podataka</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Zajednički evaluacijski elementi (ZSPE i elementi predloženi u radnom dokumentu „Zajednička evaluacijska pitanja za razdoblje 2014. – 2020.”)</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NRM je poticao inovacije u poljoprivredi, proizvodnji hrane, šumarstvu i ruralnim područjima.</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Broj tematskih i analitičkih razmjena uspostavljenih uz potporu NRM-a (onih povezanih s inovacijama)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Broj komunikacijskih alata NRM-a (onih povezanih s inovacijama)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Broj aktivnosti EMRR-a u kojima je sudjelovao NRM (onih povezanih s inovacijama)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Dodatni pokazatelj:</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udio (%) inovativnih projekata koje potiče NRM u ukupnom broju inovativnih projekata za koje je dodijeljena potpora u okviru PRR-a</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Podatci o inovativnim tematskim i analitičkim razmjenama koje je uspostavio NRM</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Podatci o komunikacijskim alatima povezanima s inovacijama koje je uspostavio NRM</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Informacije o aktivnostima EMRR-a povezane s inovacijama u kojima je sudjelovao NRM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Podatci o inovacijskim projektima u okviru PRR-a koje je pokrenuo/podupirao NRM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Sustav za praćenje PRR-a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Praćenje i samoocjenjivanje koje provodi NRM</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Praćenje koje provodi EMRR (statistički podatci mreže)</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Dodatni evaluacijski elementi povezani s doprinosom NRM-a utvrđivanju i razmjeni inovacija (neobvezno)</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Povećan je broj promidžbenih, informativnih i komunikacijskih aktivnosti koje NRM provodi u vezi s inovacijama u okviru PRR-a.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promidžbenih, informativnih i komunikacijskih aktivnosti koje NRM provodi u vezi s inovacijama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promidžbenih, informativnih i komunikacijskih aktivnosti po temi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Praćenje i samoocjenjivanje koje provodi NRM</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Razgovori</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Publikacije NRM-a</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Kriteriji prosudbe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Pokazatelji</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Potrebni podatci</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Izvori podataka</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Dodatni evaluacijski elementi povezani s doprinosom NRM-a inovacijskom kapacitetu (neobvezno)</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Povećao se broj aktivnosti NRM-a povezanih s osposobljavanjem i umrežavanjem za: a) savjetnike i usluge potpore inovacijama i/ili b) LAG-ove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NRM-ovih aktivnosti osposobljavanja i umrežavanja za: a) savjetnike i usluge potpore inovacijama i/ili b) LAG-ove</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aktivnosti osposobljavanja i umrežavanja po ciljnoj skupini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NRM-ovi (praćenje, samoocjenjivanje, razgovori, publikacije)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LAG-ovi (razgovori, ankete, fokusne skupine)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Zahvaljujući aktivnostima NRM-a, poboljšala se sposobnost savjetnika i usluga potpore inovacijama da olakšaju osnivanje OS-ova.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OS-ova osnovanih uz potporu savjetnika / usluga potpore inovacijama koji su sudjelovali u NRM-ovim aktivnostima osposobljavanja/umrežavanja</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OS-ova osnovanih uz potporu savjetnika / usluga potpore inovacijama</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OS-ova osnovanih uz potporu savjetnika / usluga potpore inovacijama koji su sudjelovali u NRM-ovim aktivnostima osposobljavanja/umrežavanja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NRM-ovi (praćenje, samoocjenjivanje, razgovori, publikacije)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 OS-ova / fokusne skupine s OS-ovima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 savjetnika / fokusne skupine sa savjetnicima (usluge potpore inovacijama)</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Dodatni evaluacijski elementi povezani s doprinosom NRM-a izgradnji poticajnog okruženja za inovacije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Povećana je učestalost sudjelovanja NRM-a u aktivnostima EMRR-a povezanima s inovacijama.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Broj aktivnosti EMRR-a u kojima je sudjelovao NRM (O.26), a unutar toga broj onih koje su bile o temama povezanima s inovacijama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aktivnosti EMRR-a u kojima je sudjelovao NRM (O.26) po temi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Tablice za praćenje</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NRM-ovi (praćenje, samoocjenjivanje, razgovori, publikacije)</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Povećana je učestalost sudjelovanja NRM-a u aktivnostima EPI-ja.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i vrsta doprinosa NRM-a EIP-AGRI-ju, a unutar toga: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pružanje primjera projekata / dobre prakse koji su usmjereni na inovacije;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organizacija sastanaka o inovacijama;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događaji za umrežavanje inovacijskih dionika, točnije LAG-ova i OS-ova;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prekogranična razmjena informacija o </w:t>
            </w:r>
            <w:r>
              <w:rPr>
                <w:sz w:val="18"/>
                <w:szCs w:val="18"/>
                <w14:textFill>
                  <w14:solidFill>
                    <w14:srgbClr w14:val="373737">
                      <w14:lumMod w14:val="75000"/>
                    </w14:srgbClr>
                  </w14:solidFill>
                </w14:textFill>
              </w:rPr>
              <w:lastRenderedPageBreak/>
              <w:t>projektima, istraživačkim inicijativama, tematskim mrežama i mogućnostima financiranja u okviru Obzora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aktivnosti potpore koje se provode za usluge potpore inovacijama za animiranje inovativnih aktivnosti i osnivanje OS-ova;</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potpora u traženju partnera.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Broj doprinosa NRM-a EPI-ju po vrsti kako je utvrđeno člankom 35. stavkom 2. točkama (a) – (f) Uredbe (EU) br.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NRM-ovi (praćenje, samoocjenjivanje, razgovori, publikacije)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Struktura umrežavanja za usluge potpore inovacijama na razini države članice (ako je odvojeno od NRM-a)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Uslužna točka EPI-ja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 / fokusne skupine o projektima OS-a</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Povećana suradnja, razmjene i umrežavanje među partnerima inovacijskog projekta</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Broj dodatnih mreža / partnerstava / suradničkih skupina među partnerima inovacijskog projekta koje potiče NRM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Broj mreža, partnerstava i/ili suradničkih skupina među partnerima inovacijskog projekta koje podupire NRM</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Baza podataka NRM-a</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Ankete / fokusne skupine</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Predložena evaluacijska metodologija </w:t>
      </w:r>
    </w:p>
    <w:p w:rsidR="00A45935" w:rsidRPr="00E05D08" w:rsidRDefault="00A45935" w:rsidP="00E05D08">
      <w:pPr>
        <w:spacing w:after="120" w:line="280" w:lineRule="atLeast"/>
        <w:mirrorIndents/>
        <w:rPr>
          <w:rFonts w:eastAsia="Times New Roman" w:cs="Arial"/>
          <w:szCs w:val="20"/>
        </w:rPr>
      </w:pPr>
      <w:r>
        <w:t>Za odgovaranje na ZEP br. 21 preporučujemo sljedeće korake:</w:t>
      </w:r>
    </w:p>
    <w:p w:rsidR="00A45935" w:rsidRPr="007707EC" w:rsidRDefault="00A45935" w:rsidP="00676B41">
      <w:pPr>
        <w:pStyle w:val="Hlistbullet"/>
      </w:pPr>
      <w:r>
        <w:rPr>
          <w:b/>
        </w:rPr>
        <w:t xml:space="preserve">1. KORAK: </w:t>
      </w:r>
      <w:r>
        <w:t>prikupljanje informacija od dionika uključenih u aktivnosti NRM-a koje imaju inovacijski potencijal kako bi se utvrdili doprinosi NRM-a poticanju inovacija. To se može postići uporabom kriterija prosudbe i pokazatelja te primjenom metoda navedenih u nastavku u tablici 6.</w:t>
      </w:r>
    </w:p>
    <w:p w:rsidR="00A45935" w:rsidRPr="007707EC" w:rsidRDefault="00A45935" w:rsidP="00676B41">
      <w:pPr>
        <w:pStyle w:val="Hlistbullet"/>
      </w:pPr>
      <w:r>
        <w:rPr>
          <w:b/>
        </w:rPr>
        <w:t xml:space="preserve">2. KORAK: </w:t>
      </w:r>
      <w:r>
        <w:t xml:space="preserve">kvantifikacija pokazatelja ostvarenja i pokazatelja specifičnih za NRM koji su povezani s inovacijama uporabom podataka o praćenju aktivnosti NRM-a iz baze podataka PRR-a i sustava za praćenje NRM-a. </w:t>
      </w:r>
    </w:p>
    <w:p w:rsidR="00A45935" w:rsidRPr="007707EC" w:rsidRDefault="00A45935" w:rsidP="00676B41">
      <w:pPr>
        <w:pStyle w:val="Hlistbullet"/>
      </w:pPr>
      <w:r>
        <w:rPr>
          <w:b/>
        </w:rPr>
        <w:t xml:space="preserve">3. KORAK: </w:t>
      </w:r>
      <w:r>
        <w:t>primjena teorije promjena radi usporedbe nalaza o inovacijskom potencijalu aktivnosti NRM-a koji su dobiveni na početku procesa evaluacije i provedenih aktivnosti NRM-a. To uključuje utvrđivanje kronološkog i narativnog tijeka događaja u kojem se opisuju ostvarenja aktivnosti NRM-a u pogledu inovacijskih putanja te način na koji su ona postignuta (i uporabom informacija iz sustava za praćenje).</w:t>
      </w:r>
      <w:r>
        <w:rPr>
          <w:b/>
        </w:rPr>
        <w:t xml:space="preserve"> </w:t>
      </w:r>
      <w:r>
        <w:t>Provjera prethodno navedenoga uporabom tehnika triangulacije.</w:t>
      </w:r>
    </w:p>
    <w:p w:rsidR="00A45935" w:rsidRPr="007707EC" w:rsidRDefault="00A45935" w:rsidP="00676B41">
      <w:pPr>
        <w:pStyle w:val="Hlistbullet"/>
      </w:pPr>
      <w:r>
        <w:rPr>
          <w:b/>
        </w:rPr>
        <w:t xml:space="preserve">4. KORAK: </w:t>
      </w:r>
      <w:r>
        <w:t>odgovaranje na ZEP prosudbom mjere u kojoj je NRM različitim skupinama aktivnosti pridonio poticanju inovacija na Likertovoj ljestvici</w:t>
      </w:r>
      <w:r>
        <w:rPr>
          <w:rFonts w:cs="Arial"/>
          <w:vertAlign w:val="superscript"/>
        </w:rPr>
        <w:footnoteReference w:id="65"/>
      </w:r>
      <w:r>
        <w:t>. Evaluator bi trebao ocijeniti i koliko je anketirani/intervjuirani dionik siguran u nalaze na sličnoj peterostupanjskoj ljestvici. Odabrane ocjene moraju se opravdati.</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350ACAF5" wp14:editId="58084B3F">
                <wp:extent cx="5828030" cy="316230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162300"/>
                        </a:xfrm>
                        <a:prstGeom prst="round2DiagRect">
                          <a:avLst>
                            <a:gd name="adj1" fmla="val 6942"/>
                            <a:gd name="adj2" fmla="val 0"/>
                          </a:avLst>
                        </a:prstGeom>
                        <a:noFill/>
                        <a:ln w="25400" cap="flat" cmpd="sng" algn="ctr">
                          <a:solidFill>
                            <a:srgbClr val="F07E31"/>
                          </a:solidFill>
                          <a:prstDash val="solid"/>
                        </a:ln>
                        <a:effectLst/>
                      </wps:spPr>
                      <wps:txbx>
                        <w:txbxContent>
                          <w:p w:rsidR="00FD4C56" w:rsidRPr="00E05D08" w:rsidRDefault="00FD4C56"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Primjeri iz GIP-ova podnesenih 2017.</w:t>
                            </w:r>
                          </w:p>
                          <w:p w:rsidR="00FD4C56" w:rsidRPr="00EF653F" w:rsidRDefault="00FD4C56" w:rsidP="00E05D08">
                            <w:pPr>
                              <w:pStyle w:val="HStandard"/>
                              <w:rPr>
                                <w:sz w:val="18"/>
                                <w:szCs w:val="18"/>
                              </w:rPr>
                            </w:pPr>
                            <w:r>
                              <w:rPr>
                                <w:sz w:val="18"/>
                                <w:szCs w:val="18"/>
                              </w:rPr>
                              <w:t>Češka – navode se studije slučaja koje se temelje na informacijama prikupljenima od korisnika inovativnih projekata. Predlaže se praćenje podataka o inovativnim projektima za pokazatelje ostvarenja O.24 i O.25 u bazama podataka operacija te njihova uporaba u evaluaciji 2019.:</w:t>
                            </w:r>
                          </w:p>
                          <w:p w:rsidR="00FD4C56" w:rsidRPr="00EF653F" w:rsidRDefault="00FD4C56" w:rsidP="008C0B17">
                            <w:pPr>
                              <w:pStyle w:val="HStandard"/>
                              <w:numPr>
                                <w:ilvl w:val="0"/>
                                <w:numId w:val="49"/>
                              </w:numPr>
                              <w:tabs>
                                <w:tab w:val="left" w:pos="5702"/>
                              </w:tabs>
                              <w:ind w:left="567" w:hanging="567"/>
                              <w:rPr>
                                <w:sz w:val="18"/>
                                <w:szCs w:val="18"/>
                              </w:rPr>
                            </w:pPr>
                            <w:r>
                              <w:rPr>
                                <w:sz w:val="18"/>
                                <w:szCs w:val="18"/>
                              </w:rPr>
                              <w:t xml:space="preserve">O.24 – Broj tematskih i analitičkih razmjena među dionicima ruralnog razvoja uspostavljenih uz potporu NRM-a – razmjene usmjerene na savjetnike i usluge potpore inovacijama </w:t>
                            </w:r>
                          </w:p>
                          <w:p w:rsidR="00FD4C56" w:rsidRPr="00EF653F" w:rsidRDefault="00FD4C56" w:rsidP="008C0B17">
                            <w:pPr>
                              <w:pStyle w:val="HStandard"/>
                              <w:numPr>
                                <w:ilvl w:val="0"/>
                                <w:numId w:val="49"/>
                              </w:numPr>
                              <w:tabs>
                                <w:tab w:val="left" w:pos="5702"/>
                              </w:tabs>
                              <w:ind w:left="567" w:hanging="567"/>
                              <w:rPr>
                                <w:sz w:val="18"/>
                                <w:szCs w:val="18"/>
                              </w:rPr>
                            </w:pPr>
                            <w:r>
                              <w:rPr>
                                <w:sz w:val="18"/>
                                <w:szCs w:val="18"/>
                              </w:rPr>
                              <w:t>O.25 – Broj komunikacijskih alata NRM-a usmjerenih na savjetnike i usluge potpore inovacijama.</w:t>
                            </w:r>
                          </w:p>
                          <w:p w:rsidR="00FD4C56" w:rsidRDefault="00FD4C56" w:rsidP="00E05D08">
                            <w:pPr>
                              <w:pStyle w:val="HStandard"/>
                              <w:rPr>
                                <w:sz w:val="18"/>
                                <w:szCs w:val="18"/>
                              </w:rPr>
                            </w:pPr>
                            <w:r>
                              <w:rPr>
                                <w:sz w:val="18"/>
                                <w:szCs w:val="18"/>
                              </w:rPr>
                              <w:t xml:space="preserve">Slovačka – opisuju se razgovori s uključenim subjektima (NRM i sudionici aktivnosti NRM-a) kojima su se prikupljali podatci za dodatne pokazatelje: udio (%) inovativnih projekata koje podupire NRM u ukupnom broju inovativnih projekata za koje je dodijeljena potpora u okviru PRR-a. </w:t>
                            </w:r>
                          </w:p>
                          <w:p w:rsidR="00FD4C56" w:rsidRPr="00ED3BAD" w:rsidRDefault="00FD4C56" w:rsidP="00E05D08">
                            <w:pPr>
                              <w:pStyle w:val="HStandard"/>
                              <w:rPr>
                                <w:sz w:val="18"/>
                                <w:szCs w:val="18"/>
                              </w:rPr>
                            </w:pPr>
                            <w:r>
                              <w:rPr>
                                <w:sz w:val="18"/>
                                <w:szCs w:val="18"/>
                              </w:rPr>
                              <w:t>Kastilja i León (ES) – preporučuje se da se u sustav za praćenje uvede pokazatelj kojim se mjeri broj sudionika u projektima u okviru mjere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249pt;visibility:visible;mso-wrap-style:square;mso-left-percent:-10001;mso-top-percent:-10001;mso-position-horizontal:absolute;mso-position-horizontal-relative:char;mso-position-vertical:absolute;mso-position-vertical-relative:line;mso-left-percent:-10001;mso-top-percent:-10001;v-text-anchor:middle" coordsize="5828030,3162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" adj="-11796480,,5400" path="m219527,l5828030,r,l5828030,2942773v,121241,-98286,219527,-219527,219527l,3162300r,l,219527c,98286,98286,,219527,xe" filled="f" strokecolor="#f07e31" strokeweight="2pt">
                <v:stroke joinstyle="miter"/>
                <v:formulas/>
                <v:path arrowok="t" o:connecttype="custom" o:connectlocs="219527,0;5828030,0;5828030,0;5828030,2942773;5608503,3162300;0,3162300;0,3162300;0,219527;219527,0" o:connectangles="0,0,0,0,0,0,0,0,0" textboxrect="0,0,5828030,3162300"/>
                <v:textbox>
                  <w:txbxContent>
                    <w:p w:rsidR="00FD4C56" w:rsidRPr="00E05D08" w:rsidRDefault="00FD4C56" w:rsidP="00E05D08">
                      <w:pPr>
                        <w:pStyle w:val="HStandard"/>
                        <w:ind w:left="567" w:hanging="567"/>
                        <w:rPr>
                          <w:b/>
                          <w:color w:val="F07E31"/>
                          <w:sz w:val="18"/>
                          <w:szCs w:val="18"/>
                        </w:rPr>
                      </w:pPr>
                      <w:r>
                        <w:rPr>
                          <w:noProof/>
                          <w:sz w:val="18"/>
                          <w:szCs w:val="18"/>
                          <w:lang w:val="en-GB"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Primjeri iz GIP-ova podnesenih 2017.</w:t>
                      </w:r>
                    </w:p>
                    <w:p w:rsidR="00FD4C56" w:rsidRPr="00EF653F" w:rsidRDefault="00FD4C56" w:rsidP="00E05D08">
                      <w:pPr>
                        <w:pStyle w:val="HStandard"/>
                        <w:rPr>
                          <w:sz w:val="18"/>
                          <w:szCs w:val="18"/>
                        </w:rPr>
                      </w:pPr>
                      <w:r>
                        <w:rPr>
                          <w:sz w:val="18"/>
                          <w:szCs w:val="18"/>
                        </w:rPr>
                        <w:t>Češka – navode se studije slučaja koje se temelje na informacijama prikupljenima od korisnika inovativnih projekata. Predlaže se praćenje podataka o inovativnim projektima za pokazatelje ostvarenja O.24 i O.25 u bazama podataka operacija te njihova uporaba u evaluaciji 2019.:</w:t>
                      </w:r>
                    </w:p>
                    <w:p w:rsidR="00FD4C56" w:rsidRPr="00EF653F" w:rsidRDefault="00FD4C56" w:rsidP="008C0B17">
                      <w:pPr>
                        <w:pStyle w:val="HStandard"/>
                        <w:numPr>
                          <w:ilvl w:val="0"/>
                          <w:numId w:val="49"/>
                        </w:numPr>
                        <w:tabs>
                          <w:tab w:val="left" w:pos="5702"/>
                        </w:tabs>
                        <w:ind w:left="567" w:hanging="567"/>
                        <w:rPr>
                          <w:sz w:val="18"/>
                          <w:szCs w:val="18"/>
                        </w:rPr>
                      </w:pPr>
                      <w:r>
                        <w:rPr>
                          <w:sz w:val="18"/>
                          <w:szCs w:val="18"/>
                        </w:rPr>
                        <w:t xml:space="preserve">O.24 – Broj tematskih i analitičkih razmjena među dionicima ruralnog razvoja uspostavljenih uz potporu NRM-a – razmjene usmjerene na savjetnike i usluge potpore inovacijama </w:t>
                      </w:r>
                    </w:p>
                    <w:p w:rsidR="00FD4C56" w:rsidRPr="00EF653F" w:rsidRDefault="00FD4C56" w:rsidP="008C0B17">
                      <w:pPr>
                        <w:pStyle w:val="HStandard"/>
                        <w:numPr>
                          <w:ilvl w:val="0"/>
                          <w:numId w:val="49"/>
                        </w:numPr>
                        <w:tabs>
                          <w:tab w:val="left" w:pos="5702"/>
                        </w:tabs>
                        <w:ind w:left="567" w:hanging="567"/>
                        <w:rPr>
                          <w:sz w:val="18"/>
                          <w:szCs w:val="18"/>
                        </w:rPr>
                      </w:pPr>
                      <w:r>
                        <w:rPr>
                          <w:sz w:val="18"/>
                          <w:szCs w:val="18"/>
                        </w:rPr>
                        <w:t>O.25 – Broj komunikacijskih alata NRM-a usmjerenih na savjetnike i usluge potpore inovacijama.</w:t>
                      </w:r>
                    </w:p>
                    <w:p w:rsidR="00FD4C56" w:rsidRDefault="00FD4C56" w:rsidP="00E05D08">
                      <w:pPr>
                        <w:pStyle w:val="HStandard"/>
                        <w:rPr>
                          <w:sz w:val="18"/>
                          <w:szCs w:val="18"/>
                        </w:rPr>
                      </w:pPr>
                      <w:r>
                        <w:rPr>
                          <w:sz w:val="18"/>
                          <w:szCs w:val="18"/>
                        </w:rPr>
                        <w:t xml:space="preserve">Slovačka – opisuju se razgovori s uključenim subjektima (NRM i sudionici aktivnosti NRM-a) kojima su se prikupljali podatci za dodatne pokazatelje: udio (%) inovativnih projekata koje podupire NRM u ukupnom broju inovativnih projekata za koje je dodijeljena potpora u okviru PRR-a. </w:t>
                      </w:r>
                    </w:p>
                    <w:p w:rsidR="00FD4C56" w:rsidRPr="00ED3BAD" w:rsidRDefault="00FD4C56" w:rsidP="00E05D08">
                      <w:pPr>
                        <w:pStyle w:val="HStandard"/>
                        <w:rPr>
                          <w:sz w:val="18"/>
                          <w:szCs w:val="18"/>
                        </w:rPr>
                      </w:pPr>
                      <w:r>
                        <w:rPr>
                          <w:sz w:val="18"/>
                          <w:szCs w:val="18"/>
                        </w:rPr>
                        <w:t>Kastilja i León (ES) – preporučuje se da se u sustav za praćenje uvede pokazatelj kojim se mjeri broj sudionika u projektima u okviru mjere M16.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 xml:space="preserve">U smjernicama </w:t>
      </w:r>
      <w:hyperlink r:id="rId61" w:history="1">
        <w:r>
          <w:rPr>
            <w:rStyle w:val="Hyperlink"/>
            <w:sz w:val="20"/>
            <w:szCs w:val="20"/>
          </w:rPr>
          <w:t>Evaluacija NRM-ova u razdoblju 2014. – 2020.</w:t>
        </w:r>
      </w:hyperlink>
      <w:r>
        <w:rPr>
          <w:rFonts w:eastAsia="Times New Roman" w:cs="Times New Roman"/>
          <w:szCs w:val="20"/>
          <w:vertAlign w:val="superscript"/>
          <w:lang w:eastAsia="de-DE"/>
        </w:rPr>
        <w:footnoteReference w:id="66"/>
      </w:r>
      <w:r>
        <w:t xml:space="preserve"> navodi se detaljan opis metoda i alata za evaluaciju NRM-ova. U njima se predlaže miješani pristup u okviru kojeg se kombiniraju kvalitativne i kvantitativne metode koje uključuju ankete, dijaloške metode, analitičke metode i dijagnostičke metode. </w:t>
      </w:r>
    </w:p>
    <w:p w:rsidR="00A45935" w:rsidRPr="00E05D08" w:rsidRDefault="00A45935" w:rsidP="00E05D08">
      <w:pPr>
        <w:spacing w:after="120" w:line="280" w:lineRule="atLeast"/>
        <w:mirrorIndents/>
        <w:rPr>
          <w:rFonts w:eastAsia="Times New Roman" w:cs="Times New Roman"/>
          <w:szCs w:val="20"/>
        </w:rPr>
      </w:pPr>
      <w:r>
        <w:lastRenderedPageBreak/>
        <w:t xml:space="preserve">U tablici u nastavku nalazi se kratki pregled metoda za odgovaranje na ZEP br. 21 u pogledu cilja (d) NRM-ova o inovacijama. Cjeloviti opis tih metoda može se pronaći u smjernicama </w:t>
      </w:r>
      <w:hyperlink r:id="rId62" w:history="1">
        <w:r>
          <w:rPr>
            <w:rStyle w:val="Hyperlink"/>
            <w:sz w:val="20"/>
            <w:szCs w:val="20"/>
          </w:rPr>
          <w:t>Evaluacija NRM-a u razdoblju 2014. – 2020.</w:t>
        </w:r>
      </w:hyperlink>
    </w:p>
    <w:p w:rsidR="00A45935" w:rsidRPr="00E05D08" w:rsidRDefault="00A45935" w:rsidP="00B421B9">
      <w:pPr>
        <w:pStyle w:val="HHeading1"/>
        <w:rPr>
          <w:b w:val="0"/>
          <w:color w:val="373737"/>
          <w:sz w:val="16"/>
        </w:rPr>
        <w:sectPr w:rsidR="00A45935" w:rsidRPr="00E05D08" w:rsidSect="001F6F07">
          <w:headerReference w:type="first" r:id="rId63"/>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after="0" w:line="240" w:lineRule="auto"/>
        <w:rPr>
          <w:rFonts w:eastAsia="Times New Roman" w:cs="Times New Roman"/>
          <w:b/>
          <w:sz w:val="16"/>
          <w:szCs w:val="20"/>
        </w:rPr>
      </w:pPr>
      <w:r>
        <w:br w:type="page"/>
      </w:r>
    </w:p>
    <w:p w:rsidR="00A45935" w:rsidRPr="00D57D0A" w:rsidRDefault="00A45935" w:rsidP="00D57D0A">
      <w:pPr>
        <w:pStyle w:val="HHeadingtables"/>
        <w:rPr>
          <w:color w:val="6F6F6F"/>
          <w:sz w:val="18"/>
          <w:szCs w:val="18"/>
        </w:rPr>
      </w:pPr>
      <w:bookmarkStart w:id="121" w:name="_Toc508981135"/>
      <w:r>
        <w:rPr>
          <w:color w:val="6F6F6F"/>
          <w:sz w:val="18"/>
          <w:szCs w:val="18"/>
        </w:rPr>
        <w:lastRenderedPageBreak/>
        <w:t>Preporučene metode za ZEP br.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Metoda</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Savjeti za uporabu svake metode za odgovaranje na ZEP br.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Ankete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Mogu se upotrijebiti za prikupljanje podataka i informacija o inovacijama koji se ne nalaze u bazama podataka za praćenje, osobito u pogledu dodatnih pokazatelja.</w:t>
            </w:r>
          </w:p>
          <w:p w:rsidR="00A45935" w:rsidRPr="00385368" w:rsidRDefault="00A45935" w:rsidP="00E05D08">
            <w:pPr>
              <w:spacing w:after="120" w:line="280" w:lineRule="atLeast"/>
              <w:rPr>
                <w:rFonts w:eastAsia="Calibri" w:cs="Arial"/>
                <w:sz w:val="18"/>
                <w:szCs w:val="18"/>
              </w:rPr>
            </w:pPr>
            <w:r>
              <w:rPr>
                <w:sz w:val="18"/>
                <w:szCs w:val="18"/>
              </w:rPr>
              <w:t>Ankete mogu biti namijenjene NRM-ovima, OS-ovima EPI-ja, korisnicima projekta i drugim inovacijskim dionicima.</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Fokusne skupine (dijaloška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Upotrebljavaju se kao sredstvo dijaloške evaluacijske metode, a za ZEP br. 21 mogu se raščlaniti na sljedeći način:</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u dvostupanjskoj arhitekturi uspostavljaju se fokusne skupine na različitim razinama (tj. savjetnici / usluge potpore inovacijama i LAG-ovi). Obje razine mogu sudjelovati u aktivnostima osposobljavanja i umrežavanja u organizaciji NRM-a. </w:t>
            </w:r>
          </w:p>
          <w:p w:rsidR="00A45935" w:rsidRPr="00385368" w:rsidRDefault="00A45935" w:rsidP="008C0B17">
            <w:pPr>
              <w:numPr>
                <w:ilvl w:val="0"/>
                <w:numId w:val="40"/>
              </w:numPr>
              <w:spacing w:before="60" w:after="120" w:line="280" w:lineRule="atLeast"/>
              <w:ind w:left="317"/>
              <w:rPr>
                <w:rFonts w:cs="Arial"/>
                <w:sz w:val="18"/>
              </w:rPr>
            </w:pPr>
            <w:r>
              <w:rPr>
                <w:sz w:val="18"/>
              </w:rPr>
              <w:t>Usmjerene na tematska područja inovacija (npr. okupljanje skupina ljudi s različitim stajalištima radi provjere aktivnosti NRM-a usmjerenih na poticanje inovacija).</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Funkcionalna analiza mreža (dijagnostička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Internetska anketa OS-ova (pri čemu se pravi razlika između onih koji su dobili određenu vrstu potpore od NRM-a (funkcija posredovanja, osposobljavanje itd.) i onih koji je nisu dobili) kombinira se s nizom temeljitih razgovora s probranim OS-ovima. Umjesto toga može se organizirati fokusna skupina kako bi se razmotrili preliminarni rezultati internetske ankete.</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Analiza dionika (dijagnostička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Može se odnositi na inovacijske dionike na različitim razinama: NRM ili strukturu mreže za usluge potpore inovacijama na razini države članice (ako je odvojeno od NRM-a); koordinatore tematskih mreža, koordinatore OS-ova i čak uslužnu točku EPI-ja. </w:t>
            </w:r>
          </w:p>
          <w:p w:rsidR="00A45935" w:rsidRPr="00385368" w:rsidRDefault="00A45935" w:rsidP="00E05D08">
            <w:pPr>
              <w:spacing w:after="120" w:line="280" w:lineRule="atLeast"/>
              <w:rPr>
                <w:rFonts w:eastAsia="Calibri" w:cs="Arial"/>
                <w:sz w:val="18"/>
                <w:szCs w:val="18"/>
              </w:rPr>
            </w:pPr>
            <w:r>
              <w:rPr>
                <w:sz w:val="18"/>
                <w:szCs w:val="18"/>
              </w:rPr>
              <w:t>Analiza dionika pomoći će u prikupljanju informacija o pokazateljima za koje podatci nisu prikupljeni iz baze podataka za praćenje. U slučaju ZEP-a br. 21 samo se tri pokazatelja ostvarenja mogu kvantificirati uporabom podataka o praćenju, a čak i tada bi podatci mogli biti previše općeniti i ne odnositi se na inovacijske elemente. Primjerice, broj tematskih i analitičkih razmjena uspostavljenih uz potporu NRM-a (O.24) može se evidentirati u bazi podataka za praćenje, no bez upućivanja na to koje su od tih razmjena usmjerene na teme povezane s inovacijama.</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sidRPr="00D50492">
              <w:rPr>
                <w:b/>
                <w:sz w:val="18"/>
                <w:szCs w:val="18"/>
              </w:rPr>
              <w:t>Analiza društvenih mreža (SNA)</w:t>
            </w:r>
            <w:r>
              <w:rPr>
                <w:sz w:val="18"/>
                <w:szCs w:val="18"/>
              </w:rPr>
              <w:t xml:space="preserve"> (dijagnostička metoda)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SNA se može provoditi o određenom tematskom aspektu, točnije o promicanju inovacijskih ciljeva NRM-a, razmatranjem klastera u inovacijskoj mreži (npr. utvrđivanje ključnih inovacijskih sudionika mreže), ocjenom njihovih strukturalnih obilježja (npr. jesu li inovacijski dionici u središnjem ili perifernom položaju) i preklapanja među njima (npr. za utvrđivanje ključnih poveznika) te raspravom o njima u fokusnoj skupini.</w:t>
            </w:r>
          </w:p>
          <w:p w:rsidR="00A45935" w:rsidRPr="00385368" w:rsidRDefault="00A45935" w:rsidP="00E05D08">
            <w:pPr>
              <w:spacing w:after="120" w:line="280" w:lineRule="atLeast"/>
              <w:rPr>
                <w:rFonts w:eastAsia="Calibri" w:cs="Arial"/>
                <w:sz w:val="18"/>
                <w:szCs w:val="18"/>
              </w:rPr>
            </w:pPr>
            <w:r>
              <w:rPr>
                <w:sz w:val="18"/>
                <w:szCs w:val="18"/>
              </w:rPr>
              <w:t>SNA može pomoći u mjerenju uključenosti inovacijskih dionika u NRM i ocjeni djelotvornosti ostvarenja povezanih s inovacijama (npr. tematske i analitičke razmjene o inovacijama, aktivnosti osposobljavanja i umrežavanja povezane s inovacijama i prikupljanje primjera projekata povezanih s inovacijama).</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Studije slučaja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Studije slučaja mogu se prilagoditi i upotrijebiti u bilo kojoj evaluaciji. One </w:t>
            </w:r>
            <w:r>
              <w:rPr>
                <w:sz w:val="18"/>
                <w:szCs w:val="18"/>
              </w:rPr>
              <w:lastRenderedPageBreak/>
              <w:t>omogućuju spajanje različitih metoda i vrlo su fleksibilne za strukturiranje. U slučaju ZEP-a br. 21 preporučuje se da se studije slučaja usmjere na sljedeća pitanja/kriterije povezane s inovacijama:</w:t>
            </w:r>
          </w:p>
          <w:p w:rsidR="00A45935" w:rsidRPr="00385368" w:rsidRDefault="00A45935" w:rsidP="008C0B17">
            <w:pPr>
              <w:numPr>
                <w:ilvl w:val="0"/>
                <w:numId w:val="41"/>
              </w:numPr>
              <w:spacing w:before="60" w:after="120" w:line="280" w:lineRule="atLeast"/>
              <w:ind w:left="360"/>
              <w:rPr>
                <w:sz w:val="18"/>
              </w:rPr>
            </w:pPr>
            <w:r>
              <w:rPr>
                <w:sz w:val="18"/>
              </w:rPr>
              <w:t>Analizirajte ulogu NRM-a u osnivanju operativnih skupina i stoga poticanju inovacija u poljoprivredi, šumarstvu i ruralnim područjima.</w:t>
            </w:r>
          </w:p>
          <w:p w:rsidR="00A45935" w:rsidRPr="00385368" w:rsidRDefault="00A45935" w:rsidP="008C0B17">
            <w:pPr>
              <w:numPr>
                <w:ilvl w:val="0"/>
                <w:numId w:val="41"/>
              </w:numPr>
              <w:spacing w:before="60" w:after="120" w:line="280" w:lineRule="atLeast"/>
              <w:ind w:left="360"/>
              <w:rPr>
                <w:sz w:val="18"/>
              </w:rPr>
            </w:pPr>
            <w:r>
              <w:rPr>
                <w:sz w:val="18"/>
              </w:rPr>
              <w:t>Analizirajte doprinose NRM-a promicanju savjetnika i pružatelja usluga potpore inovacijama kao mentora u interaktivnim inovacijskim procesima (npr. prikupljaju ideje za praksu, djeluju kao posrednici, olakšavaju procese i šire nova znanja).</w:t>
            </w:r>
          </w:p>
          <w:p w:rsidR="00A45935" w:rsidRPr="00385368" w:rsidRDefault="00A45935" w:rsidP="008C0B17">
            <w:pPr>
              <w:numPr>
                <w:ilvl w:val="0"/>
                <w:numId w:val="41"/>
              </w:numPr>
              <w:spacing w:before="60" w:after="120" w:line="280" w:lineRule="atLeast"/>
              <w:ind w:left="360"/>
              <w:rPr>
                <w:sz w:val="18"/>
              </w:rPr>
            </w:pPr>
            <w:r>
              <w:rPr>
                <w:sz w:val="18"/>
              </w:rPr>
              <w:t>Analizirajte ulogu NRM-ova u tematskim mrežama koje povezuju operativne skupine i potom procijenite poveznice s Obzorom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Rizici i rješenja</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Rizici</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Rješenja</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Podatci za tri zajednička pokazatelja ostvarenja trebali bi biti dostupni, no najvjerojatnije nisu usmjereni na inovacije. Primjerice, podatci o tematskim i analitičkim razmjenama možda se ne mogu prikupljati po temama odnosno po temi inovacije. Slično tome, podatci o komunikacijskim alatima možda nisu raščlanjeni po predmetu (npr. priopćenje rezultata inovacija).</w:t>
            </w:r>
          </w:p>
        </w:tc>
        <w:tc>
          <w:tcPr>
            <w:tcW w:w="4509" w:type="dxa"/>
          </w:tcPr>
          <w:p w:rsidR="00A45935" w:rsidRPr="00385368" w:rsidRDefault="00A45935" w:rsidP="007E63EF">
            <w:pPr>
              <w:spacing w:after="120" w:line="280" w:lineRule="atLeast"/>
              <w:rPr>
                <w:sz w:val="18"/>
                <w:szCs w:val="18"/>
              </w:rPr>
            </w:pPr>
            <w:r>
              <w:rPr>
                <w:sz w:val="18"/>
                <w:szCs w:val="18"/>
              </w:rPr>
              <w:t>Upravljačka tijela mogla bi uključiti inovacijsku sastavnicu za tri zajednička pokazatelja ostvarenja u baze podataka za praćenje</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Podatci za sve druge predložene pokazatelje ne prikupljaju se za potrebe praćenja zajedno sa zajedničkim podatkovnim stavkama osim ako upravljačko tijelo/NRM ne odluči to učiniti.</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NRM-ovi bi trebali u ranoj fazi provedbe posebno označiti svoje aktivnosti koje su usmjerene na poticanje inovacija (npr. osposobljavanje inovacijskih dionika, tematske razmjene o inovacijama, prikupljanje dobrih praksi za inovacije, potpora osnivanju OS-ova itd.).</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Oslanjanje na samo jednu metodu (kvalitativnu ili kvantitativnu) za analizu podataka možda neće dovesti do pouzdanih nalaza.</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 xml:space="preserve">Upotrijebite kombinaciju evaluacijskih metoda kojima se informacije prikupljaju neprekidno ili </w:t>
            </w:r>
            <w:r w:rsidRPr="008126E6">
              <w:rPr>
                <w:i/>
                <w:sz w:val="18"/>
                <w:szCs w:val="18"/>
              </w:rPr>
              <w:t>ex post</w:t>
            </w:r>
            <w:r>
              <w:rPr>
                <w:sz w:val="18"/>
                <w:szCs w:val="18"/>
              </w:rPr>
              <w:t>, primjerice one prethodno predložene (ankete, fokusne skupine, dijagnostičke metode, studije slučaja), te koje omogućuju triangulaciju i dobivanje pouzdanijih rezultata.</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Zaključci i preporuke</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Zaključci i preporuke trebali bi se odnositi na:</w:t>
      </w:r>
    </w:p>
    <w:p w:rsidR="00A45935" w:rsidRPr="00E72529" w:rsidRDefault="00A45935" w:rsidP="00676B41">
      <w:pPr>
        <w:pStyle w:val="Hlistbullet"/>
        <w:rPr>
          <w:rFonts w:eastAsia="Calibri"/>
          <w:shd w:val="clear" w:color="auto" w:fill="FFFFFF"/>
        </w:rPr>
      </w:pPr>
      <w:r>
        <w:rPr>
          <w:b/>
          <w:shd w:val="clear" w:color="auto" w:fill="FFFFFF"/>
        </w:rPr>
        <w:t>doprinos NRM-ova poticanju inovacija</w:t>
      </w:r>
      <w:r>
        <w:rPr>
          <w:shd w:val="clear" w:color="auto" w:fill="FFFFFF"/>
        </w:rPr>
        <w:t xml:space="preserve"> u poljoprivredi, proizvodnji hrane, šumarstvu i ruralnim područjima;</w:t>
      </w:r>
    </w:p>
    <w:p w:rsidR="00A45935" w:rsidRPr="00E72529" w:rsidRDefault="00A45935" w:rsidP="00676B41">
      <w:pPr>
        <w:pStyle w:val="Hlistbullet"/>
        <w:rPr>
          <w:rFonts w:eastAsia="Calibri"/>
          <w:shd w:val="clear" w:color="auto" w:fill="FFFFFF"/>
        </w:rPr>
      </w:pPr>
      <w:r>
        <w:rPr>
          <w:b/>
          <w:shd w:val="clear" w:color="auto" w:fill="FFFFFF"/>
        </w:rPr>
        <w:t>glavne čimbenike i uvjete</w:t>
      </w:r>
      <w:r>
        <w:rPr>
          <w:shd w:val="clear" w:color="auto" w:fill="FFFFFF"/>
        </w:rPr>
        <w:t xml:space="preserve"> zbog kojih su NRM-ovi ključni sudionici interaktivnih inovacijskih procesa;</w:t>
      </w:r>
    </w:p>
    <w:p w:rsidR="00A45935" w:rsidRPr="00E72529" w:rsidRDefault="00A45935" w:rsidP="00676B41">
      <w:pPr>
        <w:pStyle w:val="Hlistbullet"/>
        <w:rPr>
          <w:rFonts w:eastAsia="Calibri"/>
          <w:shd w:val="clear" w:color="auto" w:fill="FFFFFF"/>
        </w:rPr>
      </w:pPr>
      <w:r>
        <w:rPr>
          <w:b/>
          <w:shd w:val="clear" w:color="auto" w:fill="FFFFFF"/>
        </w:rPr>
        <w:lastRenderedPageBreak/>
        <w:t>ulogu NRM-ova u inovacijskom sustavu</w:t>
      </w:r>
      <w:r>
        <w:rPr>
          <w:shd w:val="clear" w:color="auto" w:fill="FFFFFF"/>
        </w:rPr>
        <w:t>: 1. utvrđivanje inovacija prikupljanjem i širenjem dobre prakse, 2. izgradnja inovacijskog kapaciteta osposobljavanjem, umrežavanjem, tematskim i analitičkim razmjenama, 3. izgradnja poticajnog okruženja za inovacije potporom i animiranjem OS-ova EPI-ja.</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Više o temi</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292C2586" wp14:editId="3491ED4B">
                <wp:extent cx="5625465" cy="302895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3028950"/>
                        </a:xfrm>
                        <a:prstGeom prst="round2DiagRect">
                          <a:avLst>
                            <a:gd name="adj1" fmla="val 9900"/>
                            <a:gd name="adj2" fmla="val 0"/>
                          </a:avLst>
                        </a:prstGeom>
                        <a:noFill/>
                        <a:ln w="25400" cap="flat" cmpd="sng" algn="ctr">
                          <a:solidFill>
                            <a:srgbClr val="59638E"/>
                          </a:solidFill>
                          <a:prstDash val="solid"/>
                        </a:ln>
                        <a:effectLst/>
                      </wps:spPr>
                      <wps:txbx>
                        <w:txbxContent>
                          <w:p w:rsidR="00FD4C56" w:rsidRDefault="00FD4C56"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6F1763" w:rsidRDefault="00FD4C56" w:rsidP="00E05D08">
                            <w:pPr>
                              <w:pStyle w:val="HStandard"/>
                              <w:rPr>
                                <w:sz w:val="18"/>
                                <w:szCs w:val="18"/>
                              </w:rPr>
                            </w:pPr>
                            <w:r>
                              <w:rPr>
                                <w:sz w:val="18"/>
                                <w:szCs w:val="18"/>
                              </w:rPr>
                              <w:t xml:space="preserve">Europska služba za podršku evaluaciji (2016.) </w:t>
                            </w:r>
                            <w:r>
                              <w:t xml:space="preserve">Smjernice: </w:t>
                            </w:r>
                            <w:hyperlink r:id="rId64" w:history="1">
                              <w:r>
                                <w:rPr>
                                  <w:color w:val="F07E31"/>
                                  <w:sz w:val="18"/>
                                  <w:szCs w:val="18"/>
                                  <w:u w:val="single"/>
                                </w:rPr>
                                <w:t>ocjena rezultata PRR-a:</w:t>
                              </w:r>
                            </w:hyperlink>
                            <w:hyperlink r:id="rId65" w:history="1">
                              <w:r>
                                <w:rPr>
                                  <w:color w:val="F07E31"/>
                                  <w:sz w:val="18"/>
                                  <w:szCs w:val="18"/>
                                  <w:u w:val="single"/>
                                </w:rPr>
                                <w:t>kako se pripremiti za izvješćivanje o evaluaciji u 2017.</w:t>
                              </w:r>
                            </w:hyperlink>
                            <w:r>
                              <w:rPr>
                                <w:sz w:val="18"/>
                                <w:szCs w:val="18"/>
                              </w:rPr>
                              <w:t xml:space="preserve">, Prilog 11.; </w:t>
                            </w:r>
                          </w:p>
                          <w:p w:rsidR="00FD4C56" w:rsidRPr="006F1763" w:rsidRDefault="00FD4C56" w:rsidP="00E05D08">
                            <w:pPr>
                              <w:pStyle w:val="HStandard"/>
                              <w:rPr>
                                <w:sz w:val="18"/>
                                <w:szCs w:val="18"/>
                              </w:rPr>
                            </w:pPr>
                            <w:r>
                              <w:rPr>
                                <w:sz w:val="18"/>
                                <w:szCs w:val="18"/>
                              </w:rPr>
                              <w:t>EMRR (2014.).</w:t>
                            </w:r>
                            <w:hyperlink r:id="rId66" w:history="1">
                              <w:r>
                                <w:rPr>
                                  <w:rStyle w:val="Hyperlink"/>
                                  <w:sz w:val="18"/>
                                  <w:szCs w:val="18"/>
                                </w:rPr>
                                <w:t>Vodič za NRM-ove</w:t>
                              </w:r>
                            </w:hyperlink>
                            <w:r>
                              <w:rPr>
                                <w:sz w:val="18"/>
                                <w:szCs w:val="18"/>
                              </w:rPr>
                              <w:t>. Luksemburg, Ured za publikacije</w:t>
                            </w:r>
                          </w:p>
                          <w:p w:rsidR="00FD4C56" w:rsidRPr="006F1763" w:rsidRDefault="00FD4C56" w:rsidP="00E05D08">
                            <w:pPr>
                              <w:pStyle w:val="HStandard"/>
                              <w:rPr>
                                <w:sz w:val="18"/>
                                <w:szCs w:val="18"/>
                              </w:rPr>
                            </w:pPr>
                            <w:r>
                              <w:t xml:space="preserve">Europska služba za podršku evaluaciji (2016.) </w:t>
                            </w:r>
                            <w:hyperlink r:id="rId67" w:history="1">
                              <w:r>
                                <w:rPr>
                                  <w:rStyle w:val="Hyperlink"/>
                                  <w:sz w:val="18"/>
                                  <w:szCs w:val="18"/>
                                </w:rPr>
                                <w:t>Evaluacija nacionalnih ruralnih mreža u razdoblju 2014. – 2020.</w:t>
                              </w:r>
                            </w:hyperlink>
                          </w:p>
                          <w:p w:rsidR="00FD4C56" w:rsidRPr="006F1763" w:rsidRDefault="00FD4C56" w:rsidP="00E05D08">
                            <w:pPr>
                              <w:pStyle w:val="HStandard"/>
                              <w:rPr>
                                <w:sz w:val="18"/>
                                <w:szCs w:val="18"/>
                              </w:rPr>
                            </w:pPr>
                            <w:r>
                              <w:rPr>
                                <w:sz w:val="18"/>
                                <w:szCs w:val="18"/>
                              </w:rPr>
                              <w:t xml:space="preserve">Europska komisija, GU AGRI (2014.) </w:t>
                            </w:r>
                            <w:hyperlink r:id="rId68" w:history="1">
                              <w:r>
                                <w:rPr>
                                  <w:rStyle w:val="Hyperlink"/>
                                  <w:sz w:val="18"/>
                                  <w:szCs w:val="18"/>
                                </w:rPr>
                                <w:t>Smjernice za programiranje za inovacije i provedbu EPI-ja za poljoprivrednu produktivnost i održivost</w:t>
                              </w:r>
                            </w:hyperlink>
                          </w:p>
                          <w:p w:rsidR="00FD4C56" w:rsidRPr="006F1763" w:rsidRDefault="00FD4C56" w:rsidP="00E05D08">
                            <w:pPr>
                              <w:pStyle w:val="HStandard"/>
                              <w:rPr>
                                <w:sz w:val="18"/>
                                <w:szCs w:val="18"/>
                              </w:rPr>
                            </w:pPr>
                            <w:r>
                              <w:rPr>
                                <w:sz w:val="18"/>
                                <w:szCs w:val="18"/>
                              </w:rPr>
                              <w:t xml:space="preserve">Europska služba za podršku evaluaciji (2014.) Intervention logic and evaluation framework for 2014-2020 National Rural Networks (Logika intervencije i evaluacijski okvir za nacionalne ruralne mreže u razdoblju 2014. – 2020.). </w:t>
                            </w:r>
                            <w:r>
                              <w:t xml:space="preserve">Popratni dokument predstavljen na </w:t>
                            </w:r>
                            <w:hyperlink r:id="rId69" w:history="1">
                              <w:r>
                                <w:rPr>
                                  <w:rStyle w:val="Hyperlink"/>
                                  <w:sz w:val="18"/>
                                  <w:szCs w:val="18"/>
                                </w:rPr>
                                <w:t>radionici o dobrim praksama „Nacionalne ruralne mreže:</w:t>
                              </w:r>
                            </w:hyperlink>
                            <w:hyperlink r:id="rId70" w:history="1">
                              <w:r>
                                <w:rPr>
                                  <w:rStyle w:val="Hyperlink"/>
                                  <w:sz w:val="18"/>
                                  <w:szCs w:val="18"/>
                                </w:rPr>
                                <w:t>kako pokazati njihove koristi</w:t>
                              </w:r>
                            </w:hyperlink>
                            <w:r>
                              <w:rPr>
                                <w:color w:val="F07E31"/>
                              </w:rPr>
                              <w:t>”</w:t>
                            </w:r>
                            <w:r>
                              <w:rPr>
                                <w:sz w:val="18"/>
                                <w:szCs w:val="18"/>
                              </w:rPr>
                              <w:t>, Rim (Italija), 10. i 11. travnja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238.5pt;visibility:visible;mso-wrap-style:square;mso-left-percent:-10001;mso-top-percent:-10001;mso-position-horizontal:absolute;mso-position-horizontal-relative:char;mso-position-vertical:absolute;mso-position-vertical-relative:line;mso-left-percent:-10001;mso-top-percent:-10001;v-text-anchor:middle" coordsize="5625465,302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" adj="-11796480,,5400" path="m299866,l5625465,r,l5625465,2729084v,165611,-134255,299866,-299866,299866l,3028950r,l,299866c,134255,134255,,299866,xe" filled="f" strokecolor="#59638e" strokeweight="2pt">
                <v:stroke joinstyle="miter"/>
                <v:formulas/>
                <v:path arrowok="t" o:connecttype="custom" o:connectlocs="299866,0;5625465,0;5625465,0;5625465,2729084;5325599,3028950;0,3028950;0,3028950;0,299866;299866,0" o:connectangles="0,0,0,0,0,0,0,0,0" textboxrect="0,0,5625465,3028950"/>
                <v:textbox>
                  <w:txbxContent>
                    <w:p w:rsidR="00FD4C56" w:rsidRDefault="00FD4C56" w:rsidP="00E05D08">
                      <w:pPr>
                        <w:pStyle w:val="HStandard"/>
                        <w:rPr>
                          <w:color w:val="000000"/>
                          <w:sz w:val="18"/>
                        </w:rPr>
                      </w:pPr>
                      <w:r>
                        <w:rPr>
                          <w:noProof/>
                          <w:lang w:val="en-GB"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6F1763" w:rsidRDefault="00FD4C56" w:rsidP="00E05D08">
                      <w:pPr>
                        <w:pStyle w:val="HStandard"/>
                        <w:rPr>
                          <w:sz w:val="18"/>
                          <w:szCs w:val="18"/>
                        </w:rPr>
                      </w:pPr>
                      <w:r>
                        <w:rPr>
                          <w:sz w:val="18"/>
                          <w:szCs w:val="18"/>
                        </w:rPr>
                        <w:t xml:space="preserve">Europska služba za podršku evaluaciji (2016.) </w:t>
                      </w:r>
                      <w:r>
                        <w:t xml:space="preserve">Smjernice: </w:t>
                      </w:r>
                      <w:hyperlink r:id="rId71" w:history="1">
                        <w:r>
                          <w:rPr>
                            <w:color w:val="F07E31"/>
                            <w:sz w:val="18"/>
                            <w:szCs w:val="18"/>
                            <w:u w:val="single"/>
                          </w:rPr>
                          <w:t>ocjena rezultata PRR-a:</w:t>
                        </w:r>
                      </w:hyperlink>
                      <w:hyperlink r:id="rId72" w:history="1">
                        <w:r>
                          <w:rPr>
                            <w:color w:val="F07E31"/>
                            <w:sz w:val="18"/>
                            <w:szCs w:val="18"/>
                            <w:u w:val="single"/>
                          </w:rPr>
                          <w:t>kako se pripremiti za izvješćivanje o evaluaciji u 2017.</w:t>
                        </w:r>
                      </w:hyperlink>
                      <w:r>
                        <w:rPr>
                          <w:sz w:val="18"/>
                          <w:szCs w:val="18"/>
                        </w:rPr>
                        <w:t xml:space="preserve">, Prilog 11.; </w:t>
                      </w:r>
                    </w:p>
                    <w:p w:rsidR="00FD4C56" w:rsidRPr="006F1763" w:rsidRDefault="00FD4C56" w:rsidP="00E05D08">
                      <w:pPr>
                        <w:pStyle w:val="HStandard"/>
                        <w:rPr>
                          <w:sz w:val="18"/>
                          <w:szCs w:val="18"/>
                        </w:rPr>
                      </w:pPr>
                      <w:r>
                        <w:rPr>
                          <w:sz w:val="18"/>
                          <w:szCs w:val="18"/>
                        </w:rPr>
                        <w:t>EMRR (2014.).</w:t>
                      </w:r>
                      <w:hyperlink r:id="rId73" w:history="1">
                        <w:r>
                          <w:rPr>
                            <w:rStyle w:val="Hyperlink"/>
                            <w:sz w:val="18"/>
                            <w:szCs w:val="18"/>
                          </w:rPr>
                          <w:t>Vodič za NRM-ove</w:t>
                        </w:r>
                      </w:hyperlink>
                      <w:r>
                        <w:rPr>
                          <w:sz w:val="18"/>
                          <w:szCs w:val="18"/>
                        </w:rPr>
                        <w:t>. Luksemburg, Ured za publikacije</w:t>
                      </w:r>
                    </w:p>
                    <w:p w:rsidR="00FD4C56" w:rsidRPr="006F1763" w:rsidRDefault="00FD4C56" w:rsidP="00E05D08">
                      <w:pPr>
                        <w:pStyle w:val="HStandard"/>
                        <w:rPr>
                          <w:sz w:val="18"/>
                          <w:szCs w:val="18"/>
                        </w:rPr>
                      </w:pPr>
                      <w:r>
                        <w:t xml:space="preserve">Europska služba za podršku evaluaciji (2016.) </w:t>
                      </w:r>
                      <w:hyperlink r:id="rId74" w:history="1">
                        <w:r>
                          <w:rPr>
                            <w:rStyle w:val="Hyperlink"/>
                            <w:sz w:val="18"/>
                            <w:szCs w:val="18"/>
                          </w:rPr>
                          <w:t>Evaluacija nacionalnih ruralnih mreža u razdoblju 2014. – 2020.</w:t>
                        </w:r>
                      </w:hyperlink>
                    </w:p>
                    <w:p w:rsidR="00FD4C56" w:rsidRPr="006F1763" w:rsidRDefault="00FD4C56" w:rsidP="00E05D08">
                      <w:pPr>
                        <w:pStyle w:val="HStandard"/>
                        <w:rPr>
                          <w:sz w:val="18"/>
                          <w:szCs w:val="18"/>
                        </w:rPr>
                      </w:pPr>
                      <w:r>
                        <w:rPr>
                          <w:sz w:val="18"/>
                          <w:szCs w:val="18"/>
                        </w:rPr>
                        <w:t xml:space="preserve">Europska komisija, GU AGRI (2014.) </w:t>
                      </w:r>
                      <w:hyperlink r:id="rId75" w:history="1">
                        <w:r>
                          <w:rPr>
                            <w:rStyle w:val="Hyperlink"/>
                            <w:sz w:val="18"/>
                            <w:szCs w:val="18"/>
                          </w:rPr>
                          <w:t>Smjernice za programiranje za inovacije i provedbu EPI-ja za poljoprivrednu produktivnost i održivost</w:t>
                        </w:r>
                      </w:hyperlink>
                    </w:p>
                    <w:p w:rsidR="00FD4C56" w:rsidRPr="006F1763" w:rsidRDefault="00FD4C56" w:rsidP="00E05D08">
                      <w:pPr>
                        <w:pStyle w:val="HStandard"/>
                        <w:rPr>
                          <w:sz w:val="18"/>
                          <w:szCs w:val="18"/>
                        </w:rPr>
                      </w:pPr>
                      <w:r>
                        <w:rPr>
                          <w:sz w:val="18"/>
                          <w:szCs w:val="18"/>
                        </w:rPr>
                        <w:t xml:space="preserve">Europska služba za podršku evaluaciji (2014.) Intervention logic and evaluation framework for 2014-2020 National Rural Networks (Logika intervencije i evaluacijski okvir za nacionalne ruralne mreže u razdoblju 2014. – 2020.). </w:t>
                      </w:r>
                      <w:r>
                        <w:t xml:space="preserve">Popratni dokument predstavljen na </w:t>
                      </w:r>
                      <w:hyperlink r:id="rId76" w:history="1">
                        <w:r>
                          <w:rPr>
                            <w:rStyle w:val="Hyperlink"/>
                            <w:sz w:val="18"/>
                            <w:szCs w:val="18"/>
                          </w:rPr>
                          <w:t>radionici o dobrim praksama „Nacionalne ruralne mreže:</w:t>
                        </w:r>
                      </w:hyperlink>
                      <w:hyperlink r:id="rId77" w:history="1">
                        <w:r>
                          <w:rPr>
                            <w:rStyle w:val="Hyperlink"/>
                            <w:sz w:val="18"/>
                            <w:szCs w:val="18"/>
                          </w:rPr>
                          <w:t>kako pokazati njihove koristi</w:t>
                        </w:r>
                      </w:hyperlink>
                      <w:r>
                        <w:rPr>
                          <w:color w:val="F07E31"/>
                        </w:rPr>
                        <w:t>”</w:t>
                      </w:r>
                      <w:r>
                        <w:rPr>
                          <w:sz w:val="18"/>
                          <w:szCs w:val="18"/>
                        </w:rPr>
                        <w:t>, Rim (Italija), 10. i 11. travnja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981125"/>
      <w:r>
        <w:t>ZEP br. 23: „U kojoj je mjeri PRR pridonio postizanju glavnog cilja EU-a za 2020. da se 3 % BDP-a EU-a ulaže u istraživanje i razvoj te inovacije?”</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Razumijevanje ZEP-a</w:t>
      </w:r>
    </w:p>
    <w:p w:rsidR="00A45935" w:rsidRPr="00E05D08" w:rsidRDefault="00A45935" w:rsidP="00E05D08">
      <w:pPr>
        <w:spacing w:after="120" w:line="280" w:lineRule="atLeast"/>
        <w:mirrorIndents/>
        <w:rPr>
          <w:rFonts w:eastAsia="Times New Roman" w:cs="Times New Roman"/>
          <w:szCs w:val="20"/>
        </w:rPr>
      </w:pPr>
      <w:r>
        <w:t xml:space="preserve">Ovaj ZEP odnosi se na jedan od pet glavnih ciljeva strategije EU-a za 2020.: „3 % BDP-a EU-a uloženog u istraživanje i razvoj / inovacije”. Kako bi se pitanje razumjelo, treba uvažiti kontekst i mjerenje glavnog cilja te, najvažnije, njegov cilj poboljšanja uvjeta za inovacije, istraživanje i razvoj uz uporabu kombinacije javnih i privatnih financijskih sredstava. </w:t>
      </w:r>
    </w:p>
    <w:p w:rsidR="00A45935" w:rsidRPr="00E05D08" w:rsidRDefault="00A45935" w:rsidP="00E05D08">
      <w:pPr>
        <w:spacing w:after="120" w:line="280" w:lineRule="atLeast"/>
        <w:mirrorIndents/>
        <w:rPr>
          <w:rFonts w:eastAsia="Times New Roman" w:cs="Times New Roman"/>
          <w:szCs w:val="20"/>
        </w:rPr>
      </w:pPr>
      <w:r>
        <w:t>Glavni cilj povezan je s prioritetima strategije EU-a za 2020. za pametan, održiv i uključiv rast koji se temelji na znanju i inovacijama. Iako je naglasak na potrebi da i javni i privatni sektor ulažu u istraživanja i razvoj, i dalje se usmjerava na ulazna sredstva umjesto na učinak</w:t>
      </w:r>
      <w:r>
        <w:rPr>
          <w:rFonts w:eastAsia="Times New Roman" w:cs="Times New Roman"/>
          <w:szCs w:val="20"/>
          <w:vertAlign w:val="superscript"/>
          <w:lang w:eastAsia="de-DE"/>
        </w:rPr>
        <w:footnoteReference w:id="68"/>
      </w:r>
      <w:r>
        <w:t xml:space="preserve">. Postoji jasna potreba za poboljšanjem uvjeta za privatno istraživanje i razvoj u EU-u, a mnoge će mjere predložene u toj strategiji to i učiniti. Jasno je i da se sagledavanjem istraživanja i razvoja te inovacija kao cjeline dobiva širi raspon rashoda koji bi bili relevantniji za poslovne aktivnosti i za pokretače produktivnosti. Komisija predlaže zadržavanje cilja od 3 % uz istodobni razvoj pokazatelja koji bi odražavao intenzitet istraživanja i razvoja te inovacija. </w:t>
      </w:r>
    </w:p>
    <w:p w:rsidR="00A45935" w:rsidRPr="00E05D08" w:rsidRDefault="00A45935" w:rsidP="00E05D08">
      <w:pPr>
        <w:spacing w:after="120" w:line="280" w:lineRule="atLeast"/>
        <w:mirrorIndents/>
        <w:rPr>
          <w:rFonts w:eastAsia="Times New Roman" w:cs="Times New Roman"/>
          <w:szCs w:val="20"/>
        </w:rPr>
      </w:pPr>
      <w:r>
        <w:t>Taj glavni cilj prenesen je u nacionalne ciljeve država članica EU-a kojima se odražavaju različite situacije i okolnosti tako da svaka država članica može provjeriti svoj napredak u postizanju ciljeva EU-a za 2020.</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lastRenderedPageBreak/>
        <w:t xml:space="preserve">Specifični izazovi </w:t>
      </w:r>
    </w:p>
    <w:p w:rsidR="00A45935" w:rsidRPr="006C63CD" w:rsidRDefault="00A45935" w:rsidP="00676B41">
      <w:pPr>
        <w:pStyle w:val="Hlistbullet"/>
      </w:pPr>
      <w:r>
        <w:rPr>
          <w:b/>
        </w:rPr>
        <w:t xml:space="preserve">Upravljanje podatcima radi dobivanja visokokvalitetnih podataka o istraživanju i razvoju te inovacijama: </w:t>
      </w:r>
      <w:r>
        <w:t>Eurostat redovito objavljuje sveobuhvatno izvješće o napretku za pokazatelj glavnog cilja</w:t>
      </w:r>
      <w:r>
        <w:rPr>
          <w:vertAlign w:val="superscript"/>
        </w:rPr>
        <w:footnoteReference w:id="70"/>
      </w:r>
      <w:r>
        <w:t>. Podatci se prikupljaju u skladu s Priručnikom Frascati (OECD)</w:t>
      </w:r>
      <w:r>
        <w:rPr>
          <w:vertAlign w:val="superscript"/>
        </w:rPr>
        <w:footnoteReference w:id="71"/>
      </w:r>
      <w:r>
        <w:t xml:space="preserve"> i posebnim propisima EU-a</w:t>
      </w:r>
      <w:r>
        <w:rPr>
          <w:vertAlign w:val="superscript"/>
        </w:rPr>
        <w:footnoteReference w:id="72"/>
      </w:r>
      <w:r>
        <w:t>. Priručnik Frascati služi i kao temelj za prikupljanje podataka koje Eurostat prikuplja za zamjenski pokazatelj glavnog cilja: „bruto domaći rashodi za istraživanje i razvoj” (GERD)</w:t>
      </w:r>
      <w:r>
        <w:rPr>
          <w:vertAlign w:val="superscript"/>
        </w:rPr>
        <w:footnoteReference w:id="73"/>
      </w:r>
      <w:r>
        <w:t xml:space="preserve">. Obuhvaća rashode </w:t>
      </w:r>
      <w:r>
        <w:rPr>
          <w:color w:val="333333"/>
          <w:shd w:val="clear" w:color="auto" w:fill="FFFFFF"/>
        </w:rPr>
        <w:t>poduzeća, visokoškolskih institucija te vlade i privatnih neprofitnih organizacija za istraživanje i razvoj.</w:t>
      </w:r>
      <w:r>
        <w:t xml:space="preserve"> Eurostat prikuplja podatke o GERD-u za razine NUTS 1 i NUTS 2. Pokazatelj „udio (%) u ukupnom GERD-u” prikazuje </w:t>
      </w:r>
      <w:r>
        <w:rPr>
          <w:color w:val="333333"/>
          <w:shd w:val="clear" w:color="auto" w:fill="FFFFFF"/>
        </w:rPr>
        <w:t xml:space="preserve">relativne udjele različitih izvora financijskih sredstava za istraživanje i razvoj: industrijskog sektora, sektora države, sektora visokog obrazovanja i privatnog neprofitnog sektora. Peti prikazani izvor financijskih sredstava jest GERD financiran iz inozemstva. </w:t>
      </w:r>
      <w:r>
        <w:t xml:space="preserve">Podatci o </w:t>
      </w:r>
      <w:r>
        <w:rPr>
          <w:color w:val="333333"/>
          <w:shd w:val="clear" w:color="auto" w:fill="FFFFFF"/>
        </w:rPr>
        <w:t>„</w:t>
      </w:r>
      <w:r>
        <w:t>udjelu (%) u ukupnom GERD-u”</w:t>
      </w:r>
      <w:r>
        <w:rPr>
          <w:color w:val="333333"/>
          <w:shd w:val="clear" w:color="auto" w:fill="FFFFFF"/>
        </w:rPr>
        <w:t xml:space="preserve"> pružaju se za razinu NUTS 1. Iako Eurostat objavljuje najnovije podatke, ipak postoji vremenski odmak od 2 do 3 godine. </w:t>
      </w:r>
      <w:r>
        <w:t xml:space="preserve">Eurostat ne pruža podatke o GERD-u i udjelu (%) u ukupnom GERD-u po gospodarskom sektoru (npr. prehrambena industrija, poljoprivreda). Iako se statistički podatci izričito odnose na rashode za istraživanje i razvoj, oni zapravo u određenoj mjeri obuhvaćaju i rashode za inovacije kao što je utvrđeno u strategiji Europa 2020. Priručnik Frascati referentni je dokument za programe financiranja </w:t>
      </w:r>
      <w:r>
        <w:rPr>
          <w:color w:val="333333"/>
          <w:shd w:val="clear" w:color="auto" w:fill="FFFFFF"/>
        </w:rPr>
        <w:t>kojima</w:t>
      </w:r>
      <w:r>
        <w:t xml:space="preserve"> se promiču inovacije. U njemu se opisuje metoda za mjerenje znanstvenih, tehnoloških i inovacijskih aktivnosti, no granica između istraživanja i razvoja te inovacija nije uvijek jasna. </w:t>
      </w:r>
    </w:p>
    <w:p w:rsidR="00A45935" w:rsidRPr="006C63CD" w:rsidRDefault="00A45935" w:rsidP="00676B41">
      <w:pPr>
        <w:pStyle w:val="Hlistbullet"/>
      </w:pPr>
      <w:r>
        <w:rPr>
          <w:b/>
        </w:rPr>
        <w:t xml:space="preserve">Ocjena doprinosa PRR-a glavnom cilju: </w:t>
      </w:r>
      <w:r>
        <w:t>izazov se sastoji u tome da se doprinosi PRR-a glavnom cilju odraze na prikladan i realističan način pritom vodeći računa o usmjerenju programâ na strategiju Europa 2020. U tom evaluacijskom zadatku treba uzeti u obzir i značajke intervencija EPFRR-a i posebnosti ruralnih područja i sektora u kojima se one upotrebljavaju. Budući da su ruralna područja slabije strukturirana od urbanih područja, a strategija EU-a za 2020. temelji se na ulaganjima u područja i sektore rasta, može se očekivati relativno manji doprinos PRR-a u usporedbi s drugim operativnim programima</w:t>
      </w:r>
      <w:r>
        <w:rPr>
          <w:vertAlign w:val="superscript"/>
        </w:rPr>
        <w:footnoteReference w:id="74"/>
      </w:r>
      <w:r>
        <w:t xml:space="preserve">. No ono što je možda manje važno za nacionalna gospodarstva može biti vrlo vrijedno za BDP u ruralnim područjima i njihov budući razvoj. Stoga bi se trebao izračunati glavni cilj za doprinose PRR-a i trebalo bi se odgovoriti na ZEP.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Pristup predložen za odgovaranje na ZEP br.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Logika intervencije </w:t>
      </w:r>
    </w:p>
    <w:p w:rsidR="00697455" w:rsidRDefault="00A45935" w:rsidP="00E05D08">
      <w:pPr>
        <w:spacing w:after="120" w:line="280" w:lineRule="atLeast"/>
        <w:mirrorIndents/>
        <w:rPr>
          <w:rFonts w:eastAsia="Times New Roman" w:cs="Times New Roman"/>
          <w:szCs w:val="20"/>
        </w:rPr>
      </w:pPr>
      <w:r>
        <w:t xml:space="preserve">Sve mjere/podmjere PRR-a koje poticanju inovacija pridonose putem triju putanja u ruralnim područjima u mjeri utvrđenoj u analitičkoj provjeri njihova inovacijskog potencijala, (vidjeti </w:t>
      </w:r>
      <w:hyperlink w:anchor="Screening_Potential" w:history="1">
        <w:r>
          <w:rPr>
            <w:rStyle w:val="Hyperlink"/>
            <w:sz w:val="20"/>
            <w:szCs w:val="20"/>
          </w:rPr>
          <w:t>poglavlje 2.2.</w:t>
        </w:r>
      </w:hyperlink>
      <w:r>
        <w:t xml:space="preserve">) trebaju se razmotriti kao dio logike intervencije povezane sa ZEP-om br. 23. To nadilazi mjere koje se smatraju prvenstveno mjerama za poticanje inovacija, tj. M1, M2 i M16, te može obuhvaćati i druge mjere povezane s ulaganjima, promidžbom i pojedinačnim područjima čijom bi se provedbom mogle podupirati inovacije (npr. kriterijima odabira projekata povezanih s inovacijama). Operacije provedene u okviru tih mjera i podmjera uzimaju se u obzir pri izračunu rashoda za istraživanje i razvoj te inovacije, a procjena glavnog cilja ili njegove zamjene (GERD) i dodatnih pokazatelja </w:t>
      </w:r>
      <w:r>
        <w:lastRenderedPageBreak/>
        <w:t xml:space="preserve">upotrebljava se za odgovaranje na ZEP br. 23 (kako je utvrđeno u analitičkoj provjeri inovacijskog potencijala – vidjeti </w:t>
      </w:r>
      <w:hyperlink w:anchor="Screening_Potential" w:history="1">
        <w:r>
          <w:rPr>
            <w:rStyle w:val="Hyperlink"/>
            <w:sz w:val="20"/>
            <w:szCs w:val="20"/>
          </w:rPr>
          <w:t>poglavlje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Evaluacijski elementi povezani sa ZEP-om br. 23</w:t>
      </w:r>
    </w:p>
    <w:p w:rsidR="00A45935" w:rsidRPr="00E05D08" w:rsidRDefault="00A45935" w:rsidP="00E05D08">
      <w:pPr>
        <w:spacing w:after="120" w:line="280" w:lineRule="atLeast"/>
        <w:mirrorIndents/>
        <w:rPr>
          <w:rFonts w:eastAsia="Times New Roman" w:cs="Times New Roman"/>
          <w:szCs w:val="20"/>
        </w:rPr>
      </w:pPr>
      <w:r>
        <w:t xml:space="preserve">U radnom dokumentu </w:t>
      </w:r>
      <w:hyperlink r:id="rId78" w:history="1">
        <w:r>
          <w:rPr>
            <w:rStyle w:val="Hyperlink"/>
            <w:sz w:val="20"/>
            <w:szCs w:val="20"/>
          </w:rPr>
          <w:t>Zajednička evaluacijska pitanja za PRR-e za razdoblje 2014. – 2020.</w:t>
        </w:r>
      </w:hyperlink>
      <w:r>
        <w:t xml:space="preserve"> predlažu se dva kriterija prosudbe (povećana su ulaganja u istraživanje i razvoj te su potaknute inovacije), dva zajednička pokazatelja ZSPE-a (T1 – rashodi povezani s člancima 14. i 35. te T2 – ukupan broj operacija suradnje za koje je dodijeljena potpora u okviru mjere suradnje) i jedan dodatni pokazatelj (rashodi iz PRR-a za istraživanje i razvoj kao udio (%) BDP-a) za odgovaranje na ZEP br. 23. No tim se elementima ne mogu u potpunosti obuhvatiti doprinosi PRR-a glavnom cilju. </w:t>
      </w:r>
    </w:p>
    <w:p w:rsidR="00A45935" w:rsidRPr="00E05D08" w:rsidRDefault="00A45935" w:rsidP="00E05D08">
      <w:pPr>
        <w:spacing w:after="120" w:line="280" w:lineRule="atLeast"/>
        <w:mirrorIndents/>
        <w:rPr>
          <w:rFonts w:eastAsia="Times New Roman" w:cs="Times New Roman"/>
          <w:szCs w:val="20"/>
        </w:rPr>
      </w:pPr>
      <w:r>
        <w:t xml:space="preserve">Stoga se u ovim smjernicama predlažu dodatni evaluacijski elementi za odgovaranje na ZEP br. 23 (vidjeti </w:t>
      </w:r>
      <w:hyperlink w:anchor="JC_Indic_data" w:history="1">
        <w:r>
          <w:rPr>
            <w:rStyle w:val="Hyperlink"/>
            <w:sz w:val="20"/>
            <w:szCs w:val="20"/>
          </w:rPr>
          <w:t>tablicu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8981136"/>
      <w:bookmarkEnd w:id="125"/>
      <w:r>
        <w:rPr>
          <w:color w:val="6F6F6F"/>
          <w:sz w:val="18"/>
          <w:szCs w:val="18"/>
        </w:rPr>
        <w:lastRenderedPageBreak/>
        <w:t>Kriteriji prosudbe, pokazatelji i podatci potrebni za odgovaranje na ZEP br.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Kriteriji prosudbe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Pokazatelji</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Potrebni podatci</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Izvori podataka</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Zajednički evaluacijski elementi (ZSPE i elementi predloženi u radnom dokumentu „Zajednička evaluacijska pitanja za razdoblje 2014. – 2020.”)</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Povećana su ulaganja u istraživanje i razvoj te inovacije</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Potaknute su inovacije.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T1: udio (%) rashoda nastalih na temelju članaka 14., 15. i 35. Uredbe (EU) br. 1305/2013 u ukupnim rashodima PRR-a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T2: ukupan broj operacija u projektima suradnje za koje je dodijeljena potpora u okviru mjere suradnje (članak 35. Uredbe (EU) br. 1305/2013) (skupine, mreže/klasteri, pilot-projekti)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Dodatni pokazatelj:</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rashodi iz PRR-a za istraživanje i razvoj kao udio (%) BDP-a (GERD „ruralni razvoj”)</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Podatci o rashodima iz PRR-a za istraživanje i razvoj te inovacije</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Podatci o ukupnim rashodima PRR-a </w:t>
            </w:r>
          </w:p>
          <w:p w:rsidR="00A45935" w:rsidRPr="00E05D08" w:rsidRDefault="00A45935" w:rsidP="00BA4FCD">
            <w:pPr>
              <w:spacing w:after="120" w:line="280" w:lineRule="atLeast"/>
              <w:jc w:val="left"/>
              <w:rPr>
                <w:rFonts w:eastAsia="Times New Roman" w:cs="Arial"/>
                <w:sz w:val="18"/>
                <w:szCs w:val="18"/>
              </w:rPr>
            </w:pPr>
            <w:r>
              <w:rPr>
                <w:sz w:val="18"/>
                <w:szCs w:val="18"/>
              </w:rPr>
              <w:t>Podatci o rashodima za istraživanje i razvoj te inovacije za državu članicu / regiju</w:t>
            </w:r>
          </w:p>
          <w:p w:rsidR="00A45935" w:rsidRPr="00E05D08" w:rsidRDefault="00A45935" w:rsidP="00BA4FCD">
            <w:pPr>
              <w:spacing w:after="120" w:line="280" w:lineRule="atLeast"/>
              <w:jc w:val="left"/>
              <w:rPr>
                <w:rFonts w:eastAsia="Times New Roman" w:cs="Arial"/>
                <w:sz w:val="18"/>
                <w:szCs w:val="18"/>
              </w:rPr>
            </w:pPr>
            <w:r>
              <w:rPr>
                <w:sz w:val="18"/>
                <w:szCs w:val="18"/>
              </w:rPr>
              <w:t>Podatci o BDP-u države članice / regije</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Sustav za praćenje PRR-a</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Nacionalni/regionalni statistički podatci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Dodatni evaluacijski elementi (neobvezno)</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Povećana su ulaganja u istraživanje i razvoj te inovacije, a povećane su i inovacije.</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Dodatni pokazatelji: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Udio bruto domaćih rashoda za istraživanje i razvoj (GERD) u bruto domaćem proizvodu (BDP)</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Rashodi iz PRR-a za istraživanje i razvoj te inovacije kao udio (%) u ukupnim rashodima PRR-a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Rashodi iz PRR-a za istraživanje i razvoj te inovacije kao udio (%) bruto domaćih </w:t>
            </w:r>
            <w:r>
              <w:rPr>
                <w:color w:val="57825E"/>
                <w:sz w:val="18"/>
                <w:szCs w:val="18"/>
              </w:rPr>
              <w:lastRenderedPageBreak/>
              <w:t>rashoda za istraživanje i razvoj te inovacije</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Podatci o istraživanju i razvoju te inovacijama u skladu s Priručnikom Frascati</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Podatci o rashodima iz PRR-a za istraživanje i razvoj te inovacije raščlanjeni po vrsti korisnika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Podatci o ukupnim rashodima PRR-a </w:t>
            </w:r>
          </w:p>
          <w:p w:rsidR="00A45935" w:rsidRPr="00E05D08" w:rsidRDefault="00A45935" w:rsidP="00BA4FCD">
            <w:pPr>
              <w:spacing w:after="120" w:line="280" w:lineRule="atLeast"/>
              <w:jc w:val="left"/>
              <w:rPr>
                <w:rFonts w:eastAsia="Times New Roman" w:cs="Arial"/>
                <w:sz w:val="18"/>
                <w:szCs w:val="18"/>
              </w:rPr>
            </w:pPr>
            <w:r>
              <w:rPr>
                <w:sz w:val="18"/>
                <w:szCs w:val="18"/>
              </w:rPr>
              <w:t>Podatci o rashodima za istraživanje i razvoj te inovacije za državu članicu / regiju</w:t>
            </w:r>
          </w:p>
          <w:p w:rsidR="00A45935" w:rsidRPr="00E05D08" w:rsidRDefault="00A45935" w:rsidP="00BA4FCD">
            <w:pPr>
              <w:spacing w:after="120" w:line="280" w:lineRule="atLeast"/>
              <w:jc w:val="left"/>
              <w:rPr>
                <w:rFonts w:eastAsia="Times New Roman" w:cs="Arial"/>
                <w:sz w:val="18"/>
                <w:szCs w:val="18"/>
              </w:rPr>
            </w:pPr>
            <w:r>
              <w:rPr>
                <w:sz w:val="18"/>
                <w:szCs w:val="18"/>
              </w:rPr>
              <w:t>Podatci o BDP-u države članice / regije</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Sustav za praćenje PRR-a</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Eurostat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Nacionalni/regionalni statistički podatci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Predložena evaluacijska metodologija</w:t>
      </w:r>
    </w:p>
    <w:p w:rsidR="00A45935" w:rsidRPr="00E05D08" w:rsidRDefault="00A45935" w:rsidP="00E05D08">
      <w:pPr>
        <w:spacing w:after="120" w:line="280" w:lineRule="atLeast"/>
        <w:mirrorIndents/>
        <w:rPr>
          <w:rFonts w:eastAsia="Times New Roman" w:cs="Times New Roman"/>
          <w:szCs w:val="20"/>
        </w:rPr>
      </w:pPr>
      <w:r>
        <w:t>Eurostat i nacionalne institucije za statistiku prikupljaju podatke o pokazatelju glavnog cilja, odnosno bruto domaćim rashodima za istraživanja i razvoj (GERD), kao zamjeni za BDP, poznatima pod nazivom „intenzitet istraživanja i razvoja”. Statistički podatci o rashodima za istraživanje i razvoj prikupljaju se za četiri sektora: 1. sektor trgovačkih društava, 2. sektor države, 3. sektor visokog obrazovanja i 4. privatni neprofitni sektor. Detaljnije informacije o izračunu svakog pokazatelja navode se u tablici 8.</w:t>
      </w:r>
    </w:p>
    <w:p w:rsidR="00F73706" w:rsidRPr="0059311F" w:rsidRDefault="00F73706" w:rsidP="00F73706">
      <w:pPr>
        <w:pStyle w:val="Hlistbullet"/>
      </w:pPr>
      <w:r>
        <w:t xml:space="preserve">Podatci za zajedničke pokazatelje T1 i T2 prikupljaju se izravno iz sustava za praćenje PRR-a (baza podataka operacija). </w:t>
      </w:r>
    </w:p>
    <w:p w:rsidR="00F73706" w:rsidRPr="00F73706" w:rsidRDefault="00F73706" w:rsidP="00F73706">
      <w:pPr>
        <w:pStyle w:val="Hlistbullet"/>
      </w:pPr>
      <w:r>
        <w:t>Glavni cilj „udio bruto domaćih rashoda za istraživanje i razvoj (GERD) u bruto domaćem proizvodu (BDP)” može se prikupiti za razinu NUTS 1 i NUTS 2 iz Eurostata.</w:t>
      </w:r>
    </w:p>
    <w:p w:rsidR="00F73706" w:rsidRPr="00F73706" w:rsidRDefault="00F73706" w:rsidP="00F73706">
      <w:pPr>
        <w:pStyle w:val="Hlistbullet"/>
      </w:pPr>
      <w:r>
        <w:t>Dodatni pokazatelj „rashodi iz PRR-a za istraživanje i razvoj kao udio (%) BDP-a” (dalje u tekstu: GERD „ruralni razvoj” GERDᴿᴰ) ukazuje na udio u BDP-u rashoda za istraživanje i razvoj, koji su iz PRR-a izdvojeni u okviru relevantnih mjera/podmjera:</w:t>
      </w:r>
    </w:p>
    <w:p w:rsidR="00F73706" w:rsidRPr="00F73706" w:rsidRDefault="00F73706" w:rsidP="00F73706">
      <w:pPr>
        <w:pStyle w:val="Hlistbullet2"/>
      </w:pPr>
      <w:r>
        <w:t xml:space="preserve">podatci o BDP-u prikupljaju se iz nacionalnih statističkih podataka te su dostupni i u izvorima EU-a (Eurostat) </w:t>
      </w:r>
    </w:p>
    <w:p w:rsidR="00F73706" w:rsidRPr="00F73706" w:rsidRDefault="00F73706" w:rsidP="00F73706">
      <w:pPr>
        <w:pStyle w:val="Hlistbullet2"/>
      </w:pPr>
      <w:r>
        <w:t xml:space="preserve">podatci o rashodima iz PRR-a za istraživanje, razvoj i inovacije mogu se izvući iz sustava za praćenje PRR-a izračunom rashoda koji su povezani s operacijama s inovacijskim potencijalom (kako je utvrđeno u analitičkoj provjeri inovacijskog potencijala – vidjeti </w:t>
      </w:r>
      <w:hyperlink w:anchor="Screening_Potential" w:history="1">
        <w:r>
          <w:rPr>
            <w:rStyle w:val="Hyperlink"/>
            <w:sz w:val="20"/>
          </w:rPr>
          <w:t>poglavlje 2.2.</w:t>
        </w:r>
      </w:hyperlink>
      <w:r>
        <w:t xml:space="preserve">) i koji su raščlanjeni po sektorskim korisnicima kako je predviđeno Priručnikom Frascati. </w:t>
      </w:r>
    </w:p>
    <w:p w:rsidR="00F73706" w:rsidRPr="00F73706" w:rsidRDefault="00F73706" w:rsidP="00F73706">
      <w:pPr>
        <w:pStyle w:val="Hlistbullet"/>
      </w:pPr>
      <w:r>
        <w:t>Dodatni pokazatelj „rashodi iz PRR-a za istraživanje i razvoj te inovacije kao udio (%) u ukupnim rashodima PRR-a” ukazuje u kojoj je mjeri proračun PRR-a posvećen potpori istraživanju, razvoju i inovacijama. Iz sustava za praćenje PRR-a mogu se izvući i podatci za ovaj pokazatelj ako je baza podataka operacija prilagođena tako da se prate i informacije o projektima s visokim inovacijskim potencijalom koji je utvrđen u analitičkoj provjeri prije evaluacije.</w:t>
      </w:r>
    </w:p>
    <w:p w:rsidR="00A45935" w:rsidRPr="00E05D08" w:rsidRDefault="00F73706" w:rsidP="00F73706">
      <w:pPr>
        <w:pStyle w:val="Hlistbullet"/>
      </w:pPr>
      <w:r>
        <w:t>Dodatni pokazatelj „rashodi iz PRR-a za istraživanje i razvoj te inovacije kao udio (%) bruto domaćih rashoda za istraživanje i razvoj te inovacije” ukazuje na odnos između ulaganja iz PRR-a u istraživanje, razvoj i inovacije te bruto domaćih rashoda za istraživanje i razvoj. Podatci se mogu izvući iz sustava za praćenje PRR-a, nacionalnih i regionalnih statističkih podataka te Eurostata.</w:t>
      </w:r>
    </w:p>
    <w:p w:rsidR="00A45935" w:rsidRPr="00E05D08" w:rsidRDefault="00A45935" w:rsidP="00E05D08">
      <w:pPr>
        <w:spacing w:after="120" w:line="280" w:lineRule="atLeast"/>
        <w:mirrorIndents/>
        <w:rPr>
          <w:rFonts w:eastAsia="Times New Roman" w:cs="Times New Roman"/>
          <w:szCs w:val="20"/>
        </w:rPr>
      </w:pPr>
      <w:r>
        <w:t xml:space="preserve">Brojčani podatci za pokazatelje mogu se izračunati ex ante (planirani doprinosi) i u trenutku evaluacije za potrebe GIP-a koji se podnosi 2019. i </w:t>
      </w:r>
      <w:r w:rsidRPr="008126E6">
        <w:rPr>
          <w:i/>
        </w:rPr>
        <w:t>ex post</w:t>
      </w:r>
      <w:r>
        <w:t xml:space="preserve"> evaluacije (stvarni doprinosi u trenutku evaluacije), a to omogućuje kasniju usporedbu planiranih i stvarnih doprinosa. U tablici 8. prikazan je primjer planiranih i stvarnih vrijednosti zajedničkih i dodatnih pokazatelja:</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D62992">
      <w:pPr>
        <w:pStyle w:val="HHeadingtables"/>
        <w:rPr>
          <w:color w:val="6F6F6F"/>
          <w:sz w:val="18"/>
          <w:szCs w:val="18"/>
        </w:rPr>
      </w:pPr>
      <w:bookmarkStart w:id="128" w:name="_Toc508981137"/>
      <w:r>
        <w:rPr>
          <w:color w:val="6F6F6F"/>
          <w:sz w:val="18"/>
          <w:szCs w:val="18"/>
        </w:rPr>
        <w:lastRenderedPageBreak/>
        <w:t>Primjer planiranih i stvarnih vrijednosti zajedničkih i dodatnih pokazatelja</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21"/>
        <w:gridCol w:w="3852"/>
        <w:gridCol w:w="1495"/>
        <w:gridCol w:w="1494"/>
        <w:gridCol w:w="1066"/>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Pokazatelji</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Planirano</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Stvarno</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Izračun</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Ulazni podatci za PRR (baza podataka operacija)</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Ukupni rashodi PRR-a (agregirani)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Rashodi PRR-a nastali na temelju članaka 14., 15. i 35. Uredbe (EU) br. 1305/2013 (agregirani)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Rashodi iz PRR-a za sve mjere/podmjere PRR-a u okviru kojih se ulaže u istraživanje i razvoj i koje imaju potencijal za poticanje inovacija (agregirani)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Kontekstualni podatci</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Nacionalni/regionalni BDP (za sve sektore) (godišnji)</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Bruto domaći rashodi za istraživanje i razvoj (GERD) za sve sektore (godišnji)</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Vrijednosti zajedničkih ciljnih pokazatelja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T1: udio (%) rashoda nastalih na temelju članaka 14., 15. i 35. Uredbe (EU) br. 1305/2013 u ukupnim rashodima PRR-a</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 = 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T2: ukupan broj operacija u projektima suradnje za koje je dodijeljena potpora u okviru mjere suradnje (članak 35. Uredbe (EU) br. 1305/2013) (skupine, mreže/klasteri, pilot-projekti)</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Vrijednosti dodatnih pokazatelja rezultata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Udio bruto domaćih rashoda za istraživanje i razvoj (GERD) u bruto domaćem proizvodu (BDP)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Rashodi iz PRR-a za istraživanje i razvoj kao udio (%) BDP-a (GERD „ruralni razvoj”)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i =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Rashodi iz PRR-a za istraživanje i razvoj te inovacije kao udio (%) u ukupnim rashodima PRR-a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 = 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Rashodi iz PRR-a za istraživanje i razvoj te inovacije kao udio (%) bruto domaćih rashoda za istraživanje i razvoj te inovacije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 = 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Rizici i rješenja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Rizik</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Rješenje</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Pogrešna procjena potencijala različitih mjera PRR-a za poticanje inovacija u ruralnim područjima, prvenstveno onih koje ne pripadaju uobičajenim „inovacijskim mjerama” kao što su M1, M2, M16, M19 ili M20, što može dovesti do pogrešaka u izračunu rashoda iz PRR-a povezanih s istraživanjem i razvojem te inovacijama.</w:t>
            </w:r>
          </w:p>
          <w:p w:rsidR="00A45935" w:rsidRPr="00F86385"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Rizik se može djelomično ukloniti temeljitom ocjenom inovacijskog potencijala PRR-a prije započinjanja evaluacije. Naznačivanjem mjera PRR-a koje bi mogle imati veliki inovacijski potencijal olakšava se ocjena te njihove stvarne sposobnosti. Primjerice, ako evaluatori znaju koje bi mjere mogle imati jaki učinak na stvaranje novih ideja, oni će u okviru evaluacije provjeriti „inovacijsku učinkovitost” tih mjera te uzeti u obzir rashode izdvojene za njih pri izračunu odgovarajućih pokazatelja.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 xml:space="preserve">Nedostatak dostupnosti i kvalitete (u potrebnom formatu) podataka o istraživanju i razvoju te inovacijama iz nacionalnih i regionalnih statističkih </w:t>
            </w:r>
            <w:r>
              <w:rPr>
                <w:sz w:val="18"/>
                <w:szCs w:val="18"/>
              </w:rPr>
              <w:lastRenderedPageBreak/>
              <w:t>podataka. Ako ne postoje visokokvalitetni podatci, postoji rizik da evaluatori možda neće upotrijebiti odgovarajuće tehnike za procjenu rashoda uloženih u istraživanje i razvoj te inovacije. To može narušiti izračun stvarnih vrijednosti predloženih dodatnih pokazatelja.</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 xml:space="preserve">Kako bi se taj rizik izbjegao, važno je da evaluatori imaju sposobnosti i alate (npr. koeficijente) potrebne za procjenu statističkih vrijednosti na </w:t>
            </w:r>
            <w:r>
              <w:rPr>
                <w:sz w:val="18"/>
                <w:szCs w:val="18"/>
              </w:rPr>
              <w:lastRenderedPageBreak/>
              <w:t>nacionalnoj/regionalnoj razini.</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Zaključci i preporuke </w:t>
      </w:r>
    </w:p>
    <w:p w:rsidR="00A45935" w:rsidRPr="00E05D08" w:rsidRDefault="00A45935" w:rsidP="00E05D08">
      <w:pPr>
        <w:spacing w:after="120" w:line="280" w:lineRule="atLeast"/>
        <w:mirrorIndents/>
        <w:rPr>
          <w:rFonts w:eastAsia="Times New Roman" w:cs="Times New Roman"/>
          <w:szCs w:val="20"/>
        </w:rPr>
      </w:pPr>
      <w:r>
        <w:t>U zaključcima i preporukama povezanima sa ZEP-om br. 23 trebalo bi razmotriti sljedeće:</w:t>
      </w:r>
    </w:p>
    <w:p w:rsidR="00A45935" w:rsidRPr="00545C6C" w:rsidRDefault="00A45935" w:rsidP="000026C6">
      <w:pPr>
        <w:pStyle w:val="Hlistbullet"/>
      </w:pPr>
      <w:r>
        <w:t>razinu ulaganja u istraživanje i razvoj te inovacije ostvarenu u okviru PRR-a u odnosu na cjelokupno stanje ulaganja u istraživanje i razvoj te inovacije u državama članicama / regiji,</w:t>
      </w:r>
    </w:p>
    <w:p w:rsidR="00A45935" w:rsidRPr="00545C6C" w:rsidRDefault="00A45935" w:rsidP="000026C6">
      <w:pPr>
        <w:pStyle w:val="Hlistbullet"/>
      </w:pPr>
      <w:r>
        <w:t xml:space="preserve">potencijal pojedinačnih mjera za ulaganje u istraživanje i razvoj te inovacije u poljoprivredi, preradi hrane, šumarstvu i ruralnim područjima. </w:t>
      </w:r>
    </w:p>
    <w:p w:rsidR="00A45935" w:rsidRPr="00E05D08" w:rsidRDefault="00A45935" w:rsidP="00F31494">
      <w:pPr>
        <w:pStyle w:val="HHeading4"/>
        <w:rPr>
          <w:rFonts w:eastAsia="Calibri"/>
        </w:rPr>
      </w:pPr>
      <w:r>
        <w:t>Više o temi</w:t>
      </w:r>
    </w:p>
    <w:p w:rsidR="00A45935" w:rsidRPr="00E05D08" w:rsidRDefault="00A45935" w:rsidP="00F31494">
      <w:pPr>
        <w:pStyle w:val="HStandard"/>
      </w:pPr>
      <w:r>
        <w:rPr>
          <w:noProof/>
          <w:lang w:val="en-GB" w:eastAsia="en-GB"/>
        </w:rPr>
        <mc:AlternateContent>
          <mc:Choice Requires="wps">
            <w:drawing>
              <wp:inline distT="0" distB="0" distL="0" distR="0" wp14:anchorId="430D079D" wp14:editId="4857FB72">
                <wp:extent cx="5765165" cy="2571750"/>
                <wp:effectExtent l="0" t="0" r="26035" b="19050"/>
                <wp:docPr id="559" name="Rectangle: Diagonal Corners Rounded 559"/>
                <wp:cNvGraphicFramePr/>
                <a:graphic xmlns:a="http://schemas.openxmlformats.org/drawingml/2006/main">
                  <a:graphicData uri="http://schemas.microsoft.com/office/word/2010/wordprocessingShape">
                    <wps:wsp>
                      <wps:cNvSpPr/>
                      <wps:spPr>
                        <a:xfrm>
                          <a:off x="0" y="0"/>
                          <a:ext cx="5765165" cy="2571750"/>
                        </a:xfrm>
                        <a:prstGeom prst="round2DiagRect">
                          <a:avLst>
                            <a:gd name="adj1" fmla="val 9341"/>
                            <a:gd name="adj2" fmla="val 0"/>
                          </a:avLst>
                        </a:prstGeom>
                        <a:noFill/>
                        <a:ln w="25400" cap="flat" cmpd="sng" algn="ctr">
                          <a:solidFill>
                            <a:srgbClr val="59638E"/>
                          </a:solidFill>
                          <a:prstDash val="solid"/>
                        </a:ln>
                        <a:effectLst/>
                      </wps:spPr>
                      <wps:txbx>
                        <w:txbxContent>
                          <w:p w:rsidR="00FD4C56" w:rsidRDefault="00FD4C56"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8D17C8" w:rsidRDefault="00FD4C56" w:rsidP="00E05D08">
                            <w:pPr>
                              <w:pStyle w:val="HStandard"/>
                              <w:rPr>
                                <w:sz w:val="18"/>
                                <w:szCs w:val="18"/>
                              </w:rPr>
                            </w:pPr>
                            <w:r>
                              <w:t xml:space="preserve">EK (2010.) EUROPA 2020. – </w:t>
                            </w:r>
                            <w:hyperlink r:id="rId79" w:history="1">
                              <w:r>
                                <w:rPr>
                                  <w:rStyle w:val="Hyperlink"/>
                                  <w:sz w:val="18"/>
                                  <w:szCs w:val="18"/>
                                </w:rPr>
                                <w:t>Strategija za pametan, održiv i uključiv rast</w:t>
                              </w:r>
                            </w:hyperlink>
                          </w:p>
                          <w:p w:rsidR="00FD4C56" w:rsidRPr="008D17C8" w:rsidRDefault="00FD4C56" w:rsidP="00E05D08">
                            <w:pPr>
                              <w:pStyle w:val="HStandard"/>
                              <w:rPr>
                                <w:sz w:val="18"/>
                                <w:szCs w:val="18"/>
                              </w:rPr>
                            </w:pPr>
                            <w:r>
                              <w:t xml:space="preserve">EUROSTAT (2017.) </w:t>
                            </w:r>
                            <w:hyperlink r:id="rId80" w:history="1">
                              <w:r>
                                <w:rPr>
                                  <w:rStyle w:val="Hyperlink"/>
                                  <w:sz w:val="18"/>
                                  <w:szCs w:val="18"/>
                                </w:rPr>
                                <w:t>Pametnija, zelenija, uključivija?</w:t>
                              </w:r>
                            </w:hyperlink>
                            <w:hyperlink r:id="rId81" w:history="1">
                              <w:r>
                                <w:rPr>
                                  <w:rStyle w:val="Hyperlink"/>
                                  <w:sz w:val="18"/>
                                  <w:szCs w:val="18"/>
                                </w:rPr>
                                <w:t xml:space="preserve"> Pokazatelji za potporu strategiji Europa 2020.</w:t>
                              </w:r>
                            </w:hyperlink>
                          </w:p>
                          <w:p w:rsidR="00FD4C56" w:rsidRPr="008D17C8" w:rsidRDefault="00FD4C56" w:rsidP="00E05D08">
                            <w:pPr>
                              <w:pStyle w:val="HStandard"/>
                              <w:rPr>
                                <w:sz w:val="18"/>
                                <w:szCs w:val="18"/>
                              </w:rPr>
                            </w:pPr>
                            <w:r>
                              <w:rPr>
                                <w:sz w:val="18"/>
                                <w:szCs w:val="18"/>
                              </w:rPr>
                              <w:t>Dietz S. (2017.) “</w:t>
                            </w:r>
                            <w:hyperlink r:id="rId82" w:history="1">
                              <w:r>
                                <w:rPr>
                                  <w:rStyle w:val="Hyperlink"/>
                                  <w:sz w:val="18"/>
                                  <w:szCs w:val="18"/>
                                </w:rPr>
                                <w:t>ELER im Kontext der Strategie „Europa 2020</w:t>
                              </w:r>
                            </w:hyperlink>
                            <w:r>
                              <w:rPr>
                                <w:sz w:val="18"/>
                                <w:szCs w:val="18"/>
                              </w:rPr>
                              <w:t>”; prezentacija na godišnjem događaju MEN-D Annual Event 2017.</w:t>
                            </w:r>
                          </w:p>
                          <w:p w:rsidR="00FD4C56" w:rsidRPr="00385368" w:rsidRDefault="00FD4C56" w:rsidP="00E05D08">
                            <w:pPr>
                              <w:pStyle w:val="HStandard"/>
                              <w:rPr>
                                <w:sz w:val="18"/>
                                <w:szCs w:val="18"/>
                              </w:rPr>
                            </w:pPr>
                            <w:r>
                              <w:rPr>
                                <w:sz w:val="18"/>
                                <w:szCs w:val="18"/>
                              </w:rPr>
                              <w:t xml:space="preserve">MEN-D (2015.) </w:t>
                            </w:r>
                            <w:hyperlink r:id="rId83" w:history="1">
                              <w:r>
                                <w:rPr>
                                  <w:rStyle w:val="Hyperlink"/>
                                  <w:sz w:val="18"/>
                                  <w:szCs w:val="18"/>
                                </w:rPr>
                                <w:t>Monitoring und Evaluierung der ELER-Förderperiode 2014 – 2020: Auswertung der Methoden und Erfahrungen der Ex-Ante Bewertung.</w:t>
                              </w:r>
                            </w:hyperlink>
                          </w:p>
                          <w:p w:rsidR="00FD4C56" w:rsidRPr="000041C9" w:rsidRDefault="00FD4C56" w:rsidP="00E05D08">
                            <w:pPr>
                              <w:pStyle w:val="HStandard"/>
                              <w:rPr>
                                <w:sz w:val="18"/>
                                <w:szCs w:val="18"/>
                              </w:rPr>
                            </w:pPr>
                            <w:r>
                              <w:t xml:space="preserve">MEN-D (2017.) </w:t>
                            </w:r>
                            <w:hyperlink r:id="rId84" w:history="1">
                              <w:r>
                                <w:rPr>
                                  <w:rStyle w:val="Hyperlink"/>
                                  <w:sz w:val="18"/>
                                  <w:szCs w:val="18"/>
                                </w:rPr>
                                <w:t>EPFRR u kontekstu strategije Europa 2020. – evaluacija doprinosa i budući izazovi</w:t>
                              </w:r>
                            </w:hyperlink>
                            <w:r>
                              <w:t>.</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202.5pt;visibility:visible;mso-wrap-style:square;mso-left-percent:-10001;mso-top-percent:-10001;mso-position-horizontal:absolute;mso-position-horizontal-relative:char;mso-position-vertical:absolute;mso-position-vertical-relative:line;mso-left-percent:-10001;mso-top-percent:-10001;v-text-anchor:middle" coordsize="5765165,257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" adj="-11796480,,5400" path="m240227,l5765165,r,l5765165,2331523v,132674,-107553,240227,-240227,240227l,2571750r,l,240227c,107553,107553,,240227,xe" filled="f" strokecolor="#59638e" strokeweight="2pt">
                <v:stroke joinstyle="miter"/>
                <v:formulas/>
                <v:path arrowok="t" o:connecttype="custom" o:connectlocs="240227,0;5765165,0;5765165,0;5765165,2331523;5524938,2571750;0,2571750;0,2571750;0,240227;240227,0" o:connectangles="0,0,0,0,0,0,0,0,0" textboxrect="0,0,5765165,2571750"/>
                <v:textbox>
                  <w:txbxContent>
                    <w:p w:rsidR="00FD4C56" w:rsidRDefault="00FD4C56" w:rsidP="00E05D08">
                      <w:pPr>
                        <w:pStyle w:val="HStandard"/>
                        <w:rPr>
                          <w:color w:val="000000"/>
                          <w:sz w:val="18"/>
                        </w:rPr>
                      </w:pPr>
                      <w:r>
                        <w:rPr>
                          <w:noProof/>
                          <w:lang w:val="en-GB"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8D17C8" w:rsidRDefault="00FD4C56" w:rsidP="00E05D08">
                      <w:pPr>
                        <w:pStyle w:val="HStandard"/>
                        <w:rPr>
                          <w:sz w:val="18"/>
                          <w:szCs w:val="18"/>
                        </w:rPr>
                      </w:pPr>
                      <w:r>
                        <w:t xml:space="preserve">EK (2010.) EUROPA 2020. – </w:t>
                      </w:r>
                      <w:hyperlink r:id="rId85" w:history="1">
                        <w:r>
                          <w:rPr>
                            <w:rStyle w:val="Hyperlink"/>
                            <w:sz w:val="18"/>
                            <w:szCs w:val="18"/>
                          </w:rPr>
                          <w:t>Strategija za pametan, održiv i uključiv rast</w:t>
                        </w:r>
                      </w:hyperlink>
                    </w:p>
                    <w:p w:rsidR="00FD4C56" w:rsidRPr="008D17C8" w:rsidRDefault="00FD4C56" w:rsidP="00E05D08">
                      <w:pPr>
                        <w:pStyle w:val="HStandard"/>
                        <w:rPr>
                          <w:sz w:val="18"/>
                          <w:szCs w:val="18"/>
                        </w:rPr>
                      </w:pPr>
                      <w:r>
                        <w:t xml:space="preserve">EUROSTAT (2017.) </w:t>
                      </w:r>
                      <w:hyperlink r:id="rId86" w:history="1">
                        <w:r>
                          <w:rPr>
                            <w:rStyle w:val="Hyperlink"/>
                            <w:sz w:val="18"/>
                            <w:szCs w:val="18"/>
                          </w:rPr>
                          <w:t>Pametnija, zelenija, uključivija?</w:t>
                        </w:r>
                      </w:hyperlink>
                      <w:hyperlink r:id="rId87" w:history="1">
                        <w:r>
                          <w:rPr>
                            <w:rStyle w:val="Hyperlink"/>
                            <w:sz w:val="18"/>
                            <w:szCs w:val="18"/>
                          </w:rPr>
                          <w:t xml:space="preserve"> Pokazatelji za potporu strategiji Europa 2020.</w:t>
                        </w:r>
                      </w:hyperlink>
                    </w:p>
                    <w:p w:rsidR="00FD4C56" w:rsidRPr="008D17C8" w:rsidRDefault="00FD4C56" w:rsidP="00E05D08">
                      <w:pPr>
                        <w:pStyle w:val="HStandard"/>
                        <w:rPr>
                          <w:sz w:val="18"/>
                          <w:szCs w:val="18"/>
                        </w:rPr>
                      </w:pPr>
                      <w:r>
                        <w:rPr>
                          <w:sz w:val="18"/>
                          <w:szCs w:val="18"/>
                        </w:rPr>
                        <w:t>Dietz S. (2017.) “</w:t>
                      </w:r>
                      <w:hyperlink r:id="rId88" w:history="1">
                        <w:r>
                          <w:rPr>
                            <w:rStyle w:val="Hyperlink"/>
                            <w:sz w:val="18"/>
                            <w:szCs w:val="18"/>
                          </w:rPr>
                          <w:t>ELER im Kontext der Strategie „Europa 2020</w:t>
                        </w:r>
                      </w:hyperlink>
                      <w:r>
                        <w:rPr>
                          <w:sz w:val="18"/>
                          <w:szCs w:val="18"/>
                        </w:rPr>
                        <w:t>”; prezentacija na godišnjem događaju MEN-D Annual Event 2017.</w:t>
                      </w:r>
                    </w:p>
                    <w:p w:rsidR="00FD4C56" w:rsidRPr="00385368" w:rsidRDefault="00FD4C56" w:rsidP="00E05D08">
                      <w:pPr>
                        <w:pStyle w:val="HStandard"/>
                        <w:rPr>
                          <w:sz w:val="18"/>
                          <w:szCs w:val="18"/>
                        </w:rPr>
                      </w:pPr>
                      <w:r>
                        <w:rPr>
                          <w:sz w:val="18"/>
                          <w:szCs w:val="18"/>
                        </w:rPr>
                        <w:t xml:space="preserve">MEN-D (2015.) </w:t>
                      </w:r>
                      <w:hyperlink r:id="rId89" w:history="1">
                        <w:r>
                          <w:rPr>
                            <w:rStyle w:val="Hyperlink"/>
                            <w:sz w:val="18"/>
                            <w:szCs w:val="18"/>
                          </w:rPr>
                          <w:t>Monitoring und Evaluierung der ELER-Förderperiode 2014 – 2020: Auswertung der Methoden und Erfahrungen der Ex-Ante Bewertung.</w:t>
                        </w:r>
                      </w:hyperlink>
                    </w:p>
                    <w:p w:rsidR="00FD4C56" w:rsidRPr="000041C9" w:rsidRDefault="00FD4C56" w:rsidP="00E05D08">
                      <w:pPr>
                        <w:pStyle w:val="HStandard"/>
                        <w:rPr>
                          <w:sz w:val="18"/>
                          <w:szCs w:val="18"/>
                        </w:rPr>
                      </w:pPr>
                      <w:r>
                        <w:t xml:space="preserve">MEN-D (2017.) </w:t>
                      </w:r>
                      <w:hyperlink r:id="rId90" w:history="1">
                        <w:r>
                          <w:rPr>
                            <w:rStyle w:val="Hyperlink"/>
                            <w:sz w:val="18"/>
                            <w:szCs w:val="18"/>
                          </w:rPr>
                          <w:t>EPFRR u kontekstu strategije Europa 2020. – evaluacija doprinosa i budući izazovi</w:t>
                        </w:r>
                      </w:hyperlink>
                      <w:r>
                        <w:t>.</w:t>
                      </w:r>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981126"/>
      <w:r>
        <w:t>ZEP br. 30: „U kojoj su mjeri intervencije u okviru PRR-a pridonijele poticanju inovacija?”</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Razumijevanje ZEP-a</w:t>
      </w:r>
    </w:p>
    <w:p w:rsidR="00A45935" w:rsidRPr="00E05D08" w:rsidRDefault="00A45935" w:rsidP="00E05D08">
      <w:pPr>
        <w:spacing w:after="120" w:line="280" w:lineRule="atLeast"/>
        <w:mirrorIndents/>
        <w:rPr>
          <w:rFonts w:eastAsia="Times New Roman" w:cs="Arial"/>
          <w:szCs w:val="20"/>
        </w:rPr>
      </w:pPr>
      <w:r>
        <w:t>ZEP br. 30 odnosi se na proces poticanja inovacija zbog čega je ovo pitanje konceptualno vrlo široko s obzirom na to da inovacije nastaju interakcijama među subjektima u inovacijskom sustavu.</w:t>
      </w:r>
      <w:r>
        <w:rPr>
          <w:b/>
          <w:szCs w:val="20"/>
        </w:rPr>
        <w:t xml:space="preserve"> </w:t>
      </w:r>
      <w:r>
        <w:t>Za ocjenu procesa potrebno je vrijeme pa se na pitanje može odgovoriti tek nakon što se postigne znatan napredak u intervenciji u okviru PRR-a (u GIP-u koji se podnosi 2019.) ili nakon što se ona završi (</w:t>
      </w:r>
      <w:r w:rsidRPr="008126E6">
        <w:rPr>
          <w:i/>
        </w:rPr>
        <w:t>ex post</w:t>
      </w:r>
      <w:r>
        <w:t xml:space="preserve"> evaluacija). </w:t>
      </w:r>
    </w:p>
    <w:p w:rsidR="00A45935" w:rsidRPr="00E05D08" w:rsidRDefault="00A45935" w:rsidP="00E05D08">
      <w:pPr>
        <w:spacing w:after="120" w:line="280" w:lineRule="atLeast"/>
        <w:mirrorIndents/>
        <w:rPr>
          <w:rFonts w:eastAsia="Times New Roman" w:cs="Arial"/>
          <w:szCs w:val="20"/>
        </w:rPr>
      </w:pPr>
      <w:r>
        <w:t xml:space="preserve">EU zanima doprinos PRR-a inovacijama u potrebnoj mjeri, odnosno uspješni inovacijski procesi koji su doveli do relativno velikih promjena (npr. relativno veliki broj poljoprivrednika primjenjuje novu tehnologiju). Stoga je prvi korak u odgovaranju na ZEP br. 30 utvrđivanje velikih promjena za koje se tvrdi da im je pridonio PRR i kojima je doprinos barem u nekoj maloj mjeri ostvaren poticanjem inovacija. Te velike promjene mogu se utvrditi ocjenom pokazatelja učinka i prikupljanjem dodatnih informacija (npr. pregledom dokumentacije i razgovorima s dionicima nakon što se dobiju rezultati </w:t>
      </w:r>
      <w:r>
        <w:lastRenderedPageBreak/>
        <w:t xml:space="preserve">utvrđivanja inovacijskog potencijala, vidjeti poglavlje 2.2.). Ti će se nalazi upotrijebiti i za odgovaranje na druge ZEP-ove, ne samo ZEP br. 30 (ZEP-ovi br. 24 – 29). </w:t>
      </w:r>
    </w:p>
    <w:p w:rsidR="00A45935" w:rsidRPr="00E05D08" w:rsidRDefault="00A45935" w:rsidP="00E05D08">
      <w:pPr>
        <w:spacing w:after="120" w:line="280" w:lineRule="atLeast"/>
        <w:mirrorIndents/>
        <w:rPr>
          <w:rFonts w:eastAsia="Times New Roman" w:cs="Arial"/>
          <w:szCs w:val="20"/>
        </w:rPr>
      </w:pPr>
      <w:r>
        <w:t xml:space="preserve">A priori pretpostavka iz poglavlja 1.1. jest da mjere/podmjere PRR-a pridonose poticanju inovacija putem triju međusobno povezanih putanja (vidjeti </w:t>
      </w:r>
      <w:hyperlink w:anchor="Pathways" w:history="1">
        <w:r>
          <w:rPr>
            <w:rStyle w:val="Hyperlink"/>
            <w:sz w:val="20"/>
            <w:szCs w:val="20"/>
          </w:rPr>
          <w:t>sliku 1.</w:t>
        </w:r>
      </w:hyperlink>
      <w:r>
        <w:t xml:space="preserve">). Te su tri putanje vrijedne jer pomažu evaluatoru da protumači i bolje razumije inovacijski proces. Stoga se u ovim smjernicama predlažu tri potpitanja ZEP-a br. 30 koja odgovaraju tim putanjama: </w:t>
      </w:r>
    </w:p>
    <w:p w:rsidR="00A45935" w:rsidRPr="00BE70EE" w:rsidRDefault="00A45935" w:rsidP="000026C6">
      <w:pPr>
        <w:pStyle w:val="Hlistbullet"/>
      </w:pPr>
      <w:r>
        <w:t>U kojoj je mjeri PRR poticao inovaciju njegovanjem inovacijskog potencijala? (1. putanja)</w:t>
      </w:r>
    </w:p>
    <w:p w:rsidR="00A45935" w:rsidRPr="00BE70EE" w:rsidRDefault="00A45935" w:rsidP="000026C6">
      <w:pPr>
        <w:pStyle w:val="Hlistbullet"/>
      </w:pPr>
      <w:r>
        <w:t>U kojoj je mjeri PRR poticao inovaciju izgradnjom inovacijskog kapaciteta? (2. putanja)</w:t>
      </w:r>
    </w:p>
    <w:p w:rsidR="00A45935" w:rsidRPr="00BE70EE" w:rsidRDefault="00A45935" w:rsidP="000026C6">
      <w:pPr>
        <w:pStyle w:val="Hlistbullet"/>
      </w:pPr>
      <w:r>
        <w:t>U kojoj je mjeri PRR poticao inovaciju izgradnjom poticajnog okruženja za inovacije? (3. putanja)</w:t>
      </w:r>
    </w:p>
    <w:p w:rsidR="00A45935" w:rsidRPr="00E05D08" w:rsidRDefault="00A45935" w:rsidP="00690E70">
      <w:pPr>
        <w:spacing w:after="120" w:line="280" w:lineRule="atLeast"/>
        <w:mirrorIndents/>
        <w:rPr>
          <w:rFonts w:eastAsia="Times New Roman" w:cs="Arial"/>
          <w:szCs w:val="20"/>
        </w:rPr>
      </w:pPr>
      <w:r>
        <w:t xml:space="preserve">Važne su i interakcije među putanjama. Procesom suradničkog njegovanja inovacijskog potencijala (npr. razvoj i uvođenje nove tehnologije) gradi se inovacijski potencijal predmetnih pojedinaca i organizacija te samog inovacijskog sustava. Interakcije među putanjama treba uzeti u obzir pri odgovaranju na ta tri potpitanja i ZEP br.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Specifični izazovi </w:t>
      </w:r>
    </w:p>
    <w:p w:rsidR="00A45935" w:rsidRPr="00241663" w:rsidRDefault="00A45935" w:rsidP="000026C6">
      <w:pPr>
        <w:pStyle w:val="Hlistbullet"/>
      </w:pPr>
      <w:r>
        <w:t xml:space="preserve">Razvoj dodatnih evaluacijskih elemenata za odgovaranje na ZEP br. 30 (kriteriji prosudbe te kvalitativni i kvantitativni pokazatelji) </w:t>
      </w:r>
    </w:p>
    <w:p w:rsidR="00A45935" w:rsidRPr="00241663" w:rsidRDefault="00A45935" w:rsidP="000026C6">
      <w:pPr>
        <w:pStyle w:val="Hlistbullet"/>
      </w:pPr>
      <w:r>
        <w:t xml:space="preserve">Primjena evaluacijskih metoda koje omogućuju da se uočene promjene u svim trima putanjama inovacijskog sustava u ruralnim područjima pripišu intervencijama u okviru PRR-a </w:t>
      </w:r>
    </w:p>
    <w:p w:rsidR="00A45935" w:rsidRPr="00241663" w:rsidRDefault="00A45935" w:rsidP="000026C6">
      <w:pPr>
        <w:pStyle w:val="Hlistbullet"/>
      </w:pPr>
      <w:r>
        <w:t xml:space="preserve">Ocjena promjena do kojih je došlo zbog inovacija za koje je dodijeljena potpora u okviru PRR-a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Pristup predložen za odgovaranje na ZEP br.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Logika intervencije </w:t>
      </w:r>
    </w:p>
    <w:p w:rsidR="00A45935" w:rsidRDefault="00A45935" w:rsidP="00E05D08">
      <w:pPr>
        <w:spacing w:after="120" w:line="280" w:lineRule="atLeast"/>
        <w:mirrorIndents/>
        <w:rPr>
          <w:rFonts w:eastAsia="Times New Roman" w:cs="Arial"/>
          <w:szCs w:val="20"/>
        </w:rPr>
      </w:pPr>
      <w:r>
        <w:t>Pristup prema inovacijama koji se primjenjuje u PRR-u utvrđuje se pri izradi programa</w:t>
      </w:r>
      <w:r>
        <w:rPr>
          <w:rFonts w:eastAsia="Times New Roman" w:cs="Times New Roman"/>
          <w:szCs w:val="20"/>
          <w:vertAlign w:val="superscript"/>
          <w:lang w:eastAsia="de-DE"/>
        </w:rPr>
        <w:footnoteReference w:id="76"/>
      </w:r>
      <w:r>
        <w:t xml:space="preserve">. U analitičkoj provjeri inovacijskog potencijala mjera/podmjera PRR-a koja se provodi u fazi pripreme evaluacije analitički se provjerava i ispituje potencijal svih mjera/podmjera (ne samo M1, M2, M16, M19 i tehničke pomoći) za njegovanje ideja, izgradnju kapaciteta i stvaranje poticajnog okruženja. Stoga se očekuje da su sve mjere i podmjere PRR-a za koje je utvrđeno da imaju znatan inovacijski potencijal dio logike intervencije PRR-a povezane s inovacijama koja usmjerava provedbu PRR-a prema inovacijama. Evaluator upotrebljava tu logiku kao pomoć u obrazloženju načina na koji je PRR pridonio inovacijama (vidjeti </w:t>
      </w:r>
      <w:hyperlink w:anchor="Example_IL" w:history="1">
        <w:r>
          <w:rPr>
            <w:rStyle w:val="Hyperlink"/>
            <w:sz w:val="20"/>
            <w:szCs w:val="20"/>
          </w:rPr>
          <w:t>sliku 11.</w:t>
        </w:r>
      </w:hyperlink>
      <w:r>
        <w:t>).</w:t>
      </w:r>
    </w:p>
    <w:p w:rsidR="00A45935" w:rsidRPr="00916AB5" w:rsidRDefault="00BE1F31" w:rsidP="003A6C78">
      <w:pPr>
        <w:pStyle w:val="HHeadingfigures"/>
        <w:keepNext/>
        <w:ind w:hanging="357"/>
      </w:pPr>
      <w:bookmarkStart w:id="131" w:name="Example_IL"/>
      <w:bookmarkStart w:id="132" w:name="_Toc508981153"/>
      <w:bookmarkEnd w:id="131"/>
      <w:r>
        <w:lastRenderedPageBreak/>
        <w:t>Primjer logike intervencije za ZEP br. 30</w:t>
      </w:r>
      <w:bookmarkEnd w:id="132"/>
    </w:p>
    <w:p w:rsidR="00A45935" w:rsidRPr="00E05D08" w:rsidRDefault="003A6C78" w:rsidP="002C2C15">
      <w:pPr>
        <w:suppressAutoHyphens/>
        <w:spacing w:before="60" w:after="140" w:line="240" w:lineRule="auto"/>
        <w:mirrorIndents/>
        <w:jc w:val="center"/>
        <w:rPr>
          <w:rFonts w:eastAsia="Times New Roman" w:cs="Times New Roman"/>
          <w:i/>
          <w:noProof/>
          <w:sz w:val="16"/>
          <w:szCs w:val="20"/>
          <w:lang w:eastAsia="en-GB"/>
        </w:rPr>
      </w:pPr>
      <w:r w:rsidRPr="003A6C78">
        <w:rPr>
          <w:noProof/>
          <w:lang w:val="en-GB" w:eastAsia="en-GB"/>
        </w:rPr>
        <w:drawing>
          <wp:inline distT="0" distB="0" distL="0" distR="0" wp14:anchorId="7CC9AD6A" wp14:editId="600EC8E5">
            <wp:extent cx="5732145" cy="3039045"/>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32145" cy="3039045"/>
                    </a:xfrm>
                    <a:prstGeom prst="rect">
                      <a:avLst/>
                    </a:prstGeom>
                    <a:noFill/>
                    <a:ln>
                      <a:noFill/>
                    </a:ln>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Izvor: Europska služba za podršku evaluaciji ruralnog razvoja, 2017.</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08563829" wp14:editId="6EB5207C">
                <wp:extent cx="5732145" cy="2286000"/>
                <wp:effectExtent l="0" t="0" r="20955" b="19050"/>
                <wp:docPr id="560" name="Rectangle: Diagonal Corners Rounded 560"/>
                <wp:cNvGraphicFramePr/>
                <a:graphic xmlns:a="http://schemas.openxmlformats.org/drawingml/2006/main">
                  <a:graphicData uri="http://schemas.microsoft.com/office/word/2010/wordprocessingShape">
                    <wps:wsp>
                      <wps:cNvSpPr/>
                      <wps:spPr>
                        <a:xfrm>
                          <a:off x="0" y="0"/>
                          <a:ext cx="5732145" cy="2286000"/>
                        </a:xfrm>
                        <a:prstGeom prst="round2DiagRect">
                          <a:avLst>
                            <a:gd name="adj1" fmla="val 11556"/>
                            <a:gd name="adj2" fmla="val 0"/>
                          </a:avLst>
                        </a:prstGeom>
                        <a:noFill/>
                        <a:ln w="25400" cap="flat" cmpd="sng" algn="ctr">
                          <a:solidFill>
                            <a:srgbClr val="F07E31"/>
                          </a:solidFill>
                          <a:prstDash val="solid"/>
                        </a:ln>
                        <a:effectLst/>
                      </wps:spPr>
                      <wps:txbx>
                        <w:txbxContent>
                          <w:p w:rsidR="00FD4C56" w:rsidRPr="0079762F" w:rsidRDefault="00FD4C56"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U ovom primjeru očekuje se da mjere (krugovi) u okviru žarišnih područja (pravokutnika) inovacije potiču samostalno ili u kombinaciji s drugim mjerama na različite načine (tri putanje prikazane su piktogramima). Primjerice, očekuje se da mjere M16 i M2 programirane u okviru žarišnog područja 3.A (integracija primarnih proizvođača u lanac opskrbe hranom) i žarišnog područja 5.A (učinkovitost potrošnje vode) zajedno potiču inovacije putem svih triju putanja. U drugom se slučaju očekuje da obje mjere u okviru žarišnog područja 5.B u kombinaciji s mjerom M4 potiču inovacije suradničkom izgradnjom kapaciteta.  </w:t>
                            </w:r>
                          </w:p>
                          <w:p w:rsidR="00FD4C56" w:rsidRPr="00ED3BAD" w:rsidRDefault="00FD4C56" w:rsidP="00E05D08">
                            <w:pPr>
                              <w:pStyle w:val="HStandard"/>
                              <w:rPr>
                                <w:sz w:val="18"/>
                                <w:szCs w:val="18"/>
                              </w:rPr>
                            </w:pPr>
                            <w:r>
                              <w:rPr>
                                <w:sz w:val="18"/>
                              </w:rPr>
                              <w:t>Očekuje se da će mjere s inovacijskim potencijalom dovesti do ostvarenja koja proizvode rezultate u poticanju inovacija putem triju putanja i naposljetku utječu na postizanje ciljeva politike.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80pt;visibility:visible;mso-wrap-style:square;mso-left-percent:-10001;mso-top-percent:-10001;mso-position-horizontal:absolute;mso-position-horizontal-relative:char;mso-position-vertical:absolute;mso-position-vertical-relative:line;mso-left-percent:-10001;mso-top-percent:-10001;v-text-anchor:middle" coordsize="573214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" adj="-11796480,,5400" path="m264170,l5732145,r,l5732145,2021830v,145897,-118273,264170,-264170,264170l,2286000r,l,264170c,118273,118273,,264170,xe" filled="f" strokecolor="#f07e31" strokeweight="2pt">
                <v:stroke joinstyle="miter"/>
                <v:formulas/>
                <v:path arrowok="t" o:connecttype="custom" o:connectlocs="264170,0;5732145,0;5732145,0;5732145,2021830;5467975,2286000;0,2286000;0,2286000;0,264170;264170,0" o:connectangles="0,0,0,0,0,0,0,0,0" textboxrect="0,0,5732145,2286000"/>
                <v:textbox>
                  <w:txbxContent>
                    <w:p w:rsidR="00FD4C56" w:rsidRPr="0079762F" w:rsidRDefault="00FD4C56" w:rsidP="00E05D08">
                      <w:pPr>
                        <w:pStyle w:val="HStandard"/>
                        <w:rPr>
                          <w:rFonts w:cs="Arial"/>
                          <w:sz w:val="18"/>
                        </w:rPr>
                      </w:pPr>
                      <w:r>
                        <w:rPr>
                          <w:noProof/>
                          <w:sz w:val="18"/>
                          <w:szCs w:val="18"/>
                          <w:lang w:val="en-GB"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U ovom primjeru očekuje se da mjere (krugovi) u okviru žarišnih područja (pravokutnika) inovacije potiču samostalno ili u kombinaciji s drugim mjerama na različite načine (tri putanje prikazane su piktogramima). Primjerice, očekuje se da mjere M16 i M2 programirane u okviru žarišnog područja 3.A (integracija primarnih proizvođača u lanac opskrbe hranom) i žarišnog područja 5.A (učinkovitost potrošnje vode) zajedno potiču inovacije putem svih triju putanja. U drugom se slučaju očekuje da obje mjere u okviru žarišnog područja 5.B u kombinaciji s mjerom M4 potiču inovacije suradničkom izgradnjom kapaciteta.  </w:t>
                      </w:r>
                    </w:p>
                    <w:p w:rsidR="00FD4C56" w:rsidRPr="00ED3BAD" w:rsidRDefault="00FD4C56" w:rsidP="00E05D08">
                      <w:pPr>
                        <w:pStyle w:val="HStandard"/>
                        <w:rPr>
                          <w:sz w:val="18"/>
                          <w:szCs w:val="18"/>
                        </w:rPr>
                      </w:pPr>
                      <w:r>
                        <w:rPr>
                          <w:sz w:val="18"/>
                        </w:rPr>
                        <w:t>Očekuje se da će mjere s inovacijskim potencijalom dovesti do ostvarenja koja proizvode rezultate u poticanju inovacija putem triju putanja i naposljetku utječu na postizanje ciljeva politike.</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2"/>
          <w:headerReference w:type="first" r:id="rId93"/>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Budući da su inovacije složene i neočekivano nastaju, pretpostavlja se da se predviđeni inovacijski potencijal neće savršeno podudarati s intervencijama u okviru PRR-a koje su postigle određeni učinak. Stoga je u evaluaciji zadatak evaluatora da usporedi predviđeni inovacijski potencijal PRR-a sa stvarnim doprinosima promjeni.</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t xml:space="preserve">Evaluacijski elementi </w:t>
      </w:r>
    </w:p>
    <w:p w:rsidR="00A45935" w:rsidRPr="00E05D08" w:rsidRDefault="00A45935" w:rsidP="00E05D08">
      <w:pPr>
        <w:spacing w:after="120" w:line="280" w:lineRule="atLeast"/>
        <w:mirrorIndents/>
        <w:rPr>
          <w:rFonts w:eastAsia="Times New Roman" w:cs="Times New Roman"/>
          <w:szCs w:val="20"/>
        </w:rPr>
      </w:pPr>
      <w:r>
        <w:t xml:space="preserve">U radnom dokumentu </w:t>
      </w:r>
      <w:hyperlink r:id="rId94" w:history="1">
        <w:r>
          <w:rPr>
            <w:rStyle w:val="Hyperlink"/>
            <w:sz w:val="20"/>
            <w:szCs w:val="20"/>
          </w:rPr>
          <w:t>Zajednička evaluacijska pitanja za PRR-e za razdoblje 2014. – 2020.</w:t>
        </w:r>
      </w:hyperlink>
      <w:r>
        <w:t xml:space="preserve"> predlažu se jedan kriterij prosudbe (potaknute su inovacije u ruralnim područjima i sektorima) i jedan zajednički pokazatelj (T1 – rashodi povezani s člancima 14., 15. i 35.). Preporučuje se i prikupljanje dodatnih kvantitativnih i kvalitativnih informacija o inovacijama radi odgovaranja na ZEP br. 30. No tim se elementima ne mogu u potpunosti obuhvatiti doprinosi PRR-a poticanju inovacija. </w:t>
      </w:r>
    </w:p>
    <w:p w:rsidR="00A45935" w:rsidRPr="00E05D08" w:rsidRDefault="00A45935" w:rsidP="00E05D08">
      <w:pPr>
        <w:spacing w:after="120" w:line="280" w:lineRule="atLeast"/>
        <w:mirrorIndents/>
        <w:rPr>
          <w:rFonts w:eastAsia="Times New Roman" w:cs="Times New Roman"/>
          <w:szCs w:val="20"/>
        </w:rPr>
      </w:pPr>
      <w:r>
        <w:t xml:space="preserve">Stoga se u ovim smjernicama predlaže uporaba dodatnih evaluacijskih elemenata za odgovaranje na ZEP br. 30 (vidjeti </w:t>
      </w:r>
      <w:hyperlink w:anchor="CEQ_fostering" w:history="1">
        <w:r>
          <w:rPr>
            <w:rStyle w:val="Hyperlink"/>
            <w:sz w:val="20"/>
            <w:szCs w:val="20"/>
          </w:rPr>
          <w:t>tablicu 9.</w:t>
        </w:r>
      </w:hyperlink>
      <w:r>
        <w:t xml:space="preserve">). U slučaju ZEP-a br. 30 evaluacijski elementi povezani su s tri potpitanja koja odgovaraju trima putanjama inovacijskog procesa. Predloženi kriteriji prosudbe povezani su s obilježjima svake putanje, pa se može provjeriti je li se u provedbi mjera PRR-a određena putanja slijedila u mjeri utvrđenoj u analitičkoj provjeri inovacijskog potencijala. </w:t>
      </w:r>
    </w:p>
    <w:p w:rsidR="00A45935" w:rsidRPr="00E05D08" w:rsidRDefault="00A45935" w:rsidP="00E05D08">
      <w:pPr>
        <w:spacing w:after="120" w:line="280" w:lineRule="atLeast"/>
        <w:mirrorIndents/>
        <w:rPr>
          <w:rFonts w:eastAsia="Times New Roman" w:cs="Times New Roman"/>
          <w:szCs w:val="20"/>
        </w:rPr>
      </w:pPr>
      <w:r>
        <w:lastRenderedPageBreak/>
        <w:t xml:space="preserve">Za razliku od zajedničkih pokazatelja predloženi elementi nisu obvezujući, a dionici i države članice mogu razviti vlastite kriterije prosudbe i dodatne pokazatelje.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8981138"/>
      <w:bookmarkEnd w:id="133"/>
      <w:r>
        <w:rPr>
          <w:color w:val="6F6F6F"/>
          <w:sz w:val="18"/>
          <w:szCs w:val="18"/>
        </w:rPr>
        <w:lastRenderedPageBreak/>
        <w:t>Evaluacijski elementi povezani sa ZEP-om br. 30</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Evaluacijski elementi (potpitanja, kriteriji prosudbe i pokazatelji) koji su predloženi uz one preuzete iz radnog dokumenta </w:t>
      </w:r>
      <w:hyperlink r:id="rId95" w:history="1">
        <w:r>
          <w:rPr>
            <w:rStyle w:val="Hyperlink"/>
            <w:sz w:val="20"/>
            <w:szCs w:val="20"/>
          </w:rPr>
          <w:t>Zajednička evaluacijska pitanja za PRR-e za razdoblje 2014. – 2020.</w:t>
        </w:r>
      </w:hyperlink>
      <w:r>
        <w:t xml:space="preserve"> napisani su u kurzivu.</w:t>
      </w:r>
      <w:r>
        <w:rPr>
          <w:i/>
          <w:szCs w:val="20"/>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578"/>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Potpitanja</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Kriteriji prosudbe</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Pokazatelji rezultata</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Potrebni podatci i informacije</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Izvori podataka</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U kojoj je mjeri PRR poticao inovaciju njegovanjem inovacijskog potencijala (1. putanja)?</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Dodatni KP: donošenje inovativnih ideja, procesa, modela i/ili tehnologija koje su uvedene PRR-om</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T1: udio (%) rashoda nastalih na temelju članaka 14., 15. i 35. Uredbe (EU) br. 1305/2013 u ukupnim rashodima PRR-a </w:t>
            </w:r>
          </w:p>
          <w:p w:rsidR="001275FF" w:rsidRPr="00F86385" w:rsidRDefault="001275FF" w:rsidP="00F73706">
            <w:pPr>
              <w:spacing w:line="220" w:lineRule="atLeast"/>
              <w:jc w:val="left"/>
              <w:rPr>
                <w:rFonts w:cs="Arial"/>
                <w:sz w:val="18"/>
                <w:szCs w:val="16"/>
              </w:rPr>
            </w:pPr>
          </w:p>
          <w:p w:rsidR="00A45935" w:rsidRPr="00F86385"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Broj inovativnih aktivnosti koje su proveli i proširili OS-ovi EPI-ja, a za koje je dodijeljena potpora</w:t>
            </w:r>
          </w:p>
          <w:p w:rsidR="001275FF" w:rsidRPr="00F86385" w:rsidRDefault="001275FF" w:rsidP="00F73706">
            <w:pPr>
              <w:spacing w:line="220" w:lineRule="atLeast"/>
              <w:jc w:val="left"/>
              <w:rPr>
                <w:rFonts w:cs="Arial"/>
                <w:sz w:val="18"/>
                <w:szCs w:val="16"/>
              </w:rPr>
            </w:pPr>
          </w:p>
          <w:p w:rsidR="00A45935" w:rsidRPr="00F86385"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rPr>
              <w:t xml:space="preserve">Dodatni pokazatelj rezultata: opseg donošenja inovativnih ideja, procesa, modela i/ili tehnologija koje su uveli dionici </w:t>
            </w:r>
          </w:p>
        </w:tc>
        <w:tc>
          <w:tcPr>
            <w:tcW w:w="2715" w:type="dxa"/>
          </w:tcPr>
          <w:p w:rsidR="00A45935" w:rsidRPr="00385368" w:rsidRDefault="00A45935" w:rsidP="00F73706">
            <w:pPr>
              <w:spacing w:line="220" w:lineRule="atLeast"/>
              <w:jc w:val="left"/>
              <w:rPr>
                <w:rFonts w:cs="Arial"/>
                <w:sz w:val="18"/>
                <w:szCs w:val="16"/>
              </w:rPr>
            </w:pPr>
            <w:r>
              <w:rPr>
                <w:sz w:val="18"/>
                <w:szCs w:val="16"/>
              </w:rPr>
              <w:t>Podatci o rashodima za operacije provedene u okviru mjera M1, M2 i M16</w:t>
            </w: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 xml:space="preserve">Podatci o inovativnim aktivnostima koje je proveo OS EPI-ja </w:t>
            </w: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 xml:space="preserve">Podatci i informacije o stvorenim inovativnim idejama, modelima, tehnologijama </w:t>
            </w: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Sustav za praćenje PRR-a </w:t>
            </w: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Sustav za praćenje PRR-a i razgovori</w:t>
            </w: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F86385" w:rsidRDefault="00A45935" w:rsidP="00F73706">
            <w:pPr>
              <w:spacing w:line="220" w:lineRule="atLeast"/>
              <w:jc w:val="left"/>
              <w:rPr>
                <w:rFonts w:cs="Arial"/>
                <w:sz w:val="18"/>
                <w:szCs w:val="16"/>
                <w:lang w:val="pl-PL"/>
              </w:rPr>
            </w:pPr>
          </w:p>
          <w:p w:rsidR="00A45935" w:rsidRPr="00385368" w:rsidRDefault="00A45935" w:rsidP="00F73706">
            <w:pPr>
              <w:spacing w:line="220" w:lineRule="atLeast"/>
              <w:jc w:val="left"/>
              <w:rPr>
                <w:rFonts w:cs="Arial"/>
                <w:sz w:val="18"/>
                <w:szCs w:val="16"/>
              </w:rPr>
            </w:pPr>
            <w:r>
              <w:rPr>
                <w:sz w:val="18"/>
                <w:szCs w:val="16"/>
              </w:rPr>
              <w:t>Sustav za praćenje PRR-a te ankete i razgovori</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U kojoj je mjeri PRR poticao inovaciju izgradnjom inovacijskog kapaciteta (2. putanja)?</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Dodatni KP: funkcionalne poveznice među različitim vrstama subjekata koje su povećane PRR-om </w:t>
            </w:r>
          </w:p>
          <w:p w:rsidR="00A45935" w:rsidRPr="00F86385" w:rsidRDefault="00A45935" w:rsidP="00F73706">
            <w:pPr>
              <w:spacing w:line="220" w:lineRule="atLeast"/>
              <w:jc w:val="left"/>
              <w:rPr>
                <w:rFonts w:eastAsia="Calibri" w:cs="Arial"/>
                <w:i/>
                <w:sz w:val="18"/>
                <w:szCs w:val="16"/>
              </w:rPr>
            </w:pPr>
          </w:p>
          <w:p w:rsidR="00A45935" w:rsidRPr="00F86385" w:rsidRDefault="00A45935" w:rsidP="00F73706">
            <w:pPr>
              <w:spacing w:line="220" w:lineRule="atLeast"/>
              <w:jc w:val="left"/>
              <w:rPr>
                <w:rFonts w:eastAsia="Calibri" w:cs="Arial"/>
                <w:i/>
                <w:sz w:val="18"/>
                <w:szCs w:val="16"/>
              </w:rPr>
            </w:pPr>
          </w:p>
          <w:p w:rsidR="00A45935" w:rsidRPr="00F86385" w:rsidRDefault="00A45935" w:rsidP="00F73706">
            <w:pPr>
              <w:spacing w:line="220" w:lineRule="atLeast"/>
              <w:jc w:val="left"/>
              <w:rPr>
                <w:rFonts w:eastAsia="Calibri" w:cs="Arial"/>
                <w:i/>
                <w:sz w:val="18"/>
                <w:szCs w:val="16"/>
              </w:rPr>
            </w:pPr>
          </w:p>
          <w:p w:rsidR="00A45935" w:rsidRPr="00F86385" w:rsidRDefault="00A45935" w:rsidP="00F73706">
            <w:pPr>
              <w:spacing w:line="220" w:lineRule="atLeast"/>
              <w:jc w:val="left"/>
              <w:rPr>
                <w:rFonts w:eastAsia="Calibri" w:cs="Arial"/>
                <w:i/>
                <w:sz w:val="18"/>
                <w:szCs w:val="16"/>
              </w:rPr>
            </w:pPr>
          </w:p>
          <w:p w:rsidR="00A45935" w:rsidRPr="00F86385" w:rsidRDefault="00A45935" w:rsidP="00F73706">
            <w:pPr>
              <w:spacing w:line="220" w:lineRule="atLeast"/>
              <w:jc w:val="left"/>
              <w:rPr>
                <w:rFonts w:eastAsia="Calibri" w:cs="Arial"/>
                <w:i/>
                <w:sz w:val="18"/>
                <w:szCs w:val="16"/>
              </w:rPr>
            </w:pPr>
          </w:p>
          <w:p w:rsidR="00A45935" w:rsidRPr="00F86385"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Dodatni KP: stvorene su i ojačane platforme za učenje i druge vrste institucionalnog prostora koji omogućuje dijeljenje, raspravu i učenje</w:t>
            </w:r>
          </w:p>
          <w:p w:rsidR="00A45935" w:rsidRPr="00F86385"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lastRenderedPageBreak/>
              <w:t xml:space="preserve">Dodatni KP: poboljšan je protok informacija među raznolikim subjektima u inovacijskom sustavu u kojem je došlo do promjene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Dodatni pokazatelj rezultata:</w:t>
            </w:r>
            <w:r>
              <w:rPr>
                <w:i/>
                <w:color w:val="57825E"/>
                <w:sz w:val="18"/>
                <w:szCs w:val="16"/>
              </w:rPr>
              <w:t xml:space="preserve"> broj formalnih partnerstava sklopljenih uz posredovanje u okviru PRR-a u mjeri u kojoj su ona povezana s promjenama u prioritetima ruralnog razvoja kojima je PRR pridonio </w:t>
            </w:r>
          </w:p>
          <w:p w:rsidR="00A45935" w:rsidRPr="00F86385"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Povećanje (%) broja i vrsta partnera uključenih u projekte suradnje (radni dokument o ZEP-ovima za PRR-e za razdoblje 2014. – 2020.) </w:t>
            </w:r>
          </w:p>
          <w:p w:rsidR="00A45935" w:rsidRPr="00F86385"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Dodatni pokazatelj rezultata:</w:t>
            </w:r>
            <w:r>
              <w:rPr>
                <w:i/>
                <w:color w:val="57825E"/>
                <w:sz w:val="18"/>
                <w:szCs w:val="16"/>
              </w:rPr>
              <w:t xml:space="preserve"> broj i kvaliteta platforma i „prostora” kojima se podupiru inovacije, a koji su uspostavljeni ili ojačani u okviru PRR-</w:t>
            </w:r>
            <w:r>
              <w:rPr>
                <w:i/>
                <w:color w:val="57825E"/>
                <w:sz w:val="18"/>
                <w:szCs w:val="16"/>
              </w:rPr>
              <w:lastRenderedPageBreak/>
              <w:t xml:space="preserve">a, npr. zajednice prakse, inovacijske platforme, događaji održani radi rasprave i učenja </w:t>
            </w:r>
          </w:p>
          <w:p w:rsidR="00A45935" w:rsidRPr="00F86385" w:rsidRDefault="00A45935" w:rsidP="00F73706">
            <w:pPr>
              <w:spacing w:line="220" w:lineRule="atLeast"/>
              <w:jc w:val="left"/>
              <w:rPr>
                <w:rFonts w:eastAsia="Calibri" w:cs="Arial"/>
                <w:color w:val="57825E"/>
                <w:sz w:val="18"/>
                <w:szCs w:val="16"/>
              </w:rPr>
            </w:pPr>
          </w:p>
          <w:p w:rsidR="00560E46" w:rsidRPr="00F86385" w:rsidRDefault="00560E46" w:rsidP="00F73706">
            <w:pPr>
              <w:spacing w:line="220" w:lineRule="atLeast"/>
              <w:jc w:val="left"/>
              <w:rPr>
                <w:rFonts w:eastAsia="Calibri" w:cs="Arial"/>
                <w:color w:val="57825E"/>
                <w:sz w:val="18"/>
                <w:szCs w:val="16"/>
              </w:rPr>
            </w:pPr>
          </w:p>
          <w:p w:rsidR="00560E46" w:rsidRPr="00F86385"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Dodatni pokazatelj rezultata: </w:t>
            </w:r>
            <w:r>
              <w:rPr>
                <w:i/>
                <w:color w:val="57825E"/>
                <w:sz w:val="18"/>
                <w:szCs w:val="16"/>
              </w:rPr>
              <w:t xml:space="preserve">smanjenje prosječne duljine puta u mreži i raznolikosti mreže (mjere povezane s analizom društvenih mreža)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Informacije o formalnim odnosima</w:t>
            </w: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385368" w:rsidRDefault="00A45935" w:rsidP="00F73706">
            <w:pPr>
              <w:spacing w:line="220" w:lineRule="atLeast"/>
              <w:jc w:val="left"/>
              <w:rPr>
                <w:rFonts w:eastAsia="Calibri" w:cs="Arial"/>
                <w:sz w:val="18"/>
                <w:szCs w:val="16"/>
              </w:rPr>
            </w:pPr>
            <w:r>
              <w:rPr>
                <w:sz w:val="18"/>
                <w:szCs w:val="16"/>
              </w:rPr>
              <w:t xml:space="preserve">Podatci o broju i vrsti partnera uključenih u projekte suradnje </w:t>
            </w: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385368" w:rsidRDefault="00A45935" w:rsidP="00F73706">
            <w:pPr>
              <w:spacing w:line="220" w:lineRule="atLeast"/>
              <w:jc w:val="left"/>
              <w:rPr>
                <w:rFonts w:eastAsia="Calibri" w:cs="Arial"/>
                <w:sz w:val="18"/>
                <w:szCs w:val="16"/>
              </w:rPr>
            </w:pPr>
            <w:r>
              <w:rPr>
                <w:sz w:val="18"/>
                <w:szCs w:val="16"/>
              </w:rPr>
              <w:t>Informacije o platformama koje su uspostavljene u okviru PRR-a</w:t>
            </w: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560E46" w:rsidRPr="00F86385" w:rsidRDefault="00560E46" w:rsidP="00F73706">
            <w:pPr>
              <w:spacing w:line="220" w:lineRule="atLeast"/>
              <w:jc w:val="left"/>
              <w:rPr>
                <w:rFonts w:eastAsia="Calibri" w:cs="Arial"/>
                <w:sz w:val="18"/>
                <w:szCs w:val="16"/>
                <w:lang w:val="pl-PL"/>
              </w:rPr>
            </w:pPr>
          </w:p>
          <w:p w:rsidR="00560E46" w:rsidRPr="00F86385" w:rsidRDefault="00560E46" w:rsidP="00F73706">
            <w:pPr>
              <w:spacing w:line="220" w:lineRule="atLeast"/>
              <w:jc w:val="left"/>
              <w:rPr>
                <w:rFonts w:eastAsia="Calibri" w:cs="Arial"/>
                <w:sz w:val="18"/>
                <w:szCs w:val="16"/>
                <w:lang w:val="pl-PL"/>
              </w:rPr>
            </w:pPr>
          </w:p>
          <w:p w:rsidR="00A45935" w:rsidRPr="00E05D08" w:rsidRDefault="00A45935" w:rsidP="00560E46">
            <w:pPr>
              <w:spacing w:line="220" w:lineRule="atLeast"/>
              <w:jc w:val="left"/>
              <w:rPr>
                <w:rFonts w:eastAsia="Calibri" w:cs="Arial"/>
                <w:sz w:val="18"/>
                <w:szCs w:val="16"/>
              </w:rPr>
            </w:pPr>
            <w:r>
              <w:rPr>
                <w:sz w:val="18"/>
                <w:szCs w:val="16"/>
              </w:rPr>
              <w:t xml:space="preserve">Informacije o mrežama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Razgovori i fokusne skupine </w:t>
            </w: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Sustav za praćenje PRR-a</w:t>
            </w: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F86385"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Razgovori i fokusne skupine </w:t>
            </w: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A45935" w:rsidRPr="00F86385" w:rsidRDefault="00A45935" w:rsidP="00F73706">
            <w:pPr>
              <w:spacing w:line="220" w:lineRule="atLeast"/>
              <w:jc w:val="left"/>
              <w:rPr>
                <w:rFonts w:eastAsia="Calibri" w:cs="Arial"/>
                <w:sz w:val="18"/>
                <w:szCs w:val="16"/>
                <w:lang w:val="pl-PL"/>
              </w:rPr>
            </w:pPr>
          </w:p>
          <w:p w:rsidR="00560E46" w:rsidRPr="00F86385" w:rsidRDefault="00560E46" w:rsidP="00F73706">
            <w:pPr>
              <w:spacing w:line="220" w:lineRule="atLeast"/>
              <w:jc w:val="left"/>
              <w:rPr>
                <w:rFonts w:eastAsia="Calibri" w:cs="Arial"/>
                <w:sz w:val="18"/>
                <w:szCs w:val="16"/>
                <w:lang w:val="pl-PL"/>
              </w:rPr>
            </w:pPr>
          </w:p>
          <w:p w:rsidR="00560E46" w:rsidRPr="00F86385" w:rsidRDefault="00560E46" w:rsidP="00F73706">
            <w:pPr>
              <w:spacing w:line="220" w:lineRule="atLeast"/>
              <w:jc w:val="left"/>
              <w:rPr>
                <w:rFonts w:eastAsia="Calibri" w:cs="Arial"/>
                <w:sz w:val="18"/>
                <w:szCs w:val="16"/>
                <w:lang w:val="pl-PL"/>
              </w:rPr>
            </w:pPr>
          </w:p>
          <w:p w:rsidR="00A45935" w:rsidRPr="00385368" w:rsidRDefault="00A45935" w:rsidP="00560E46">
            <w:pPr>
              <w:spacing w:line="220" w:lineRule="atLeast"/>
              <w:jc w:val="left"/>
              <w:rPr>
                <w:rFonts w:eastAsia="Calibri" w:cs="Arial"/>
                <w:sz w:val="18"/>
                <w:szCs w:val="16"/>
              </w:rPr>
            </w:pPr>
            <w:r>
              <w:rPr>
                <w:sz w:val="18"/>
                <w:szCs w:val="16"/>
              </w:rPr>
              <w:t>Informacije iz SNA-a</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t>U kojoj je mjeri PRR poticao inovaciju izgradnjom poticajnog okruženja za inovacije (3. putanja)?</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Dodatni KP: PRR je poslužio kao pomoć u pripremi politika kojima se podupiru promjene kojima je PRR pridonio</w:t>
            </w:r>
          </w:p>
          <w:p w:rsidR="00A45935" w:rsidRPr="00F86385"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Dodatni KP: PRR je stvorio mogućnosti za osposobljavanje i razmjenu inovativnih praksi. </w:t>
            </w:r>
          </w:p>
          <w:p w:rsidR="00A45935" w:rsidRPr="00F86385"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Dodatni KP: PRR je omogućio interakcije među subjektima (nacionalnim/prekograničnim) radi poticanja inovacija. </w:t>
            </w:r>
          </w:p>
          <w:p w:rsidR="00A45935" w:rsidRPr="00F86385"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Dodatni KP: potpora u okviru PRR-a dodijeljena je novim tehnologijama u ruralnim područjima.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Dodatni pokazatelj rezultata:</w:t>
            </w:r>
            <w:r>
              <w:rPr>
                <w:i/>
                <w:color w:val="57825E"/>
                <w:sz w:val="18"/>
                <w:szCs w:val="16"/>
              </w:rPr>
              <w:t xml:space="preserve"> broj i vrsta politika na koje je PRR utjecao na razini uključenih organizacija i šireg poticajnog okruženja </w:t>
            </w:r>
          </w:p>
          <w:p w:rsidR="00A45935" w:rsidRPr="00F86385"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Dodatni pokazatelj rezultata:</w:t>
            </w:r>
            <w:r>
              <w:rPr>
                <w:i/>
                <w:color w:val="57825E"/>
                <w:sz w:val="18"/>
                <w:szCs w:val="16"/>
              </w:rPr>
              <w:t xml:space="preserve"> broj osposobljavanja i događaja razmjene inovativnih praksi te njihov udio u ukupnom broju osposobljavanja/događaja za koje je dodijeljena potpora u okviru PRR-a </w:t>
            </w:r>
          </w:p>
          <w:p w:rsidR="00A45935" w:rsidRPr="00F86385"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Dodatni pokazatelj rezultata:</w:t>
            </w:r>
            <w:r>
              <w:rPr>
                <w:i/>
                <w:color w:val="57825E"/>
                <w:sz w:val="18"/>
                <w:szCs w:val="16"/>
              </w:rPr>
              <w:t xml:space="preserve"> broj događaja usmjerenih na uspostavljanje kontakata među inovacijskim subjektima kojima je dodijeljena potpora u okviru PRR-a </w:t>
            </w:r>
          </w:p>
          <w:p w:rsidR="00A45935" w:rsidRPr="00F86385" w:rsidRDefault="00A45935" w:rsidP="00F73706">
            <w:pPr>
              <w:spacing w:line="220" w:lineRule="atLeast"/>
              <w:jc w:val="left"/>
              <w:rPr>
                <w:rFonts w:eastAsia="Calibri" w:cs="Arial"/>
                <w:i/>
                <w:color w:val="57825E"/>
                <w:sz w:val="18"/>
                <w:szCs w:val="16"/>
              </w:rPr>
            </w:pPr>
          </w:p>
          <w:p w:rsidR="00A45935" w:rsidRPr="00F86385" w:rsidRDefault="00A45935" w:rsidP="00F73706">
            <w:pPr>
              <w:spacing w:line="220" w:lineRule="atLeast"/>
              <w:jc w:val="left"/>
              <w:rPr>
                <w:rFonts w:eastAsia="Calibri" w:cs="Arial"/>
                <w:i/>
                <w:color w:val="57825E"/>
                <w:sz w:val="18"/>
                <w:szCs w:val="16"/>
              </w:rPr>
            </w:pPr>
          </w:p>
          <w:p w:rsidR="00560E46" w:rsidRPr="00F86385"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Dodatni pokazatelj rezultata:</w:t>
            </w:r>
            <w:r>
              <w:rPr>
                <w:i/>
                <w:color w:val="57825E"/>
                <w:sz w:val="18"/>
                <w:szCs w:val="16"/>
              </w:rPr>
              <w:t xml:space="preserve"> broj novih tehnologija u ruralnim područjima za koje je dodijeljena potpora u okviru PRR-a raščlanjenih po vrsti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Informacije o politikama </w:t>
            </w:r>
          </w:p>
          <w:p w:rsidR="00A45935" w:rsidRPr="00F86385" w:rsidRDefault="00A45935" w:rsidP="00560E46">
            <w:pPr>
              <w:spacing w:line="220" w:lineRule="atLeast"/>
              <w:jc w:val="left"/>
              <w:rPr>
                <w:rFonts w:eastAsia="Calibri" w:cs="Arial"/>
                <w:sz w:val="18"/>
                <w:szCs w:val="16"/>
                <w:lang w:val="pl-PL"/>
              </w:rPr>
            </w:pPr>
          </w:p>
          <w:p w:rsidR="00A45935" w:rsidRPr="00F86385" w:rsidRDefault="00A45935" w:rsidP="00560E46">
            <w:pPr>
              <w:spacing w:line="220" w:lineRule="atLeast"/>
              <w:jc w:val="left"/>
              <w:rPr>
                <w:rFonts w:eastAsia="Calibri" w:cs="Arial"/>
                <w:sz w:val="18"/>
                <w:szCs w:val="16"/>
                <w:lang w:val="pl-PL"/>
              </w:rPr>
            </w:pPr>
          </w:p>
          <w:p w:rsidR="00560E46" w:rsidRPr="00F86385" w:rsidRDefault="00560E46" w:rsidP="00560E46">
            <w:pPr>
              <w:spacing w:line="220" w:lineRule="atLeast"/>
              <w:jc w:val="left"/>
              <w:rPr>
                <w:rFonts w:eastAsia="Calibri" w:cs="Arial"/>
                <w:sz w:val="18"/>
                <w:szCs w:val="16"/>
                <w:lang w:val="pl-PL"/>
              </w:rPr>
            </w:pPr>
          </w:p>
          <w:p w:rsidR="00560E46" w:rsidRPr="00F86385" w:rsidRDefault="00560E46" w:rsidP="00560E46">
            <w:pPr>
              <w:spacing w:line="220" w:lineRule="atLeast"/>
              <w:jc w:val="left"/>
              <w:rPr>
                <w:rFonts w:eastAsia="Calibri" w:cs="Arial"/>
                <w:sz w:val="18"/>
                <w:szCs w:val="16"/>
                <w:lang w:val="pl-PL"/>
              </w:rPr>
            </w:pPr>
          </w:p>
          <w:p w:rsidR="00560E46" w:rsidRPr="00F86385" w:rsidRDefault="00560E46" w:rsidP="00560E46">
            <w:pPr>
              <w:spacing w:line="220" w:lineRule="atLeast"/>
              <w:jc w:val="left"/>
              <w:rPr>
                <w:rFonts w:eastAsia="Calibri" w:cs="Arial"/>
                <w:sz w:val="18"/>
                <w:szCs w:val="16"/>
                <w:lang w:val="pl-PL"/>
              </w:rPr>
            </w:pPr>
          </w:p>
          <w:p w:rsidR="00A45935" w:rsidRPr="00385368" w:rsidRDefault="00A45935" w:rsidP="00560E46">
            <w:pPr>
              <w:spacing w:line="220" w:lineRule="atLeast"/>
              <w:jc w:val="left"/>
              <w:rPr>
                <w:rFonts w:eastAsia="Calibri" w:cs="Arial"/>
                <w:sz w:val="18"/>
                <w:szCs w:val="16"/>
              </w:rPr>
            </w:pPr>
            <w:r>
              <w:rPr>
                <w:sz w:val="18"/>
                <w:szCs w:val="16"/>
              </w:rPr>
              <w:t>Informacije o osposobljavanjima i događajima</w:t>
            </w:r>
          </w:p>
          <w:p w:rsidR="00A45935" w:rsidRPr="00F86385" w:rsidRDefault="00A45935" w:rsidP="00560E46">
            <w:pPr>
              <w:spacing w:line="220" w:lineRule="atLeast"/>
              <w:jc w:val="left"/>
              <w:rPr>
                <w:rFonts w:eastAsia="Calibri" w:cs="Arial"/>
                <w:sz w:val="18"/>
                <w:szCs w:val="16"/>
                <w:lang w:val="pl-PL"/>
              </w:rPr>
            </w:pPr>
          </w:p>
          <w:p w:rsidR="00A45935" w:rsidRPr="00F86385" w:rsidRDefault="00A45935" w:rsidP="00560E46">
            <w:pPr>
              <w:spacing w:line="220" w:lineRule="atLeast"/>
              <w:jc w:val="left"/>
              <w:rPr>
                <w:rFonts w:eastAsia="Calibri" w:cs="Arial"/>
                <w:sz w:val="18"/>
                <w:szCs w:val="16"/>
                <w:lang w:val="pl-PL"/>
              </w:rPr>
            </w:pPr>
          </w:p>
          <w:p w:rsidR="00A45935" w:rsidRPr="00F86385" w:rsidRDefault="00A45935" w:rsidP="00560E46">
            <w:pPr>
              <w:spacing w:line="220" w:lineRule="atLeast"/>
              <w:jc w:val="left"/>
              <w:rPr>
                <w:rFonts w:eastAsia="Calibri" w:cs="Arial"/>
                <w:sz w:val="18"/>
                <w:szCs w:val="16"/>
                <w:lang w:val="pl-PL"/>
              </w:rPr>
            </w:pPr>
          </w:p>
          <w:p w:rsidR="00A45935" w:rsidRPr="00F86385" w:rsidRDefault="00A45935" w:rsidP="00560E46">
            <w:pPr>
              <w:spacing w:line="220" w:lineRule="atLeast"/>
              <w:jc w:val="left"/>
              <w:rPr>
                <w:rFonts w:eastAsia="Calibri" w:cs="Arial"/>
                <w:sz w:val="18"/>
                <w:szCs w:val="16"/>
                <w:lang w:val="pl-PL"/>
              </w:rPr>
            </w:pPr>
          </w:p>
          <w:p w:rsidR="00A45935" w:rsidRPr="00E05D08" w:rsidRDefault="00A45935" w:rsidP="00560E46">
            <w:pPr>
              <w:spacing w:line="220" w:lineRule="atLeast"/>
              <w:jc w:val="left"/>
              <w:rPr>
                <w:rFonts w:eastAsia="Calibri" w:cs="Arial"/>
                <w:sz w:val="18"/>
                <w:szCs w:val="16"/>
              </w:rPr>
            </w:pPr>
            <w:r>
              <w:rPr>
                <w:sz w:val="18"/>
                <w:szCs w:val="16"/>
              </w:rPr>
              <w:t xml:space="preserve">Informacije o novim tehnologijama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Razgovori i fokusne skupine (npr. prikupljanje podataka o ostvarenjima) </w:t>
            </w:r>
          </w:p>
          <w:p w:rsidR="00A45935" w:rsidRPr="00F86385" w:rsidRDefault="00A45935" w:rsidP="00560E46">
            <w:pPr>
              <w:spacing w:line="220" w:lineRule="atLeast"/>
              <w:jc w:val="left"/>
              <w:rPr>
                <w:rFonts w:eastAsia="Calibri" w:cs="Arial"/>
                <w:sz w:val="18"/>
                <w:szCs w:val="18"/>
              </w:rPr>
            </w:pPr>
          </w:p>
          <w:p w:rsidR="00A45935" w:rsidRPr="00F86385" w:rsidRDefault="00A45935" w:rsidP="00560E46">
            <w:pPr>
              <w:spacing w:line="220" w:lineRule="atLeast"/>
              <w:jc w:val="left"/>
              <w:rPr>
                <w:rFonts w:eastAsia="Calibri" w:cs="Arial"/>
                <w:sz w:val="18"/>
                <w:szCs w:val="18"/>
              </w:rPr>
            </w:pPr>
          </w:p>
          <w:p w:rsidR="00560E46" w:rsidRPr="00F86385" w:rsidRDefault="00560E46" w:rsidP="00560E46">
            <w:pPr>
              <w:spacing w:line="220" w:lineRule="atLeast"/>
              <w:jc w:val="left"/>
              <w:rPr>
                <w:rFonts w:eastAsia="Calibri" w:cs="Arial"/>
                <w:sz w:val="18"/>
                <w:szCs w:val="18"/>
              </w:rPr>
            </w:pPr>
          </w:p>
          <w:p w:rsidR="00560E46" w:rsidRPr="00F86385"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Sustav za praćenje PRR-a</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Predložena evaluacijska metodologija</w:t>
      </w:r>
    </w:p>
    <w:p w:rsidR="00A45935" w:rsidRPr="00E05D08" w:rsidRDefault="00A45935" w:rsidP="00E05D08">
      <w:pPr>
        <w:spacing w:after="120" w:line="280" w:lineRule="atLeast"/>
        <w:mirrorIndents/>
        <w:rPr>
          <w:rFonts w:eastAsia="Times New Roman" w:cs="Arial"/>
          <w:szCs w:val="20"/>
        </w:rPr>
      </w:pPr>
      <w:r>
        <w:t>Evaluacijska metoda koja se predlaže za odgovaranje na ZEP br. 30 jest metoda studije slučaja. Evaluatorima se predlaže da slijede sljedeće korake za provedbu ocjene:</w:t>
      </w:r>
    </w:p>
    <w:p w:rsidR="00A45935" w:rsidRDefault="00A45935" w:rsidP="000026C6">
      <w:pPr>
        <w:pStyle w:val="Hlistbullet"/>
      </w:pPr>
      <w:r w:rsidRPr="003A6C78">
        <w:rPr>
          <w:b/>
        </w:rPr>
        <w:t>1. KORAK</w:t>
      </w:r>
      <w:r>
        <w:t xml:space="preserve"> – utvrđivanje znatnih promjena za koje se može utvrditi da im je PRR pridonio poticanjem inovacija putem jedne ili više od triju putanja. To se može učiniti razmatranjem odgovora na ZEP-ove br. 22. – 29. (ZEP povezan s ciljevima EU-a za 2020. i općim ciljevima ZPP-a), razgovorima s osobljem i/ili pregledom projektne dokumentacije. Primjerice, može se tvrditi da je PRR pridonio znatnoj promjeni u profitabilnosti poljoprivrednih gospodarstava razvojem novog poljoprivrednog stroja koji je potom prihvatio i upotrebljava veliki broj poljoprivrednika. Pri traženju znatnih promjena trebaju se uzeti u obzir predviđanja o vjerojatnoj primjeni kada se na početku programa utvrdilo da postoji inovacijski potencijal.</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79AB952F" wp14:editId="6467B5CE">
                <wp:extent cx="5374005" cy="336232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362325"/>
                        </a:xfrm>
                        <a:prstGeom prst="round2DiagRect">
                          <a:avLst>
                            <a:gd name="adj1" fmla="val 3961"/>
                            <a:gd name="adj2" fmla="val 0"/>
                          </a:avLst>
                        </a:prstGeom>
                        <a:noFill/>
                        <a:ln w="25400" cap="flat" cmpd="sng" algn="ctr">
                          <a:solidFill>
                            <a:srgbClr val="F07E31"/>
                          </a:solidFill>
                          <a:prstDash val="solid"/>
                        </a:ln>
                        <a:effectLst/>
                      </wps:spPr>
                      <wps:txbx>
                        <w:txbxContent>
                          <w:p w:rsidR="00FD4C56" w:rsidRPr="00253803" w:rsidRDefault="00FD4C56"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rPr>
                              <w:t>Tematska mreža za poljoprivredu velike prirodne vrijednosti</w:t>
                            </w:r>
                          </w:p>
                          <w:p w:rsidR="00FD4C56" w:rsidRPr="00253803" w:rsidRDefault="00FD4C56" w:rsidP="00320AA0">
                            <w:pPr>
                              <w:spacing w:line="280" w:lineRule="atLeast"/>
                              <w:rPr>
                                <w:rFonts w:cs="Arial"/>
                                <w:sz w:val="18"/>
                                <w:szCs w:val="18"/>
                              </w:rPr>
                            </w:pPr>
                            <w:r>
                              <w:rPr>
                                <w:sz w:val="18"/>
                                <w:szCs w:val="18"/>
                              </w:rPr>
                              <w:t>U okviru istraživačkog projekta Obzora 2020.: „</w:t>
                            </w:r>
                            <w:hyperlink r:id="rId96" w:history="1">
                              <w:r>
                                <w:rPr>
                                  <w:rStyle w:val="Hyperlink"/>
                                  <w:sz w:val="18"/>
                                  <w:szCs w:val="18"/>
                                </w:rPr>
                                <w:t>HNV link</w:t>
                              </w:r>
                            </w:hyperlink>
                            <w:r>
                              <w:rPr>
                                <w:rStyle w:val="Hyperlink"/>
                              </w:rPr>
                              <w:t>”</w:t>
                            </w:r>
                            <w:r>
                              <w:rPr>
                                <w:sz w:val="18"/>
                                <w:szCs w:val="18"/>
                              </w:rPr>
                              <w:t xml:space="preserve"> tim istraživača razvio je okvir za ocjenu kako bi obavio početnu analizu stanja područja velike prirodne vrijednosti (HNV) kojima bi inovacije mogle pridonijeti. Ta početna ocjena obuhvaća analizu nekoliko obilježja povezanih s: </w:t>
                            </w:r>
                          </w:p>
                          <w:p w:rsidR="00FD4C56" w:rsidRPr="00253803" w:rsidRDefault="00FD4C56" w:rsidP="00320AA0">
                            <w:pPr>
                              <w:numPr>
                                <w:ilvl w:val="0"/>
                                <w:numId w:val="63"/>
                              </w:numPr>
                              <w:ind w:left="567" w:hanging="567"/>
                              <w:contextualSpacing/>
                              <w:rPr>
                                <w:rFonts w:cs="Arial"/>
                                <w:sz w:val="18"/>
                                <w:szCs w:val="18"/>
                              </w:rPr>
                            </w:pPr>
                            <w:r>
                              <w:rPr>
                                <w:sz w:val="18"/>
                                <w:szCs w:val="18"/>
                              </w:rPr>
                              <w:t>poljoprivrednim ekosustavom (pedološki, klimatski i reljefni uvjeti);</w:t>
                            </w:r>
                          </w:p>
                          <w:p w:rsidR="00FD4C56" w:rsidRPr="00253803" w:rsidRDefault="00FD4C56" w:rsidP="00320AA0">
                            <w:pPr>
                              <w:numPr>
                                <w:ilvl w:val="0"/>
                                <w:numId w:val="63"/>
                              </w:numPr>
                              <w:ind w:left="567" w:hanging="567"/>
                              <w:contextualSpacing/>
                              <w:rPr>
                                <w:rFonts w:cs="Arial"/>
                                <w:sz w:val="18"/>
                                <w:szCs w:val="18"/>
                              </w:rPr>
                            </w:pPr>
                            <w:r>
                              <w:rPr>
                                <w:sz w:val="18"/>
                                <w:szCs w:val="18"/>
                              </w:rPr>
                              <w:t>poljoprivrednim sustavima i njihovom dinamikom u agrarnim sustavima;</w:t>
                            </w:r>
                          </w:p>
                          <w:p w:rsidR="00FD4C56" w:rsidRPr="00253803" w:rsidRDefault="00FD4C56" w:rsidP="00320AA0">
                            <w:pPr>
                              <w:numPr>
                                <w:ilvl w:val="0"/>
                                <w:numId w:val="63"/>
                              </w:numPr>
                              <w:ind w:left="567" w:hanging="567"/>
                              <w:contextualSpacing/>
                              <w:rPr>
                                <w:rFonts w:cs="Arial"/>
                                <w:sz w:val="18"/>
                                <w:szCs w:val="18"/>
                              </w:rPr>
                            </w:pPr>
                            <w:r>
                              <w:rPr>
                                <w:sz w:val="18"/>
                                <w:szCs w:val="18"/>
                              </w:rPr>
                              <w:t xml:space="preserve">ruralnim kontekstom i širim pokretačkim silama (politike, tehnologije, društvene promjene); </w:t>
                            </w:r>
                          </w:p>
                          <w:p w:rsidR="00FD4C56" w:rsidRPr="00253803" w:rsidRDefault="00FD4C56" w:rsidP="00320AA0">
                            <w:pPr>
                              <w:numPr>
                                <w:ilvl w:val="0"/>
                                <w:numId w:val="63"/>
                              </w:numPr>
                              <w:ind w:left="567" w:hanging="567"/>
                              <w:contextualSpacing/>
                              <w:rPr>
                                <w:rFonts w:cs="Arial"/>
                                <w:sz w:val="18"/>
                                <w:szCs w:val="18"/>
                              </w:rPr>
                            </w:pPr>
                            <w:r>
                              <w:rPr>
                                <w:sz w:val="18"/>
                                <w:szCs w:val="18"/>
                              </w:rPr>
                              <w:t>horizontalnim pitanjima (subjekti i društvena organizacija).</w:t>
                            </w:r>
                          </w:p>
                          <w:p w:rsidR="00FD4C56" w:rsidRPr="000E5745" w:rsidRDefault="00FD4C56" w:rsidP="00320AA0">
                            <w:pPr>
                              <w:pStyle w:val="Hlistbullet"/>
                              <w:numPr>
                                <w:ilvl w:val="0"/>
                                <w:numId w:val="0"/>
                              </w:numPr>
                              <w:rPr>
                                <w:sz w:val="18"/>
                                <w:szCs w:val="18"/>
                              </w:rPr>
                            </w:pPr>
                            <w:r>
                              <w:rPr>
                                <w:sz w:val="18"/>
                                <w:szCs w:val="18"/>
                              </w:rPr>
                              <w:t xml:space="preserve">Različite su se metode kombinirale kako bi se izgradila početna slika stanja: 1. ocjena poljoprivrednog ekosustava, 2. analiza agrarnih i poljoprivrednih sustava, 3. analiza ruralnog sustava, 4. analiza subjekata. Ta metodologija pomaže u izgradnji slike protučinjeničnog stanja koja služi za ocjenjivanje samog procesa i učinaka inovacija koje se odvijaju u područjima HNV-a. Primjer primjene te metodologije može se pronaći u sljedećem dokumentu: </w:t>
                            </w:r>
                            <w:hyperlink r:id="rId97"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64.75pt;visibility:visible;mso-wrap-style:square;mso-left-percent:-10001;mso-top-percent:-10001;mso-position-horizontal:absolute;mso-position-horizontal-relative:char;mso-position-vertical:absolute;mso-position-vertical-relative:line;mso-left-percent:-10001;mso-top-percent:-10001;v-text-anchor:middle" coordsize="5374005,3362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" adj="-11796480,,5400" path="m133182,l5374005,r,l5374005,3229143v,73554,-59628,133182,-133182,133182l,3362325r,l,133182c,59628,59628,,133182,xe" filled="f" strokecolor="#f07e31" strokeweight="2pt">
                <v:stroke joinstyle="miter"/>
                <v:formulas/>
                <v:path arrowok="t" o:connecttype="custom" o:connectlocs="133182,0;5374005,0;5374005,0;5374005,3229143;5240823,3362325;0,3362325;0,3362325;0,133182;133182,0" o:connectangles="0,0,0,0,0,0,0,0,0" textboxrect="0,0,5374005,3362325"/>
                <v:textbox>
                  <w:txbxContent>
                    <w:p w:rsidR="00FD4C56" w:rsidRPr="00253803" w:rsidRDefault="00FD4C56" w:rsidP="00320AA0">
                      <w:pPr>
                        <w:ind w:left="567" w:hanging="567"/>
                        <w:rPr>
                          <w:rFonts w:cs="Arial"/>
                          <w:color w:val="F07E31"/>
                          <w:sz w:val="18"/>
                          <w:szCs w:val="18"/>
                        </w:rPr>
                      </w:pPr>
                      <w:r>
                        <w:rPr>
                          <w:noProof/>
                          <w:szCs w:val="18"/>
                          <w:lang w:val="en-GB"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rPr>
                        <w:t>Tematska mreža za poljoprivredu velike prirodne vrijednosti</w:t>
                      </w:r>
                    </w:p>
                    <w:p w:rsidR="00FD4C56" w:rsidRPr="00253803" w:rsidRDefault="00FD4C56" w:rsidP="00320AA0">
                      <w:pPr>
                        <w:spacing w:line="280" w:lineRule="atLeast"/>
                        <w:rPr>
                          <w:rFonts w:cs="Arial"/>
                          <w:sz w:val="18"/>
                          <w:szCs w:val="18"/>
                        </w:rPr>
                      </w:pPr>
                      <w:r>
                        <w:rPr>
                          <w:sz w:val="18"/>
                          <w:szCs w:val="18"/>
                        </w:rPr>
                        <w:t>U okviru istraživačkog projekta Obzora 2020.: „</w:t>
                      </w:r>
                      <w:hyperlink r:id="rId98" w:history="1">
                        <w:r>
                          <w:rPr>
                            <w:rStyle w:val="Hyperlink"/>
                            <w:sz w:val="18"/>
                            <w:szCs w:val="18"/>
                          </w:rPr>
                          <w:t>HNV link</w:t>
                        </w:r>
                      </w:hyperlink>
                      <w:r>
                        <w:rPr>
                          <w:rStyle w:val="Hyperlink"/>
                        </w:rPr>
                        <w:t>”</w:t>
                      </w:r>
                      <w:r>
                        <w:rPr>
                          <w:sz w:val="18"/>
                          <w:szCs w:val="18"/>
                        </w:rPr>
                        <w:t xml:space="preserve"> tim istraživača razvio je okvir za ocjenu kako bi obavio početnu analizu stanja područja velike prirodne vrijednosti (HNV) kojima bi inovacije mogle pridonijeti. Ta početna ocjena obuhvaća analizu nekoliko obilježja povezanih s: </w:t>
                      </w:r>
                    </w:p>
                    <w:p w:rsidR="00FD4C56" w:rsidRPr="00253803" w:rsidRDefault="00FD4C56" w:rsidP="00320AA0">
                      <w:pPr>
                        <w:numPr>
                          <w:ilvl w:val="0"/>
                          <w:numId w:val="63"/>
                        </w:numPr>
                        <w:ind w:left="567" w:hanging="567"/>
                        <w:contextualSpacing/>
                        <w:rPr>
                          <w:rFonts w:cs="Arial"/>
                          <w:sz w:val="18"/>
                          <w:szCs w:val="18"/>
                        </w:rPr>
                      </w:pPr>
                      <w:r>
                        <w:rPr>
                          <w:sz w:val="18"/>
                          <w:szCs w:val="18"/>
                        </w:rPr>
                        <w:t>poljoprivrednim ekosustavom (pedološki, klimatski i reljefni uvjeti);</w:t>
                      </w:r>
                    </w:p>
                    <w:p w:rsidR="00FD4C56" w:rsidRPr="00253803" w:rsidRDefault="00FD4C56" w:rsidP="00320AA0">
                      <w:pPr>
                        <w:numPr>
                          <w:ilvl w:val="0"/>
                          <w:numId w:val="63"/>
                        </w:numPr>
                        <w:ind w:left="567" w:hanging="567"/>
                        <w:contextualSpacing/>
                        <w:rPr>
                          <w:rFonts w:cs="Arial"/>
                          <w:sz w:val="18"/>
                          <w:szCs w:val="18"/>
                        </w:rPr>
                      </w:pPr>
                      <w:r>
                        <w:rPr>
                          <w:sz w:val="18"/>
                          <w:szCs w:val="18"/>
                        </w:rPr>
                        <w:t>poljoprivrednim sustavima i njihovom dinamikom u agrarnim sustavima;</w:t>
                      </w:r>
                    </w:p>
                    <w:p w:rsidR="00FD4C56" w:rsidRPr="00253803" w:rsidRDefault="00FD4C56" w:rsidP="00320AA0">
                      <w:pPr>
                        <w:numPr>
                          <w:ilvl w:val="0"/>
                          <w:numId w:val="63"/>
                        </w:numPr>
                        <w:ind w:left="567" w:hanging="567"/>
                        <w:contextualSpacing/>
                        <w:rPr>
                          <w:rFonts w:cs="Arial"/>
                          <w:sz w:val="18"/>
                          <w:szCs w:val="18"/>
                        </w:rPr>
                      </w:pPr>
                      <w:r>
                        <w:rPr>
                          <w:sz w:val="18"/>
                          <w:szCs w:val="18"/>
                        </w:rPr>
                        <w:t xml:space="preserve">ruralnim kontekstom i širim pokretačkim silama (politike, tehnologije, društvene promjene); </w:t>
                      </w:r>
                    </w:p>
                    <w:p w:rsidR="00FD4C56" w:rsidRPr="00253803" w:rsidRDefault="00FD4C56" w:rsidP="00320AA0">
                      <w:pPr>
                        <w:numPr>
                          <w:ilvl w:val="0"/>
                          <w:numId w:val="63"/>
                        </w:numPr>
                        <w:ind w:left="567" w:hanging="567"/>
                        <w:contextualSpacing/>
                        <w:rPr>
                          <w:rFonts w:cs="Arial"/>
                          <w:sz w:val="18"/>
                          <w:szCs w:val="18"/>
                        </w:rPr>
                      </w:pPr>
                      <w:r>
                        <w:rPr>
                          <w:sz w:val="18"/>
                          <w:szCs w:val="18"/>
                        </w:rPr>
                        <w:t>horizontalnim pitanjima (subjekti i društvena organizacija).</w:t>
                      </w:r>
                    </w:p>
                    <w:p w:rsidR="00FD4C56" w:rsidRPr="000E5745" w:rsidRDefault="00FD4C56" w:rsidP="00320AA0">
                      <w:pPr>
                        <w:pStyle w:val="Hlistbullet"/>
                        <w:numPr>
                          <w:ilvl w:val="0"/>
                          <w:numId w:val="0"/>
                        </w:numPr>
                        <w:rPr>
                          <w:sz w:val="18"/>
                          <w:szCs w:val="18"/>
                        </w:rPr>
                      </w:pPr>
                      <w:r>
                        <w:rPr>
                          <w:sz w:val="18"/>
                          <w:szCs w:val="18"/>
                        </w:rPr>
                        <w:t xml:space="preserve">Različite su se metode kombinirale kako bi se izgradila početna slika stanja: 1. ocjena poljoprivrednog ekosustava, 2. analiza agrarnih i poljoprivrednih sustava, 3. analiza ruralnog sustava, 4. analiza subjekata. Ta metodologija pomaže u izgradnji slike protučinjeničnog stanja koja služi za ocjenjivanje samog procesa i učinaka inovacija koje se odvijaju u područjima HNV-a. Primjer primjene te metodologije može se pronaći u sljedećem dokumentu: </w:t>
                      </w:r>
                      <w:hyperlink r:id="rId99" w:history="1">
                        <w:r>
                          <w:rPr>
                            <w:rStyle w:val="Hyperlink"/>
                            <w:sz w:val="18"/>
                            <w:szCs w:val="18"/>
                          </w:rPr>
                          <w:t>http://www.hnvlink.eu/download/D1.3BAcomplete.pdf</w:t>
                        </w:r>
                      </w:hyperlink>
                    </w:p>
                  </w:txbxContent>
                </v:textbox>
                <w10:anchorlock/>
              </v:shape>
            </w:pict>
          </mc:Fallback>
        </mc:AlternateContent>
      </w:r>
    </w:p>
    <w:p w:rsidR="00A45935" w:rsidRPr="00F74623" w:rsidRDefault="00CC3E5D" w:rsidP="000026C6">
      <w:pPr>
        <w:pStyle w:val="Hlistbullet"/>
      </w:pPr>
      <w:r>
        <w:rPr>
          <w:noProof/>
          <w:highlight w:val="yellow"/>
          <w:lang w:val="en-GB" w:eastAsia="en-GB"/>
        </w:rPr>
        <mc:AlternateContent>
          <mc:Choice Requires="wps">
            <w:drawing>
              <wp:anchor distT="0" distB="0" distL="114300" distR="114300" simplePos="0" relativeHeight="251663360" behindDoc="0" locked="0" layoutInCell="1" allowOverlap="1" wp14:anchorId="35AC199A" wp14:editId="2CE2347D">
                <wp:simplePos x="0" y="0"/>
                <wp:positionH relativeFrom="column">
                  <wp:posOffset>266700</wp:posOffset>
                </wp:positionH>
                <wp:positionV relativeFrom="paragraph">
                  <wp:posOffset>527050</wp:posOffset>
                </wp:positionV>
                <wp:extent cx="5414645" cy="254317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543175"/>
                        </a:xfrm>
                        <a:prstGeom prst="round2DiagRect">
                          <a:avLst>
                            <a:gd name="adj1" fmla="val 7843"/>
                            <a:gd name="adj2" fmla="val 0"/>
                          </a:avLst>
                        </a:prstGeom>
                        <a:noFill/>
                        <a:ln w="25400" cap="flat" cmpd="sng" algn="ctr">
                          <a:solidFill>
                            <a:srgbClr val="BE4A35"/>
                          </a:solidFill>
                          <a:prstDash val="solid"/>
                        </a:ln>
                        <a:effectLst/>
                      </wps:spPr>
                      <wps:txbx>
                        <w:txbxContent>
                          <w:p w:rsidR="00FD4C56" w:rsidRPr="003D7EC4" w:rsidRDefault="00FD4C56"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Evaluacija usvajanja inovativnih ideja, procesa, modela i/ili tehnologija koje su uvedene PRR-om može se provesti </w:t>
                            </w:r>
                            <w:r>
                              <w:rPr>
                                <w:b/>
                                <w:sz w:val="18"/>
                              </w:rPr>
                              <w:t>anketama</w:t>
                            </w:r>
                            <w:r>
                              <w:rPr>
                                <w:sz w:val="18"/>
                              </w:rPr>
                              <w:t xml:space="preserve"> kojima se mjeri razina i opseg usvajanja noviteta i utvrđuje izvor noviteta. Trebalo bi:</w:t>
                            </w:r>
                          </w:p>
                          <w:p w:rsidR="00FD4C56" w:rsidRPr="003D7EC4" w:rsidRDefault="00FD4C56" w:rsidP="008C0B17">
                            <w:pPr>
                              <w:pStyle w:val="HStandard"/>
                              <w:numPr>
                                <w:ilvl w:val="3"/>
                                <w:numId w:val="43"/>
                              </w:numPr>
                            </w:pPr>
                            <w:r>
                              <w:rPr>
                                <w:sz w:val="18"/>
                              </w:rPr>
                              <w:t>u ankete uključiti subjekte koji su usvojili novitet, ali i one koji to nisu učinili te bi se njima trebalo nastojati: a) shvatiti razloge za neusvajanje i b) utvrditi postoje li alternativni načini rješavanja problema koji se rješava novitetom;</w:t>
                            </w:r>
                          </w:p>
                          <w:p w:rsidR="00FD4C56" w:rsidRPr="000E5745" w:rsidRDefault="00FD4C56" w:rsidP="008C0B17">
                            <w:pPr>
                              <w:pStyle w:val="HStandard"/>
                              <w:numPr>
                                <w:ilvl w:val="3"/>
                                <w:numId w:val="43"/>
                              </w:numPr>
                            </w:pPr>
                            <w:r>
                              <w:t xml:space="preserve">izračunati točan broj subjekata koji jesu i subjekata koji nisu usvojili novu ideju u područjima u kojima je poznato da je došlo do usvajanja i u područjima za koja je pri ocjeni inovacijskog potencijala utvrđeno da su obećavajuća (vidjeti </w:t>
                            </w:r>
                            <w:hyperlink w:anchor="Screening_Potential" w:history="1">
                              <w:r>
                                <w:rPr>
                                  <w:rStyle w:val="Hyperlink"/>
                                  <w:sz w:val="18"/>
                                </w:rPr>
                                <w:t>poglavlje 2.2.</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21pt;margin-top:41.5pt;width:426.35pt;height:20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543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" adj="-11796480,,5400" path="m199461,l5414645,r,l5414645,2343714v,110159,-89302,199461,-199461,199461l,2543175r,l,199461c,89302,89302,,199461,xe" filled="f" strokecolor="#be4a35" strokeweight="2pt">
                <v:stroke joinstyle="miter"/>
                <v:formulas/>
                <v:path arrowok="t" o:connecttype="custom" o:connectlocs="199461,0;5414645,0;5414645,0;5414645,2343714;5215184,2543175;0,2543175;0,2543175;0,199461;199461,0" o:connectangles="0,0,0,0,0,0,0,0,0" textboxrect="0,0,5414645,2543175"/>
                <v:textbox>
                  <w:txbxContent>
                    <w:p w:rsidR="00FD4C56" w:rsidRPr="003D7EC4" w:rsidRDefault="00FD4C56" w:rsidP="00E05D08">
                      <w:pPr>
                        <w:pStyle w:val="HStandard"/>
                        <w:rPr>
                          <w:rFonts w:cs="Arial"/>
                          <w:sz w:val="18"/>
                        </w:rPr>
                      </w:pPr>
                      <w:r>
                        <w:rPr>
                          <w:noProof/>
                          <w:lang w:val="en-GB"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Evaluacija usvajanja inovativnih ideja, procesa, modela i/ili tehnologija koje su uvedene PRR-om može se provesti </w:t>
                      </w:r>
                      <w:r>
                        <w:rPr>
                          <w:b/>
                          <w:sz w:val="18"/>
                        </w:rPr>
                        <w:t>anketama</w:t>
                      </w:r>
                      <w:r>
                        <w:rPr>
                          <w:sz w:val="18"/>
                        </w:rPr>
                        <w:t xml:space="preserve"> kojima se mjeri razina i opseg usvajanja noviteta i utvrđuje izvor noviteta. Trebalo bi:</w:t>
                      </w:r>
                    </w:p>
                    <w:p w:rsidR="00FD4C56" w:rsidRPr="003D7EC4" w:rsidRDefault="00FD4C56" w:rsidP="008C0B17">
                      <w:pPr>
                        <w:pStyle w:val="HStandard"/>
                        <w:numPr>
                          <w:ilvl w:val="3"/>
                          <w:numId w:val="43"/>
                        </w:numPr>
                      </w:pPr>
                      <w:r>
                        <w:rPr>
                          <w:sz w:val="18"/>
                        </w:rPr>
                        <w:t>u ankete uključiti subjekte koji su usvojili novitet, ali i one koji to nisu učinili te bi se njima trebalo nastojati: a) shvatiti razloge za neusvajanje i b) utvrditi postoje li alternativni načini rješavanja problema koji se rješava novitetom;</w:t>
                      </w:r>
                    </w:p>
                    <w:p w:rsidR="00FD4C56" w:rsidRPr="000E5745" w:rsidRDefault="00FD4C56" w:rsidP="008C0B17">
                      <w:pPr>
                        <w:pStyle w:val="HStandard"/>
                        <w:numPr>
                          <w:ilvl w:val="3"/>
                          <w:numId w:val="43"/>
                        </w:numPr>
                      </w:pPr>
                      <w:r>
                        <w:t xml:space="preserve">izračunati točan broj subjekata koji jesu i subjekata koji nisu usvojili novu ideju u područjima u kojima je poznato da je došlo do usvajanja i u područjima za koja je pri ocjeni inovacijskog potencijala utvrđeno da su obećavajuća (vidjeti </w:t>
                      </w:r>
                      <w:hyperlink w:anchor="Screening_Potential" w:history="1">
                        <w:r>
                          <w:rPr>
                            <w:rStyle w:val="Hyperlink"/>
                            <w:sz w:val="18"/>
                          </w:rPr>
                          <w:t>poglavlje 2.2.</w:t>
                        </w:r>
                      </w:hyperlink>
                      <w:r>
                        <w:t>).</w:t>
                      </w:r>
                      <w:r>
                        <w:rPr>
                          <w:sz w:val="18"/>
                        </w:rPr>
                        <w:t xml:space="preserve"> </w:t>
                      </w:r>
                    </w:p>
                  </w:txbxContent>
                </v:textbox>
                <w10:wrap type="square"/>
              </v:shape>
            </w:pict>
          </mc:Fallback>
        </mc:AlternateContent>
      </w:r>
      <w:r w:rsidR="00A45935" w:rsidRPr="003A6C78">
        <w:rPr>
          <w:b/>
        </w:rPr>
        <w:t>2. KORAK</w:t>
      </w:r>
      <w:r w:rsidR="00A45935">
        <w:t xml:space="preserve"> – prikupljanje informacija o učinkovitosti PRR-a u odnosu na kriterije prosudbe i pokazatelje (kako su predloženi u prethodnoj tablici 9. s evaluacijskim elementima) za tri </w:t>
      </w:r>
      <w:r w:rsidR="00A45935">
        <w:lastRenderedPageBreak/>
        <w:t xml:space="preserve">potpitanja koja se odnose na mjeru u kojoj je PRR utjecao na tri putanje. </w:t>
      </w:r>
    </w:p>
    <w:p w:rsidR="00A45935" w:rsidRPr="00717885" w:rsidRDefault="00037CA6" w:rsidP="000026C6">
      <w:pPr>
        <w:pStyle w:val="Hlistbullet2"/>
      </w:pPr>
      <w:r>
        <w:t xml:space="preserve">Uz </w:t>
      </w:r>
      <w:r>
        <w:rPr>
          <w:b/>
        </w:rPr>
        <w:t>1. putanju</w:t>
      </w:r>
      <w:r>
        <w:t xml:space="preserve"> veže se kriterij prosudbe „usvajanje inovativnih ideja, procesa, modela i/ili tehnologija koje su uvedene PRR-om”. Može se mjeriti zajedničkim i dodatnim pokazateljima predloženima u tablici 9. Podatci za zajedničke pokazatelje mogu se prikupiti iz baze podataka operacija. Podatci i informacije za dodatne pokazatelje mogu se prikupiti anketom koju će organizirati i provesti evaluator (vidjeti primjer u nastavku).</w:t>
      </w:r>
    </w:p>
    <w:p w:rsidR="00A45935" w:rsidRPr="00717885" w:rsidRDefault="00A45935" w:rsidP="000026C6">
      <w:pPr>
        <w:pStyle w:val="Hlistbullet2"/>
      </w:pPr>
      <w:r>
        <w:t xml:space="preserve">Uz 2. putanju povezuju se tri kriterija prosudbe koja su popraćena pokazateljima rezultata: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 xml:space="preserve">Prvi se odnosi na povećanu suradnju i dijeljenje među subjektima uključenima u provedbu promjene kojoj je PRR pridonio. To uključuje utvrđivanje sporazuma među partnerima sklopljenima uz posredovanje u okviru PRR-a s pomoću dodatnih pokazatelja rezultata: „broj formalnih partnerstava sklopljenih uz posredovanje u okviru PRR-a u mjeri u kojoj su ona povezana s promjenama u prioritetima ruralnog razvoja kojima je PRR pridonio” i „povećanje (%) broja i vrsta partnera uključenih u projekte suradnje” (vidjeti radni dokument </w:t>
      </w:r>
      <w:hyperlink r:id="rId100" w:history="1">
        <w:r>
          <w:rPr>
            <w:color w:val="F07E31"/>
            <w:szCs w:val="20"/>
            <w:u w:val="single"/>
          </w:rPr>
          <w:t>ZEP-ovi za PRR-e za razdoblje 2014. – 2020.</w:t>
        </w:r>
      </w:hyperlink>
      <w:r>
        <w:t xml:space="preserve">). Podatke i informacije za prvi dodatni pokazatelj evaluatori mogu prikupiti tijekom evaluacije razgovorima i fokusnim skupinama s partnerima uključenima u sklopljena partnerstva. Podatci za drugi dodatni pokazatelj mogu se prikupiti izravno iz baze podataka operacija. </w:t>
      </w:r>
    </w:p>
    <w:p w:rsidR="00A45935" w:rsidRPr="00E05D08" w:rsidRDefault="00A45935" w:rsidP="000026C6">
      <w:pPr>
        <w:numPr>
          <w:ilvl w:val="3"/>
          <w:numId w:val="44"/>
        </w:numPr>
        <w:spacing w:before="60" w:after="120" w:line="280" w:lineRule="atLeast"/>
        <w:ind w:left="1701" w:hanging="567"/>
        <w:rPr>
          <w:rFonts w:eastAsia="Times New Roman" w:cs="Arial"/>
          <w:szCs w:val="20"/>
        </w:rPr>
      </w:pPr>
      <w:r>
        <w:t>Drugi se odnosi na doprinose PRR-a pojačanom učenju, raspravama i dijeljenju. To uključuje utvrđivanje platforma (npr. zajednice praksi), skupina i drugih oblika institucionalnog „prostora” (npr. analize nakon aktivnosti), bilo virtualnog ili fizičkog, koji omogućuje sudionicima u inovacijskom procesu da dijele iskustva, raspravljaju o njihovom značenju i vrijednosti te uče i poduzimaju daljnje korake. Preporučuje se uporaba dodatnog pokazatelja rezultata „broj i kvaliteta platforma i ‚prostora’ kojima se podupiru inovacije, a koji su uspostavljeni ili ojačani u okviru PRR-a” za mjerenje uspjeha koji je opisan ovim kriterijem prosudbe.</w:t>
      </w:r>
      <w:r>
        <w:rPr>
          <w:i/>
          <w:sz w:val="18"/>
          <w:szCs w:val="16"/>
        </w:rPr>
        <w:t xml:space="preserve"> </w:t>
      </w:r>
      <w:r>
        <w:t xml:space="preserve">Evaluatori prikupljaju kvantitativne i kvalitativne informacije tijekom evaluacije (npr. razgovorima s fokusnim skupinama sa sudionicima prethodno navedenih platforma/prostora).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660800" behindDoc="0" locked="0" layoutInCell="1" allowOverlap="1" wp14:anchorId="24A1BA36" wp14:editId="295E4E0C">
                <wp:simplePos x="0" y="0"/>
                <wp:positionH relativeFrom="column">
                  <wp:posOffset>3324225</wp:posOffset>
                </wp:positionH>
                <wp:positionV relativeFrom="paragraph">
                  <wp:posOffset>904875</wp:posOffset>
                </wp:positionV>
                <wp:extent cx="2360930" cy="2066925"/>
                <wp:effectExtent l="0" t="0" r="20320" b="28575"/>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066925"/>
                        </a:xfrm>
                        <a:prstGeom prst="round2DiagRect">
                          <a:avLst>
                            <a:gd name="adj1" fmla="val 7843"/>
                            <a:gd name="adj2" fmla="val 0"/>
                          </a:avLst>
                        </a:prstGeom>
                        <a:noFill/>
                        <a:ln w="25400" cap="flat" cmpd="sng" algn="ctr">
                          <a:solidFill>
                            <a:srgbClr val="BE4A35"/>
                          </a:solidFill>
                          <a:prstDash val="solid"/>
                        </a:ln>
                        <a:effectLst/>
                      </wps:spPr>
                      <wps:txbx>
                        <w:txbxContent>
                          <w:p w:rsidR="00FD4C56" w:rsidRPr="000E5745" w:rsidRDefault="00FD4C56"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Prikupljanje podataka o ostvarenjima</w:t>
                            </w:r>
                            <w:r>
                              <w:rPr>
                                <w:color w:val="BE4A35"/>
                                <w:sz w:val="18"/>
                              </w:rPr>
                              <w:t xml:space="preserve"> </w:t>
                            </w:r>
                            <w:r>
                              <w:rPr>
                                <w:sz w:val="18"/>
                              </w:rPr>
                              <w:t>metoda je u okviru koje pokretači promjena u okviru PRR-a (oni uključeni u djelovanje PRR-a na politiku) moraju utvrditi promjene u politici kojima je PRR pridonio, a zatim zatražiti potvrdu tih veza od neovisnih poznavatelja.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75pt;margin-top:71.25pt;width:185.9pt;height:16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06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" adj="-11796480,,5400" path="m162109,l2360930,r,l2360930,1904816v,89530,-72579,162109,-162109,162109l,2066925r,l,162109c,72579,72579,,162109,xe" filled="f" strokecolor="#be4a35" strokeweight="2pt">
                <v:stroke joinstyle="miter"/>
                <v:formulas/>
                <v:path arrowok="t" o:connecttype="custom" o:connectlocs="162109,0;2360930,0;2360930,0;2360930,1904816;2198821,2066925;0,2066925;0,2066925;0,162109;162109,0" o:connectangles="0,0,0,0,0,0,0,0,0" textboxrect="0,0,2360930,2066925"/>
                <v:textbox>
                  <w:txbxContent>
                    <w:p w:rsidR="00FD4C56" w:rsidRPr="000E5745" w:rsidRDefault="00FD4C56" w:rsidP="00E05D08">
                      <w:pPr>
                        <w:pStyle w:val="HStandard"/>
                      </w:pPr>
                      <w:r>
                        <w:rPr>
                          <w:noProof/>
                          <w:lang w:val="en-GB"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Prikupljanje podataka o ostvarenjima</w:t>
                      </w:r>
                      <w:r>
                        <w:rPr>
                          <w:color w:val="BE4A35"/>
                          <w:sz w:val="18"/>
                        </w:rPr>
                        <w:t xml:space="preserve"> </w:t>
                      </w:r>
                      <w:r>
                        <w:rPr>
                          <w:sz w:val="18"/>
                        </w:rPr>
                        <w:t>metoda je u okviru koje pokretači promjena u okviru PRR-a (oni uključeni u djelovanje PRR-a na politiku) moraju utvrditi promjene u politici kojima je PRR pridonio, a zatim zatražiti potvrdu tih veza od neovisnih poznavatelja.</w:t>
                      </w:r>
                    </w:p>
                  </w:txbxContent>
                </v:textbox>
                <w10:wrap type="square"/>
              </v:shape>
            </w:pict>
          </mc:Fallback>
        </mc:AlternateContent>
      </w:r>
      <w:r>
        <w:t>Treći se odnosi na poboljšanja u protoku informacija i raznolikosti vrsta organizacija u inovacijskom sustavu u kojima se odvila promjena. Dokazi se mogu prikupiti s pomoću dodatnog pokazatelja rezultata: „smanjenje prosječne duljine puta u mreži i raznolikosti mreže”, koji se može izmjeriti analizom društvenih mreža (SNA) koju će evaluator provesti tijekom evaluacije.</w:t>
      </w:r>
      <w:r>
        <w:rPr>
          <w:b/>
          <w:i/>
          <w:color w:val="BE4A35"/>
          <w:szCs w:val="20"/>
        </w:rPr>
        <w:t xml:space="preserve"> </w:t>
      </w:r>
      <w:r>
        <w:t>Analiza društvenih mreža</w:t>
      </w:r>
      <w:r>
        <w:rPr>
          <w:rFonts w:eastAsia="Calibri" w:cs="Times New Roman"/>
          <w:szCs w:val="20"/>
          <w:vertAlign w:val="superscript"/>
        </w:rPr>
        <w:footnoteReference w:id="77"/>
      </w:r>
      <w:r>
        <w:t xml:space="preserve"> metoda je koja se upotrebljava za prikupljanje dokaza za povezane pokazatelje u dvije vremenske točke, pri čemu se bilježe promjene u prosječnoj duljini puta i broju različitih vrsta uključenih dionika. Promjene se zatim treba ponovno povezati s intervencijom u okviru PRR-a putem razgovora s ključnim kazivačima, odnosno neovisnim poznavateljima koji mogu potvrditi ili pobiti uzročno-posljedične </w:t>
      </w:r>
      <w:r>
        <w:lastRenderedPageBreak/>
        <w:t>veze. U idealnom bi se scenariju početno stanje utvrdilo pri procjeni inovacijskog potencijala na početku PRR-a.</w:t>
      </w:r>
    </w:p>
    <w:p w:rsidR="00A45935" w:rsidRPr="00E34FAC" w:rsidRDefault="00A45935" w:rsidP="00A847F8">
      <w:pPr>
        <w:pStyle w:val="Hlistbullet2"/>
      </w:pPr>
      <w:r>
        <w:t>Uz 3. putanju povezuje se nekoliko kriterija prosudbe koji su povezani s različitim vrstama poticajnog okruženja kako je opisano u poglavlju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Prvi se odnosi na mjeru u kojoj je PRR poslužio kao pomoć u pripremi politika kojima se podupire promjena kojoj je PRR pridonio. Za njega se moraju utvrditi politike za koje se može reći da je PRR na njih utjecao nakon čega slijedi proces prikupljanja dokaza kako bi se utvrdila vjerodostojnost takvih tvrdnji. Dokazi se mogu prikupiti tijekom evaluacije s pomoću dodatnog pokazatelja rezultata „broj i vrsta politika na koje je PRR utjecao na razini uključenih organizacija i šireg poticajnog okruženja”. Prikupljanje podataka o ostvarenjima</w:t>
      </w:r>
      <w:r>
        <w:rPr>
          <w:rFonts w:eastAsia="Times New Roman" w:cs="Arial"/>
          <w:szCs w:val="20"/>
          <w:vertAlign w:val="superscript"/>
          <w:lang w:eastAsia="de-DE"/>
        </w:rPr>
        <w:footnoteReference w:id="78"/>
      </w:r>
      <w:r>
        <w:t xml:space="preserve"> pristup je koji je dobro prilagođen evaluaciji djelovanja PRR-a na politiku.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Drugi kriterij prosudbe odnosi se na mogućnosti za osposobljavanje i razmjenu inovativnih praksi u mjeri u kojoj je za to dodijeljena potpora u okviru PRR-a. Dodatni pokazatelj rezultata predložen za prikupljanje dokaza glasi: „broj osposobljavanja i događaja razmjene inovativnih praksi te njihov udio u ukupnom broju osposobljavanja/događaja za koje je dodijeljena potpora u okviru PRR-a”. Podatci za pokazatelj mogu se prikupiti iz baze podataka operacija nakon povezivanja informacija o aktivnostima osposobljavanja i događajima usmjerenima na inovacije.</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Treći kriterij prosudbe povezan je s omogućivanjem interakcija među inovacijskim subjektima. Za mjerenje uspjeha povezanog s ovim kriterijem prosudbe preporučuje se uporaba dodatnog pokazatelja rezultata: „broj organiziranih događaja usmjerenih na uspostavljanje kontakata među inovacijskim subjektima kojima je dodijeljena potpora u okviru PRR-a”. Podatci za taj pokazatelj mogu se prikupiti iz baze podataka operacija (npr. dodavanjem informacija o inovacijskim subjektima kojima je dodijeljena potpora u okviru PRR-a u praćenje događanja). </w:t>
      </w:r>
    </w:p>
    <w:p w:rsidR="001275FF" w:rsidRDefault="00A45935" w:rsidP="00A847F8">
      <w:pPr>
        <w:numPr>
          <w:ilvl w:val="0"/>
          <w:numId w:val="48"/>
        </w:numPr>
        <w:spacing w:before="60" w:after="120" w:line="280" w:lineRule="atLeast"/>
        <w:ind w:left="1701" w:hanging="567"/>
        <w:rPr>
          <w:rFonts w:eastAsia="Calibri" w:cs="Arial"/>
          <w:szCs w:val="20"/>
        </w:rPr>
      </w:pPr>
      <w:r>
        <w:t xml:space="preserve">Četvrti kriterij prosudbe odnosi se na PRR kao graditelja poticajnog okruženja za uvođenje novih tehnologija. On se može mjeriti s pomoću dodatnog pokazatelja rezultata „broj novih tehnologija u ruralnim područjima za koje je dodijeljena potpora u okviru PRR-a raščlanjenih po vrsti”. Informacije potrebne za ovaj pokazatelj mogu se prikupiti iz baze podataka operacija ako su prilagođene na odgovarajući način.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49536" behindDoc="0" locked="0" layoutInCell="1" allowOverlap="1" wp14:anchorId="7C1AB931" wp14:editId="3771719A">
                <wp:simplePos x="0" y="0"/>
                <wp:positionH relativeFrom="column">
                  <wp:posOffset>38100</wp:posOffset>
                </wp:positionH>
                <wp:positionV relativeFrom="paragraph">
                  <wp:posOffset>1895475</wp:posOffset>
                </wp:positionV>
                <wp:extent cx="5670550" cy="269557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695575"/>
                        </a:xfrm>
                        <a:prstGeom prst="round2DiagRect">
                          <a:avLst>
                            <a:gd name="adj1" fmla="val 7843"/>
                            <a:gd name="adj2" fmla="val 0"/>
                          </a:avLst>
                        </a:prstGeom>
                        <a:noFill/>
                        <a:ln w="25400" cap="flat" cmpd="sng" algn="ctr">
                          <a:solidFill>
                            <a:srgbClr val="BE4A35"/>
                          </a:solidFill>
                          <a:prstDash val="solid"/>
                        </a:ln>
                        <a:effectLst/>
                      </wps:spPr>
                      <wps:txbx>
                        <w:txbxContent>
                          <w:p w:rsidR="00FD4C56" w:rsidRPr="00EF653F" w:rsidRDefault="00FD4C56"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Tehnike za utvrđivanje narativnog tijeka događaja i ocjenjivanje rezultata</w:t>
                            </w:r>
                          </w:p>
                          <w:p w:rsidR="00FD4C56" w:rsidRPr="00EF653F" w:rsidRDefault="00FD4C56" w:rsidP="00E05D08">
                            <w:pPr>
                              <w:pStyle w:val="HStandard"/>
                              <w:rPr>
                                <w:rFonts w:cs="Arial"/>
                                <w:sz w:val="18"/>
                                <w:szCs w:val="18"/>
                              </w:rPr>
                            </w:pPr>
                            <w:r>
                              <w:rPr>
                                <w:sz w:val="18"/>
                                <w:szCs w:val="18"/>
                              </w:rPr>
                              <w:t>Pri utvrđivanju narativnog tijeka događaja evaluator može primijeniti nekoliko tehnika za triangulaciju i potkrjepljivanje slučaja.</w:t>
                            </w:r>
                            <w:r>
                              <w:rPr>
                                <w:b/>
                                <w:sz w:val="18"/>
                                <w:szCs w:val="18"/>
                              </w:rPr>
                              <w:t xml:space="preserve"> </w:t>
                            </w:r>
                            <w:r>
                              <w:rPr>
                                <w:sz w:val="18"/>
                                <w:szCs w:val="18"/>
                              </w:rPr>
                              <w:t>Te tehnike uključuju: analizu doprinosa u okviru koje evaluator pronalazi dokaze koji su potrebni i dostatni da bi se objasnila promjena</w:t>
                            </w:r>
                            <w:r>
                              <w:rPr>
                                <w:sz w:val="18"/>
                                <w:szCs w:val="18"/>
                                <w:vertAlign w:val="superscript"/>
                              </w:rPr>
                              <w:t>82</w:t>
                            </w:r>
                            <w:r>
                              <w:rPr>
                                <w:sz w:val="18"/>
                                <w:szCs w:val="18"/>
                              </w:rPr>
                              <w:t>; potvrđivanje i pobijanje alternativnih objašnjenja uzročno-posljedičnih veza</w:t>
                            </w:r>
                            <w:r>
                              <w:rPr>
                                <w:sz w:val="18"/>
                                <w:szCs w:val="18"/>
                                <w:vertAlign w:val="superscript"/>
                              </w:rPr>
                              <w:t>83</w:t>
                            </w:r>
                            <w:r>
                              <w:rPr>
                                <w:sz w:val="18"/>
                                <w:szCs w:val="18"/>
                              </w:rPr>
                              <w:t xml:space="preserve"> i/ili utvrđivanje i potkrjepljivanje ključnih dijelova postupka čuvanja dokaza prikupljenih radi argumentiranja u korist doprinosa PRR-a</w:t>
                            </w:r>
                            <w:r>
                              <w:rPr>
                                <w:sz w:val="18"/>
                                <w:szCs w:val="18"/>
                                <w:vertAlign w:val="superscript"/>
                              </w:rPr>
                              <w:t>84</w:t>
                            </w:r>
                            <w:r>
                              <w:rPr>
                                <w:sz w:val="18"/>
                                <w:szCs w:val="18"/>
                              </w:rPr>
                              <w:t>.</w:t>
                            </w:r>
                          </w:p>
                          <w:p w:rsidR="00FD4C56" w:rsidRPr="000E5745" w:rsidRDefault="00FD4C56" w:rsidP="00E05D08">
                            <w:pPr>
                              <w:pStyle w:val="HStandard"/>
                            </w:pPr>
                            <w:r>
                              <w:rPr>
                                <w:sz w:val="18"/>
                                <w:szCs w:val="18"/>
                              </w:rPr>
                              <w:t>Opseg doprinosa PRR-a treba prosuditi na Likertovoj ljestvici</w:t>
                            </w:r>
                            <w:r w:rsidRPr="007E277A">
                              <w:rPr>
                                <w:sz w:val="18"/>
                                <w:szCs w:val="18"/>
                                <w:vertAlign w:val="superscript"/>
                              </w:rPr>
                              <w:t>85</w:t>
                            </w:r>
                            <w:r>
                              <w:rPr>
                                <w:sz w:val="18"/>
                                <w:szCs w:val="18"/>
                              </w:rPr>
                              <w:t>, npr. Ne postoji, Neznatan, Srednji, Glavni doprinoseći čimbenik, Jedini doprinoseći čimbenik. Evaluator bi trebao ocijeniti i koliko je on sam siguran u nalaze na sličnoj peterostupanjskoj ljestvici. Odabrane ocjene moraju se opravdati.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pt;margin-top:149.25pt;width:446.5pt;height:21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695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" adj="-11796480,,5400" path="m211414,l5670550,r,l5670550,2484161v,116761,-94653,211414,-211414,211414l,2695575r,l,211414c,94653,94653,,211414,xe" filled="f" strokecolor="#be4a35" strokeweight="2pt">
                <v:stroke joinstyle="miter"/>
                <v:formulas/>
                <v:path arrowok="t" o:connecttype="custom" o:connectlocs="211414,0;5670550,0;5670550,0;5670550,2484161;5459136,2695575;0,2695575;0,2695575;0,211414;211414,0" o:connectangles="0,0,0,0,0,0,0,0,0" textboxrect="0,0,5670550,2695575"/>
                <v:textbox>
                  <w:txbxContent>
                    <w:p w:rsidR="00FD4C56" w:rsidRPr="00EF653F" w:rsidRDefault="00FD4C56" w:rsidP="00E05D08">
                      <w:pPr>
                        <w:pStyle w:val="HStandard"/>
                        <w:rPr>
                          <w:rFonts w:cs="Arial"/>
                          <w:b/>
                          <w:sz w:val="18"/>
                          <w:szCs w:val="18"/>
                        </w:rPr>
                      </w:pPr>
                      <w:r>
                        <w:rPr>
                          <w:noProof/>
                          <w:lang w:val="en-GB"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Tehnike za utvrđivanje narativnog tijeka događaja i ocjenjivanje rezultata</w:t>
                      </w:r>
                    </w:p>
                    <w:p w:rsidR="00FD4C56" w:rsidRPr="00EF653F" w:rsidRDefault="00FD4C56" w:rsidP="00E05D08">
                      <w:pPr>
                        <w:pStyle w:val="HStandard"/>
                        <w:rPr>
                          <w:rFonts w:cs="Arial"/>
                          <w:sz w:val="18"/>
                          <w:szCs w:val="18"/>
                        </w:rPr>
                      </w:pPr>
                      <w:r>
                        <w:rPr>
                          <w:sz w:val="18"/>
                          <w:szCs w:val="18"/>
                        </w:rPr>
                        <w:t>Pri utvrđivanju narativnog tijeka događaja evaluator može primijeniti nekoliko tehnika za triangulaciju i potkrjepljivanje slučaja.</w:t>
                      </w:r>
                      <w:r>
                        <w:rPr>
                          <w:b/>
                          <w:sz w:val="18"/>
                          <w:szCs w:val="18"/>
                        </w:rPr>
                        <w:t xml:space="preserve"> </w:t>
                      </w:r>
                      <w:r>
                        <w:rPr>
                          <w:sz w:val="18"/>
                          <w:szCs w:val="18"/>
                        </w:rPr>
                        <w:t>Te tehnike uključuju: analizu doprinosa u okviru koje evaluator pronalazi dokaze koji su potrebni i dostatni da bi se objasnila promjena</w:t>
                      </w:r>
                      <w:r>
                        <w:rPr>
                          <w:sz w:val="18"/>
                          <w:szCs w:val="18"/>
                          <w:vertAlign w:val="superscript"/>
                        </w:rPr>
                        <w:t>82</w:t>
                      </w:r>
                      <w:r>
                        <w:rPr>
                          <w:sz w:val="18"/>
                          <w:szCs w:val="18"/>
                        </w:rPr>
                        <w:t>; potvrđivanje i pobijanje alternativnih objašnjenja uzročno-posljedičnih veza</w:t>
                      </w:r>
                      <w:r>
                        <w:rPr>
                          <w:sz w:val="18"/>
                          <w:szCs w:val="18"/>
                          <w:vertAlign w:val="superscript"/>
                        </w:rPr>
                        <w:t>83</w:t>
                      </w:r>
                      <w:r>
                        <w:rPr>
                          <w:sz w:val="18"/>
                          <w:szCs w:val="18"/>
                        </w:rPr>
                        <w:t xml:space="preserve"> i/ili utvrđivanje i potkrjepljivanje ključnih dijelova postupka čuvanja dokaza prikupljenih radi argumentiranja u korist doprinosa PRR-a</w:t>
                      </w:r>
                      <w:r>
                        <w:rPr>
                          <w:sz w:val="18"/>
                          <w:szCs w:val="18"/>
                          <w:vertAlign w:val="superscript"/>
                        </w:rPr>
                        <w:t>84</w:t>
                      </w:r>
                      <w:r>
                        <w:rPr>
                          <w:sz w:val="18"/>
                          <w:szCs w:val="18"/>
                        </w:rPr>
                        <w:t>.</w:t>
                      </w:r>
                    </w:p>
                    <w:p w:rsidR="00FD4C56" w:rsidRPr="000E5745" w:rsidRDefault="00FD4C56" w:rsidP="00E05D08">
                      <w:pPr>
                        <w:pStyle w:val="HStandard"/>
                      </w:pPr>
                      <w:r>
                        <w:rPr>
                          <w:sz w:val="18"/>
                          <w:szCs w:val="18"/>
                        </w:rPr>
                        <w:t>Opseg doprinosa PRR-a treba prosuditi na Likertovoj ljestvici</w:t>
                      </w:r>
                      <w:r w:rsidRPr="007E277A">
                        <w:rPr>
                          <w:sz w:val="18"/>
                          <w:szCs w:val="18"/>
                          <w:vertAlign w:val="superscript"/>
                        </w:rPr>
                        <w:t>85</w:t>
                      </w:r>
                      <w:r>
                        <w:rPr>
                          <w:sz w:val="18"/>
                          <w:szCs w:val="18"/>
                        </w:rPr>
                        <w:t>, npr. Ne postoji, Neznatan, Srednji, Glavni doprinoseći čimbenik, Jedini doprinoseći čimbenik. Evaluator bi trebao ocijeniti i koliko je on sam siguran u nalaze na sličnoj peterostupanjskoj ljestvici. Odabrane ocjene moraju se opravdati.</w:t>
                      </w:r>
                    </w:p>
                  </w:txbxContent>
                </v:textbox>
                <w10:wrap type="square"/>
              </v:shape>
            </w:pict>
          </mc:Fallback>
        </mc:AlternateContent>
      </w:r>
      <w:r>
        <w:rPr>
          <w:b/>
        </w:rPr>
        <w:t>3. KORAK – utvrđivanje kronološkog i narativnog tijeka događaja</w:t>
      </w:r>
      <w:r>
        <w:t xml:space="preserve"> u kojima se opisuje način na koji je došlo do promjene ili promjena utvrđenih u 1. koraku. U narativnom tijeku događaja a priori će se pretpostaviti da je do jedne promjene ili više njih došlo putem jedne putanje ili više njih i njihovih interakcija (vidjeti </w:t>
      </w:r>
      <w:hyperlink w:anchor="Pathways" w:history="1">
        <w:r>
          <w:rPr>
            <w:rStyle w:val="Hyperlink"/>
            <w:sz w:val="20"/>
          </w:rPr>
          <w:t>sliku 1.</w:t>
        </w:r>
      </w:hyperlink>
      <w:r>
        <w:t>). U kronološkom i narativnom tijeku događaja trebali bi se navesti svi ključni događaji i procesi koji su doveli do promjene, a ne samo oni koji su nastali zbog aktivnosti u okviru PRR-a. Taj se pristup temelji na metodologiji studije slučaja</w:t>
      </w:r>
      <w:r>
        <w:rPr>
          <w:rFonts w:cs="Arial"/>
          <w:vertAlign w:val="superscript"/>
        </w:rPr>
        <w:footnoteReference w:id="79"/>
      </w:r>
      <w:r>
        <w:t>. Metode koje bi mogle biti korisne jesu praćenje procesa (utvrđivanje teoretskog puta od ostvarenja do njegovih uzroka razmatranjem nekoliko alternativa)</w:t>
      </w:r>
      <w:r>
        <w:rPr>
          <w:rFonts w:cs="Arial"/>
          <w:vertAlign w:val="superscript"/>
        </w:rPr>
        <w:footnoteReference w:id="80"/>
      </w:r>
      <w:r>
        <w:t xml:space="preserve"> i konstrukcija inovacije (metoda za evidentiranje i razmatranje inovacijskih procesa)</w:t>
      </w:r>
      <w:r>
        <w:rPr>
          <w:rFonts w:cs="Arial"/>
          <w:vertAlign w:val="superscript"/>
        </w:rPr>
        <w:footnoteReference w:id="81"/>
      </w:r>
      <w:r>
        <w:t>. Podatci će proizaći iz prethodnih koraka, odnosno pregleda dokumentacije PRR-a i /ili razgovora s ključnim kazivačima, a to su osoblje i dionici programa</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4. KORAK – usporedba inovacijskog potencijala utvrđenog prije evaluacije i stvarnog doprinosa PRR-a.</w:t>
      </w:r>
      <w:r>
        <w:t xml:space="preserve"> Naša je radna hipoteza da će postojati razlike koje će pomoći uključenim subjektima da bolje razumiju inovacije kao neočekivan i nepredvidljiv proces koji se ipak može njegovati ako su u PRR-u uspostavljeni mehanizmi za učenje i prilagodljivo upravljanje.</w:t>
      </w: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Rizici i rješenja</w:t>
      </w:r>
      <w:r>
        <w:t xml:space="preserve"> </w:t>
      </w:r>
    </w:p>
    <w:p w:rsidR="00E05D08" w:rsidRPr="00AB6603" w:rsidRDefault="00AB6603" w:rsidP="00A847F8">
      <w:pPr>
        <w:spacing w:before="120" w:after="120" w:line="280" w:lineRule="atLeast"/>
        <w:mirrorIndents/>
        <w:rPr>
          <w:rFonts w:eastAsia="Times New Roman" w:cs="Times New Roman"/>
          <w:b/>
          <w:szCs w:val="20"/>
        </w:rPr>
      </w:pPr>
      <w:r>
        <w:t>Glavni je rizik taj da se prethodno opisana evaluacija studije slučaja ne provede dovoljno dobro da bi se njeni zaključci mogli smatrati uvjerljivima.</w:t>
      </w:r>
    </w:p>
    <w:p w:rsidR="00E05D08" w:rsidRDefault="00E05D08" w:rsidP="00E05D08">
      <w:pPr>
        <w:spacing w:after="120" w:line="280" w:lineRule="atLeast"/>
        <w:mirrorIndents/>
        <w:rPr>
          <w:rFonts w:eastAsia="Times New Roman" w:cs="Arial"/>
          <w:szCs w:val="20"/>
        </w:rPr>
      </w:pPr>
      <w:r>
        <w:t xml:space="preserve">S druge strane, ako se ne primijeni pristup koji se temelji na studiji slučaja, tada se javlja rizik da se ZEP br. 30 ocijeni samo u odnosu na kriterije prosudbe i pokazatelje, što neće omogućiti evaluaciju </w:t>
      </w:r>
      <w:r>
        <w:lastRenderedPageBreak/>
        <w:t xml:space="preserve">opsega doprinosa PRR-a ni pomoći uključenim subjektima da nauče kako do promjene dolazi u složenim sustavima.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Zaključci i preporuke</w:t>
      </w:r>
    </w:p>
    <w:p w:rsidR="00E05D08" w:rsidRPr="00E05D08" w:rsidRDefault="00E05D08" w:rsidP="00E05D08">
      <w:pPr>
        <w:spacing w:after="120" w:line="280" w:lineRule="atLeast"/>
        <w:mirrorIndents/>
        <w:rPr>
          <w:rFonts w:eastAsia="Times New Roman" w:cs="Arial"/>
          <w:szCs w:val="20"/>
        </w:rPr>
      </w:pPr>
      <w:r>
        <w:t>U zaključcima i preporukama povezanima sa ZEP-om br. 30 trebalo bi razmotriti sljedeće:</w:t>
      </w:r>
    </w:p>
    <w:p w:rsidR="00E05D08" w:rsidRPr="00812586" w:rsidRDefault="00E05D08" w:rsidP="00320AA0">
      <w:pPr>
        <w:pStyle w:val="Hlistbullet"/>
      </w:pPr>
      <w:r>
        <w:t xml:space="preserve">specifične mjere (i njihovu kombinaciju) koje su bile najdjelotvornije i najučinkovitije u poticanju inovacija u ruralnim područjima putem PRR-a, </w:t>
      </w:r>
    </w:p>
    <w:p w:rsidR="00E05D08" w:rsidRPr="00812586" w:rsidRDefault="00E05D08" w:rsidP="00320AA0">
      <w:pPr>
        <w:pStyle w:val="Hlistbullet"/>
      </w:pPr>
      <w:r>
        <w:t xml:space="preserve">načine na koji je PRR poticao inovacije u mjeri u kojoj su povezane s trima putanjama, </w:t>
      </w:r>
    </w:p>
    <w:p w:rsidR="00E05D08" w:rsidRPr="00812586" w:rsidRDefault="00E05D08" w:rsidP="00320AA0">
      <w:pPr>
        <w:pStyle w:val="Hlistbullet"/>
      </w:pPr>
      <w:r>
        <w:t xml:space="preserve">ciljeve politike kojima su potaknute inovacije najviše pridonijele, </w:t>
      </w:r>
    </w:p>
    <w:p w:rsidR="000E0FE4" w:rsidRDefault="00E05D08" w:rsidP="00320AA0">
      <w:pPr>
        <w:pStyle w:val="Hlistbullet"/>
      </w:pPr>
      <w:r>
        <w:t xml:space="preserve">dionike i korisnike PRR-a koji su bili najdjelotvorniji u provedbi inovacija. </w:t>
      </w:r>
      <w:r>
        <w:br w:type="page"/>
      </w:r>
    </w:p>
    <w:p w:rsidR="000E0FE4" w:rsidRDefault="000E0FE4" w:rsidP="000E0FE4">
      <w:pPr>
        <w:ind w:left="720"/>
        <w:mirrorIndents/>
        <w:rPr>
          <w:szCs w:val="20"/>
        </w:rPr>
        <w:sectPr w:rsidR="000E0FE4" w:rsidSect="001F6F07">
          <w:headerReference w:type="first" r:id="rId101"/>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51584" behindDoc="0" locked="0" layoutInCell="1" allowOverlap="1" wp14:anchorId="2604CA04" wp14:editId="29E715E4">
                <wp:simplePos x="0" y="0"/>
                <wp:positionH relativeFrom="column">
                  <wp:posOffset>-57150</wp:posOffset>
                </wp:positionH>
                <wp:positionV relativeFrom="paragraph">
                  <wp:posOffset>323850</wp:posOffset>
                </wp:positionV>
                <wp:extent cx="5811864" cy="421957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19575"/>
                        </a:xfrm>
                        <a:prstGeom prst="round2DiagRect">
                          <a:avLst>
                            <a:gd name="adj1" fmla="val 6996"/>
                            <a:gd name="adj2" fmla="val 0"/>
                          </a:avLst>
                        </a:prstGeom>
                        <a:noFill/>
                        <a:ln w="25400" cap="flat" cmpd="sng" algn="ctr">
                          <a:solidFill>
                            <a:srgbClr val="59638E"/>
                          </a:solidFill>
                          <a:prstDash val="solid"/>
                        </a:ln>
                        <a:effectLst/>
                      </wps:spPr>
                      <wps:txbx>
                        <w:txbxContent>
                          <w:p w:rsidR="00FD4C56" w:rsidRDefault="00FD4C56"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BA450C" w:rsidRDefault="00FD4C56" w:rsidP="00BA450C">
                            <w:pPr>
                              <w:pStyle w:val="HStandard"/>
                              <w:rPr>
                                <w:sz w:val="18"/>
                                <w:szCs w:val="18"/>
                              </w:rPr>
                            </w:pPr>
                            <w:r>
                              <w:rPr>
                                <w:sz w:val="18"/>
                                <w:szCs w:val="18"/>
                              </w:rPr>
                              <w:t xml:space="preserve">Allen, I.E. i Seaman, C.A. (2007.). </w:t>
                            </w:r>
                            <w:hyperlink r:id="rId102" w:history="1">
                              <w:r>
                                <w:rPr>
                                  <w:rStyle w:val="Hyperlink"/>
                                  <w:sz w:val="18"/>
                                  <w:szCs w:val="18"/>
                                </w:rPr>
                                <w:t>Likert scales and data analyses</w:t>
                              </w:r>
                            </w:hyperlink>
                            <w:r>
                              <w:t>.</w:t>
                            </w:r>
                            <w:r>
                              <w:rPr>
                                <w:sz w:val="18"/>
                                <w:szCs w:val="18"/>
                              </w:rPr>
                              <w:t> Quality progress, 40(7), str. 64.</w:t>
                            </w:r>
                          </w:p>
                          <w:p w:rsidR="00FD4C56" w:rsidRPr="00BA450C" w:rsidRDefault="00FD4C56" w:rsidP="00BA450C">
                            <w:pPr>
                              <w:pStyle w:val="HStandard"/>
                              <w:jc w:val="left"/>
                              <w:rPr>
                                <w:sz w:val="18"/>
                                <w:szCs w:val="18"/>
                              </w:rPr>
                            </w:pPr>
                            <w:r>
                              <w:rPr>
                                <w:sz w:val="18"/>
                                <w:szCs w:val="18"/>
                              </w:rPr>
                              <w:t xml:space="preserve">Collier, D., 2011. </w:t>
                            </w:r>
                            <w:r>
                              <w:t>„</w:t>
                            </w:r>
                            <w:hyperlink r:id="rId103" w:history="1">
                              <w:r>
                                <w:rPr>
                                  <w:rStyle w:val="Hyperlink"/>
                                  <w:sz w:val="18"/>
                                  <w:szCs w:val="18"/>
                                </w:rPr>
                                <w:t>Understanding process tracing.</w:t>
                              </w:r>
                            </w:hyperlink>
                            <w:r>
                              <w:t>”</w:t>
                            </w:r>
                            <w:r>
                              <w:rPr>
                                <w:sz w:val="18"/>
                                <w:szCs w:val="18"/>
                              </w:rPr>
                              <w:t> PS: Political Science &amp; Politics 44.04: 823.–830.</w:t>
                            </w:r>
                          </w:p>
                          <w:p w:rsidR="00FD4C56" w:rsidRPr="00BA450C" w:rsidRDefault="00FD4C56" w:rsidP="00BA450C">
                            <w:pPr>
                              <w:pStyle w:val="HStandard"/>
                              <w:jc w:val="left"/>
                              <w:rPr>
                                <w:sz w:val="18"/>
                                <w:szCs w:val="18"/>
                              </w:rPr>
                            </w:pPr>
                            <w:r>
                              <w:rPr>
                                <w:sz w:val="18"/>
                                <w:szCs w:val="18"/>
                              </w:rPr>
                              <w:t xml:space="preserve">Douthwaite, B. i Ashby, J., 2005. Innovation histories: a method from learning from experience. Institutional Learning and Change Initiative. Pristupljeno 15. svibnja na: </w:t>
                            </w:r>
                            <w:hyperlink r:id="rId104" w:history="1">
                              <w:r>
                                <w:rPr>
                                  <w:rStyle w:val="Hyperlink"/>
                                  <w:sz w:val="18"/>
                                  <w:szCs w:val="18"/>
                                </w:rPr>
                                <w:t>http://ageconsearch.umn.edu/bitstream/52515/2/ILAC_Brief05_Histories.pdf</w:t>
                              </w:r>
                            </w:hyperlink>
                          </w:p>
                          <w:p w:rsidR="00FD4C56" w:rsidRPr="00BA450C" w:rsidRDefault="00FD4C56" w:rsidP="00BA450C">
                            <w:pPr>
                              <w:pStyle w:val="HStandard"/>
                              <w:jc w:val="left"/>
                              <w:rPr>
                                <w:sz w:val="18"/>
                                <w:szCs w:val="18"/>
                              </w:rPr>
                            </w:pPr>
                            <w:r>
                              <w:t xml:space="preserve">GAO (General Accounts Office) (1987.) </w:t>
                            </w:r>
                            <w:hyperlink r:id="rId105" w:history="1">
                              <w:r>
                                <w:rPr>
                                  <w:rStyle w:val="Hyperlink"/>
                                  <w:sz w:val="18"/>
                                  <w:szCs w:val="18"/>
                                </w:rPr>
                                <w:t>Case study evaluation.</w:t>
                              </w:r>
                            </w:hyperlink>
                            <w:hyperlink r:id="rId106" w:history="1">
                              <w:r>
                                <w:rPr>
                                  <w:rStyle w:val="Hyperlink"/>
                                  <w:sz w:val="18"/>
                                  <w:szCs w:val="18"/>
                                </w:rPr>
                                <w:t>Program Evaluation and Methodology</w:t>
                              </w:r>
                            </w:hyperlink>
                            <w:r>
                              <w:rPr>
                                <w:sz w:val="18"/>
                                <w:szCs w:val="18"/>
                              </w:rPr>
                              <w:t>. Division, Transfer Paper 9. Washington DC: GAO.</w:t>
                            </w:r>
                          </w:p>
                          <w:p w:rsidR="00FD4C56" w:rsidRPr="00BA450C" w:rsidRDefault="00FD4C56" w:rsidP="00BA450C">
                            <w:pPr>
                              <w:pStyle w:val="HStandard"/>
                              <w:jc w:val="left"/>
                              <w:rPr>
                                <w:sz w:val="18"/>
                                <w:szCs w:val="18"/>
                              </w:rPr>
                            </w:pPr>
                            <w:r>
                              <w:rPr>
                                <w:sz w:val="18"/>
                                <w:szCs w:val="18"/>
                              </w:rPr>
                              <w:t xml:space="preserve">Hilton, D.J., 1996. </w:t>
                            </w:r>
                            <w:hyperlink r:id="rId107" w:history="1">
                              <w:r>
                                <w:rPr>
                                  <w:rStyle w:val="Hyperlink"/>
                                  <w:sz w:val="18"/>
                                  <w:szCs w:val="18"/>
                                </w:rPr>
                                <w:t>Mental models and causal explanation:</w:t>
                              </w:r>
                            </w:hyperlink>
                            <w:hyperlink r:id="rId108" w:history="1">
                              <w:r>
                                <w:rPr>
                                  <w:rStyle w:val="Hyperlink"/>
                                  <w:sz w:val="18"/>
                                  <w:szCs w:val="18"/>
                                </w:rPr>
                                <w:t xml:space="preserve"> Judgments of probable cause and explanatory relevance</w:t>
                              </w:r>
                            </w:hyperlink>
                            <w:r>
                              <w:rPr>
                                <w:sz w:val="18"/>
                                <w:szCs w:val="18"/>
                              </w:rPr>
                              <w:t>. Thinking &amp; Reasoning, 2(4), str. 273.–308.</w:t>
                            </w:r>
                          </w:p>
                          <w:p w:rsidR="00FD4C56" w:rsidRPr="00BA450C" w:rsidRDefault="00FD4C56" w:rsidP="00BA450C">
                            <w:pPr>
                              <w:pStyle w:val="HStandard"/>
                              <w:jc w:val="left"/>
                              <w:rPr>
                                <w:sz w:val="18"/>
                                <w:szCs w:val="18"/>
                              </w:rPr>
                            </w:pPr>
                            <w:r>
                              <w:rPr>
                                <w:sz w:val="18"/>
                                <w:szCs w:val="18"/>
                              </w:rPr>
                              <w:t xml:space="preserve">Mayne, J., 2012. </w:t>
                            </w:r>
                            <w:hyperlink r:id="rId109" w:history="1">
                              <w:r>
                                <w:rPr>
                                  <w:rStyle w:val="Hyperlink"/>
                                  <w:sz w:val="18"/>
                                  <w:szCs w:val="18"/>
                                </w:rPr>
                                <w:t>Contribution analysis:</w:t>
                              </w:r>
                            </w:hyperlink>
                            <w:hyperlink r:id="rId110" w:history="1">
                              <w:r>
                                <w:rPr>
                                  <w:rStyle w:val="Hyperlink"/>
                                  <w:sz w:val="18"/>
                                  <w:szCs w:val="18"/>
                                </w:rPr>
                                <w:t xml:space="preserve"> Coming of age?</w:t>
                              </w:r>
                            </w:hyperlink>
                            <w:hyperlink r:id="rId111" w:history="1">
                              <w:r>
                                <w:rPr>
                                  <w:rStyle w:val="Hyperlink"/>
                                  <w:sz w:val="18"/>
                                  <w:szCs w:val="18"/>
                                </w:rPr>
                                <w:t> </w:t>
                              </w:r>
                            </w:hyperlink>
                            <w:r>
                              <w:rPr>
                                <w:sz w:val="18"/>
                                <w:szCs w:val="18"/>
                              </w:rPr>
                              <w:t>Evaluation 18.3 (2012): 270.–280.</w:t>
                            </w:r>
                          </w:p>
                          <w:p w:rsidR="00FD4C56" w:rsidRPr="00BA450C" w:rsidRDefault="00FD4C56" w:rsidP="00BA450C">
                            <w:pPr>
                              <w:pStyle w:val="HStandard"/>
                              <w:jc w:val="left"/>
                              <w:rPr>
                                <w:sz w:val="18"/>
                                <w:szCs w:val="18"/>
                              </w:rPr>
                            </w:pPr>
                            <w:r>
                              <w:rPr>
                                <w:sz w:val="18"/>
                                <w:szCs w:val="18"/>
                              </w:rPr>
                              <w:t xml:space="preserve">Pawson, R., Greenhalgh, T., Harvey, G. i Walshe, K., 2005. </w:t>
                            </w:r>
                            <w:hyperlink r:id="rId112" w:history="1">
                              <w:r>
                                <w:rPr>
                                  <w:rStyle w:val="Hyperlink"/>
                                  <w:sz w:val="18"/>
                                  <w:szCs w:val="18"/>
                                </w:rPr>
                                <w:t>Realist review–a new method of systematic review designed for complex policy interventions.</w:t>
                              </w:r>
                            </w:hyperlink>
                            <w:r>
                              <w:rPr>
                                <w:sz w:val="18"/>
                                <w:szCs w:val="18"/>
                              </w:rPr>
                              <w:t> Journal of health services research &amp; policy, 10 (dod. 1), str. 21.–34.</w:t>
                            </w:r>
                          </w:p>
                          <w:p w:rsidR="00FD4C56" w:rsidRPr="00BA450C" w:rsidRDefault="00FD4C56" w:rsidP="00BA450C">
                            <w:pPr>
                              <w:pStyle w:val="HStandard"/>
                              <w:jc w:val="left"/>
                              <w:rPr>
                                <w:sz w:val="18"/>
                                <w:szCs w:val="18"/>
                              </w:rPr>
                            </w:pPr>
                            <w:r>
                              <w:rPr>
                                <w:sz w:val="18"/>
                                <w:szCs w:val="18"/>
                              </w:rPr>
                              <w:t xml:space="preserve">Wilson-Grau, R. (2015.) Outcome Harvesting. Better Evaluation. </w:t>
                            </w:r>
                            <w:r>
                              <w:t>Preuzeto sa stranice </w:t>
                            </w:r>
                            <w:hyperlink r:id="rId113" w:history="1">
                              <w:r>
                                <w:rPr>
                                  <w:rStyle w:val="Hyperlink"/>
                                  <w:sz w:val="18"/>
                                  <w:szCs w:val="18"/>
                                </w:rPr>
                                <w:t>http://betterevaluation.org/plan/approach/outcome_harvesting</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33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1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" adj="-11796480,,5400" path="m295201,l5811864,r,l5811864,3924374v,163035,-132166,295201,-295201,295201l,4219575r,l,295201c,132166,132166,,295201,xe" filled="f" strokecolor="#59638e" strokeweight="2pt">
                <v:stroke joinstyle="miter"/>
                <v:formulas/>
                <v:path arrowok="t" o:connecttype="custom" o:connectlocs="295201,0;5811864,0;5811864,0;5811864,3924374;5516663,4219575;0,4219575;0,4219575;0,295201;295201,0" o:connectangles="0,0,0,0,0,0,0,0,0" textboxrect="0,0,5811864,4219575"/>
                <v:textbox>
                  <w:txbxContent>
                    <w:p w:rsidR="00FD4C56" w:rsidRDefault="00FD4C56" w:rsidP="00BA450C">
                      <w:pPr>
                        <w:pStyle w:val="HStandard"/>
                        <w:rPr>
                          <w:sz w:val="18"/>
                          <w:szCs w:val="18"/>
                        </w:rPr>
                      </w:pPr>
                      <w:r>
                        <w:rPr>
                          <w:noProof/>
                          <w:lang w:val="en-GB"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FD4C56" w:rsidRPr="00BA450C" w:rsidRDefault="00FD4C56" w:rsidP="00BA450C">
                      <w:pPr>
                        <w:pStyle w:val="HStandard"/>
                        <w:rPr>
                          <w:sz w:val="18"/>
                          <w:szCs w:val="18"/>
                        </w:rPr>
                      </w:pPr>
                      <w:r>
                        <w:rPr>
                          <w:sz w:val="18"/>
                          <w:szCs w:val="18"/>
                        </w:rPr>
                        <w:t xml:space="preserve">Allen, I.E. i Seaman, C.A. (2007.). </w:t>
                      </w:r>
                      <w:hyperlink r:id="rId114" w:history="1">
                        <w:r>
                          <w:rPr>
                            <w:rStyle w:val="Hyperlink"/>
                            <w:sz w:val="18"/>
                            <w:szCs w:val="18"/>
                          </w:rPr>
                          <w:t>Likert scales and data analyses</w:t>
                        </w:r>
                      </w:hyperlink>
                      <w:r>
                        <w:t>.</w:t>
                      </w:r>
                      <w:r>
                        <w:rPr>
                          <w:sz w:val="18"/>
                          <w:szCs w:val="18"/>
                        </w:rPr>
                        <w:t> Quality progress, 40(7), str. 64.</w:t>
                      </w:r>
                    </w:p>
                    <w:p w:rsidR="00FD4C56" w:rsidRPr="00BA450C" w:rsidRDefault="00FD4C56" w:rsidP="00BA450C">
                      <w:pPr>
                        <w:pStyle w:val="HStandard"/>
                        <w:jc w:val="left"/>
                        <w:rPr>
                          <w:sz w:val="18"/>
                          <w:szCs w:val="18"/>
                        </w:rPr>
                      </w:pPr>
                      <w:r>
                        <w:rPr>
                          <w:sz w:val="18"/>
                          <w:szCs w:val="18"/>
                        </w:rPr>
                        <w:t xml:space="preserve">Collier, D., 2011. </w:t>
                      </w:r>
                      <w:r>
                        <w:t>„</w:t>
                      </w:r>
                      <w:hyperlink r:id="rId115" w:history="1">
                        <w:r>
                          <w:rPr>
                            <w:rStyle w:val="Hyperlink"/>
                            <w:sz w:val="18"/>
                            <w:szCs w:val="18"/>
                          </w:rPr>
                          <w:t>Understanding process tracing.</w:t>
                        </w:r>
                      </w:hyperlink>
                      <w:r>
                        <w:t>”</w:t>
                      </w:r>
                      <w:r>
                        <w:rPr>
                          <w:sz w:val="18"/>
                          <w:szCs w:val="18"/>
                        </w:rPr>
                        <w:t> PS: Political Science &amp; Politics 44.04: 823.–830.</w:t>
                      </w:r>
                    </w:p>
                    <w:p w:rsidR="00FD4C56" w:rsidRPr="00BA450C" w:rsidRDefault="00FD4C56" w:rsidP="00BA450C">
                      <w:pPr>
                        <w:pStyle w:val="HStandard"/>
                        <w:jc w:val="left"/>
                        <w:rPr>
                          <w:sz w:val="18"/>
                          <w:szCs w:val="18"/>
                        </w:rPr>
                      </w:pPr>
                      <w:r>
                        <w:rPr>
                          <w:sz w:val="18"/>
                          <w:szCs w:val="18"/>
                        </w:rPr>
                        <w:t xml:space="preserve">Douthwaite, B. i Ashby, J., 2005. Innovation histories: a method from learning from experience. Institutional Learning and Change Initiative. Pristupljeno 15. svibnja na: </w:t>
                      </w:r>
                      <w:hyperlink r:id="rId116" w:history="1">
                        <w:r>
                          <w:rPr>
                            <w:rStyle w:val="Hyperlink"/>
                            <w:sz w:val="18"/>
                            <w:szCs w:val="18"/>
                          </w:rPr>
                          <w:t>http://ageconsearch.umn.edu/bitstream/52515/2/ILAC_Brief05_Histories.pdf</w:t>
                        </w:r>
                      </w:hyperlink>
                    </w:p>
                    <w:p w:rsidR="00FD4C56" w:rsidRPr="00BA450C" w:rsidRDefault="00FD4C56" w:rsidP="00BA450C">
                      <w:pPr>
                        <w:pStyle w:val="HStandard"/>
                        <w:jc w:val="left"/>
                        <w:rPr>
                          <w:sz w:val="18"/>
                          <w:szCs w:val="18"/>
                        </w:rPr>
                      </w:pPr>
                      <w:r>
                        <w:t xml:space="preserve">GAO (General Accounts Office) (1987.) </w:t>
                      </w:r>
                      <w:hyperlink r:id="rId117" w:history="1">
                        <w:r>
                          <w:rPr>
                            <w:rStyle w:val="Hyperlink"/>
                            <w:sz w:val="18"/>
                            <w:szCs w:val="18"/>
                          </w:rPr>
                          <w:t>Case study evaluation.</w:t>
                        </w:r>
                      </w:hyperlink>
                      <w:hyperlink r:id="rId118" w:history="1">
                        <w:r>
                          <w:rPr>
                            <w:rStyle w:val="Hyperlink"/>
                            <w:sz w:val="18"/>
                            <w:szCs w:val="18"/>
                          </w:rPr>
                          <w:t>Program Evaluation and Methodology</w:t>
                        </w:r>
                      </w:hyperlink>
                      <w:r>
                        <w:rPr>
                          <w:sz w:val="18"/>
                          <w:szCs w:val="18"/>
                        </w:rPr>
                        <w:t>. Division, Transfer Paper 9. Washington DC: GAO.</w:t>
                      </w:r>
                    </w:p>
                    <w:p w:rsidR="00FD4C56" w:rsidRPr="00BA450C" w:rsidRDefault="00FD4C56" w:rsidP="00BA450C">
                      <w:pPr>
                        <w:pStyle w:val="HStandard"/>
                        <w:jc w:val="left"/>
                        <w:rPr>
                          <w:sz w:val="18"/>
                          <w:szCs w:val="18"/>
                        </w:rPr>
                      </w:pPr>
                      <w:r>
                        <w:rPr>
                          <w:sz w:val="18"/>
                          <w:szCs w:val="18"/>
                        </w:rPr>
                        <w:t xml:space="preserve">Hilton, D.J., 1996. </w:t>
                      </w:r>
                      <w:hyperlink r:id="rId119" w:history="1">
                        <w:r>
                          <w:rPr>
                            <w:rStyle w:val="Hyperlink"/>
                            <w:sz w:val="18"/>
                            <w:szCs w:val="18"/>
                          </w:rPr>
                          <w:t>Mental models and causal explanation:</w:t>
                        </w:r>
                      </w:hyperlink>
                      <w:hyperlink r:id="rId120" w:history="1">
                        <w:r>
                          <w:rPr>
                            <w:rStyle w:val="Hyperlink"/>
                            <w:sz w:val="18"/>
                            <w:szCs w:val="18"/>
                          </w:rPr>
                          <w:t xml:space="preserve"> Judgments of probable cause and explanatory relevance</w:t>
                        </w:r>
                      </w:hyperlink>
                      <w:r>
                        <w:rPr>
                          <w:sz w:val="18"/>
                          <w:szCs w:val="18"/>
                        </w:rPr>
                        <w:t>. Thinking &amp; Reasoning, 2(4), str. 273.–308.</w:t>
                      </w:r>
                    </w:p>
                    <w:p w:rsidR="00FD4C56" w:rsidRPr="00BA450C" w:rsidRDefault="00FD4C56" w:rsidP="00BA450C">
                      <w:pPr>
                        <w:pStyle w:val="HStandard"/>
                        <w:jc w:val="left"/>
                        <w:rPr>
                          <w:sz w:val="18"/>
                          <w:szCs w:val="18"/>
                        </w:rPr>
                      </w:pPr>
                      <w:r>
                        <w:rPr>
                          <w:sz w:val="18"/>
                          <w:szCs w:val="18"/>
                        </w:rPr>
                        <w:t xml:space="preserve">Mayne, J., 2012. </w:t>
                      </w:r>
                      <w:hyperlink r:id="rId121" w:history="1">
                        <w:r>
                          <w:rPr>
                            <w:rStyle w:val="Hyperlink"/>
                            <w:sz w:val="18"/>
                            <w:szCs w:val="18"/>
                          </w:rPr>
                          <w:t>Contribution analysis:</w:t>
                        </w:r>
                      </w:hyperlink>
                      <w:hyperlink r:id="rId122" w:history="1">
                        <w:r>
                          <w:rPr>
                            <w:rStyle w:val="Hyperlink"/>
                            <w:sz w:val="18"/>
                            <w:szCs w:val="18"/>
                          </w:rPr>
                          <w:t xml:space="preserve"> Coming of age?</w:t>
                        </w:r>
                      </w:hyperlink>
                      <w:hyperlink r:id="rId123" w:history="1">
                        <w:r>
                          <w:rPr>
                            <w:rStyle w:val="Hyperlink"/>
                            <w:sz w:val="18"/>
                            <w:szCs w:val="18"/>
                          </w:rPr>
                          <w:t> </w:t>
                        </w:r>
                      </w:hyperlink>
                      <w:r>
                        <w:rPr>
                          <w:sz w:val="18"/>
                          <w:szCs w:val="18"/>
                        </w:rPr>
                        <w:t>Evaluation 18.3 (2012): 270.–280.</w:t>
                      </w:r>
                    </w:p>
                    <w:p w:rsidR="00FD4C56" w:rsidRPr="00BA450C" w:rsidRDefault="00FD4C56" w:rsidP="00BA450C">
                      <w:pPr>
                        <w:pStyle w:val="HStandard"/>
                        <w:jc w:val="left"/>
                        <w:rPr>
                          <w:sz w:val="18"/>
                          <w:szCs w:val="18"/>
                        </w:rPr>
                      </w:pPr>
                      <w:r>
                        <w:rPr>
                          <w:sz w:val="18"/>
                          <w:szCs w:val="18"/>
                        </w:rPr>
                        <w:t xml:space="preserve">Pawson, R., Greenhalgh, T., Harvey, G. i Walshe, K., 2005. </w:t>
                      </w:r>
                      <w:hyperlink r:id="rId124" w:history="1">
                        <w:r>
                          <w:rPr>
                            <w:rStyle w:val="Hyperlink"/>
                            <w:sz w:val="18"/>
                            <w:szCs w:val="18"/>
                          </w:rPr>
                          <w:t>Realist review–a new method of systematic review designed for complex policy interventions.</w:t>
                        </w:r>
                      </w:hyperlink>
                      <w:r>
                        <w:rPr>
                          <w:sz w:val="18"/>
                          <w:szCs w:val="18"/>
                        </w:rPr>
                        <w:t> Journal of health services research &amp; policy, 10 (dod. 1), str. 21.–34.</w:t>
                      </w:r>
                    </w:p>
                    <w:p w:rsidR="00FD4C56" w:rsidRPr="00BA450C" w:rsidRDefault="00FD4C56" w:rsidP="00BA450C">
                      <w:pPr>
                        <w:pStyle w:val="HStandard"/>
                        <w:jc w:val="left"/>
                        <w:rPr>
                          <w:sz w:val="18"/>
                          <w:szCs w:val="18"/>
                        </w:rPr>
                      </w:pPr>
                      <w:r>
                        <w:rPr>
                          <w:sz w:val="18"/>
                          <w:szCs w:val="18"/>
                        </w:rPr>
                        <w:t xml:space="preserve">Wilson-Grau, R. (2015.) Outcome Harvesting. Better Evaluation. </w:t>
                      </w:r>
                      <w:r>
                        <w:t>Preuzeto sa stranice </w:t>
                      </w:r>
                      <w:hyperlink r:id="rId125" w:history="1">
                        <w:r>
                          <w:rPr>
                            <w:rStyle w:val="Hyperlink"/>
                            <w:sz w:val="18"/>
                            <w:szCs w:val="18"/>
                          </w:rPr>
                          <w:t>http://betterevaluation.org/plan/approach/outcome_harvesting</w:t>
                        </w:r>
                      </w:hyperlink>
                      <w:r>
                        <w:t>.</w:t>
                      </w:r>
                    </w:p>
                  </w:txbxContent>
                </v:textbox>
              </v:shape>
            </w:pict>
          </mc:Fallback>
        </mc:AlternateContent>
      </w:r>
      <w:r>
        <w:rPr>
          <w:b/>
          <w:color w:val="57825E"/>
          <w:szCs w:val="20"/>
        </w:rPr>
        <w:t>Više o temi</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981127"/>
      <w:r>
        <w:lastRenderedPageBreak/>
        <w:t>PRILOZI</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981128"/>
      <w:bookmarkEnd w:id="138"/>
      <w:bookmarkEnd w:id="139"/>
      <w:bookmarkEnd w:id="140"/>
      <w:bookmarkEnd w:id="141"/>
      <w:r>
        <w:t>Pojmovnik</w:t>
      </w:r>
      <w:bookmarkEnd w:id="142"/>
      <w:bookmarkEnd w:id="143"/>
      <w:bookmarkEnd w:id="144"/>
    </w:p>
    <w:p w:rsidR="0025413B" w:rsidRDefault="0025413B" w:rsidP="0025413B">
      <w:pPr>
        <w:rPr>
          <w:rFonts w:eastAsia="Arial" w:cs="Arial"/>
          <w:b/>
          <w:color w:val="57825E"/>
          <w:szCs w:val="20"/>
        </w:rPr>
      </w:pPr>
      <w:r>
        <w:rPr>
          <w:b/>
          <w:color w:val="57825E"/>
          <w:szCs w:val="20"/>
        </w:rPr>
        <w:t>Klaster</w:t>
      </w:r>
    </w:p>
    <w:p w:rsidR="0025413B" w:rsidRDefault="0025413B" w:rsidP="0025413B">
      <w:pPr>
        <w:rPr>
          <w:rFonts w:cs="Arial"/>
          <w:color w:val="404040" w:themeColor="background1" w:themeShade="40"/>
          <w:szCs w:val="20"/>
        </w:rPr>
      </w:pPr>
      <w:r>
        <w:rPr>
          <w:color w:val="404040" w:themeColor="background1" w:themeShade="40"/>
          <w:szCs w:val="20"/>
        </w:rPr>
        <w:t>Okupljanje neovisnih poduzeća, uključujući novoosnovana poduzeća, mala, srednja i velika poduzeća kao i savjetodavna tijela i/ili istraživačke organizacije – stvoreno za poticanje gospodarske/inovativne aktivnosti promoviranjem intenzivnih interakcija, dijeljenja prostora i razmjene znanja i stručnog znanja, kao i učinkovitim doprinosom prenošenju znanja, umrežavanju i širenju informacija među poduzećima u klasteru.</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xml:space="preserve">: Smjernice za mjeru suradnje, studeni 2014. </w:t>
      </w:r>
      <w:hyperlink r:id="rId126" w:history="1">
        <w:r>
          <w:rPr>
            <w:rStyle w:val="Hyperlink"/>
            <w:i/>
            <w:szCs w:val="16"/>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Poticajno ostvarenje</w:t>
      </w:r>
    </w:p>
    <w:p w:rsidR="0025413B" w:rsidRDefault="0025413B" w:rsidP="0025413B">
      <w:pPr>
        <w:rPr>
          <w:rFonts w:cs="Arial"/>
          <w:color w:val="404040" w:themeColor="background1" w:themeShade="40"/>
          <w:szCs w:val="20"/>
        </w:rPr>
      </w:pPr>
      <w:r>
        <w:rPr>
          <w:color w:val="404040" w:themeColor="background1" w:themeShade="40"/>
          <w:szCs w:val="20"/>
        </w:rPr>
        <w:t>Ostvarenje povezano s trima inovacijskim putanjama, primjerice: 1. utvrđivanje i njegovanje potencijalnih inovativnih ideja; 2. izgradnja inovacijskog kapaciteta i 3. izgradnja poticajnog okruženja za inovacije. Može se iskazati u obliku promjena stope nastanka i kvalitete novih inovativnih ideja, promjena inovacijskog kapaciteta i promjena poticajnog okruženja.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TWG-4.</w:t>
      </w:r>
    </w:p>
    <w:p w:rsidR="0025413B" w:rsidRDefault="0025413B" w:rsidP="0025413B">
      <w:pPr>
        <w:rPr>
          <w:rFonts w:eastAsia="Arial" w:cs="Arial"/>
          <w:b/>
          <w:color w:val="57825E"/>
          <w:szCs w:val="20"/>
        </w:rPr>
      </w:pPr>
      <w:r>
        <w:rPr>
          <w:b/>
          <w:color w:val="57825E"/>
          <w:szCs w:val="20"/>
        </w:rPr>
        <w:t>Europsko partnerstvo za inovacije</w:t>
      </w:r>
    </w:p>
    <w:p w:rsidR="0025413B" w:rsidRDefault="0025413B" w:rsidP="0025413B">
      <w:pPr>
        <w:rPr>
          <w:rFonts w:cs="Arial"/>
          <w:color w:val="404040" w:themeColor="background1" w:themeShade="40"/>
          <w:szCs w:val="20"/>
        </w:rPr>
      </w:pPr>
      <w:r>
        <w:rPr>
          <w:color w:val="404040" w:themeColor="background1" w:themeShade="40"/>
          <w:szCs w:val="20"/>
        </w:rPr>
        <w:t>Sastavni dio vodeće inicijative Unija inovacija, odnosno pristup istraživanju i inovacijama u EU-u. Pokreću ga izazovi, opseg mu obuhvaća cijeli lanac istraživanja i inovacija te se u okviru njega usmjeravaju, pojednostavljuju i bolje koordiniraju postojeći instrumenti i inicijative.</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Komunikacija Komisije Europskom parlamentu, Vijeću, Europskom gospodarskom i socijalnom odboru i Odboru regija – Vodeća inicijativa strategije Europa 2020. </w:t>
      </w:r>
      <w:r>
        <w:t xml:space="preserve">„Unija inovacija” (2010.) </w:t>
      </w:r>
      <w:hyperlink r:id="rId127" w:history="1">
        <w:r>
          <w:rPr>
            <w:rStyle w:val="Hyperlink"/>
            <w:i/>
            <w:szCs w:val="16"/>
          </w:rPr>
          <w:t>https://ec.europa.eu/research/innovation-union/pdf/innovation-union-communication_en.pdf</w:t>
        </w:r>
      </w:hyperlink>
    </w:p>
    <w:p w:rsidR="0025413B" w:rsidRDefault="0025413B" w:rsidP="000E0FE4">
      <w:pPr>
        <w:jc w:val="left"/>
        <w:rPr>
          <w:rFonts w:eastAsia="Arial" w:cs="Arial"/>
          <w:b/>
          <w:color w:val="57825E"/>
          <w:szCs w:val="20"/>
        </w:rPr>
      </w:pPr>
      <w:r>
        <w:rPr>
          <w:b/>
          <w:color w:val="57825E"/>
          <w:szCs w:val="20"/>
        </w:rPr>
        <w:t>Europsko partnerstvo za inovacije „Poljoprivredna produktivnost i održivost” (EIP-AGRI)</w:t>
      </w:r>
    </w:p>
    <w:p w:rsidR="0025413B" w:rsidRDefault="0025413B" w:rsidP="0025413B">
      <w:pPr>
        <w:rPr>
          <w:rFonts w:cs="Arial"/>
          <w:szCs w:val="20"/>
        </w:rPr>
      </w:pPr>
      <w:r>
        <w:t xml:space="preserve">Europsko partnerstvo za inovacije usmjereno na poljoprivredni i šumarski sektor koji je Europska komisija pokrenula 2012. EIP-AGRI okuplja inovacijske subjekte i stvara sinergije među postojećim politikama. Njegov je glavni cilj poticati konkurentnost i održivost u tim sektorima, a time i pridonositi: osiguranju </w:t>
      </w:r>
      <w:r>
        <w:t>stabilne opskrbe prehrambenim proizvodima, hranom za životinje i biomaterijalima te održivog upravljanja ključnim prirodnim resursima o kojima ovisi poljoprivredna proizvodnja i šumarstvo, pri čemu se postupa u skladu s okolišem.</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xml:space="preserve">: </w:t>
      </w:r>
      <w:r>
        <w:rPr>
          <w:i/>
          <w:sz w:val="16"/>
          <w:szCs w:val="16"/>
        </w:rPr>
        <w:t>Studija o evaluaciji provedbe Europskog partnerstva za inovacije za poljoprivrednu produktivnost i održivost https://ec.europa.eu/agriculture/external-studies/2016-eip_en</w:t>
      </w:r>
    </w:p>
    <w:p w:rsidR="0025413B" w:rsidRPr="00D5702B" w:rsidRDefault="0025413B" w:rsidP="0025413B">
      <w:pPr>
        <w:jc w:val="left"/>
        <w:rPr>
          <w:rFonts w:eastAsia="Times New Roman" w:cs="Arial"/>
          <w:i/>
          <w:szCs w:val="20"/>
        </w:rPr>
      </w:pPr>
      <w:r>
        <w:t xml:space="preserve">Komunikacija Komisije Europskom parlamentu i Vijeću o Europskom partnerstvu za inovacije „Poljoprivredna produktivnost i održivost” (2012.) </w:t>
      </w:r>
      <w:hyperlink r:id="rId128" w:history="1">
        <w:r>
          <w:rPr>
            <w:rStyle w:val="Hyperlink"/>
            <w:i/>
            <w:szCs w:val="16"/>
          </w:rPr>
          <w:t>https://ec.europa.eu/eip/agriculture/sites/agri-eip/files/communication_on_eip_-_en.pdf</w:t>
        </w:r>
      </w:hyperlink>
    </w:p>
    <w:p w:rsidR="0025413B" w:rsidRPr="009125CD" w:rsidRDefault="0025413B" w:rsidP="0025413B">
      <w:pPr>
        <w:rPr>
          <w:rFonts w:eastAsia="Arial" w:cs="Arial"/>
          <w:b/>
          <w:color w:val="57825E"/>
          <w:szCs w:val="20"/>
        </w:rPr>
      </w:pPr>
      <w:r>
        <w:rPr>
          <w:b/>
          <w:color w:val="57825E"/>
          <w:szCs w:val="20"/>
        </w:rPr>
        <w:t>Inovacijski kapacitet</w:t>
      </w:r>
    </w:p>
    <w:p w:rsidR="0025413B" w:rsidRPr="005E61D0" w:rsidRDefault="0025413B" w:rsidP="0025413B">
      <w:pPr>
        <w:rPr>
          <w:rFonts w:cs="Arial"/>
          <w:szCs w:val="20"/>
        </w:rPr>
      </w:pPr>
      <w:r>
        <w:t>„Neprekidna sposobnost kombiniranja i uporabe različitih vrsta znanja.”</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u w:val="single"/>
        </w:rPr>
        <w:t>Referenca</w:t>
      </w:r>
      <w:r>
        <w:rPr>
          <w:i/>
          <w:color w:val="404040" w:themeColor="background1" w:themeShade="40"/>
          <w:sz w:val="16"/>
          <w:szCs w:val="16"/>
        </w:rPr>
        <w:t xml:space="preserve">: Chuluunbaatar, D. i LeGrand, S., 2015. Enabling the capacity to innovate with a system-wide assessment process. Occasional Papers in Innovation in Family Farming. FAO, Rim. </w:t>
      </w:r>
      <w:r>
        <w:rPr>
          <w:rStyle w:val="Hyperlink"/>
          <w:i/>
          <w:szCs w:val="16"/>
        </w:rPr>
        <w:t>http://www.fao.org/3/a-i5097e.pdf</w:t>
      </w:r>
    </w:p>
    <w:p w:rsidR="0025413B" w:rsidRPr="009125CD" w:rsidRDefault="0025413B" w:rsidP="0025413B">
      <w:pPr>
        <w:rPr>
          <w:rFonts w:eastAsia="Arial" w:cs="Arial"/>
          <w:b/>
          <w:color w:val="57825E"/>
          <w:szCs w:val="20"/>
        </w:rPr>
      </w:pPr>
      <w:r>
        <w:rPr>
          <w:b/>
          <w:color w:val="57825E"/>
          <w:szCs w:val="20"/>
        </w:rPr>
        <w:t xml:space="preserve">Inovacijsko ostvarenje </w:t>
      </w:r>
    </w:p>
    <w:p w:rsidR="0025413B" w:rsidRDefault="0025413B" w:rsidP="0025413B">
      <w:pPr>
        <w:rPr>
          <w:rFonts w:cs="Arial"/>
          <w:color w:val="404040" w:themeColor="background1" w:themeShade="40"/>
          <w:szCs w:val="20"/>
        </w:rPr>
      </w:pPr>
      <w:r>
        <w:rPr>
          <w:color w:val="404040" w:themeColor="background1" w:themeShade="40"/>
          <w:szCs w:val="20"/>
        </w:rPr>
        <w:t>Inovacijska ostvarenja proizlaze iz poticajnih ostvarenja (npr. novih praksi, povećanih prihoda, primjene održivijih poljoprivrednih praksi).</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TRS-4, stranica 11.</w:t>
      </w:r>
    </w:p>
    <w:p w:rsidR="0025413B" w:rsidRDefault="0025413B" w:rsidP="0025413B">
      <w:pPr>
        <w:rPr>
          <w:rFonts w:eastAsia="Arial" w:cs="Arial"/>
          <w:b/>
          <w:color w:val="57825E"/>
          <w:szCs w:val="20"/>
        </w:rPr>
      </w:pPr>
      <w:r>
        <w:rPr>
          <w:b/>
          <w:color w:val="57825E"/>
          <w:szCs w:val="20"/>
        </w:rPr>
        <w:t>Usluge potpore inovacijama</w:t>
      </w:r>
    </w:p>
    <w:p w:rsidR="0025413B" w:rsidRDefault="0025413B" w:rsidP="0025413B">
      <w:pPr>
        <w:rPr>
          <w:rFonts w:cs="Arial"/>
          <w:color w:val="404040" w:themeColor="background1" w:themeShade="40"/>
          <w:szCs w:val="20"/>
        </w:rPr>
      </w:pPr>
      <w:r>
        <w:rPr>
          <w:color w:val="404040" w:themeColor="background1" w:themeShade="40"/>
          <w:szCs w:val="20"/>
        </w:rPr>
        <w:t>U uslugama potpore inovacijama upotrebljavaju se modeli koji se prilagođavaju lokalnim uvjetima i koji bi mogli imati važnu ulogu u uključivanju pravih ljudi u projekte, povezivanju poljoprivrednika i savjetnika s istraživačima te pružanju pomoći u pronalasku financiranja.</w:t>
      </w:r>
    </w:p>
    <w:p w:rsidR="0025413B" w:rsidRPr="009125CD" w:rsidRDefault="0025413B" w:rsidP="0025413B">
      <w:pPr>
        <w:rPr>
          <w:rFonts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Brošura EIP-AGRI-ja o uslugama potpore inovacijama: </w:t>
      </w:r>
      <w:hyperlink r:id="rId129" w:history="1">
        <w:r>
          <w:rPr>
            <w:rStyle w:val="Hyperlink"/>
            <w:i/>
            <w:szCs w:val="16"/>
          </w:rPr>
          <w:t>https://ec.europa.eu/eip/agriculture/en/content/innovation-support-services</w:t>
        </w:r>
      </w:hyperlink>
      <w:r>
        <w:t>.</w:t>
      </w:r>
    </w:p>
    <w:p w:rsidR="0025413B" w:rsidRPr="009125CD" w:rsidRDefault="0025413B" w:rsidP="0025413B">
      <w:pPr>
        <w:rPr>
          <w:rFonts w:eastAsia="Arial" w:cs="Arial"/>
          <w:b/>
          <w:color w:val="57825E"/>
          <w:szCs w:val="20"/>
        </w:rPr>
      </w:pPr>
      <w:r>
        <w:rPr>
          <w:b/>
          <w:color w:val="57825E"/>
          <w:szCs w:val="20"/>
        </w:rPr>
        <w:t>Inovacijski sustav</w:t>
      </w:r>
    </w:p>
    <w:p w:rsidR="0025413B" w:rsidRDefault="0025413B" w:rsidP="0025413B">
      <w:pPr>
        <w:rPr>
          <w:rFonts w:cs="Arial"/>
          <w:color w:val="404040" w:themeColor="background1" w:themeShade="40"/>
          <w:szCs w:val="20"/>
        </w:rPr>
      </w:pPr>
      <w:r>
        <w:rPr>
          <w:color w:val="404040" w:themeColor="background1" w:themeShade="40"/>
          <w:szCs w:val="20"/>
        </w:rPr>
        <w:t>„Skupine organizacija i pojedinaca uključenih u stvaranje, širenje i prilagodbu te uporabu znanja od društveno-gospodarskog značaja te institucionalni kontekst kojim je uređen način na koji se odvijaju te interakcije i procesi.”</w:t>
      </w:r>
    </w:p>
    <w:p w:rsidR="0025413B" w:rsidRDefault="0025413B" w:rsidP="0025413B">
      <w:pPr>
        <w:rPr>
          <w:rFonts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Hall, A., Rasheed Sulaiman, V., Clark, N. i Yoganand, B. 2003. From measuring impact to learning institutional lessons: an innovation system’s perspective </w:t>
      </w:r>
      <w:r>
        <w:rPr>
          <w:i/>
          <w:color w:val="404040" w:themeColor="background1" w:themeShade="40"/>
          <w:sz w:val="16"/>
          <w:szCs w:val="16"/>
        </w:rPr>
        <w:lastRenderedPageBreak/>
        <w:t>on improving the management of international agricultural research. Agricultural Systems 78: 213.–241.</w:t>
      </w:r>
    </w:p>
    <w:p w:rsidR="0025413B" w:rsidRPr="009125CD" w:rsidRDefault="0025413B" w:rsidP="0025413B">
      <w:pPr>
        <w:rPr>
          <w:rFonts w:eastAsia="Arial" w:cs="Arial"/>
          <w:b/>
          <w:color w:val="57825E"/>
          <w:szCs w:val="20"/>
        </w:rPr>
      </w:pPr>
      <w:r>
        <w:rPr>
          <w:b/>
          <w:color w:val="57825E"/>
          <w:szCs w:val="20"/>
        </w:rPr>
        <w:t>Inovacijska putanja</w:t>
      </w:r>
    </w:p>
    <w:p w:rsidR="0025413B" w:rsidRDefault="0025413B" w:rsidP="0025413B">
      <w:pPr>
        <w:rPr>
          <w:rFonts w:cs="Arial"/>
          <w:color w:val="404040" w:themeColor="background1" w:themeShade="40"/>
          <w:szCs w:val="20"/>
        </w:rPr>
      </w:pPr>
      <w:r>
        <w:rPr>
          <w:color w:val="404040" w:themeColor="background1" w:themeShade="40"/>
          <w:szCs w:val="20"/>
        </w:rPr>
        <w:t>Proces u okviru kojeg aktivnosti PRR-a postižu ostvarenja, rezultate i učinke koji pridonose realizaciji ciljeva PRR-a, pri čemu proces i inovacijski sustav u kojem se on odvija međusobno utječu jedan na drugog.</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TRS-4, stranica 5.</w:t>
      </w:r>
    </w:p>
    <w:p w:rsidR="0025413B" w:rsidRDefault="0025413B" w:rsidP="0025413B">
      <w:pPr>
        <w:rPr>
          <w:rFonts w:eastAsia="Arial" w:cs="Arial"/>
          <w:b/>
          <w:color w:val="57825E"/>
          <w:szCs w:val="20"/>
        </w:rPr>
      </w:pPr>
      <w:r>
        <w:rPr>
          <w:b/>
          <w:color w:val="57825E"/>
          <w:szCs w:val="20"/>
        </w:rPr>
        <w:t>Interaktivne inovacije</w:t>
      </w:r>
    </w:p>
    <w:p w:rsidR="0025413B" w:rsidRDefault="0025413B" w:rsidP="0025413B">
      <w:pPr>
        <w:rPr>
          <w:rFonts w:cs="Arial"/>
          <w:color w:val="404040" w:themeColor="background1" w:themeShade="40"/>
          <w:szCs w:val="20"/>
        </w:rPr>
      </w:pPr>
      <w:r>
        <w:rPr>
          <w:color w:val="404040" w:themeColor="background1" w:themeShade="40"/>
          <w:szCs w:val="20"/>
        </w:rPr>
        <w:t>Očekuje se da sastavnice interaktivnih (sistemskih) inovacija potječu iz znanosti, no i iz prakse i posrednika, uključujući poljoprivrednike, savjetodavne službe, NVO-e, istraživače itd. u svojstvu sudionika procesa „odozdo prema gore”. Interaktivne inovacije uključuju postojeće (ponekad opipljivo) znanje koje nije uvijek samo znanstveno.</w:t>
      </w:r>
    </w:p>
    <w:p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Smjernice za programiranje za inovacije i provedbu EPI-ja za poljoprivrednu produktivnost i održivost: </w:t>
      </w:r>
      <w:hyperlink r:id="rId130" w:history="1">
        <w:r>
          <w:rPr>
            <w:rStyle w:val="Hyperlink"/>
            <w:i/>
            <w:szCs w:val="16"/>
          </w:rPr>
          <w:t>http://ec.europa.eu/eip/agriculture/sites/agri-eip/files/eip-guidelines-july-2014_en.pdf</w:t>
        </w:r>
      </w:hyperlink>
      <w:r>
        <w:t>.</w:t>
      </w:r>
    </w:p>
    <w:p w:rsidR="0025413B" w:rsidRDefault="0025413B" w:rsidP="0025413B">
      <w:pPr>
        <w:rPr>
          <w:rFonts w:eastAsia="Arial" w:cs="Arial"/>
          <w:b/>
          <w:color w:val="57825E"/>
          <w:szCs w:val="20"/>
        </w:rPr>
      </w:pPr>
      <w:r>
        <w:rPr>
          <w:b/>
          <w:color w:val="57825E"/>
          <w:szCs w:val="20"/>
        </w:rPr>
        <w:t>Operativne skupine</w:t>
      </w:r>
    </w:p>
    <w:p w:rsidR="0025413B" w:rsidRDefault="0025413B" w:rsidP="0025413B">
      <w:pPr>
        <w:rPr>
          <w:rFonts w:cs="Arial"/>
          <w:color w:val="404040" w:themeColor="background1" w:themeShade="40"/>
          <w:szCs w:val="20"/>
        </w:rPr>
      </w:pPr>
      <w:r>
        <w:rPr>
          <w:color w:val="404040" w:themeColor="background1" w:themeShade="40"/>
          <w:szCs w:val="20"/>
        </w:rPr>
        <w:t>Skupine ljudi (kao što su poljoprivrednici, istraživači, savjetnici itd.) koji surađuju na praktičnom inovacijskom projektu koji ima konkretne ciljeve.</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xml:space="preserve">: Brošura EIP-AGRI-ja o uslugama potpore inovacijama: </w:t>
      </w:r>
      <w:hyperlink r:id="rId131"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 xml:space="preserve">Inovacijski potencijal PRR-a </w:t>
      </w:r>
    </w:p>
    <w:p w:rsidR="0025413B" w:rsidRDefault="0025413B" w:rsidP="0025413B">
      <w:pPr>
        <w:rPr>
          <w:rFonts w:cs="Arial"/>
          <w:color w:val="404040" w:themeColor="background1" w:themeShade="40"/>
          <w:szCs w:val="20"/>
        </w:rPr>
      </w:pPr>
      <w:r>
        <w:rPr>
          <w:color w:val="404040" w:themeColor="background1" w:themeShade="40"/>
          <w:szCs w:val="20"/>
        </w:rPr>
        <w:t xml:space="preserve">Inovacijski potencijal PRR-a mjera je u kojoj određeni pristup u PRR-u osmišljen za inovacije može poticati inovacije i postići ciljeve politike u ruralnim područjima unutar inovacijskog sustava ili konteksta.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TWG-4.</w:t>
      </w:r>
    </w:p>
    <w:p w:rsidR="0025413B" w:rsidRPr="009125CD" w:rsidRDefault="0025413B" w:rsidP="0025413B">
      <w:pPr>
        <w:rPr>
          <w:rFonts w:eastAsia="Arial" w:cs="Arial"/>
          <w:b/>
          <w:color w:val="57825E"/>
          <w:szCs w:val="20"/>
        </w:rPr>
      </w:pPr>
      <w:r>
        <w:rPr>
          <w:b/>
          <w:color w:val="57825E"/>
          <w:szCs w:val="20"/>
        </w:rPr>
        <w:t>Socijalne inovacije</w:t>
      </w:r>
    </w:p>
    <w:p w:rsidR="0025413B" w:rsidRDefault="0025413B" w:rsidP="0025413B">
      <w:pPr>
        <w:rPr>
          <w:rFonts w:cs="Arial"/>
          <w:color w:val="404040" w:themeColor="background1" w:themeShade="40"/>
          <w:szCs w:val="20"/>
        </w:rPr>
      </w:pPr>
      <w:r>
        <w:rPr>
          <w:color w:val="404040" w:themeColor="background1" w:themeShade="40"/>
          <w:szCs w:val="20"/>
        </w:rPr>
        <w:t>Socijalne inovacije mogu se definirati kao razvoj i provedba novih ideja (proizvoda, usluga i modela) radi ispunjavanja društvenih potreba i stvaranja novih društvenih odnosa ili suradnje.</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u w:val="single"/>
        </w:rPr>
        <w:t>Referenca</w:t>
      </w:r>
      <w:r>
        <w:rPr>
          <w:i/>
          <w:color w:val="404040" w:themeColor="background1" w:themeShade="40"/>
          <w:sz w:val="16"/>
          <w:szCs w:val="16"/>
        </w:rPr>
        <w:t>: GU REGIO, GU EMPL, GU AGRI itd. (2013.) Vodič za socijalne inovacije.</w:t>
      </w:r>
    </w:p>
    <w:p w:rsidR="0025413B" w:rsidRPr="009125CD" w:rsidRDefault="0025413B" w:rsidP="0025413B">
      <w:pPr>
        <w:rPr>
          <w:rFonts w:eastAsia="Arial" w:cs="Arial"/>
          <w:b/>
          <w:color w:val="57825E"/>
          <w:szCs w:val="20"/>
        </w:rPr>
      </w:pPr>
      <w:r>
        <w:rPr>
          <w:b/>
          <w:color w:val="57825E"/>
          <w:szCs w:val="20"/>
        </w:rPr>
        <w:t>Tematske i analitičke razmjene</w:t>
      </w:r>
    </w:p>
    <w:p w:rsidR="0025413B" w:rsidRDefault="0025413B" w:rsidP="0025413B">
      <w:pPr>
        <w:rPr>
          <w:rFonts w:cs="Arial"/>
          <w:color w:val="404040" w:themeColor="background1" w:themeShade="40"/>
          <w:szCs w:val="20"/>
        </w:rPr>
      </w:pPr>
      <w:r>
        <w:rPr>
          <w:color w:val="404040" w:themeColor="background1" w:themeShade="40"/>
          <w:szCs w:val="20"/>
        </w:rPr>
        <w:t>NRM-ovi mogu promicati različite oblike razmjene. Najčešći oblik tematskih razmjena koje su razvili NRM-ovi stalne su ili ad hoc tematske radne skupine (TRS-ovi). TRS-ovi NRM-a okupljaju različite dionike radi rasprave, analize i dijeljenja informacija o zajedničkim temama, što često rezultira preporukama o provedbi i programiranju PRR-a.</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 xml:space="preserve"> Referenca</w:t>
      </w:r>
      <w:r>
        <w:rPr>
          <w:i/>
          <w:color w:val="404040" w:themeColor="background1" w:themeShade="40"/>
          <w:sz w:val="16"/>
          <w:szCs w:val="16"/>
        </w:rPr>
        <w:t xml:space="preserve">: Vodič za NRM-ove: </w:t>
      </w:r>
      <w:hyperlink r:id="rId132" w:history="1">
        <w:r>
          <w:rPr>
            <w:rStyle w:val="Hyperlink"/>
            <w:i/>
            <w:szCs w:val="16"/>
          </w:rPr>
          <w:t>http://enrd.ec.europa.eu/enrd-static/app_templates/enrd_assets/pdf/guidebook/nrn_handbook_webversion.pdf</w:t>
        </w:r>
      </w:hyperlink>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F86385" w:rsidRDefault="00E05D08" w:rsidP="00E05D08">
      <w:pPr>
        <w:spacing w:before="60" w:after="140" w:line="220" w:lineRule="atLeast"/>
        <w:rPr>
          <w:rFonts w:eastAsia="Times New Roman" w:cs="Times New Roman"/>
          <w:sz w:val="18"/>
          <w:szCs w:val="24"/>
          <w:lang w:val="pt-PT" w:eastAsia="de-DE"/>
        </w:rPr>
        <w:sectPr w:rsidR="00E05D08" w:rsidRPr="00F86385"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8981129"/>
      <w:r>
        <w:lastRenderedPageBreak/>
        <w:t>Utvrđivanje inovacijskog potencijala PRR-a: korak po korak</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Koraci</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Ključno pitanje na koje treba odgovoriti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Lokacija u PRR-u</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Primjeri</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Rizici povezani s korakom</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Rješenja</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1. korak: utvrđivanje poveznica između potreba povezanih s inovacijama i mjere/podmjere </w:t>
            </w:r>
          </w:p>
        </w:tc>
        <w:tc>
          <w:tcPr>
            <w:tcW w:w="3260" w:type="dxa"/>
          </w:tcPr>
          <w:p w:rsidR="00E05D08" w:rsidRPr="00E05D08" w:rsidRDefault="00AA5817" w:rsidP="00F31494">
            <w:pPr>
              <w:spacing w:after="120"/>
              <w:jc w:val="left"/>
              <w:rPr>
                <w:rFonts w:cs="Arial"/>
                <w:sz w:val="16"/>
                <w:szCs w:val="16"/>
              </w:rPr>
            </w:pPr>
            <w:r>
              <w:rPr>
                <w:sz w:val="16"/>
                <w:szCs w:val="16"/>
              </w:rPr>
              <w:t>Koje su potrebe povezane s inovacijama utvrđene u procjeni potreba povezanoj s mjerom/podmjerom?</w:t>
            </w:r>
          </w:p>
          <w:p w:rsidR="00E05D08" w:rsidRPr="00E05D08" w:rsidRDefault="00E05D08" w:rsidP="00F31494">
            <w:pPr>
              <w:spacing w:after="120"/>
              <w:jc w:val="left"/>
              <w:rPr>
                <w:rFonts w:cs="Arial"/>
                <w:sz w:val="16"/>
                <w:szCs w:val="16"/>
              </w:rPr>
            </w:pPr>
            <w:r>
              <w:rPr>
                <w:sz w:val="16"/>
                <w:szCs w:val="16"/>
              </w:rPr>
              <w:t>Kako se mjerom/podmjerom rješavaju te potrebe s obzirom na tri putanje?</w:t>
            </w:r>
          </w:p>
        </w:tc>
        <w:tc>
          <w:tcPr>
            <w:tcW w:w="2268" w:type="dxa"/>
          </w:tcPr>
          <w:p w:rsidR="00E05D08" w:rsidRPr="00E05D08" w:rsidRDefault="00E05D08" w:rsidP="00F31494">
            <w:pPr>
              <w:jc w:val="left"/>
              <w:rPr>
                <w:rFonts w:cs="Arial"/>
                <w:sz w:val="16"/>
                <w:szCs w:val="16"/>
              </w:rPr>
            </w:pPr>
            <w:r>
              <w:rPr>
                <w:sz w:val="16"/>
                <w:szCs w:val="16"/>
              </w:rPr>
              <w:t>4. odjeljak – Analiza SWOT i analiza potreba</w:t>
            </w:r>
          </w:p>
          <w:p w:rsidR="00E05D08" w:rsidRPr="00E05D08" w:rsidRDefault="00E05D08" w:rsidP="00F31494">
            <w:pPr>
              <w:jc w:val="left"/>
              <w:rPr>
                <w:rFonts w:cs="Arial"/>
                <w:sz w:val="16"/>
                <w:szCs w:val="16"/>
              </w:rPr>
            </w:pPr>
            <w:r>
              <w:rPr>
                <w:sz w:val="16"/>
                <w:szCs w:val="16"/>
              </w:rPr>
              <w:t>5. odjeljak – Opis strategije</w:t>
            </w:r>
          </w:p>
          <w:p w:rsidR="00E05D08" w:rsidRPr="00E05D08" w:rsidRDefault="00E05D08" w:rsidP="00F31494">
            <w:pPr>
              <w:jc w:val="left"/>
              <w:rPr>
                <w:rFonts w:cs="Arial"/>
                <w:sz w:val="16"/>
                <w:szCs w:val="16"/>
              </w:rPr>
            </w:pPr>
            <w:r>
              <w:rPr>
                <w:sz w:val="16"/>
                <w:szCs w:val="16"/>
              </w:rPr>
              <w:t>8. odjeljak – Opis mjera i podmjera</w:t>
            </w:r>
          </w:p>
        </w:tc>
        <w:tc>
          <w:tcPr>
            <w:tcW w:w="2693" w:type="dxa"/>
          </w:tcPr>
          <w:p w:rsidR="00E05D08" w:rsidRPr="00E05D08" w:rsidRDefault="00E05D08" w:rsidP="00F31494">
            <w:pPr>
              <w:jc w:val="left"/>
              <w:rPr>
                <w:rFonts w:cs="Arial"/>
                <w:sz w:val="16"/>
                <w:szCs w:val="16"/>
              </w:rPr>
            </w:pPr>
            <w:r>
              <w:rPr>
                <w:sz w:val="16"/>
                <w:szCs w:val="16"/>
              </w:rPr>
              <w:t>Potreba za poboljšanjem sustava istraživanja, razvoja i inovacija, potreba za poboljšanjem mehanizama za prijenos znanja, potreba za promicanjem kulture inovacija među subjektima u poljoprivredno-prehrambenom sektoru.</w:t>
            </w:r>
          </w:p>
        </w:tc>
        <w:tc>
          <w:tcPr>
            <w:tcW w:w="2268" w:type="dxa"/>
          </w:tcPr>
          <w:p w:rsidR="00E05D08" w:rsidRPr="00E05D08" w:rsidRDefault="00AA5817" w:rsidP="00963A81">
            <w:pPr>
              <w:jc w:val="left"/>
              <w:rPr>
                <w:rFonts w:cs="Arial"/>
                <w:sz w:val="16"/>
                <w:szCs w:val="16"/>
              </w:rPr>
            </w:pPr>
            <w:r>
              <w:rPr>
                <w:sz w:val="16"/>
                <w:szCs w:val="16"/>
              </w:rPr>
              <w:t xml:space="preserve">Potrebe povezane s inovacijama nisu jasno formulirane u analizi SWOT i procjeni potreba. </w:t>
            </w:r>
          </w:p>
        </w:tc>
        <w:tc>
          <w:tcPr>
            <w:tcW w:w="2410" w:type="dxa"/>
          </w:tcPr>
          <w:p w:rsidR="00E05D08" w:rsidRPr="00E05D08" w:rsidRDefault="00E05D08" w:rsidP="00F31494">
            <w:pPr>
              <w:jc w:val="left"/>
              <w:rPr>
                <w:rFonts w:cs="Arial"/>
                <w:sz w:val="16"/>
                <w:szCs w:val="16"/>
              </w:rPr>
            </w:pPr>
            <w:r>
              <w:rPr>
                <w:sz w:val="16"/>
                <w:szCs w:val="16"/>
              </w:rPr>
              <w:t>Preispitajte analizu SWOT i procjenu potreba u kontekstu potreba povezanih s inovacijama.</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2. korak: utvrđivanje dijelova ciljeva mjere/podmjere koji su povezani s inovacijama</w:t>
            </w:r>
          </w:p>
        </w:tc>
        <w:tc>
          <w:tcPr>
            <w:tcW w:w="3260" w:type="dxa"/>
          </w:tcPr>
          <w:p w:rsidR="00E05D08" w:rsidRPr="00E05D08" w:rsidRDefault="00E05D08" w:rsidP="00F31494">
            <w:pPr>
              <w:spacing w:after="120"/>
              <w:jc w:val="left"/>
              <w:rPr>
                <w:rFonts w:cs="Arial"/>
                <w:sz w:val="16"/>
                <w:szCs w:val="16"/>
              </w:rPr>
            </w:pPr>
            <w:r>
              <w:rPr>
                <w:sz w:val="16"/>
                <w:szCs w:val="16"/>
              </w:rPr>
              <w:t>U kojoj se mjeri ciljevima mjere/podmjere rješavaju potrebe povezane s inovacijama?</w:t>
            </w:r>
          </w:p>
          <w:p w:rsidR="00E05D08" w:rsidRPr="00E05D08" w:rsidRDefault="00E05D08" w:rsidP="00F31494">
            <w:pPr>
              <w:spacing w:after="120"/>
              <w:jc w:val="left"/>
              <w:rPr>
                <w:rFonts w:cs="Arial"/>
                <w:sz w:val="16"/>
                <w:szCs w:val="16"/>
              </w:rPr>
            </w:pPr>
            <w:r>
              <w:rPr>
                <w:sz w:val="16"/>
                <w:szCs w:val="16"/>
              </w:rPr>
              <w:t>Kako su oblikovani ciljevi u pogledu inovacija?</w:t>
            </w:r>
          </w:p>
        </w:tc>
        <w:tc>
          <w:tcPr>
            <w:tcW w:w="2268" w:type="dxa"/>
          </w:tcPr>
          <w:p w:rsidR="00E05D08" w:rsidRPr="00E05D08" w:rsidRDefault="00E05D08" w:rsidP="00F31494">
            <w:pPr>
              <w:jc w:val="left"/>
              <w:rPr>
                <w:rFonts w:cs="Arial"/>
                <w:sz w:val="16"/>
                <w:szCs w:val="16"/>
              </w:rPr>
            </w:pPr>
            <w:r>
              <w:rPr>
                <w:sz w:val="16"/>
                <w:szCs w:val="16"/>
              </w:rPr>
              <w:t>5. odjeljak – Opis strategije</w:t>
            </w:r>
          </w:p>
          <w:p w:rsidR="00E05D08" w:rsidRPr="00E05D08" w:rsidRDefault="00E05D08" w:rsidP="00F31494">
            <w:pPr>
              <w:jc w:val="left"/>
              <w:rPr>
                <w:rFonts w:cs="Arial"/>
                <w:sz w:val="16"/>
                <w:szCs w:val="16"/>
              </w:rPr>
            </w:pPr>
            <w:r>
              <w:rPr>
                <w:sz w:val="16"/>
                <w:szCs w:val="16"/>
              </w:rPr>
              <w:t>8. odjeljak – Opis mjera i podmjera</w:t>
            </w:r>
          </w:p>
        </w:tc>
        <w:tc>
          <w:tcPr>
            <w:tcW w:w="2693" w:type="dxa"/>
          </w:tcPr>
          <w:p w:rsidR="00E05D08" w:rsidRPr="00E05D08" w:rsidRDefault="00E05D08" w:rsidP="00F31494">
            <w:pPr>
              <w:jc w:val="left"/>
              <w:rPr>
                <w:rFonts w:cs="Arial"/>
                <w:sz w:val="16"/>
                <w:szCs w:val="16"/>
              </w:rPr>
            </w:pPr>
            <w:r>
              <w:rPr>
                <w:sz w:val="16"/>
                <w:szCs w:val="16"/>
              </w:rPr>
              <w:t>Promicanje novih tehnologija u sustavima za navodnjavanje, uvođenje novih znanja u područje zaštite i prerade usjeva, poboljšanje gospodarskih rezultata ruralnih poduzeća s pomoću inovacija.</w:t>
            </w:r>
          </w:p>
        </w:tc>
        <w:tc>
          <w:tcPr>
            <w:tcW w:w="2268" w:type="dxa"/>
          </w:tcPr>
          <w:p w:rsidR="00E05D08" w:rsidRPr="00E05D08" w:rsidRDefault="00AA5817" w:rsidP="00F31494">
            <w:pPr>
              <w:jc w:val="left"/>
              <w:rPr>
                <w:rFonts w:cs="Arial"/>
                <w:sz w:val="16"/>
                <w:szCs w:val="16"/>
              </w:rPr>
            </w:pPr>
            <w:r>
              <w:rPr>
                <w:sz w:val="16"/>
                <w:szCs w:val="16"/>
              </w:rPr>
              <w:t>Iz općeg opisa mjera i podmjera nisu jasno vidljivi ciljevi povezani s inovacijama.</w:t>
            </w:r>
          </w:p>
        </w:tc>
        <w:tc>
          <w:tcPr>
            <w:tcW w:w="2410" w:type="dxa"/>
          </w:tcPr>
          <w:p w:rsidR="00E05D08" w:rsidRPr="00E05D08" w:rsidRDefault="00E05D08" w:rsidP="00F31494">
            <w:pPr>
              <w:jc w:val="left"/>
              <w:rPr>
                <w:rFonts w:cs="Arial"/>
                <w:sz w:val="16"/>
                <w:szCs w:val="16"/>
              </w:rPr>
            </w:pPr>
            <w:r>
              <w:rPr>
                <w:sz w:val="16"/>
                <w:szCs w:val="16"/>
              </w:rPr>
              <w:t>Ponovno pregledajte sve podmjere i njihove ciljeve kako biste utvrdili potencijalne ciljeve povezane s inovacijama.</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3. korak: utvrđivanje kriterija odabira mjere/podmjere koji su povezani s inovacijama</w:t>
            </w:r>
          </w:p>
        </w:tc>
        <w:tc>
          <w:tcPr>
            <w:tcW w:w="3260" w:type="dxa"/>
          </w:tcPr>
          <w:p w:rsidR="00E05D08" w:rsidRPr="00E05D08" w:rsidRDefault="00E05D08" w:rsidP="00F31494">
            <w:pPr>
              <w:spacing w:after="120"/>
              <w:jc w:val="left"/>
              <w:rPr>
                <w:rFonts w:cs="Arial"/>
                <w:sz w:val="16"/>
                <w:szCs w:val="16"/>
              </w:rPr>
            </w:pPr>
            <w:r>
              <w:rPr>
                <w:sz w:val="16"/>
                <w:szCs w:val="16"/>
              </w:rPr>
              <w:t xml:space="preserve">U kojoj se mjeri kriterijima odabira projekata koji se upotrebljavaju u mjeri/podmjeri promiče poticanje inovacija s obzirom na tri putanje? </w:t>
            </w:r>
          </w:p>
          <w:p w:rsidR="00E05D08" w:rsidRPr="00E05D08" w:rsidRDefault="00E05D08" w:rsidP="00F31494">
            <w:pPr>
              <w:spacing w:after="120"/>
              <w:jc w:val="left"/>
              <w:rPr>
                <w:rFonts w:cs="Arial"/>
                <w:sz w:val="16"/>
                <w:szCs w:val="16"/>
              </w:rPr>
            </w:pPr>
            <w:r>
              <w:rPr>
                <w:sz w:val="16"/>
                <w:szCs w:val="16"/>
              </w:rPr>
              <w:t>Koji točno kriteriji odabira promiču projekte koji potiču inovacije?</w:t>
            </w:r>
          </w:p>
        </w:tc>
        <w:tc>
          <w:tcPr>
            <w:tcW w:w="2268" w:type="dxa"/>
          </w:tcPr>
          <w:p w:rsidR="00E05D08" w:rsidRPr="00E05D08" w:rsidRDefault="00E05D08" w:rsidP="00F31494">
            <w:pPr>
              <w:jc w:val="left"/>
              <w:rPr>
                <w:rFonts w:cs="Arial"/>
                <w:sz w:val="16"/>
                <w:szCs w:val="16"/>
              </w:rPr>
            </w:pPr>
            <w:r>
              <w:rPr>
                <w:sz w:val="16"/>
                <w:szCs w:val="16"/>
              </w:rPr>
              <w:t>8. odjeljak – Opis mjera i podmjera</w:t>
            </w:r>
          </w:p>
          <w:p w:rsidR="00E05D08" w:rsidRPr="00E05D08" w:rsidRDefault="00E05D08" w:rsidP="00F31494">
            <w:pPr>
              <w:jc w:val="left"/>
              <w:rPr>
                <w:rFonts w:cs="Arial"/>
                <w:sz w:val="16"/>
                <w:szCs w:val="16"/>
              </w:rPr>
            </w:pPr>
            <w:r>
              <w:rPr>
                <w:sz w:val="16"/>
                <w:szCs w:val="16"/>
              </w:rPr>
              <w:t>Kriteriji odabira koji su razvijeni tijekom provedbe (izvor: internetska stranica programa, upravljačko tijelo)</w:t>
            </w:r>
          </w:p>
        </w:tc>
        <w:tc>
          <w:tcPr>
            <w:tcW w:w="2693" w:type="dxa"/>
          </w:tcPr>
          <w:p w:rsidR="00E05D08" w:rsidRPr="00E05D08" w:rsidRDefault="00E05D08" w:rsidP="00F31494">
            <w:pPr>
              <w:jc w:val="left"/>
              <w:rPr>
                <w:rFonts w:cs="Arial"/>
                <w:sz w:val="16"/>
                <w:szCs w:val="16"/>
              </w:rPr>
            </w:pPr>
            <w:r>
              <w:rPr>
                <w:sz w:val="16"/>
                <w:szCs w:val="16"/>
              </w:rPr>
              <w:t>Dodjeljivanje prioriteta subjektima s iskustvom u inovacijama, dodjeljivanje prioriteta operacijama koje povezuju istraživanje i praksu, naglasak na sastavu partnerstava (u operacijama suradnje).</w:t>
            </w:r>
          </w:p>
        </w:tc>
        <w:tc>
          <w:tcPr>
            <w:tcW w:w="2268" w:type="dxa"/>
          </w:tcPr>
          <w:p w:rsidR="00E05D08" w:rsidRPr="00E05D08" w:rsidRDefault="00E05D08" w:rsidP="00F31494">
            <w:pPr>
              <w:jc w:val="left"/>
              <w:rPr>
                <w:rFonts w:cs="Arial"/>
                <w:sz w:val="16"/>
                <w:szCs w:val="16"/>
              </w:rPr>
            </w:pPr>
            <w:r>
              <w:rPr>
                <w:sz w:val="16"/>
                <w:szCs w:val="16"/>
              </w:rPr>
              <w:t xml:space="preserve">U opisu mjera ne navode se kriteriji odabira projekata koji su povezani s inovacijama ili se navodi samo opća izjava, npr. „odabrani su projekti inovativni”. </w:t>
            </w:r>
          </w:p>
        </w:tc>
        <w:tc>
          <w:tcPr>
            <w:tcW w:w="2410" w:type="dxa"/>
          </w:tcPr>
          <w:p w:rsidR="00E05D08" w:rsidRPr="00E05D08" w:rsidRDefault="00E05D08" w:rsidP="00F31494">
            <w:pPr>
              <w:jc w:val="left"/>
              <w:rPr>
                <w:rFonts w:cs="Arial"/>
                <w:sz w:val="16"/>
                <w:szCs w:val="16"/>
              </w:rPr>
            </w:pPr>
            <w:r>
              <w:rPr>
                <w:sz w:val="16"/>
                <w:szCs w:val="16"/>
              </w:rPr>
              <w:t>Predložite operativne kriterije u okviru kojih bi se utvrdilo pod kojim se uvjetima projekt odabire kao inovativan.</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4. korak: utvrđivanje korisnika prema opisu mjere/podmjere</w:t>
            </w:r>
          </w:p>
        </w:tc>
        <w:tc>
          <w:tcPr>
            <w:tcW w:w="3260" w:type="dxa"/>
          </w:tcPr>
          <w:p w:rsidR="00E05D08" w:rsidRPr="00E05D08" w:rsidRDefault="00E05D08" w:rsidP="00F31494">
            <w:pPr>
              <w:spacing w:after="120"/>
              <w:jc w:val="left"/>
              <w:rPr>
                <w:rFonts w:cs="Arial"/>
                <w:sz w:val="16"/>
                <w:szCs w:val="16"/>
              </w:rPr>
            </w:pPr>
            <w:r>
              <w:rPr>
                <w:sz w:val="16"/>
                <w:szCs w:val="16"/>
              </w:rPr>
              <w:t>Za koje se korisnike očekuje da će poticati inovacije putem triju putanja?</w:t>
            </w:r>
          </w:p>
          <w:p w:rsidR="00E05D08" w:rsidRPr="00E05D08" w:rsidRDefault="00E05D08" w:rsidP="00F31494">
            <w:pPr>
              <w:spacing w:after="120"/>
              <w:jc w:val="left"/>
              <w:rPr>
                <w:rFonts w:cs="Arial"/>
                <w:sz w:val="16"/>
                <w:szCs w:val="16"/>
              </w:rPr>
            </w:pPr>
            <w:r>
              <w:rPr>
                <w:sz w:val="16"/>
                <w:szCs w:val="16"/>
              </w:rPr>
              <w:t>Koji su još inovacijski dionici uključeni u provedbu mjere?</w:t>
            </w:r>
          </w:p>
        </w:tc>
        <w:tc>
          <w:tcPr>
            <w:tcW w:w="2268" w:type="dxa"/>
          </w:tcPr>
          <w:p w:rsidR="00E05D08" w:rsidRPr="00E05D08" w:rsidRDefault="00E05D08" w:rsidP="00F31494">
            <w:pPr>
              <w:jc w:val="left"/>
              <w:rPr>
                <w:rFonts w:cs="Arial"/>
                <w:sz w:val="16"/>
                <w:szCs w:val="16"/>
              </w:rPr>
            </w:pPr>
            <w:r>
              <w:rPr>
                <w:sz w:val="16"/>
                <w:szCs w:val="16"/>
              </w:rPr>
              <w:t>8. odjeljak – Opis mjera i podmjera</w:t>
            </w:r>
          </w:p>
        </w:tc>
        <w:tc>
          <w:tcPr>
            <w:tcW w:w="2693" w:type="dxa"/>
          </w:tcPr>
          <w:p w:rsidR="00E05D08" w:rsidRPr="00E05D08" w:rsidRDefault="00E05D08" w:rsidP="00F31494">
            <w:pPr>
              <w:jc w:val="left"/>
              <w:rPr>
                <w:rFonts w:cs="Arial"/>
                <w:sz w:val="16"/>
                <w:szCs w:val="16"/>
              </w:rPr>
            </w:pPr>
            <w:r>
              <w:rPr>
                <w:sz w:val="16"/>
                <w:szCs w:val="16"/>
              </w:rPr>
              <w:t>Centri za istraživanje i razvoj</w:t>
            </w:r>
          </w:p>
          <w:p w:rsidR="00E05D08" w:rsidRPr="00E05D08" w:rsidRDefault="00E05D08" w:rsidP="00F31494">
            <w:pPr>
              <w:jc w:val="left"/>
              <w:rPr>
                <w:rFonts w:cs="Arial"/>
                <w:sz w:val="16"/>
                <w:szCs w:val="16"/>
              </w:rPr>
            </w:pPr>
            <w:r>
              <w:rPr>
                <w:sz w:val="16"/>
                <w:szCs w:val="16"/>
              </w:rPr>
              <w:t>Tehnološki instituti</w:t>
            </w:r>
          </w:p>
          <w:p w:rsidR="00E05D08" w:rsidRPr="00E05D08" w:rsidRDefault="00E05D08" w:rsidP="00F31494">
            <w:pPr>
              <w:jc w:val="left"/>
              <w:rPr>
                <w:rFonts w:cs="Arial"/>
                <w:sz w:val="16"/>
                <w:szCs w:val="16"/>
              </w:rPr>
            </w:pPr>
            <w:r>
              <w:rPr>
                <w:sz w:val="16"/>
                <w:szCs w:val="16"/>
              </w:rPr>
              <w:t>Odjeli za inovacije u javnim institucijama</w:t>
            </w:r>
          </w:p>
          <w:p w:rsidR="00E05D08" w:rsidRPr="00F86385" w:rsidRDefault="00E05D08" w:rsidP="00F31494">
            <w:pPr>
              <w:jc w:val="left"/>
              <w:rPr>
                <w:rFonts w:cs="Arial"/>
                <w:sz w:val="16"/>
                <w:szCs w:val="16"/>
                <w:lang w:val="pl-PL"/>
              </w:rPr>
            </w:pPr>
          </w:p>
          <w:p w:rsidR="00E05D08" w:rsidRPr="00F86385" w:rsidRDefault="00E05D08" w:rsidP="00F31494">
            <w:pPr>
              <w:jc w:val="left"/>
              <w:rPr>
                <w:rFonts w:cs="Arial"/>
                <w:sz w:val="16"/>
                <w:szCs w:val="16"/>
                <w:lang w:val="pl-PL"/>
              </w:rPr>
            </w:pPr>
          </w:p>
        </w:tc>
        <w:tc>
          <w:tcPr>
            <w:tcW w:w="2268" w:type="dxa"/>
          </w:tcPr>
          <w:p w:rsidR="00E05D08" w:rsidRPr="00E05D08" w:rsidRDefault="00AA5817" w:rsidP="00F31494">
            <w:pPr>
              <w:jc w:val="left"/>
              <w:rPr>
                <w:rFonts w:cs="Arial"/>
                <w:sz w:val="16"/>
                <w:szCs w:val="16"/>
              </w:rPr>
            </w:pPr>
            <w:r>
              <w:rPr>
                <w:sz w:val="16"/>
                <w:szCs w:val="16"/>
              </w:rPr>
              <w:t>Dionici povezani s inovacijama možda nisu utvrđeni pri izradi mjere.</w:t>
            </w:r>
          </w:p>
        </w:tc>
        <w:tc>
          <w:tcPr>
            <w:tcW w:w="2410" w:type="dxa"/>
          </w:tcPr>
          <w:p w:rsidR="00E05D08" w:rsidRPr="00E05D08" w:rsidRDefault="00E05D08" w:rsidP="00F31494">
            <w:pPr>
              <w:jc w:val="left"/>
              <w:rPr>
                <w:rFonts w:cs="Arial"/>
                <w:sz w:val="16"/>
                <w:szCs w:val="16"/>
              </w:rPr>
            </w:pPr>
            <w:r>
              <w:rPr>
                <w:sz w:val="16"/>
                <w:szCs w:val="16"/>
              </w:rPr>
              <w:t xml:space="preserve">Evaluator bi trebao provjeriti jesu li dionici povezani s inovacijama bili uključeni u provedbu mjere i podmjera.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5. korak: utvrđivanje aktivnosti, troškova i proračuna povezanih s inovacijama u opisu mjere/podmjere</w:t>
            </w:r>
          </w:p>
        </w:tc>
        <w:tc>
          <w:tcPr>
            <w:tcW w:w="3260" w:type="dxa"/>
          </w:tcPr>
          <w:p w:rsidR="00E05D08" w:rsidRPr="00E05D08" w:rsidRDefault="00E05D08" w:rsidP="00F31494">
            <w:pPr>
              <w:spacing w:after="120"/>
              <w:jc w:val="left"/>
              <w:rPr>
                <w:rFonts w:cs="Arial"/>
                <w:sz w:val="16"/>
                <w:szCs w:val="16"/>
              </w:rPr>
            </w:pPr>
            <w:r>
              <w:rPr>
                <w:sz w:val="16"/>
                <w:szCs w:val="16"/>
              </w:rPr>
              <w:t xml:space="preserve">Kojim će se prihvatljivim aktivnostima i troškovima poduprijeti inovacije? </w:t>
            </w:r>
          </w:p>
          <w:p w:rsidR="00E05D08" w:rsidRPr="00E05D08" w:rsidRDefault="00E05D08" w:rsidP="00963A81">
            <w:pPr>
              <w:spacing w:after="120"/>
              <w:jc w:val="left"/>
              <w:rPr>
                <w:rFonts w:cs="Arial"/>
                <w:sz w:val="16"/>
                <w:szCs w:val="16"/>
              </w:rPr>
            </w:pPr>
            <w:r>
              <w:rPr>
                <w:sz w:val="16"/>
                <w:szCs w:val="16"/>
              </w:rPr>
              <w:t>Koliko iznosi proračun za aktivnosti i troškove za potporu inovacijama?</w:t>
            </w:r>
          </w:p>
        </w:tc>
        <w:tc>
          <w:tcPr>
            <w:tcW w:w="2268" w:type="dxa"/>
          </w:tcPr>
          <w:p w:rsidR="00E05D08" w:rsidRPr="00E05D08" w:rsidRDefault="00E05D08" w:rsidP="00F31494">
            <w:pPr>
              <w:jc w:val="left"/>
              <w:rPr>
                <w:rFonts w:cs="Arial"/>
                <w:sz w:val="16"/>
                <w:szCs w:val="16"/>
              </w:rPr>
            </w:pPr>
            <w:r>
              <w:rPr>
                <w:sz w:val="16"/>
                <w:szCs w:val="16"/>
              </w:rPr>
              <w:t>8. odjeljak – Opis mjera i podmjera</w:t>
            </w:r>
          </w:p>
          <w:p w:rsidR="00E05D08" w:rsidRPr="00E05D08" w:rsidRDefault="00E05D08" w:rsidP="00F31494">
            <w:pPr>
              <w:jc w:val="left"/>
              <w:rPr>
                <w:rFonts w:cs="Arial"/>
                <w:sz w:val="16"/>
                <w:szCs w:val="16"/>
              </w:rPr>
            </w:pPr>
            <w:r>
              <w:rPr>
                <w:sz w:val="16"/>
                <w:szCs w:val="16"/>
              </w:rPr>
              <w:t>Sustavi isporuke koji su razvijeni tijekom provedbe (izvor: internetska stranica programa, upravljačko tijelo)</w:t>
            </w:r>
          </w:p>
          <w:p w:rsidR="00E05D08" w:rsidRPr="00F86385"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10. odjeljak Financijski plan – proračun po mjeri </w:t>
            </w:r>
          </w:p>
        </w:tc>
        <w:tc>
          <w:tcPr>
            <w:tcW w:w="2693" w:type="dxa"/>
          </w:tcPr>
          <w:p w:rsidR="00E05D08" w:rsidRPr="00E05D08" w:rsidRDefault="00E05D08" w:rsidP="00F31494">
            <w:pPr>
              <w:jc w:val="left"/>
              <w:rPr>
                <w:rFonts w:cs="Arial"/>
                <w:sz w:val="16"/>
                <w:szCs w:val="16"/>
              </w:rPr>
            </w:pPr>
            <w:r>
              <w:rPr>
                <w:sz w:val="16"/>
                <w:szCs w:val="16"/>
              </w:rPr>
              <w:t xml:space="preserve">Uporaba inovacijskih posrednika za osnivanje operativnih skupina, uspostavljanje odbora za praćenje radi praćenja inovacija, administrativna pitanja u intervencijama kojima se promiču inovacije, događaji za podizanje svijesti o inovacijama. </w:t>
            </w:r>
          </w:p>
        </w:tc>
        <w:tc>
          <w:tcPr>
            <w:tcW w:w="2268" w:type="dxa"/>
          </w:tcPr>
          <w:p w:rsidR="00E05D08" w:rsidRPr="00E05D08" w:rsidRDefault="00E05D08" w:rsidP="00F31494">
            <w:pPr>
              <w:jc w:val="left"/>
              <w:rPr>
                <w:rFonts w:cs="Arial"/>
                <w:sz w:val="16"/>
                <w:szCs w:val="16"/>
              </w:rPr>
            </w:pPr>
            <w:r>
              <w:rPr>
                <w:sz w:val="16"/>
                <w:szCs w:val="16"/>
              </w:rPr>
              <w:t>Nedostatak dokaza o instrumentima i potpori povezanima s inovacijama.</w:t>
            </w:r>
          </w:p>
        </w:tc>
        <w:tc>
          <w:tcPr>
            <w:tcW w:w="2410" w:type="dxa"/>
          </w:tcPr>
          <w:p w:rsidR="00E05D08" w:rsidRPr="00E05D08" w:rsidRDefault="00E05D08" w:rsidP="00F31494">
            <w:pPr>
              <w:jc w:val="left"/>
              <w:rPr>
                <w:rFonts w:cs="Arial"/>
                <w:sz w:val="16"/>
                <w:szCs w:val="16"/>
              </w:rPr>
            </w:pPr>
            <w:r>
              <w:rPr>
                <w:sz w:val="16"/>
                <w:szCs w:val="16"/>
              </w:rPr>
              <w:t>Analizirajte dodatne informacije o provedbi mjere i podmjera koje su navedene u GIP-ovima ili koje je dostavilo upravljačko tijelo.</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3"/>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6BAA" w:rsidRDefault="00FF6BAA" w:rsidP="00E05D08">
      <w:pPr>
        <w:spacing w:after="0" w:line="240" w:lineRule="auto"/>
      </w:pPr>
      <w:r>
        <w:separator/>
      </w:r>
    </w:p>
  </w:endnote>
  <w:endnote w:type="continuationSeparator" w:id="0">
    <w:p w:rsidR="00FF6BAA" w:rsidRDefault="00FF6BAA"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Default="00FD4C56">
    <w:pPr>
      <w:pStyle w:val="Footer"/>
    </w:pPr>
    <w:r>
      <w:t xml:space="preserve">stranica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611706" w:rsidRDefault="00FD4C56"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rsidR="00FD4C56" w:rsidRPr="00611706" w:rsidRDefault="00FF6BAA">
        <w:pPr>
          <w:pStyle w:val="Footer"/>
          <w:rPr>
            <w:sz w:val="18"/>
            <w:szCs w:val="18"/>
          </w:rPr>
        </w:pPr>
      </w:p>
    </w:sdtContent>
  </w:sdt>
  <w:p w:rsidR="00FD4C56" w:rsidRPr="006D33F1" w:rsidRDefault="00FD4C56"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431FF5" w:rsidRDefault="00FD4C56"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150D5B" w:rsidRDefault="00FD4C56"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PageNumber"/>
        <w:rFonts w:eastAsiaTheme="majorEastAsia"/>
        <w:color w:val="808080"/>
        <w:sz w:val="18"/>
        <w:szCs w:val="18"/>
      </w:rPr>
    </w:sdtEndPr>
    <w:sdtContent>
      <w:p w:rsidR="00FD4C56" w:rsidRDefault="00FD4C56">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AB30F5">
          <w:rPr>
            <w:rStyle w:val="PageNumber"/>
            <w:rFonts w:eastAsiaTheme="majorEastAsia"/>
            <w:noProof/>
            <w:color w:val="373737"/>
            <w:szCs w:val="18"/>
          </w:rPr>
          <w:t>19</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Default="00FD4C56">
    <w:pPr>
      <w:pStyle w:val="Footer"/>
    </w:pPr>
    <w:r>
      <w:t xml:space="preserve">stranica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795E3164" wp14:editId="2D99D4EC">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611706" w:rsidRDefault="00FD4C56"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AB30F5">
      <w:rPr>
        <w:rStyle w:val="PageNumber"/>
        <w:rFonts w:eastAsiaTheme="majorEastAsia"/>
        <w:noProof/>
        <w:color w:val="373737"/>
        <w:szCs w:val="18"/>
      </w:rPr>
      <w:t>28</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rsidR="00FD4C56" w:rsidRDefault="00FD4C56">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AB30F5">
          <w:rPr>
            <w:noProof/>
            <w:sz w:val="18"/>
            <w:szCs w:val="18"/>
          </w:rPr>
          <w:t>77</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6BAA" w:rsidRPr="00CE2990" w:rsidRDefault="00FF6BAA" w:rsidP="00E05D08">
      <w:pPr>
        <w:spacing w:after="0" w:line="240" w:lineRule="auto"/>
        <w:rPr>
          <w:color w:val="F07E31"/>
        </w:rPr>
      </w:pPr>
      <w:r>
        <w:rPr>
          <w:color w:val="F07E31"/>
        </w:rPr>
        <w:separator/>
      </w:r>
    </w:p>
  </w:footnote>
  <w:footnote w:type="continuationSeparator" w:id="0">
    <w:p w:rsidR="00FF6BAA" w:rsidRDefault="00FF6BAA" w:rsidP="00E05D08">
      <w:pPr>
        <w:spacing w:after="0" w:line="240" w:lineRule="auto"/>
      </w:pPr>
      <w:r>
        <w:continuationSeparator/>
      </w:r>
    </w:p>
  </w:footnote>
  <w:footnote w:id="1">
    <w:p w:rsidR="00FD4C56" w:rsidRPr="00194986" w:rsidRDefault="00FD4C56" w:rsidP="00E05D08">
      <w:pPr>
        <w:pStyle w:val="FootnoteText"/>
      </w:pPr>
      <w:r>
        <w:rPr>
          <w:rStyle w:val="FootnoteReference"/>
          <w:rFonts w:cs="Arial"/>
        </w:rPr>
        <w:footnoteRef/>
      </w:r>
      <w:r>
        <w:t xml:space="preserve">Druga dva horizontalna cilja jesu okoliš te ublažavanje klimatskih promjena i prilagodba njima. </w:t>
      </w:r>
    </w:p>
  </w:footnote>
  <w:footnote w:id="2">
    <w:p w:rsidR="00FD4C56" w:rsidRPr="00194986" w:rsidRDefault="00FD4C56" w:rsidP="00E05D08">
      <w:pPr>
        <w:pStyle w:val="FootnoteText"/>
      </w:pPr>
      <w:r>
        <w:rPr>
          <w:rStyle w:val="FootnoteReference"/>
          <w:rFonts w:cs="Arial"/>
        </w:rPr>
        <w:footnoteRef/>
      </w:r>
      <w:r>
        <w:t xml:space="preserve"> Članak 8. stavak 1. točka (c) podtočka v. Uredbe (EU) br. 1305/2013 i Prilog I. dio I. stavak 5. točka (c) Uredbi (EU) br. 808/2014.</w:t>
      </w:r>
    </w:p>
  </w:footnote>
  <w:footnote w:id="3">
    <w:p w:rsidR="00FD4C56" w:rsidRPr="00B97B27" w:rsidRDefault="00FD4C56" w:rsidP="00E05D08">
      <w:pPr>
        <w:pStyle w:val="FootnoteText"/>
      </w:pPr>
      <w:r>
        <w:rPr>
          <w:rStyle w:val="FootnoteReference"/>
          <w:rFonts w:cs="Arial"/>
        </w:rPr>
        <w:footnoteRef/>
      </w:r>
      <w:r>
        <w:t xml:space="preserve"> Članak 68. Uredbe (EU) br. 1305/2013.</w:t>
      </w:r>
    </w:p>
  </w:footnote>
  <w:footnote w:id="4">
    <w:p w:rsidR="00FD4C56" w:rsidRDefault="00FD4C56" w:rsidP="000E1D4B">
      <w:pPr>
        <w:pStyle w:val="FootnoteText"/>
      </w:pPr>
      <w:r>
        <w:rPr>
          <w:rStyle w:val="FootnoteReference"/>
          <w:sz w:val="12"/>
          <w:szCs w:val="12"/>
        </w:rPr>
        <w:footnoteRef/>
      </w:r>
      <w:r>
        <w:t xml:space="preserve"> Smjernice za programiranje za inovacije i provedbu EPI-ja za poljoprivrednu produktivnost i održivost</w:t>
      </w:r>
      <w:r>
        <w:cr/>
      </w:r>
      <w:r>
        <w:rPr>
          <w:rStyle w:val="Hyperlink"/>
        </w:rPr>
        <w:t>https://ec.europa.eu/eip/agriculture/sites/agri-eip/files/pb_guidelines_eip_implementation_2014_en.pdf</w:t>
      </w:r>
    </w:p>
  </w:footnote>
  <w:footnote w:id="5">
    <w:p w:rsidR="00FD4C56" w:rsidRPr="00DC008D" w:rsidRDefault="00FD4C56" w:rsidP="00F74459">
      <w:pPr>
        <w:pStyle w:val="FootnoteText"/>
        <w:rPr>
          <w:rFonts w:eastAsia="Calibri"/>
        </w:rPr>
      </w:pPr>
      <w:r>
        <w:rPr>
          <w:rStyle w:val="FootnoteReference"/>
        </w:rPr>
        <w:footnoteRef/>
      </w:r>
      <w:r>
        <w:t xml:space="preserve"> Smjernice za programiranje za inovacije i provedbu EPI-ja za poljoprivrednu produktivnost i održivost</w:t>
      </w:r>
      <w:r>
        <w:cr/>
      </w:r>
      <w:hyperlink r:id="rId1" w:history="1">
        <w:r>
          <w:rPr>
            <w:rStyle w:val="Hyperlink"/>
          </w:rPr>
          <w:t>https://ec.europa.eu/eip/agriculture/sites/agri-eip/files/pb_guidelines_eip_implementation_2014_en.pdf</w:t>
        </w:r>
      </w:hyperlink>
    </w:p>
  </w:footnote>
  <w:footnote w:id="6">
    <w:p w:rsidR="00FD4C56" w:rsidRPr="008F676D" w:rsidRDefault="00FD4C56" w:rsidP="00F74459">
      <w:pPr>
        <w:pStyle w:val="FootnoteText"/>
      </w:pPr>
      <w:r>
        <w:rPr>
          <w:rStyle w:val="FootnoteReference"/>
        </w:rPr>
        <w:footnoteRef/>
      </w:r>
      <w:r>
        <w:t xml:space="preserve"> U Obzoru 2020. pruža se snažna potpora pristupu s više dionika u istraživanjima zbog čega poljoprivrednici, savjetnici i ostale osobe s iskustvom u ovom području u partnerstvu s istraživačima zajedno stvaraju rješenja ili razvijaju inovativne mogućnosti s ciljem usmjeravanja istraživanja i inovacija na potrebe u poljoprivrednoj praksi (vidjeti Program rada za razdoblje 2018. – 2020. za program Obzor 2020., str. 8. – 9., za zahtjeve za projekte s više dionika (</w:t>
      </w:r>
      <w:hyperlink r:id="rId2" w:history="1">
        <w:r>
          <w:rPr>
            <w:rStyle w:val="Hyperlink"/>
          </w:rPr>
          <w:t>http://ec.europa.eu/research/participants/data/ref/h2020/wp/2018-2020/main/h2020-wp1820-food_en.pdf</w:t>
        </w:r>
      </w:hyperlink>
      <w:r>
        <w:t>) i letak EPI-ja o pristupu s više dionika (</w:t>
      </w:r>
      <w:hyperlink r:id="rId3" w:history="1">
        <w:r>
          <w:rPr>
            <w:rStyle w:val="Hyperlink"/>
          </w:rPr>
          <w:t>https://ec.europa.eu/eip/agriculture/sites/agri-eip/files/eip-agri_brochure_multi-actor_projects_2017_en_web.pdf</w:t>
        </w:r>
      </w:hyperlink>
      <w:r>
        <w:t>)).</w:t>
      </w:r>
    </w:p>
  </w:footnote>
  <w:footnote w:id="7">
    <w:p w:rsidR="00FD4C56" w:rsidRDefault="00FD4C56" w:rsidP="00F74459">
      <w:pPr>
        <w:pStyle w:val="FootnoteText"/>
      </w:pPr>
      <w:r>
        <w:rPr>
          <w:rStyle w:val="FootnoteReference"/>
        </w:rPr>
        <w:footnoteRef/>
      </w:r>
      <w:r>
        <w:t xml:space="preserve"> Izvješća strateške radne skupine (SWG) Stalnog odbora za istraživanje u poljoprivredi (SCAR) o znanju i inovacijskim sustavima u poljoprivredi (AKIS):</w:t>
      </w:r>
    </w:p>
    <w:p w:rsidR="00FD4C56" w:rsidRDefault="00FD4C56" w:rsidP="00F74459">
      <w:pPr>
        <w:pStyle w:val="FootnoteText"/>
      </w:pPr>
      <w:r>
        <w:t>– Znanje i inovacijski sustavi u poljoprivredi u razdoblju do 2020.: orijentacijski dokument o povezivanju inovacija i istraživanja</w:t>
      </w:r>
    </w:p>
    <w:p w:rsidR="00FD4C56" w:rsidRDefault="00FF6BAA" w:rsidP="00F74459">
      <w:pPr>
        <w:pStyle w:val="FootnoteText"/>
      </w:pPr>
      <w:hyperlink r:id="rId4" w:history="1">
        <w:r w:rsidR="00FD4C56">
          <w:rPr>
            <w:rStyle w:val="Hyperlink"/>
          </w:rPr>
          <w:t xml:space="preserve">http://www.gppq.fct.pt/h2020/_docs/brochuras/bioeco/agricultural-knowledge-innovation-systems-towards-2020_en.pdf </w:t>
        </w:r>
      </w:hyperlink>
      <w:r w:rsidR="00FD4C56">
        <w:t>(o izgradnji pristupa s više dionika)</w:t>
      </w:r>
    </w:p>
    <w:p w:rsidR="00FD4C56" w:rsidRPr="009C39EE" w:rsidRDefault="00FD4C56" w:rsidP="00F74459">
      <w:pPr>
        <w:pStyle w:val="FootnoteText"/>
      </w:pPr>
      <w:r>
        <w:t xml:space="preserve">– Znanje i inovacijski sustavi u poljoprivredi u budućnosti: prognoza,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FD4C56" w:rsidRPr="00B13D00" w:rsidRDefault="00FD4C56" w:rsidP="00F74459">
      <w:pPr>
        <w:pStyle w:val="FootnoteText"/>
      </w:pPr>
      <w:r>
        <w:rPr>
          <w:rStyle w:val="FootnoteReference"/>
          <w:color w:val="373737"/>
        </w:rPr>
        <w:footnoteRef/>
      </w:r>
      <w:r>
        <w:t xml:space="preserve"> Schot i Geels (2008.) za više informacija o društveno-tehničkim nišama. </w:t>
      </w:r>
    </w:p>
  </w:footnote>
  <w:footnote w:id="9">
    <w:p w:rsidR="00FD4C56" w:rsidRPr="00F74459" w:rsidRDefault="00FD4C56" w:rsidP="00F74459">
      <w:pPr>
        <w:pStyle w:val="FootnoteText"/>
      </w:pPr>
      <w:r>
        <w:rPr>
          <w:szCs w:val="16"/>
          <w:vertAlign w:val="superscript"/>
          <w:lang w:val="en-IE"/>
        </w:rPr>
        <w:footnoteRef/>
      </w:r>
      <w:r>
        <w:t xml:space="preserve"> EMRR (2013.). Towards Successful Innovation Brokerage: Insights for the 2007-2013 Rural Development Programmes te Leeuwis C., Schut M., Waters-Bayer A., Mur R., Atta-Krah K. i Douthwaite B. 2014. Capacity to innovate from a system CGIAR research program perspective. Penang, Malaysia: CGIAR Research Program on Aquatic Agricultural Systems. Program Brief: AAS-2014-29.</w:t>
      </w:r>
    </w:p>
  </w:footnote>
  <w:footnote w:id="10">
    <w:p w:rsidR="00FD4C56" w:rsidRPr="00F74459" w:rsidRDefault="00FD4C56" w:rsidP="00F74459">
      <w:pPr>
        <w:pStyle w:val="FootnoteText"/>
      </w:pPr>
      <w:r>
        <w:rPr>
          <w:szCs w:val="16"/>
          <w:vertAlign w:val="superscript"/>
          <w:lang w:val="en-IE"/>
        </w:rPr>
        <w:footnoteRef/>
      </w:r>
      <w:r>
        <w:t xml:space="preserve"> EMRR (2013.) je utvrdio da je inovacijsko posredovanje ključna sposobnost u sustavu, odnosno prisutnost (i postupanje) onih dionika koji su predani promjeni i koji su kreativni, proaktivni, motivirani, nepristrani, transparentni i svjesni inovacijskog konteksta.</w:t>
      </w:r>
    </w:p>
  </w:footnote>
  <w:footnote w:id="11">
    <w:p w:rsidR="00FD4C56" w:rsidRDefault="00FD4C56" w:rsidP="00F74459">
      <w:pPr>
        <w:pStyle w:val="FootnoteText"/>
      </w:pPr>
      <w:r>
        <w:rPr>
          <w:szCs w:val="16"/>
          <w:vertAlign w:val="superscript"/>
          <w:lang w:val="en-IE"/>
        </w:rPr>
        <w:footnoteRef/>
      </w:r>
      <w:r>
        <w:t xml:space="preserve"> Douthwaite i Hoffecker (tek će se objaviti) te Nemes i Augustyn (2017.).</w:t>
      </w:r>
    </w:p>
  </w:footnote>
  <w:footnote w:id="12">
    <w:p w:rsidR="00FD4C56" w:rsidRPr="00B13D00" w:rsidRDefault="00FD4C56" w:rsidP="00E05D08">
      <w:pPr>
        <w:pStyle w:val="FootnoteText"/>
      </w:pPr>
      <w:r>
        <w:rPr>
          <w:vertAlign w:val="superscript"/>
        </w:rPr>
        <w:footnoteRef/>
      </w:r>
      <w:r>
        <w:t xml:space="preserve"> EMRR (2013.). Towards Successful Innovation Brokerage: Insights for the 2007-2013 Rural Development Programmes</w:t>
      </w:r>
    </w:p>
  </w:footnote>
  <w:footnote w:id="13">
    <w:p w:rsidR="00FD4C56" w:rsidRPr="00690E70" w:rsidRDefault="00FD4C56" w:rsidP="004508D0">
      <w:pPr>
        <w:pStyle w:val="FootnoteText"/>
        <w:rPr>
          <w:rStyle w:val="Hyperlink"/>
        </w:rPr>
      </w:pPr>
      <w:r>
        <w:rPr>
          <w:rStyle w:val="FootnoteReference"/>
        </w:rPr>
        <w:footnoteRef/>
      </w:r>
      <w:r>
        <w:t xml:space="preserve"> EIP-AGRI (2016.) Radionica o gradovima i hrani: povezivanje potrošača i proizvođača. Dostupno na: </w:t>
      </w:r>
      <w:hyperlink r:id="rId6" w:history="1">
        <w:r>
          <w:rPr>
            <w:rStyle w:val="Hyperlink"/>
          </w:rPr>
          <w:t>https://ec.europa.eu/eip/agriculture/sites/agri-eip/files/eip-agri_factsheet_cities_and_food_en_web.pdf</w:t>
        </w:r>
      </w:hyperlink>
    </w:p>
  </w:footnote>
  <w:footnote w:id="14">
    <w:p w:rsidR="00FD4C56" w:rsidRPr="00B13D00" w:rsidRDefault="00FD4C56" w:rsidP="00E05D08">
      <w:pPr>
        <w:pStyle w:val="FootnoteText"/>
      </w:pPr>
      <w:r>
        <w:rPr>
          <w:rStyle w:val="FootnoteReference"/>
        </w:rPr>
        <w:footnoteRef/>
      </w:r>
      <w:r>
        <w:t xml:space="preserve"> Senge, P. M. i Sterman, J. D. (1992.). Systems thinking and organisational learning: Acting locally and thinking globally in the organisation of the future. European journal of operational research, 59(1), 137–150.</w:t>
      </w:r>
    </w:p>
  </w:footnote>
  <w:footnote w:id="15">
    <w:p w:rsidR="00FD4C56" w:rsidRPr="00554BBB" w:rsidRDefault="00FD4C56"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 xml:space="preserve">The science of evaluation: </w:t>
      </w:r>
      <w:r>
        <w:t>A realist manifesto. London, Ujedinjena Kraljevina: Sage Publications</w:t>
      </w:r>
    </w:p>
  </w:footnote>
  <w:footnote w:id="16">
    <w:p w:rsidR="00FD4C56" w:rsidRPr="00B13D00" w:rsidRDefault="00FD4C56" w:rsidP="00E05D08">
      <w:pPr>
        <w:pStyle w:val="FootnoteText"/>
      </w:pPr>
      <w:r>
        <w:rPr>
          <w:rStyle w:val="FootnoteReference"/>
        </w:rPr>
        <w:footnoteRef/>
      </w:r>
      <w:r>
        <w:t xml:space="preserve"> Obzor 2020. najopsežniji je program EU-a za istraživanje i inovacije čiji je cilj povezivanje istraživanja i inovacija u svim sektorima, uključujući poljoprivredu i šumarstvo, radi postizanja pametnog, održivog i uključivog rasta i stvaranja radnih mjesta. Mnoge druge politike EU-a koje su usmjerene, među ostalim, na razvoj inovacija i vještina mogu pridonijeti istraživanju i inovacijama u poljoprivredi (kohezijska politika, COSME, ERASMUS, LIFE+).</w:t>
      </w:r>
    </w:p>
  </w:footnote>
  <w:footnote w:id="17">
    <w:p w:rsidR="00FD4C56" w:rsidRPr="00B13D00" w:rsidRDefault="00FD4C56" w:rsidP="00E05D08">
      <w:pPr>
        <w:pStyle w:val="FootnoteText"/>
      </w:pPr>
      <w:r>
        <w:rPr>
          <w:rStyle w:val="FootnoteReference"/>
          <w:rFonts w:cs="Helvetica"/>
          <w:szCs w:val="16"/>
        </w:rPr>
        <w:footnoteRef/>
      </w:r>
      <w:r>
        <w:t xml:space="preserve"> Njezin je cilj riješiti najveće društvene izazove kao što su klimatske promjene i učinkovitost resursa te ojačati poveznice u inovacijskom lancu (</w:t>
      </w:r>
      <w:hyperlink r:id="rId7" w:history="1">
        <w:r>
          <w:rPr>
            <w:rStyle w:val="Hyperlink"/>
          </w:rPr>
          <w:t>http://ec.europa.eu/europe2020/europe-2020-in-a-nutshell/flagship-initiatives/index_en.htm</w:t>
        </w:r>
      </w:hyperlink>
      <w:r>
        <w:t xml:space="preserve">) </w:t>
      </w:r>
    </w:p>
  </w:footnote>
  <w:footnote w:id="18">
    <w:p w:rsidR="00FD4C56" w:rsidRPr="00275EE5" w:rsidRDefault="00FD4C56"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FD4C56" w:rsidRPr="00B13D00" w:rsidRDefault="00FD4C56" w:rsidP="00E05D08">
      <w:pPr>
        <w:pStyle w:val="FootnoteText"/>
      </w:pPr>
      <w:r>
        <w:rPr>
          <w:rStyle w:val="FootnoteReference"/>
        </w:rPr>
        <w:footnoteRef/>
      </w:r>
      <w:r>
        <w:t xml:space="preserve"> Članak 5. Uredbe (EU) br. 1305/2013.</w:t>
      </w:r>
    </w:p>
  </w:footnote>
  <w:footnote w:id="20">
    <w:p w:rsidR="00FD4C56" w:rsidRPr="00171202" w:rsidRDefault="00FD4C56" w:rsidP="00E05D08">
      <w:pPr>
        <w:pStyle w:val="FootnoteText"/>
      </w:pPr>
      <w:r>
        <w:rPr>
          <w:rStyle w:val="FootnoteReference"/>
        </w:rPr>
        <w:footnoteRef/>
      </w:r>
      <w:r>
        <w:t xml:space="preserve"> Članak 8. stavak 1. točka (c) podtočka v. Uredbe (EU) 1305/2013.</w:t>
      </w:r>
    </w:p>
  </w:footnote>
  <w:footnote w:id="21">
    <w:p w:rsidR="00FD4C56" w:rsidRPr="00171202" w:rsidRDefault="00FD4C56" w:rsidP="00E05D08">
      <w:pPr>
        <w:pStyle w:val="FootnoteText"/>
      </w:pPr>
      <w:r>
        <w:rPr>
          <w:rStyle w:val="FootnoteReference"/>
          <w:i/>
        </w:rPr>
        <w:footnoteRef/>
      </w:r>
      <w:r>
        <w:t xml:space="preserve"> Članak 8. stavak 1. točka (b) Uredbe (EU) 1305/2013.</w:t>
      </w:r>
    </w:p>
  </w:footnote>
  <w:footnote w:id="22">
    <w:p w:rsidR="00FD4C56" w:rsidRPr="00171202" w:rsidRDefault="00FD4C56" w:rsidP="00E05D08">
      <w:pPr>
        <w:pStyle w:val="FootnoteText"/>
      </w:pPr>
      <w:r>
        <w:rPr>
          <w:rStyle w:val="FootnoteReference"/>
          <w:i/>
        </w:rPr>
        <w:footnoteRef/>
      </w:r>
      <w:r>
        <w:t xml:space="preserve"> Članak 5. Uredbe 1305/2013.</w:t>
      </w:r>
    </w:p>
  </w:footnote>
  <w:footnote w:id="23">
    <w:p w:rsidR="00FD4C56" w:rsidRPr="00D461AB" w:rsidRDefault="00FD4C56" w:rsidP="00D461AB">
      <w:pPr>
        <w:pStyle w:val="FootnoteText"/>
      </w:pPr>
      <w:r>
        <w:rPr>
          <w:rStyle w:val="FootnoteReference"/>
        </w:rPr>
        <w:footnoteRef/>
      </w:r>
      <w:r>
        <w:t xml:space="preserve"> Smjernice za programiranje za inovacije i provedbu EPI-ja za poljoprivrednu produktivnost i održivost, odjeljak 8.2., stranica 13.</w:t>
      </w:r>
    </w:p>
  </w:footnote>
  <w:footnote w:id="24">
    <w:p w:rsidR="00FD4C56" w:rsidRPr="00171202" w:rsidRDefault="00FD4C56" w:rsidP="00E05D08">
      <w:pPr>
        <w:pStyle w:val="FootnoteText"/>
      </w:pPr>
      <w:r>
        <w:rPr>
          <w:rStyle w:val="FootnoteReference"/>
        </w:rPr>
        <w:footnoteRef/>
      </w:r>
      <w:r>
        <w:t xml:space="preserve"> Uredba (EU) br. 1303/2013, Prilog 1. dio 5. Uredbi (EU) br. 808/2014 i Smjernice za programiranje za inovacije i provedbu EPI-ja za poljoprivrednu produktivnost i održivost (2014., str. 10.).</w:t>
      </w:r>
    </w:p>
  </w:footnote>
  <w:footnote w:id="25">
    <w:p w:rsidR="00FD4C56" w:rsidRPr="00171202" w:rsidRDefault="00FD4C56" w:rsidP="00E05D08">
      <w:pPr>
        <w:pStyle w:val="FootnoteText"/>
      </w:pPr>
      <w:r>
        <w:rPr>
          <w:rStyle w:val="FootnoteReference"/>
        </w:rPr>
        <w:footnoteRef/>
      </w:r>
      <w:r>
        <w:t xml:space="preserve"> Članak 27. Uredbe (EU) br. 1303/2013 i Prilog 1. dio 5. Uredbi (EU) br. 808/2014.</w:t>
      </w:r>
    </w:p>
  </w:footnote>
  <w:footnote w:id="26">
    <w:p w:rsidR="00FD4C56" w:rsidRPr="00171202" w:rsidRDefault="00FD4C56" w:rsidP="00E05D08">
      <w:pPr>
        <w:pStyle w:val="FootnoteText"/>
      </w:pPr>
      <w:r>
        <w:rPr>
          <w:rStyle w:val="FootnoteReference"/>
        </w:rPr>
        <w:footnoteRef/>
      </w:r>
      <w:r>
        <w:t xml:space="preserve"> Članci 32. – 34. Uredbe (EU) br. 1303/2013 i Prilog 1. dio 5. Uredbi (EU) br. 808/2014.</w:t>
      </w:r>
    </w:p>
  </w:footnote>
  <w:footnote w:id="27">
    <w:p w:rsidR="00FD4C56" w:rsidRPr="00171202" w:rsidRDefault="00FD4C56" w:rsidP="00E05D08">
      <w:pPr>
        <w:pStyle w:val="FootnoteText"/>
      </w:pPr>
      <w:r>
        <w:rPr>
          <w:rStyle w:val="FootnoteReference"/>
        </w:rPr>
        <w:footnoteRef/>
      </w:r>
      <w:r>
        <w:t xml:space="preserve"> Članak 53. Uredbe (EU) br. 1305/2013.</w:t>
      </w:r>
    </w:p>
  </w:footnote>
  <w:footnote w:id="28">
    <w:p w:rsidR="00FD4C56" w:rsidRPr="00171202" w:rsidRDefault="00FD4C56" w:rsidP="00E05D08">
      <w:pPr>
        <w:pStyle w:val="FootnoteText"/>
      </w:pPr>
      <w:r>
        <w:rPr>
          <w:rStyle w:val="FootnoteReference"/>
        </w:rPr>
        <w:footnoteRef/>
      </w:r>
      <w:r>
        <w:t xml:space="preserve"> Članak 54. točka (d) Uredbe (EU) br. 1305/2013.</w:t>
      </w:r>
    </w:p>
  </w:footnote>
  <w:footnote w:id="29">
    <w:p w:rsidR="00FD4C56" w:rsidRPr="00171202" w:rsidRDefault="00FD4C56" w:rsidP="00E05D08">
      <w:pPr>
        <w:pStyle w:val="FootnoteText"/>
      </w:pPr>
      <w:r>
        <w:rPr>
          <w:rStyle w:val="FootnoteReference"/>
        </w:rPr>
        <w:footnoteRef/>
      </w:r>
      <w:r>
        <w:t xml:space="preserve"> Smjernice za programiranje za inovacije i provedbu EPI-ja za poljoprivrednu produktivnost i održivost (2014., str. 13.)</w:t>
      </w:r>
    </w:p>
  </w:footnote>
  <w:footnote w:id="30">
    <w:p w:rsidR="00FD4C56" w:rsidRPr="00171202" w:rsidRDefault="00FD4C56" w:rsidP="00E05D08">
      <w:pPr>
        <w:pStyle w:val="FootnoteText"/>
      </w:pPr>
      <w:r>
        <w:rPr>
          <w:rStyle w:val="FootnoteReference"/>
        </w:rPr>
        <w:footnoteRef/>
      </w:r>
      <w:r>
        <w:t xml:space="preserve"> Članak 54. stavak 3. točka (b) podtočka iv. Uredbe (EU) br. 1305/2013.</w:t>
      </w:r>
    </w:p>
  </w:footnote>
  <w:footnote w:id="31">
    <w:p w:rsidR="00FD4C56" w:rsidRPr="00171202" w:rsidRDefault="00FD4C56" w:rsidP="00E05D08">
      <w:pPr>
        <w:pStyle w:val="FootnoteText"/>
      </w:pPr>
      <w:r>
        <w:rPr>
          <w:rStyle w:val="FootnoteReference"/>
        </w:rPr>
        <w:footnoteRef/>
      </w:r>
      <w:r>
        <w:t xml:space="preserve"> Prilog I. dio 1. točka 9.3. podtočka (a) Uredbe (EU) br. 808/2014.</w:t>
      </w:r>
    </w:p>
  </w:footnote>
  <w:footnote w:id="32">
    <w:p w:rsidR="00FD4C56" w:rsidRPr="00171202" w:rsidRDefault="00FD4C56" w:rsidP="00E05D08">
      <w:pPr>
        <w:pStyle w:val="FootnoteText"/>
      </w:pPr>
      <w:r>
        <w:rPr>
          <w:rStyle w:val="FootnoteReference"/>
        </w:rPr>
        <w:footnoteRef/>
      </w:r>
      <w:r>
        <w:t xml:space="preserve"> Prilog VII. točka 2. Uredbi (EU) br. 808/2014.</w:t>
      </w:r>
    </w:p>
  </w:footnote>
  <w:footnote w:id="33">
    <w:p w:rsidR="00FD4C56" w:rsidRPr="005F1B3E" w:rsidRDefault="00FD4C56" w:rsidP="00E05D08">
      <w:pPr>
        <w:pStyle w:val="FootnoteText"/>
      </w:pPr>
      <w:r>
        <w:rPr>
          <w:rStyle w:val="FootnoteReference"/>
        </w:rPr>
        <w:footnoteRef/>
      </w:r>
      <w:r>
        <w:t xml:space="preserve"> Prilog IV. Uredbi (EU) 808/2014.</w:t>
      </w:r>
    </w:p>
  </w:footnote>
  <w:footnote w:id="34">
    <w:p w:rsidR="00FD4C56" w:rsidRPr="00E14E11" w:rsidRDefault="00FD4C56" w:rsidP="00E05D08">
      <w:pPr>
        <w:pStyle w:val="FootnoteText"/>
      </w:pPr>
      <w:r>
        <w:rPr>
          <w:rStyle w:val="FootnoteReference"/>
        </w:rPr>
        <w:footnoteRef/>
      </w:r>
      <w:r>
        <w:t>Vidjeti seminar EPI-ja o sustavima znanja i interaktivnim inovacijama:</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FD4C56" w:rsidRPr="008F676D" w:rsidRDefault="00FD4C56" w:rsidP="00E05D08">
      <w:pPr>
        <w:pStyle w:val="FootnoteText"/>
      </w:pPr>
      <w:r>
        <w:rPr>
          <w:rStyle w:val="FootnoteReference"/>
        </w:rPr>
        <w:footnoteRef/>
      </w:r>
      <w:r>
        <w:t xml:space="preserve"> Više uputa može se pronaći u publikaciji Smjernice: ocjena rezultata PRR-a: kako se pripremiti za izvješćivanje o evaluacijskim nalazima u 2017., </w:t>
      </w:r>
      <w:hyperlink r:id="rId10" w:history="1">
        <w:r>
          <w:rPr>
            <w:rStyle w:val="Hyperlink"/>
          </w:rPr>
          <w:t>https://enrd.ec.europa.eu/evaluation/publications/guidelines-assessment-rdp-results-how-prepare-reporting-evaluation-2017_en</w:t>
        </w:r>
      </w:hyperlink>
    </w:p>
  </w:footnote>
  <w:footnote w:id="36">
    <w:p w:rsidR="00FD4C56" w:rsidRPr="00401F29" w:rsidRDefault="00FD4C56" w:rsidP="00E05D08">
      <w:pPr>
        <w:pStyle w:val="FootnoteText"/>
      </w:pPr>
      <w:r>
        <w:rPr>
          <w:rStyle w:val="FootnoteReference"/>
        </w:rPr>
        <w:footnoteRef/>
      </w:r>
      <w:r>
        <w:t xml:space="preserve"> Članak 66. Uredbe (EU) br. 1305/2013 te članak 15. i Prilog VII. Uredbi (EU) br. 808/2014.</w:t>
      </w:r>
    </w:p>
  </w:footnote>
  <w:footnote w:id="37">
    <w:p w:rsidR="00FD4C56" w:rsidRPr="00576A73" w:rsidRDefault="00FD4C56" w:rsidP="00804433">
      <w:pPr>
        <w:pStyle w:val="FootnoteText"/>
      </w:pPr>
      <w:r>
        <w:rPr>
          <w:rStyle w:val="FootnoteReference"/>
        </w:rPr>
        <w:footnoteRef/>
      </w:r>
      <w:r>
        <w:t xml:space="preserve"> Vidjeti Smjernice: ocjena rezultata PRR-a: kako se pripremiti za izvješćivanje o evaluaciji u 2017., Služba za podršku evaluaciji, rujan 2016., </w:t>
      </w:r>
      <w:hyperlink r:id="rId11" w:history="1">
        <w:r>
          <w:rPr>
            <w:rStyle w:val="Hyperlink"/>
          </w:rPr>
          <w:t>https://enrd.ec.europa.eu/evaluation/publications/guidelines-assessment-rdp-results-how-prepare-reporting-evaluation-2017_en</w:t>
        </w:r>
      </w:hyperlink>
    </w:p>
  </w:footnote>
  <w:footnote w:id="38">
    <w:p w:rsidR="00AB30F5" w:rsidRPr="00626C0C" w:rsidRDefault="00AB30F5" w:rsidP="00AB30F5">
      <w:pPr>
        <w:pStyle w:val="FootnoteText"/>
      </w:pPr>
      <w:r>
        <w:rPr>
          <w:rStyle w:val="FootnoteReference"/>
        </w:rPr>
        <w:footnoteRef/>
      </w:r>
      <w:r>
        <w:t xml:space="preserve"> </w:t>
      </w:r>
      <w:r>
        <w:t xml:space="preserve">Poveznica na švedsku agenciju za evaluaciju: </w:t>
      </w:r>
      <w:hyperlink r:id="rId12" w:history="1">
        <w:r>
          <w:rPr>
            <w:rStyle w:val="Hyperlink"/>
          </w:rPr>
          <w:t>https://www.jordbruksverket.se/utvardering</w:t>
        </w:r>
      </w:hyperlink>
    </w:p>
  </w:footnote>
  <w:footnote w:id="39">
    <w:p w:rsidR="00FD4C56" w:rsidRPr="00171202" w:rsidRDefault="00FD4C56" w:rsidP="00804433">
      <w:pPr>
        <w:pStyle w:val="FootnoteText"/>
      </w:pPr>
      <w:r>
        <w:rPr>
          <w:rStyle w:val="FootnoteReference"/>
        </w:rPr>
        <w:footnoteRef/>
      </w:r>
      <w:r>
        <w:t xml:space="preserve"> </w:t>
      </w:r>
      <w:r>
        <w:t>Prilog VII. točka 7. Uredbi (EU) br. 808/2014.</w:t>
      </w:r>
    </w:p>
  </w:footnote>
  <w:footnote w:id="40">
    <w:p w:rsidR="00FD4C56" w:rsidRPr="00171202" w:rsidRDefault="00FD4C56" w:rsidP="00804433">
      <w:pPr>
        <w:pStyle w:val="FootnoteText"/>
      </w:pPr>
      <w:r>
        <w:rPr>
          <w:rStyle w:val="FootnoteReference"/>
        </w:rPr>
        <w:footnoteRef/>
      </w:r>
      <w:r>
        <w:t xml:space="preserve"> Prilog IV. točke 2., 3. i 4. Uredbi (EU) br. 808/2014.</w:t>
      </w:r>
    </w:p>
  </w:footnote>
  <w:footnote w:id="41">
    <w:p w:rsidR="00FD4C56" w:rsidRPr="00171202" w:rsidRDefault="00FD4C56" w:rsidP="00E05D08">
      <w:pPr>
        <w:pStyle w:val="FootnoteText"/>
      </w:pPr>
      <w:r>
        <w:rPr>
          <w:rStyle w:val="FootnoteReference"/>
        </w:rPr>
        <w:footnoteRef/>
      </w:r>
      <w:r>
        <w:t xml:space="preserve"> </w:t>
      </w:r>
      <w:r>
        <w:t>Kriteriji prosudbe kako su navedeni u radnom dokumentu Zajednička evaluacijska pitanja za programe ruralnog razvoja za razdoblje 2014. – 2020.,</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FD4C56" w:rsidRPr="00171202" w:rsidRDefault="00FD4C56" w:rsidP="00E05D08">
      <w:pPr>
        <w:pStyle w:val="FootnoteText"/>
      </w:pPr>
      <w:r>
        <w:rPr>
          <w:rStyle w:val="FootnoteReference"/>
        </w:rPr>
        <w:footnoteRef/>
      </w:r>
      <w:r>
        <w:t xml:space="preserve"> Prilog IV. Uredbi (EU) br. 808/2014.</w:t>
      </w:r>
    </w:p>
  </w:footnote>
  <w:footnote w:id="43">
    <w:p w:rsidR="00FD4C56" w:rsidRPr="00091F73" w:rsidRDefault="00FD4C56" w:rsidP="00E05D08">
      <w:pPr>
        <w:pStyle w:val="FootnoteText"/>
      </w:pPr>
      <w:r>
        <w:rPr>
          <w:rStyle w:val="FootnoteReference"/>
        </w:rPr>
        <w:footnoteRef/>
      </w:r>
      <w:r>
        <w:t xml:space="preserve"> Dodatni kriteriji prosudbe razvijaju se u državi članici uz one koji su navedeni u radnom dokumentu Zajednička evaluacijska pitanja za programe ruralnog razvoja za razdoblje 2014. – 2020. </w:t>
      </w:r>
    </w:p>
  </w:footnote>
  <w:footnote w:id="44">
    <w:p w:rsidR="00FD4C56" w:rsidRPr="00091F73" w:rsidRDefault="00FD4C56" w:rsidP="00E05D08">
      <w:pPr>
        <w:pStyle w:val="FootnoteText"/>
      </w:pPr>
      <w:r>
        <w:rPr>
          <w:rStyle w:val="FootnoteReference"/>
        </w:rPr>
        <w:footnoteRef/>
      </w:r>
      <w:r>
        <w:t xml:space="preserve"> Dodatni su pokazatelji oni koji se razviju u državi članici uz zajedničke pokazatelje ako zajednički pokazatelji nisu dostatni za odgovaranje na evaluacijska pitanja kako je utvrđeno kriterijima prosudbe. Više uputa potražite u Smjernicama: ocjena rezultata PRR-a: kako se pripremiti za izvješćivanje o evaluacijskim nalazima u 2017., </w:t>
      </w:r>
      <w:hyperlink r:id="rId14" w:history="1">
        <w:r>
          <w:rPr>
            <w:rStyle w:val="Hyperlink"/>
          </w:rPr>
          <w:t>https://enrd.ec.europa.eu/evaluation/publications/guidelines-assessment-rdp-results-how-prepare-reporting-evaluation-2017_en</w:t>
        </w:r>
      </w:hyperlink>
    </w:p>
    <w:p w:rsidR="00FD4C56" w:rsidRPr="00091F73" w:rsidRDefault="00FD4C56" w:rsidP="00F74459">
      <w:pPr>
        <w:pStyle w:val="FootnoteText"/>
        <w:rPr>
          <w:lang w:val="sk-SK"/>
        </w:rPr>
      </w:pPr>
    </w:p>
  </w:footnote>
  <w:footnote w:id="45">
    <w:p w:rsidR="00FD4C56" w:rsidRPr="00576A73" w:rsidRDefault="00FD4C56">
      <w:pPr>
        <w:pStyle w:val="FootnoteText"/>
        <w:rPr>
          <w:sz w:val="12"/>
          <w:szCs w:val="12"/>
        </w:rPr>
      </w:pPr>
      <w:r>
        <w:rPr>
          <w:rStyle w:val="FootnoteReference"/>
          <w:szCs w:val="16"/>
        </w:rPr>
        <w:footnoteRef/>
      </w:r>
      <w:r>
        <w:rPr>
          <w:sz w:val="12"/>
          <w:szCs w:val="12"/>
        </w:rPr>
        <w:t xml:space="preserve"> </w:t>
      </w:r>
      <w:r>
        <w:t>Članak 15. stavak 4. točke (a) – (g).</w:t>
      </w:r>
    </w:p>
  </w:footnote>
  <w:footnote w:id="46">
    <w:p w:rsidR="00FD4C56" w:rsidRPr="00401F29" w:rsidRDefault="00FD4C56" w:rsidP="00E05D08">
      <w:pPr>
        <w:pStyle w:val="FootnoteText"/>
        <w:rPr>
          <w:rStyle w:val="Hyperlink"/>
        </w:rPr>
      </w:pPr>
      <w:r>
        <w:rPr>
          <w:rStyle w:val="FootnoteReference"/>
        </w:rPr>
        <w:footnoteRef/>
      </w:r>
      <w:r>
        <w:t xml:space="preserve"> Vidjeti:</w:t>
      </w:r>
      <w:r>
        <w:rPr>
          <w:rStyle w:val="Hyperlink"/>
        </w:rPr>
        <w:t xml:space="preserve"> </w:t>
      </w:r>
      <w:hyperlink r:id="rId15" w:history="1">
        <w:r>
          <w:rPr>
            <w:rStyle w:val="Hyperlink"/>
          </w:rPr>
          <w:t>http://ec.europa.eu/europe2020/targets/eu-targets/index_en.htm</w:t>
        </w:r>
      </w:hyperlink>
    </w:p>
  </w:footnote>
  <w:footnote w:id="47">
    <w:p w:rsidR="00FD4C56" w:rsidRPr="00401F29" w:rsidRDefault="00FD4C56" w:rsidP="00C3092C">
      <w:pPr>
        <w:pStyle w:val="FootnoteText"/>
      </w:pPr>
      <w:r>
        <w:rPr>
          <w:vertAlign w:val="superscript"/>
        </w:rPr>
        <w:footnoteRef/>
      </w:r>
      <w:r>
        <w:t xml:space="preserve"> Radni dokument: Zajednička evaluacijska pitanja za PRR-e za razdoblje 2014. – 2020., </w:t>
      </w:r>
      <w:hyperlink r:id="rId16" w:history="1">
        <w:r>
          <w:rPr>
            <w:rStyle w:val="Hyperlink"/>
          </w:rPr>
          <w:t>http://enrd.ec.europa.eu/evaluation/publications/working-document-common-evaluation-questions-rural-development-programmes_en</w:t>
        </w:r>
      </w:hyperlink>
    </w:p>
  </w:footnote>
  <w:footnote w:id="48">
    <w:p w:rsidR="00FD4C56" w:rsidRPr="00401F29" w:rsidRDefault="00FD4C56" w:rsidP="00E05D08">
      <w:pPr>
        <w:pStyle w:val="FootnoteText"/>
      </w:pPr>
      <w:r>
        <w:rPr>
          <w:rStyle w:val="FootnoteReference"/>
        </w:rPr>
        <w:footnoteRef/>
      </w:r>
      <w:r>
        <w:t xml:space="preserve"> Riječ je o člancima iz Uredbe (EU) 1305/2013.</w:t>
      </w:r>
    </w:p>
  </w:footnote>
  <w:footnote w:id="49">
    <w:p w:rsidR="00FD4C56" w:rsidRPr="00401F29" w:rsidRDefault="00FD4C56" w:rsidP="00E05D08">
      <w:pPr>
        <w:pStyle w:val="FootnoteText"/>
      </w:pPr>
      <w:r>
        <w:rPr>
          <w:rStyle w:val="FootnoteReference"/>
        </w:rPr>
        <w:footnoteRef/>
      </w:r>
      <w:r>
        <w:t xml:space="preserve"> Članak 15. stavak 4. točka (c) Uredbe (EU) 1305/2013.</w:t>
      </w:r>
    </w:p>
  </w:footnote>
  <w:footnote w:id="50">
    <w:p w:rsidR="00FD4C56" w:rsidRPr="00401F29" w:rsidRDefault="00FD4C56" w:rsidP="00E05D08">
      <w:pPr>
        <w:pStyle w:val="FootnoteText"/>
      </w:pPr>
      <w:r>
        <w:rPr>
          <w:rStyle w:val="FootnoteReference"/>
        </w:rPr>
        <w:footnoteRef/>
      </w:r>
      <w:r>
        <w:t xml:space="preserve"> Članak 32. Uredbe (EU) br. 1303/2013.</w:t>
      </w:r>
    </w:p>
  </w:footnote>
  <w:footnote w:id="51">
    <w:p w:rsidR="00FD4C56" w:rsidRPr="00C3092C" w:rsidRDefault="00FD4C56" w:rsidP="00C3092C">
      <w:pPr>
        <w:pStyle w:val="FootnoteText"/>
      </w:pPr>
      <w:r>
        <w:rPr>
          <w:rStyle w:val="FootnoteReference"/>
        </w:rPr>
        <w:footnoteRef/>
      </w:r>
      <w:r>
        <w:t xml:space="preserve"> Članak 35. stavak 2. točka (b) Uredbe (EU) 1305/2013.</w:t>
      </w:r>
    </w:p>
  </w:footnote>
  <w:footnote w:id="52">
    <w:p w:rsidR="00FD4C56" w:rsidRPr="0026694F" w:rsidRDefault="00FD4C56" w:rsidP="00E05D08">
      <w:pPr>
        <w:pStyle w:val="FootnoteText"/>
        <w:rPr>
          <w:color w:val="373737"/>
        </w:rPr>
      </w:pPr>
      <w:r>
        <w:rPr>
          <w:rStyle w:val="FootnoteReference"/>
        </w:rPr>
        <w:footnoteRef/>
      </w:r>
      <w:r>
        <w:t xml:space="preserve"> Članak 35. Uredbe (EU) 1305/2013. U Prilogu I. smjernicama „Mjera suradnje” (inačica iz studenoga 2014.) nalazi se popis podmjera mjere suradnje: </w:t>
      </w:r>
      <w:hyperlink r:id="rId17" w:history="1">
        <w:r>
          <w:rPr>
            <w:rStyle w:val="Hyperlink"/>
          </w:rPr>
          <w:t>https://ec.europa.eu/eip/agriculture/sites/agri-eip/files/16_measure_fiche_art_35_co-operation.pdf</w:t>
        </w:r>
      </w:hyperlink>
    </w:p>
  </w:footnote>
  <w:footnote w:id="53">
    <w:p w:rsidR="00FD4C56" w:rsidRPr="00401F29" w:rsidRDefault="00FD4C56" w:rsidP="00E05D08">
      <w:pPr>
        <w:pStyle w:val="FootnoteText"/>
      </w:pPr>
      <w:r>
        <w:rPr>
          <w:rStyle w:val="FootnoteReference"/>
        </w:rPr>
        <w:footnoteRef/>
      </w:r>
      <w:r>
        <w:t xml:space="preserve"> Članak 35. stavak 1. Uredbe (EU) 1305/2013.</w:t>
      </w:r>
    </w:p>
  </w:footnote>
  <w:footnote w:id="54">
    <w:p w:rsidR="00FD4C56" w:rsidRPr="00AB16BB" w:rsidRDefault="00FD4C56">
      <w:pPr>
        <w:pStyle w:val="FootnoteText"/>
        <w:rPr>
          <w:sz w:val="12"/>
          <w:szCs w:val="12"/>
        </w:rPr>
      </w:pPr>
      <w:r>
        <w:rPr>
          <w:rStyle w:val="FootnoteReference"/>
          <w:szCs w:val="16"/>
        </w:rPr>
        <w:footnoteRef/>
      </w:r>
      <w:r>
        <w:t xml:space="preserve">Prikaz primjera programiranja povezanih s prioritetima EPFRR-a P4 i P5. Dostupno na sljedećoj poveznici: </w:t>
      </w:r>
      <w:hyperlink r:id="rId18" w:history="1">
        <w:r>
          <w:rPr>
            <w:rStyle w:val="Hyperlink"/>
          </w:rPr>
          <w:t>http://enrd.ec.europa.eu/sites/enrd/files/w10_m16_finland_karlsson.pdf</w:t>
        </w:r>
      </w:hyperlink>
      <w:r>
        <w:rPr>
          <w:sz w:val="12"/>
          <w:szCs w:val="12"/>
        </w:rPr>
        <w:t xml:space="preserve"> </w:t>
      </w:r>
    </w:p>
  </w:footnote>
  <w:footnote w:id="55">
    <w:p w:rsidR="00FD4C56" w:rsidRPr="00A45935" w:rsidRDefault="00FD4C56">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FD4C56" w:rsidRDefault="00FD4C56">
      <w:pPr>
        <w:pStyle w:val="FootnoteText"/>
      </w:pPr>
      <w:r>
        <w:rPr>
          <w:rStyle w:val="FootnoteReference"/>
          <w:szCs w:val="16"/>
        </w:rPr>
        <w:footnoteRef/>
      </w:r>
      <w:r>
        <w:t xml:space="preserve"> Prikaz primjera programiranja povezanih s prioritetima EPFRR-a P4 i P5. Dostupno na sljedećoj poveznici: </w:t>
      </w:r>
      <w:hyperlink r:id="rId20" w:history="1">
        <w:r>
          <w:rPr>
            <w:rStyle w:val="Hyperlink"/>
          </w:rPr>
          <w:t>http://enrd.ec.europa.eu/sites/enrd/files/w10_m16.5_hesse_de_vonkutzleben.pdf</w:t>
        </w:r>
      </w:hyperlink>
    </w:p>
  </w:footnote>
  <w:footnote w:id="57">
    <w:p w:rsidR="00FD4C56" w:rsidRPr="00401F29" w:rsidRDefault="00FD4C56" w:rsidP="00E05D08">
      <w:pPr>
        <w:pStyle w:val="FootnoteText"/>
      </w:pPr>
      <w:r>
        <w:rPr>
          <w:rStyle w:val="FootnoteReference"/>
        </w:rPr>
        <w:footnoteRef/>
      </w:r>
      <w:r>
        <w:t xml:space="preserve"> Članak 54. stavak 2. Uredbe (EU) 1305/2013.</w:t>
      </w:r>
    </w:p>
  </w:footnote>
  <w:footnote w:id="58">
    <w:p w:rsidR="00FD4C56" w:rsidRPr="002D11C3" w:rsidRDefault="00FD4C56" w:rsidP="00E05D08">
      <w:pPr>
        <w:pStyle w:val="FootnoteText"/>
      </w:pPr>
      <w:r>
        <w:rPr>
          <w:rStyle w:val="FootnoteReference"/>
        </w:rPr>
        <w:footnoteRef/>
      </w:r>
      <w:r>
        <w:t xml:space="preserve"> Smjernice o tome kako odgovoriti na ZEP br. 21 navedene su i u Prilogu 11. Smjernicama: ocjena rezultata PRR-a: kako se pripremiti za izvješćivanje o evaluaciji u 2017., u kojima su se za potrebe odgovaranja na ZEP uzeli u obzir svi ciljevi povezani s NRM-om: </w:t>
      </w:r>
      <w:hyperlink r:id="rId21" w:history="1">
        <w:r>
          <w:rPr>
            <w:rStyle w:val="Hyperlink"/>
          </w:rPr>
          <w:t>https://enrd.ec.europa.eu/evaluation/publications/guidelines-assessment-rdp-results-how-prepare-reporting-evaluation-2017_en</w:t>
        </w:r>
      </w:hyperlink>
    </w:p>
  </w:footnote>
  <w:footnote w:id="59">
    <w:p w:rsidR="00FD4C56" w:rsidRPr="00401F29" w:rsidRDefault="00FD4C56" w:rsidP="00E05D08">
      <w:pPr>
        <w:pStyle w:val="FootnoteText"/>
      </w:pPr>
      <w:r>
        <w:rPr>
          <w:rStyle w:val="FootnoteReference"/>
        </w:rPr>
        <w:footnoteRef/>
      </w:r>
      <w:r>
        <w:t xml:space="preserve"> Članak 54. Uredbe (EU) 1305/2013.</w:t>
      </w:r>
    </w:p>
  </w:footnote>
  <w:footnote w:id="60">
    <w:p w:rsidR="00FD4C56" w:rsidRPr="00401F29" w:rsidRDefault="00FD4C56" w:rsidP="00E05D08">
      <w:pPr>
        <w:pStyle w:val="FootnoteText"/>
      </w:pPr>
      <w:r>
        <w:rPr>
          <w:rStyle w:val="FootnoteReference"/>
        </w:rPr>
        <w:footnoteRef/>
      </w:r>
      <w:r>
        <w:t xml:space="preserve"> Članak 54. stavak 3. točka (b) Uredbe (EU) 1305/2013.</w:t>
      </w:r>
    </w:p>
  </w:footnote>
  <w:footnote w:id="61">
    <w:p w:rsidR="00FD4C56" w:rsidRPr="00401F29" w:rsidRDefault="00FD4C56" w:rsidP="00E05D08">
      <w:pPr>
        <w:pStyle w:val="FootnoteText"/>
      </w:pPr>
      <w:r>
        <w:rPr>
          <w:rStyle w:val="FootnoteReference"/>
        </w:rPr>
        <w:footnoteRef/>
      </w:r>
      <w:r>
        <w:t xml:space="preserve"> Članak 8. stavak 1. točka (c) podtočka v. Uredbe (EU) br. 1305/2013 i Prilog I. dio I. stavak 5. točke (c) i (e) Uredbi (EU) br. 808/2014.</w:t>
      </w:r>
    </w:p>
  </w:footnote>
  <w:footnote w:id="62">
    <w:p w:rsidR="00FD4C56" w:rsidRPr="00401F29" w:rsidRDefault="00FD4C56" w:rsidP="00E05D08">
      <w:pPr>
        <w:pStyle w:val="FootnoteText"/>
      </w:pPr>
      <w:r>
        <w:rPr>
          <w:rStyle w:val="FootnoteReference"/>
        </w:rPr>
        <w:footnoteRef/>
      </w:r>
      <w:r>
        <w:t xml:space="preserve"> Članak 54. Uredbe (EU) 1305/2013.</w:t>
      </w:r>
    </w:p>
  </w:footnote>
  <w:footnote w:id="63">
    <w:p w:rsidR="00FD4C56" w:rsidRPr="00401F29" w:rsidRDefault="00FD4C56" w:rsidP="00E05D08">
      <w:pPr>
        <w:pStyle w:val="FootnoteText"/>
        <w:rPr>
          <w:rStyle w:val="Hyperlink"/>
        </w:rPr>
      </w:pPr>
      <w:r>
        <w:rPr>
          <w:rStyle w:val="FootnoteReference"/>
        </w:rPr>
        <w:footnoteRef/>
      </w:r>
      <w:r>
        <w:t xml:space="preserve"> Služba za podršku evaluaciji, Radni dokument: zajednička evaluacijska pitanja za PRR-e za razdoblje 2014. – 2020., dostupno na </w:t>
      </w:r>
      <w:hyperlink r:id="rId22" w:history="1">
        <w:r>
          <w:rPr>
            <w:rStyle w:val="Hyperlink"/>
          </w:rPr>
          <w:t>http://enrd.ec.europa.eu/evaluation/publications/working-document-common-evaluation-questions-rural-development-programmes_en</w:t>
        </w:r>
      </w:hyperlink>
    </w:p>
  </w:footnote>
  <w:footnote w:id="64">
    <w:p w:rsidR="00FD4C56" w:rsidRPr="00401F29" w:rsidRDefault="00FD4C56" w:rsidP="00E05D08">
      <w:pPr>
        <w:pStyle w:val="FootnoteText"/>
      </w:pPr>
      <w:r>
        <w:rPr>
          <w:rStyle w:val="FootnoteReference"/>
        </w:rPr>
        <w:footnoteRef/>
      </w:r>
      <w:r>
        <w:t xml:space="preserve"> Isto.</w:t>
      </w:r>
    </w:p>
  </w:footnote>
  <w:footnote w:id="65">
    <w:p w:rsidR="00FD4C56" w:rsidRPr="00401F29" w:rsidRDefault="00FD4C56" w:rsidP="00E05D08">
      <w:pPr>
        <w:pStyle w:val="FootnoteText"/>
      </w:pPr>
      <w:r>
        <w:rPr>
          <w:rStyle w:val="FootnoteReference"/>
        </w:rPr>
        <w:footnoteRef/>
      </w:r>
      <w:r>
        <w:t xml:space="preserve"> Allen i Seaman (2007.).</w:t>
      </w:r>
    </w:p>
  </w:footnote>
  <w:footnote w:id="66">
    <w:p w:rsidR="00FD4C56" w:rsidRPr="00401F29" w:rsidRDefault="00FD4C56" w:rsidP="00E05D08">
      <w:pPr>
        <w:pStyle w:val="FootnoteText"/>
      </w:pPr>
      <w:r>
        <w:rPr>
          <w:rStyle w:val="FootnoteReference"/>
        </w:rPr>
        <w:footnoteRef/>
      </w:r>
      <w:r>
        <w:t xml:space="preserve"> Služba za podršku evaluaciji, Smjernice: evaluacija NRM-ova u razdoblju 2014. – 2020., 2016., poglavlje 3.1.3. i dio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FD4C56" w:rsidRPr="00401F29" w:rsidRDefault="00FD4C56" w:rsidP="00E05D08">
      <w:pPr>
        <w:pStyle w:val="FootnoteText"/>
        <w:rPr>
          <w:rStyle w:val="Hyperlink"/>
        </w:rPr>
      </w:pPr>
      <w:r>
        <w:rPr>
          <w:rStyle w:val="FootnoteReference"/>
        </w:rPr>
        <w:footnoteRef/>
      </w:r>
      <w:r>
        <w:t xml:space="preserve"> Primjer iz talijanskog NRM-a.</w:t>
      </w:r>
      <w:r>
        <w:rPr>
          <w:rFonts w:ascii="Helvetica" w:hAnsi="Helvetica"/>
          <w:szCs w:val="16"/>
        </w:rPr>
        <w:t xml:space="preserve"> </w:t>
      </w:r>
      <w:hyperlink r:id="rId25" w:history="1">
        <w:r>
          <w:rPr>
            <w:rStyle w:val="Hyperlink"/>
          </w:rPr>
          <w:t>http://www.reterurale.it/flex/cm/pages/ServeBLOB.php/L/IT/IDPagina/16281</w:t>
        </w:r>
      </w:hyperlink>
    </w:p>
    <w:p w:rsidR="00FD4C56" w:rsidRPr="00F743D3" w:rsidRDefault="00FD4C56" w:rsidP="00F74459">
      <w:pPr>
        <w:pStyle w:val="FootnoteText"/>
        <w:rPr>
          <w:lang w:val="sk-SK"/>
        </w:rPr>
      </w:pPr>
    </w:p>
  </w:footnote>
  <w:footnote w:id="68">
    <w:p w:rsidR="00FD4C56" w:rsidRPr="00CE37B0" w:rsidRDefault="00FD4C56" w:rsidP="00E05D08">
      <w:pPr>
        <w:pStyle w:val="FootnoteText"/>
      </w:pPr>
      <w:r>
        <w:rPr>
          <w:rStyle w:val="FootnoteReference"/>
        </w:rPr>
        <w:footnoteRef/>
      </w:r>
      <w:r>
        <w:t xml:space="preserve"> EUROPA 2020., Strategija za pametan, održiv i uključiv rast, </w:t>
      </w:r>
      <w:hyperlink r:id="rId26" w:history="1">
        <w:r>
          <w:rPr>
            <w:rStyle w:val="Hyperlink"/>
          </w:rPr>
          <w:t>http://eur-lex.europa.eu/legal-content/en/ALL/?uri=CELEX%3A52010DC2020</w:t>
        </w:r>
      </w:hyperlink>
    </w:p>
  </w:footnote>
  <w:footnote w:id="69">
    <w:p w:rsidR="00FD4C56" w:rsidRPr="0026694F" w:rsidRDefault="00FD4C56"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rsidR="00FD4C56" w:rsidRPr="008F676D" w:rsidRDefault="00FD4C56"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FD4C56" w:rsidRPr="0026694F" w:rsidRDefault="00FD4C56"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FD4C56" w:rsidRPr="00401F29" w:rsidRDefault="00FD4C56" w:rsidP="00E05D08">
      <w:pPr>
        <w:pStyle w:val="FootnoteText"/>
      </w:pPr>
      <w:r>
        <w:rPr>
          <w:rStyle w:val="FootnoteReference"/>
          <w:rFonts w:cs="Helvetica"/>
          <w:szCs w:val="18"/>
        </w:rPr>
        <w:footnoteRef/>
      </w:r>
      <w:r>
        <w:rPr>
          <w:color w:val="373737"/>
          <w:szCs w:val="18"/>
        </w:rPr>
        <w:t xml:space="preserve"> </w:t>
      </w:r>
      <w:r>
        <w:t>Odluka br. 1608/2003/EZ Europskog parlamenta i Vijeća, Uredba (EZ) br. 753/2004 i Uredba (EU) br. 995/2012.</w:t>
      </w:r>
    </w:p>
  </w:footnote>
  <w:footnote w:id="73">
    <w:p w:rsidR="00FD4C56" w:rsidRPr="008F676D" w:rsidRDefault="00FD4C56"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FD4C56" w:rsidRPr="0026694F" w:rsidRDefault="00FD4C56"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U Njemačkoj je istraživanje o ex ante evaluacijama, u kojem je (među ostalim) ispitan značaj PRR-a za postizanje ciljeva EU-a za 2020., pokazalo da je doprinos PRR-a glavnom cilju od 3 % vrlo nizak. U rashodima nekoliko saveznih država samo će se manji dio izdvojiti za istraživanje i razvoj. </w:t>
      </w:r>
    </w:p>
    <w:bookmarkEnd w:id="124"/>
    <w:p w:rsidR="00FD4C56" w:rsidRPr="00E05D08" w:rsidRDefault="00FD4C56" w:rsidP="00F74459">
      <w:pPr>
        <w:pStyle w:val="FootnoteText"/>
        <w:rPr>
          <w:rFonts w:ascii="Calibri" w:hAnsi="Calibri"/>
          <w:lang w:val="sk-SK"/>
        </w:rPr>
      </w:pPr>
    </w:p>
  </w:footnote>
  <w:footnote w:id="75">
    <w:p w:rsidR="00FD4C56" w:rsidRPr="0026694F" w:rsidRDefault="00FD4C56" w:rsidP="00E05D08">
      <w:pPr>
        <w:pStyle w:val="FootnoteText"/>
        <w:rPr>
          <w:rFonts w:cs="Helvetica"/>
          <w:color w:val="373737"/>
        </w:rPr>
      </w:pPr>
      <w:r>
        <w:rPr>
          <w:rStyle w:val="FootnoteReference"/>
          <w:rFonts w:cs="Helvetica"/>
        </w:rPr>
        <w:footnoteRef/>
      </w:r>
      <w:r>
        <w:t xml:space="preserve"> Radni dokument: zajednička evaluacijska pitanja za PRR-e za razdoblje 2014. – 2020., </w:t>
      </w:r>
      <w:hyperlink r:id="rId31" w:history="1">
        <w:r>
          <w:rPr>
            <w:rStyle w:val="Hyperlink"/>
          </w:rPr>
          <w:t>http://enrd.ec.europa.eu/evaluation/publications/working-document-common-evaluation-questions-rural-development-programmes_en</w:t>
        </w:r>
      </w:hyperlink>
    </w:p>
  </w:footnote>
  <w:footnote w:id="76">
    <w:p w:rsidR="00FD4C56" w:rsidRPr="00014A2E" w:rsidRDefault="00FD4C56" w:rsidP="00E05D08">
      <w:pPr>
        <w:pStyle w:val="FootnoteText"/>
      </w:pPr>
      <w:r>
        <w:rPr>
          <w:rStyle w:val="FootnoteReference"/>
        </w:rPr>
        <w:footnoteRef/>
      </w:r>
      <w:r>
        <w:t xml:space="preserve"> Članak 8. stavak 1. točka (c) podtočka v. Uredbe (EU) br. 1305/2013 i Prilog I. dio I. stavak 5. točke (c) i (e) Uredbi (EU) br. 808/2014.</w:t>
      </w:r>
    </w:p>
  </w:footnote>
  <w:footnote w:id="77">
    <w:p w:rsidR="00FD4C56" w:rsidRPr="001D68A9" w:rsidRDefault="00FD4C56"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FD4C56" w:rsidRPr="00401F29" w:rsidRDefault="00FD4C56" w:rsidP="00E05D08">
      <w:pPr>
        <w:pStyle w:val="FootnoteText"/>
      </w:pPr>
      <w:r>
        <w:rPr>
          <w:rStyle w:val="FootnoteReference"/>
        </w:rPr>
        <w:footnoteRef/>
      </w:r>
      <w:r>
        <w:t xml:space="preserve"> Wilson-Grau, 2015. </w:t>
      </w:r>
    </w:p>
  </w:footnote>
  <w:footnote w:id="79">
    <w:p w:rsidR="00FD4C56" w:rsidRPr="00401F29" w:rsidRDefault="00FD4C56" w:rsidP="00E05D08">
      <w:pPr>
        <w:pStyle w:val="FootnoteText"/>
      </w:pPr>
      <w:r>
        <w:rPr>
          <w:rStyle w:val="FootnoteReference"/>
        </w:rPr>
        <w:footnoteRef/>
      </w:r>
      <w:r>
        <w:t xml:space="preserve"> „Studija slučaja metoda je za učenje o složenim pojavama koja se temelji na sveobuhvatnom razumijevanju te pojave koje se stječe opsežnim opisom i analizom te pojave kao jedne cjeline u predmetnom kontekstu.” (GAO, 1990., str. 15.)</w:t>
      </w:r>
    </w:p>
  </w:footnote>
  <w:footnote w:id="80">
    <w:p w:rsidR="00FD4C56" w:rsidRPr="00401F29" w:rsidRDefault="00FD4C56" w:rsidP="00E05D08">
      <w:pPr>
        <w:pStyle w:val="FootnoteText"/>
      </w:pPr>
      <w:r>
        <w:rPr>
          <w:rStyle w:val="FootnoteReference"/>
        </w:rPr>
        <w:footnoteRef/>
      </w:r>
      <w:r>
        <w:rPr>
          <w:rStyle w:val="FootnoteReference"/>
        </w:rPr>
        <w:t xml:space="preserve"> </w:t>
      </w:r>
      <w:r>
        <w:t>Praćenje procesa pristup je zaključivanju o uzročno-posljedičnim vezama koji se temelji na slučaju i u kojem se usredotočuje na uporabu tragova u slučaju (opažanja o uzročno-posljedičnim vezama u procesu, CPO-i) radi donošenja odluke o alternativnim mogućim objašnjenjima. Više o tome:</w:t>
      </w:r>
      <w:r>
        <w:rPr>
          <w:color w:val="373737"/>
          <w:szCs w:val="16"/>
          <w:shd w:val="clear" w:color="auto" w:fill="FFFFFF"/>
        </w:rPr>
        <w:t xml:space="preserve"> </w:t>
      </w:r>
      <w:hyperlink r:id="rId33" w:history="1">
        <w:r>
          <w:rPr>
            <w:rStyle w:val="Hyperlink"/>
            <w:szCs w:val="16"/>
            <w:shd w:val="clear" w:color="auto" w:fill="FFFFFF"/>
          </w:rPr>
          <w:t>http://www.betterevaluation.org/en/evaluation-options/processtracing</w:t>
        </w:r>
      </w:hyperlink>
      <w:r>
        <w:rPr>
          <w:color w:val="373737"/>
          <w:szCs w:val="16"/>
        </w:rPr>
        <w:t>,</w:t>
      </w:r>
      <w:r>
        <w:t xml:space="preserve"> Collier 2011., vidjeti literaturu.</w:t>
      </w:r>
    </w:p>
  </w:footnote>
  <w:footnote w:id="81">
    <w:p w:rsidR="00FD4C56" w:rsidRPr="00401F29" w:rsidRDefault="00FD4C56" w:rsidP="00E05D08">
      <w:pPr>
        <w:pStyle w:val="FootnoteText"/>
      </w:pPr>
      <w:r>
        <w:rPr>
          <w:rStyle w:val="FootnoteReference"/>
        </w:rPr>
        <w:footnoteRef/>
      </w:r>
      <w:r>
        <w:t xml:space="preserve"> „Pripremanje ‚povijesti inovacije’ metoda je za evidentiranje i razmatranje inovacijskog procesa. Osobe koje su bile uključene u inovacije zajedno sastavljaju detaljno pismeno izvješće (ponekad se naziva ‚povijest učenja’) koje se temelji na njihovim sjećanjima i dostupnim dokumentima.” Više o tome: </w:t>
      </w:r>
      <w:hyperlink r:id="rId34" w:history="1">
        <w:r>
          <w:rPr>
            <w:rStyle w:val="Hyperlink"/>
          </w:rPr>
          <w:t>http://www.betterevaluation.org/en/resources/tools/innovation_history/innovation_timeline</w:t>
        </w:r>
      </w:hyperlink>
      <w:r>
        <w:t xml:space="preserve">, Douthwaite i Ashby 2005., vidjeti literaturu. </w:t>
      </w:r>
    </w:p>
  </w:footnote>
  <w:footnote w:id="82">
    <w:p w:rsidR="00FD4C56" w:rsidRPr="00A847F8" w:rsidRDefault="00FD4C56" w:rsidP="00A847F8">
      <w:pPr>
        <w:pStyle w:val="FootnoteText"/>
      </w:pPr>
      <w:r>
        <w:rPr>
          <w:rStyle w:val="FootnoteReference"/>
        </w:rPr>
        <w:footnoteRef/>
      </w:r>
      <w:r>
        <w:t xml:space="preserve"> Mayne 2012., vidjeti literaturu.</w:t>
      </w:r>
    </w:p>
  </w:footnote>
  <w:footnote w:id="83">
    <w:p w:rsidR="00FD4C56" w:rsidRPr="00A847F8" w:rsidRDefault="00FD4C56" w:rsidP="00A847F8">
      <w:pPr>
        <w:pStyle w:val="FootnoteText"/>
      </w:pPr>
      <w:r>
        <w:rPr>
          <w:rStyle w:val="FootnoteReference"/>
        </w:rPr>
        <w:footnoteRef/>
      </w:r>
      <w:r>
        <w:t xml:space="preserve"> Hilton 1996., vidjeti literaturu.</w:t>
      </w:r>
    </w:p>
  </w:footnote>
  <w:footnote w:id="84">
    <w:p w:rsidR="00FD4C56" w:rsidRDefault="00FD4C56" w:rsidP="00A847F8">
      <w:pPr>
        <w:pStyle w:val="FootnoteText"/>
      </w:pPr>
      <w:r>
        <w:rPr>
          <w:rStyle w:val="FootnoteReference"/>
        </w:rPr>
        <w:footnoteRef/>
      </w:r>
      <w:r>
        <w:t xml:space="preserve"> Pawson et al. 2005., vidjeti literaturu.</w:t>
      </w:r>
    </w:p>
  </w:footnote>
  <w:footnote w:id="85">
    <w:p w:rsidR="00FD4C56" w:rsidRDefault="00FD4C56"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t xml:space="preserve"> te Allen i Seaman (2007.</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Default="00FD4C56" w:rsidP="00400064">
    <w:pPr>
      <w:pStyle w:val="Header"/>
      <w:tabs>
        <w:tab w:val="clear" w:pos="4513"/>
        <w:tab w:val="clear" w:pos="9026"/>
      </w:tabs>
      <w:jc w:val="right"/>
    </w:pPr>
    <w:r>
      <w:t>Smjernice: Evaluacija inovacija u programima ruralnog razvoja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400064" w:rsidRDefault="00FD4C56" w:rsidP="0025413B">
    <w:pPr>
      <w:jc w:val="right"/>
      <w:rPr>
        <w:color w:val="F07E31"/>
        <w:sz w:val="18"/>
        <w:szCs w:val="18"/>
      </w:rPr>
    </w:pPr>
    <w:r>
      <w:rPr>
        <w:color w:val="F07E31"/>
        <w:sz w:val="18"/>
        <w:szCs w:val="18"/>
      </w:rPr>
      <w:t>Smjernice: Evaluacija inovacija u programima ruralnog razvoja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400064" w:rsidRDefault="00FD4C56" w:rsidP="00400064">
    <w:pPr>
      <w:jc w:val="right"/>
      <w:rPr>
        <w:color w:val="F07E31"/>
        <w:sz w:val="18"/>
        <w:szCs w:val="18"/>
      </w:rPr>
    </w:pPr>
    <w:r>
      <w:rPr>
        <w:color w:val="F07E31"/>
        <w:sz w:val="18"/>
        <w:szCs w:val="18"/>
      </w:rPr>
      <w:t>Smjernice: Evaluacija inovacija u programima ruralnog razvoja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Default="00FD4C56"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E4509B" w:rsidRDefault="00FD4C56" w:rsidP="00D50EF0">
    <w:pPr>
      <w:pStyle w:val="Header"/>
      <w:tabs>
        <w:tab w:val="clear" w:pos="4513"/>
      </w:tabs>
    </w:pPr>
    <w:r>
      <w:tab/>
    </w:r>
    <w:bookmarkStart w:id="3" w:name="_Hlk503344243"/>
    <w:r>
      <w:t>Smjernice: Evaluacija inovacija u programima ruralnog razvoja</w:t>
    </w:r>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400064" w:rsidRDefault="00FD4C56" w:rsidP="00400064">
    <w:pPr>
      <w:jc w:val="right"/>
      <w:rPr>
        <w:color w:val="F07E31"/>
        <w:sz w:val="18"/>
        <w:szCs w:val="18"/>
      </w:rPr>
    </w:pPr>
    <w:r>
      <w:rPr>
        <w:color w:val="F07E31"/>
        <w:sz w:val="18"/>
        <w:szCs w:val="18"/>
      </w:rPr>
      <w:t>Smjernice: Evaluacija inovacija u programima ruralnog razvoja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C947BA" w:rsidRDefault="00FD4C56" w:rsidP="00C947BA">
    <w:pPr>
      <w:jc w:val="right"/>
      <w:rPr>
        <w:color w:val="F07E31"/>
        <w:sz w:val="18"/>
        <w:szCs w:val="18"/>
      </w:rPr>
    </w:pPr>
    <w:r>
      <w:rPr>
        <w:color w:val="F07E31"/>
        <w:sz w:val="18"/>
        <w:szCs w:val="18"/>
      </w:rPr>
      <w:t>Smjernice: Evaluacija inovacija u programima ruralnog razvoja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Default="00FD4C56"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52778E" w:rsidRDefault="00FD4C56" w:rsidP="00E16522">
    <w:pPr>
      <w:pStyle w:val="Header"/>
      <w:rPr>
        <w:sz w:val="24"/>
      </w:rPr>
    </w:pPr>
    <w:r>
      <w:tab/>
    </w:r>
  </w:p>
  <w:p w:rsidR="00FD4C56" w:rsidRPr="0047590C" w:rsidRDefault="00FD4C56"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Default="00FD4C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C56" w:rsidRPr="00656719" w:rsidRDefault="00FD4C56" w:rsidP="00E16522">
    <w:pPr>
      <w:pStyle w:val="Header"/>
    </w:pPr>
    <w:r>
      <w:tab/>
      <w:t>Popratni dokument: Evaluacija inovacija u programima ruralnog razvoja</w:t>
    </w:r>
  </w:p>
  <w:p w:rsidR="00FD4C56" w:rsidRPr="00F86385" w:rsidRDefault="00FD4C56" w:rsidP="00E16522">
    <w:pPr>
      <w:pStyle w:val="Header"/>
      <w:rPr>
        <w:sz w:val="24"/>
      </w:rPr>
    </w:pPr>
  </w:p>
  <w:p w:rsidR="00FD4C56" w:rsidRPr="0047590C" w:rsidRDefault="00FD4C56"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59963292"/>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4C0248B4"/>
    <w:lvl w:ilvl="0" w:tplc="FEBABD80">
      <w:start w:val="1"/>
      <w:numFmt w:val="decimal"/>
      <w:pStyle w:val="HHeadingtables"/>
      <w:lvlText w:val="Tablica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E046070"/>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Slika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7AF3"/>
    <w:rsid w:val="000324A5"/>
    <w:rsid w:val="00036912"/>
    <w:rsid w:val="00037CA6"/>
    <w:rsid w:val="000520DE"/>
    <w:rsid w:val="00053109"/>
    <w:rsid w:val="00055039"/>
    <w:rsid w:val="0005568E"/>
    <w:rsid w:val="000828C6"/>
    <w:rsid w:val="000A1399"/>
    <w:rsid w:val="000A14B3"/>
    <w:rsid w:val="000A250D"/>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624"/>
    <w:rsid w:val="00177C4F"/>
    <w:rsid w:val="00183E9B"/>
    <w:rsid w:val="001865CA"/>
    <w:rsid w:val="0018705F"/>
    <w:rsid w:val="001954EB"/>
    <w:rsid w:val="001A12C3"/>
    <w:rsid w:val="001A184E"/>
    <w:rsid w:val="001A2952"/>
    <w:rsid w:val="001A2A93"/>
    <w:rsid w:val="001A2DEC"/>
    <w:rsid w:val="001A444E"/>
    <w:rsid w:val="001A6C7C"/>
    <w:rsid w:val="001A7B15"/>
    <w:rsid w:val="001B58A1"/>
    <w:rsid w:val="001C039D"/>
    <w:rsid w:val="001C03A3"/>
    <w:rsid w:val="001C1EB9"/>
    <w:rsid w:val="001E1B68"/>
    <w:rsid w:val="001E4AE1"/>
    <w:rsid w:val="001F01FC"/>
    <w:rsid w:val="001F6140"/>
    <w:rsid w:val="001F626E"/>
    <w:rsid w:val="001F6F07"/>
    <w:rsid w:val="001F7296"/>
    <w:rsid w:val="0020060A"/>
    <w:rsid w:val="0021105B"/>
    <w:rsid w:val="002126B4"/>
    <w:rsid w:val="0021569B"/>
    <w:rsid w:val="002271D9"/>
    <w:rsid w:val="00230C31"/>
    <w:rsid w:val="00232CF1"/>
    <w:rsid w:val="00235D46"/>
    <w:rsid w:val="00237EDF"/>
    <w:rsid w:val="002403DE"/>
    <w:rsid w:val="00241663"/>
    <w:rsid w:val="00253803"/>
    <w:rsid w:val="0025413B"/>
    <w:rsid w:val="00260B97"/>
    <w:rsid w:val="0027289E"/>
    <w:rsid w:val="002803D8"/>
    <w:rsid w:val="00282948"/>
    <w:rsid w:val="00283811"/>
    <w:rsid w:val="002964ED"/>
    <w:rsid w:val="002B1FB6"/>
    <w:rsid w:val="002B21C5"/>
    <w:rsid w:val="002B4923"/>
    <w:rsid w:val="002B590B"/>
    <w:rsid w:val="002C2419"/>
    <w:rsid w:val="002C2C15"/>
    <w:rsid w:val="002C3A1C"/>
    <w:rsid w:val="002C4556"/>
    <w:rsid w:val="002C4B6F"/>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30136"/>
    <w:rsid w:val="00331223"/>
    <w:rsid w:val="0034028A"/>
    <w:rsid w:val="003411D5"/>
    <w:rsid w:val="0034160A"/>
    <w:rsid w:val="00347A2C"/>
    <w:rsid w:val="00350B30"/>
    <w:rsid w:val="00364255"/>
    <w:rsid w:val="003737FE"/>
    <w:rsid w:val="00374290"/>
    <w:rsid w:val="003766ED"/>
    <w:rsid w:val="00382BE4"/>
    <w:rsid w:val="00385368"/>
    <w:rsid w:val="00387226"/>
    <w:rsid w:val="003A1316"/>
    <w:rsid w:val="003A5A53"/>
    <w:rsid w:val="003A6C78"/>
    <w:rsid w:val="003B44A9"/>
    <w:rsid w:val="003B7EB7"/>
    <w:rsid w:val="003C170B"/>
    <w:rsid w:val="003D242C"/>
    <w:rsid w:val="003D5EED"/>
    <w:rsid w:val="003E2CE0"/>
    <w:rsid w:val="003E55F2"/>
    <w:rsid w:val="003F416E"/>
    <w:rsid w:val="003F6478"/>
    <w:rsid w:val="003F6AF1"/>
    <w:rsid w:val="00400064"/>
    <w:rsid w:val="00405B0B"/>
    <w:rsid w:val="00406C98"/>
    <w:rsid w:val="00412D26"/>
    <w:rsid w:val="0042403E"/>
    <w:rsid w:val="00426618"/>
    <w:rsid w:val="00431FF5"/>
    <w:rsid w:val="00447906"/>
    <w:rsid w:val="004508D0"/>
    <w:rsid w:val="00451BFA"/>
    <w:rsid w:val="00452B13"/>
    <w:rsid w:val="00471221"/>
    <w:rsid w:val="00472162"/>
    <w:rsid w:val="00485923"/>
    <w:rsid w:val="0048755C"/>
    <w:rsid w:val="00490F5A"/>
    <w:rsid w:val="00497AC7"/>
    <w:rsid w:val="004A2B05"/>
    <w:rsid w:val="004B5B60"/>
    <w:rsid w:val="004B5F2E"/>
    <w:rsid w:val="004C136F"/>
    <w:rsid w:val="004C17C9"/>
    <w:rsid w:val="004C2BB4"/>
    <w:rsid w:val="004C32F7"/>
    <w:rsid w:val="004C7474"/>
    <w:rsid w:val="004D352C"/>
    <w:rsid w:val="004E272E"/>
    <w:rsid w:val="004E38AA"/>
    <w:rsid w:val="004E3DD3"/>
    <w:rsid w:val="004F414C"/>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6FC4"/>
    <w:rsid w:val="00560E46"/>
    <w:rsid w:val="005626E0"/>
    <w:rsid w:val="0056713D"/>
    <w:rsid w:val="005671F4"/>
    <w:rsid w:val="00570507"/>
    <w:rsid w:val="00576A73"/>
    <w:rsid w:val="00580A51"/>
    <w:rsid w:val="00582F60"/>
    <w:rsid w:val="00583AC8"/>
    <w:rsid w:val="00591CB3"/>
    <w:rsid w:val="0059228D"/>
    <w:rsid w:val="0059311F"/>
    <w:rsid w:val="00595A85"/>
    <w:rsid w:val="00595D16"/>
    <w:rsid w:val="00596A5B"/>
    <w:rsid w:val="00597107"/>
    <w:rsid w:val="005A0605"/>
    <w:rsid w:val="005A0DA2"/>
    <w:rsid w:val="005A5457"/>
    <w:rsid w:val="005B3685"/>
    <w:rsid w:val="005D0347"/>
    <w:rsid w:val="005E1D93"/>
    <w:rsid w:val="005F09BC"/>
    <w:rsid w:val="00600BE3"/>
    <w:rsid w:val="0060261A"/>
    <w:rsid w:val="00604B7A"/>
    <w:rsid w:val="00612D54"/>
    <w:rsid w:val="00615785"/>
    <w:rsid w:val="00617D7B"/>
    <w:rsid w:val="00623618"/>
    <w:rsid w:val="006239C7"/>
    <w:rsid w:val="00624393"/>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B72BF"/>
    <w:rsid w:val="006C085A"/>
    <w:rsid w:val="006C63CD"/>
    <w:rsid w:val="006D0B02"/>
    <w:rsid w:val="006D209F"/>
    <w:rsid w:val="006E0E48"/>
    <w:rsid w:val="006E2A31"/>
    <w:rsid w:val="006E592C"/>
    <w:rsid w:val="006E597D"/>
    <w:rsid w:val="006F0B79"/>
    <w:rsid w:val="006F111F"/>
    <w:rsid w:val="006F1601"/>
    <w:rsid w:val="006F3FC1"/>
    <w:rsid w:val="006F63C5"/>
    <w:rsid w:val="00703AD9"/>
    <w:rsid w:val="00710753"/>
    <w:rsid w:val="0071141A"/>
    <w:rsid w:val="00712357"/>
    <w:rsid w:val="00717885"/>
    <w:rsid w:val="00725801"/>
    <w:rsid w:val="00734B11"/>
    <w:rsid w:val="007372CD"/>
    <w:rsid w:val="007441E3"/>
    <w:rsid w:val="00757688"/>
    <w:rsid w:val="007603A8"/>
    <w:rsid w:val="00764D33"/>
    <w:rsid w:val="00767F5C"/>
    <w:rsid w:val="007707EC"/>
    <w:rsid w:val="0078182B"/>
    <w:rsid w:val="00782C87"/>
    <w:rsid w:val="00783963"/>
    <w:rsid w:val="0079071D"/>
    <w:rsid w:val="007A450E"/>
    <w:rsid w:val="007B0E8B"/>
    <w:rsid w:val="007B323F"/>
    <w:rsid w:val="007B4A6D"/>
    <w:rsid w:val="007B4D84"/>
    <w:rsid w:val="007C2C6A"/>
    <w:rsid w:val="007C69CD"/>
    <w:rsid w:val="007C7A64"/>
    <w:rsid w:val="007D2A0C"/>
    <w:rsid w:val="007D301C"/>
    <w:rsid w:val="007D62E6"/>
    <w:rsid w:val="007E16DD"/>
    <w:rsid w:val="007E277A"/>
    <w:rsid w:val="007E63EF"/>
    <w:rsid w:val="007E7353"/>
    <w:rsid w:val="007F0B5B"/>
    <w:rsid w:val="007F4DD3"/>
    <w:rsid w:val="00803501"/>
    <w:rsid w:val="00804314"/>
    <w:rsid w:val="00804433"/>
    <w:rsid w:val="00805EDF"/>
    <w:rsid w:val="00807A63"/>
    <w:rsid w:val="0081188E"/>
    <w:rsid w:val="00812586"/>
    <w:rsid w:val="008126E6"/>
    <w:rsid w:val="00814B95"/>
    <w:rsid w:val="008164E6"/>
    <w:rsid w:val="0081791E"/>
    <w:rsid w:val="00826484"/>
    <w:rsid w:val="008518F2"/>
    <w:rsid w:val="00857D5C"/>
    <w:rsid w:val="00863DB0"/>
    <w:rsid w:val="00864D7B"/>
    <w:rsid w:val="00866B4D"/>
    <w:rsid w:val="00876579"/>
    <w:rsid w:val="0088190F"/>
    <w:rsid w:val="008873D9"/>
    <w:rsid w:val="00890C92"/>
    <w:rsid w:val="00891109"/>
    <w:rsid w:val="00893616"/>
    <w:rsid w:val="00897804"/>
    <w:rsid w:val="008A0836"/>
    <w:rsid w:val="008A0CFF"/>
    <w:rsid w:val="008A260B"/>
    <w:rsid w:val="008B008F"/>
    <w:rsid w:val="008B1A09"/>
    <w:rsid w:val="008C0B17"/>
    <w:rsid w:val="008C3EAC"/>
    <w:rsid w:val="008D05D4"/>
    <w:rsid w:val="008D178A"/>
    <w:rsid w:val="008D63A8"/>
    <w:rsid w:val="008E4AA6"/>
    <w:rsid w:val="008E526F"/>
    <w:rsid w:val="008F1F04"/>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3A3F"/>
    <w:rsid w:val="009D479A"/>
    <w:rsid w:val="009D56E6"/>
    <w:rsid w:val="009F145D"/>
    <w:rsid w:val="009F1589"/>
    <w:rsid w:val="009F5AB5"/>
    <w:rsid w:val="00A008D3"/>
    <w:rsid w:val="00A04209"/>
    <w:rsid w:val="00A209BF"/>
    <w:rsid w:val="00A304B0"/>
    <w:rsid w:val="00A31D39"/>
    <w:rsid w:val="00A3531F"/>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A7F7C"/>
    <w:rsid w:val="00AB16BB"/>
    <w:rsid w:val="00AB30F5"/>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0432"/>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6E3D"/>
    <w:rsid w:val="00C202EC"/>
    <w:rsid w:val="00C20C97"/>
    <w:rsid w:val="00C23326"/>
    <w:rsid w:val="00C3092C"/>
    <w:rsid w:val="00C31DF0"/>
    <w:rsid w:val="00C3302E"/>
    <w:rsid w:val="00C3334D"/>
    <w:rsid w:val="00C35A25"/>
    <w:rsid w:val="00C37C7A"/>
    <w:rsid w:val="00C42171"/>
    <w:rsid w:val="00C477ED"/>
    <w:rsid w:val="00C5127D"/>
    <w:rsid w:val="00C51F59"/>
    <w:rsid w:val="00C61277"/>
    <w:rsid w:val="00C621C4"/>
    <w:rsid w:val="00C6361D"/>
    <w:rsid w:val="00C64B64"/>
    <w:rsid w:val="00C67E9D"/>
    <w:rsid w:val="00C7346C"/>
    <w:rsid w:val="00C8095B"/>
    <w:rsid w:val="00C84B5B"/>
    <w:rsid w:val="00C947BA"/>
    <w:rsid w:val="00C9522B"/>
    <w:rsid w:val="00C95BD6"/>
    <w:rsid w:val="00C96CAE"/>
    <w:rsid w:val="00CA12E6"/>
    <w:rsid w:val="00CA28E6"/>
    <w:rsid w:val="00CA3A48"/>
    <w:rsid w:val="00CA6EC8"/>
    <w:rsid w:val="00CB2371"/>
    <w:rsid w:val="00CB3AD0"/>
    <w:rsid w:val="00CB4818"/>
    <w:rsid w:val="00CB68D9"/>
    <w:rsid w:val="00CC3E5D"/>
    <w:rsid w:val="00CC53B5"/>
    <w:rsid w:val="00CC5C1C"/>
    <w:rsid w:val="00CD3BC8"/>
    <w:rsid w:val="00CE2990"/>
    <w:rsid w:val="00CF37F0"/>
    <w:rsid w:val="00CF4822"/>
    <w:rsid w:val="00CF6D0E"/>
    <w:rsid w:val="00D010F5"/>
    <w:rsid w:val="00D05E3A"/>
    <w:rsid w:val="00D076E7"/>
    <w:rsid w:val="00D10FA6"/>
    <w:rsid w:val="00D13817"/>
    <w:rsid w:val="00D201A2"/>
    <w:rsid w:val="00D32DA8"/>
    <w:rsid w:val="00D32E53"/>
    <w:rsid w:val="00D35751"/>
    <w:rsid w:val="00D4053E"/>
    <w:rsid w:val="00D461AB"/>
    <w:rsid w:val="00D50380"/>
    <w:rsid w:val="00D50492"/>
    <w:rsid w:val="00D50EF0"/>
    <w:rsid w:val="00D55226"/>
    <w:rsid w:val="00D57D0A"/>
    <w:rsid w:val="00D612DC"/>
    <w:rsid w:val="00D62992"/>
    <w:rsid w:val="00D62ED4"/>
    <w:rsid w:val="00D66182"/>
    <w:rsid w:val="00D66501"/>
    <w:rsid w:val="00D73319"/>
    <w:rsid w:val="00D7340E"/>
    <w:rsid w:val="00D77178"/>
    <w:rsid w:val="00D77B96"/>
    <w:rsid w:val="00D815E7"/>
    <w:rsid w:val="00D85FF6"/>
    <w:rsid w:val="00D91213"/>
    <w:rsid w:val="00D91569"/>
    <w:rsid w:val="00D930A2"/>
    <w:rsid w:val="00D942BA"/>
    <w:rsid w:val="00D96C8F"/>
    <w:rsid w:val="00DA22EB"/>
    <w:rsid w:val="00DB1887"/>
    <w:rsid w:val="00DB650D"/>
    <w:rsid w:val="00DC1C77"/>
    <w:rsid w:val="00DC20D6"/>
    <w:rsid w:val="00DC2840"/>
    <w:rsid w:val="00DC6C4F"/>
    <w:rsid w:val="00DD247A"/>
    <w:rsid w:val="00DD473C"/>
    <w:rsid w:val="00DD4C4C"/>
    <w:rsid w:val="00DE256D"/>
    <w:rsid w:val="00DE2C82"/>
    <w:rsid w:val="00DF68E2"/>
    <w:rsid w:val="00E03826"/>
    <w:rsid w:val="00E05D08"/>
    <w:rsid w:val="00E16522"/>
    <w:rsid w:val="00E30E27"/>
    <w:rsid w:val="00E33F37"/>
    <w:rsid w:val="00E34FAC"/>
    <w:rsid w:val="00E36F81"/>
    <w:rsid w:val="00E461FB"/>
    <w:rsid w:val="00E54013"/>
    <w:rsid w:val="00E54929"/>
    <w:rsid w:val="00E55961"/>
    <w:rsid w:val="00E634DC"/>
    <w:rsid w:val="00E64309"/>
    <w:rsid w:val="00E71021"/>
    <w:rsid w:val="00E713B8"/>
    <w:rsid w:val="00E72529"/>
    <w:rsid w:val="00E8197A"/>
    <w:rsid w:val="00E849E7"/>
    <w:rsid w:val="00EA0618"/>
    <w:rsid w:val="00EA0974"/>
    <w:rsid w:val="00EB2347"/>
    <w:rsid w:val="00EB77F2"/>
    <w:rsid w:val="00EB7915"/>
    <w:rsid w:val="00EC468B"/>
    <w:rsid w:val="00EC4AF4"/>
    <w:rsid w:val="00EC5172"/>
    <w:rsid w:val="00ED1295"/>
    <w:rsid w:val="00ED1649"/>
    <w:rsid w:val="00ED47C5"/>
    <w:rsid w:val="00EE3543"/>
    <w:rsid w:val="00EE767C"/>
    <w:rsid w:val="00EF0A96"/>
    <w:rsid w:val="00EF1B0F"/>
    <w:rsid w:val="00EF4540"/>
    <w:rsid w:val="00F01E0F"/>
    <w:rsid w:val="00F0545B"/>
    <w:rsid w:val="00F117CA"/>
    <w:rsid w:val="00F13B45"/>
    <w:rsid w:val="00F13B74"/>
    <w:rsid w:val="00F200A2"/>
    <w:rsid w:val="00F20A10"/>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6385"/>
    <w:rsid w:val="00F8743F"/>
    <w:rsid w:val="00F9406A"/>
    <w:rsid w:val="00F94F86"/>
    <w:rsid w:val="00FA12EA"/>
    <w:rsid w:val="00FA6691"/>
    <w:rsid w:val="00FB51EF"/>
    <w:rsid w:val="00FB5B14"/>
    <w:rsid w:val="00FC1408"/>
    <w:rsid w:val="00FC14FF"/>
    <w:rsid w:val="00FC7364"/>
    <w:rsid w:val="00FD4C56"/>
    <w:rsid w:val="00FF02C1"/>
    <w:rsid w:val="00FF15CC"/>
    <w:rsid w:val="00FF4353"/>
    <w:rsid w:val="00FF6BAA"/>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CE8362"/>
  <w15:docId w15:val="{C31BE420-29EA-4D6B-BBB8-DCEA74FA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hr-HR"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hr-HR"/>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hr-HR"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s://www.gao.gov/products/GAO/PEMD-10.1.9"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eader" Target="header7.xml"/><Relationship Id="rId68" Type="http://schemas.openxmlformats.org/officeDocument/2006/relationships/hyperlink" Target="https://ec.europa.eu/eip/agriculture/en/publications/guidelines-programming-innovation-and" TargetMode="External"/><Relationship Id="rId84" Type="http://schemas.openxmlformats.org/officeDocument/2006/relationships/hyperlink" Target="http://www.men-d.de/index.php?id=81&amp;tx_ttnews%5btt_news%5d=195&amp;tx_ttnews%5bbackPid%5d=85&amp;cHash=08539b2ad7" TargetMode="External"/><Relationship Id="rId89" Type="http://schemas.openxmlformats.org/officeDocument/2006/relationships/hyperlink" Target="http://www.men-d.de/index.php?id=81&amp;tx_ttnews%5btt_news%5d=150&amp;tx_ttnews%5bbackPid%5d=85&amp;cHash=41ecd4ea5c" TargetMode="External"/><Relationship Id="rId112" Type="http://schemas.openxmlformats.org/officeDocument/2006/relationships/hyperlink" Target="https://www.ncbi.nlm.nih.gov/pubmed/16053581" TargetMode="External"/><Relationship Id="rId133" Type="http://schemas.openxmlformats.org/officeDocument/2006/relationships/header" Target="header11.xml"/><Relationship Id="rId16" Type="http://schemas.openxmlformats.org/officeDocument/2006/relationships/header" Target="header3.xml"/><Relationship Id="rId107" Type="http://schemas.openxmlformats.org/officeDocument/2006/relationships/hyperlink" Target="http://www.tandfonline.com/doi/abs/10.1080/135467896394447"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c.europa.eu/eip/agriculture/sites/agri-eip/files/16_measure_fiche_art_35_co-operation.pdf" TargetMode="External"/><Relationship Id="rId74" Type="http://schemas.openxmlformats.org/officeDocument/2006/relationships/hyperlink" Target="https://enrd.ec.europa.eu/sites/enrd/files/twg-02-nrn-july2016.pdf" TargetMode="External"/><Relationship Id="rId79" Type="http://schemas.openxmlformats.org/officeDocument/2006/relationships/hyperlink" Target="http://eur-lex.europa.eu/LexUriServ/LexUriServ.do?uri=COM:2010:2020:FIN:EN:PDF" TargetMode="External"/><Relationship Id="rId102" Type="http://schemas.openxmlformats.org/officeDocument/2006/relationships/hyperlink" Target="http://asq.org/quality-progress/2007/07/statistics/likert-scales-and-data-analyses.html" TargetMode="External"/><Relationship Id="rId123" Type="http://schemas.openxmlformats.org/officeDocument/2006/relationships/hyperlink" Target="http://journals.sagepub.com/doi/abs/10.1177/1356389012451663" TargetMode="External"/><Relationship Id="rId128" Type="http://schemas.openxmlformats.org/officeDocument/2006/relationships/hyperlink" Target="https://ec.europa.eu/eip/agriculture/sites/agri-eip/files/communication_on_eip_-_en.pdf" TargetMode="External"/><Relationship Id="rId5" Type="http://schemas.openxmlformats.org/officeDocument/2006/relationships/webSettings" Target="webSettings.xml"/><Relationship Id="rId90" Type="http://schemas.openxmlformats.org/officeDocument/2006/relationships/hyperlink" Target="http://www.men-d.de/index.php?id=81&amp;tx_ttnews%5btt_news%5d=195&amp;tx_ttnews%5bbackPid%5d=85&amp;cHash=08539b2ad7"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s://enrd.ec.europa.eu/evaluation/publications/guidelines-assessment-rdp-results-how-prepare-reporting-evaluation-2017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s://enrd.ec.europa.eu/sites/enrd/files/uploaded-files/wp_evaluation_questions_2015.pdf" TargetMode="External"/><Relationship Id="rId105" Type="http://schemas.openxmlformats.org/officeDocument/2006/relationships/hyperlink" Target="https://www.gao.gov/products/GAO/PEMD-10.1.9" TargetMode="External"/><Relationship Id="rId113" Type="http://schemas.openxmlformats.org/officeDocument/2006/relationships/hyperlink" Target="http://betterevaluation.org/plan/approach/outcome_harvesting" TargetMode="External"/><Relationship Id="rId118" Type="http://schemas.openxmlformats.org/officeDocument/2006/relationships/hyperlink" Target="https://www.gao.gov/products/GAO/PEMD-10.1.9" TargetMode="External"/><Relationship Id="rId126" Type="http://schemas.openxmlformats.org/officeDocument/2006/relationships/hyperlink" Target="http://ec.europa.eu/eip/agriculture/sites/agri-eip/files/16_measure_fiche_art_35_co-operation.pdf" TargetMode="External"/><Relationship Id="rId134" Type="http://schemas.openxmlformats.org/officeDocument/2006/relationships/fontTable" Target="fontTable.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c.europa.eu/eurostat/statistics-explained/index.php/Smarter,_greener,_more_inclusive_-_indicators_to_support_the_Europe_2020_strategy" TargetMode="External"/><Relationship Id="rId85" Type="http://schemas.openxmlformats.org/officeDocument/2006/relationships/hyperlink" Target="http://eur-lex.europa.eu/LexUriServ/LexUriServ.do?uri=COM:2010:2020:FIN:EN:PDF" TargetMode="External"/><Relationship Id="rId93" Type="http://schemas.openxmlformats.org/officeDocument/2006/relationships/header" Target="header9.xml"/><Relationship Id="rId98" Type="http://schemas.openxmlformats.org/officeDocument/2006/relationships/hyperlink" Target="http://www.hnvlink.eu/" TargetMode="External"/><Relationship Id="rId121" Type="http://schemas.openxmlformats.org/officeDocument/2006/relationships/hyperlink" Target="http://journals.sagepub.com/doi/abs/10.1177/135638901245166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enrd.ec.europa.eu/news-events/events/enrd-workshop-measure-16-cooperation_en" TargetMode="External"/><Relationship Id="rId67" Type="http://schemas.openxmlformats.org/officeDocument/2006/relationships/hyperlink" Target="https://enrd.ec.europa.eu/sites/enrd/files/twg-02-nrn-july2016.pdf" TargetMode="External"/><Relationship Id="rId103" Type="http://schemas.openxmlformats.org/officeDocument/2006/relationships/hyperlink" Target="https://www.cambridge.org/core/journals/ps-political-science-and-politics/article/understanding-process-tracing/183A057AD6A36783E678CB37440346D1"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ageconsearch.umn.edu/bitstream/52515/2/ILAC_Brief05_Histories.pdf" TargetMode="External"/><Relationship Id="rId124" Type="http://schemas.openxmlformats.org/officeDocument/2006/relationships/hyperlink" Target="https://www.ncbi.nlm.nih.gov/pubmed/16053581" TargetMode="External"/><Relationship Id="rId129" Type="http://schemas.openxmlformats.org/officeDocument/2006/relationships/hyperlink" Target="https://ec.europa.eu/eip/agriculture/en/content/innovation-support-services" TargetMode="External"/><Relationship Id="rId20" Type="http://schemas.openxmlformats.org/officeDocument/2006/relationships/header" Target="header5.xml"/><Relationship Id="rId41" Type="http://schemas.openxmlformats.org/officeDocument/2006/relationships/image" Target="media/image15.jpg"/><Relationship Id="rId54" Type="http://schemas.openxmlformats.org/officeDocument/2006/relationships/hyperlink" Target="https://ec.europa.eu/eip/agriculture/sites/agri-eip/files/16_measure_fiche_art_35_co-operation.pdf" TargetMode="External"/><Relationship Id="rId62" Type="http://schemas.openxmlformats.org/officeDocument/2006/relationships/hyperlink" Target="https://enrd.ec.europa.eu/evaluation/publications/guidelines-evaluation-national-rural-networks-2014-2020_en"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c.europa.eu/eip/agriculture/en/publications/guidelines-programming-innovation-and" TargetMode="External"/><Relationship Id="rId83" Type="http://schemas.openxmlformats.org/officeDocument/2006/relationships/hyperlink" Target="http://www.men-d.de/index.php?id=81&amp;tx_ttnews%5btt_news%5d=150&amp;tx_ttnews%5bbackPid%5d=85&amp;cHash=41ecd4ea5c" TargetMode="External"/><Relationship Id="rId88" Type="http://schemas.openxmlformats.org/officeDocument/2006/relationships/hyperlink" Target="http://www.men-d.de/uploads/media/MEN-D_Jahresveranstaltung_2017.pdf" TargetMode="External"/><Relationship Id="rId91" Type="http://schemas.openxmlformats.org/officeDocument/2006/relationships/image" Target="media/image18.emf"/><Relationship Id="rId96" Type="http://schemas.openxmlformats.org/officeDocument/2006/relationships/hyperlink" Target="http://www.hnvlink.eu/"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enrd.ec.europa.eu/enrd-static/app_templates/enrd_assets/pdf/guidebook/nrn_handbook_webversio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asq.org/quality-progress/2007/07/statistics/likert-scales-and-data-analyses.html" TargetMode="External"/><Relationship Id="rId119" Type="http://schemas.openxmlformats.org/officeDocument/2006/relationships/hyperlink" Target="http://www.tandfonline.com/doi/abs/10.1080/135467896394447" TargetMode="External"/><Relationship Id="rId127" Type="http://schemas.openxmlformats.org/officeDocument/2006/relationships/hyperlink" Target="https://ec.europa.eu/research/innovation-union/pdf/innovation-union-communication_en.pdf"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image" Target="media/image17.emf"/><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enrd.ec.europa.eu/enrd-static/app_templates/enrd_assets/pdf/guidebook/nrn_handbook_webversion.pdf" TargetMode="External"/><Relationship Id="rId78" Type="http://schemas.openxmlformats.org/officeDocument/2006/relationships/hyperlink" Target="https://enrd.ec.europa.eu/sites/enrd/files/uploaded-files/wp_evaluation_questions_2015.pdf"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ec.europa.eu/eurostat/statistics-explained/index.php/Smarter,_greener,_more_inclusive_-_indicators_to_support_the_Europe_2020_strategy" TargetMode="External"/><Relationship Id="rId94" Type="http://schemas.openxmlformats.org/officeDocument/2006/relationships/hyperlink" Target="https://enrd.ec.europa.eu/sites/enrd/files/uploaded-files/wp_evaluation_questions_2015.pdf" TargetMode="External"/><Relationship Id="rId99" Type="http://schemas.openxmlformats.org/officeDocument/2006/relationships/hyperlink" Target="http://www.hnvlink.eu/download/D1.3BAcomplete.pdf" TargetMode="External"/><Relationship Id="rId101" Type="http://schemas.openxmlformats.org/officeDocument/2006/relationships/header" Target="header10.xml"/><Relationship Id="rId122" Type="http://schemas.openxmlformats.org/officeDocument/2006/relationships/hyperlink" Target="http://journals.sagepub.com/doi/abs/10.1177/1356389012451663" TargetMode="External"/><Relationship Id="rId130" Type="http://schemas.openxmlformats.org/officeDocument/2006/relationships/hyperlink" Target="http://ec.europa.eu/eip/agriculture/sites/agri-eip/files/eip-guidelines-july-2014_en.pdf"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journals.sagepub.com/doi/abs/10.1177/1356389012451663"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image" Target="media/image16.emf"/><Relationship Id="rId55" Type="http://schemas.openxmlformats.org/officeDocument/2006/relationships/hyperlink" Target="http://enrd.ec.europa.eu/news-events/events/enrd-workshop-measure-16-cooperation_en"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hnvlink.eu/download/D1.3BAcomplete.pdf" TargetMode="External"/><Relationship Id="rId104" Type="http://schemas.openxmlformats.org/officeDocument/2006/relationships/hyperlink" Target="http://ageconsearch.umn.edu/bitstream/52515/2/ILAC_Brief05_Histories.pdf" TargetMode="External"/><Relationship Id="rId120" Type="http://schemas.openxmlformats.org/officeDocument/2006/relationships/hyperlink" Target="http://www.tandfonline.com/doi/abs/10.1080/135467896394447" TargetMode="External"/><Relationship Id="rId125" Type="http://schemas.openxmlformats.org/officeDocument/2006/relationships/hyperlink" Target="http://betterevaluation.org/plan/approach/outcome_harvesting"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en" TargetMode="External"/><Relationship Id="rId66" Type="http://schemas.openxmlformats.org/officeDocument/2006/relationships/hyperlink" Target="http://enrd.ec.europa.eu/enrd-static/app_templates/enrd_assets/pdf/guidebook/nrn_handbook_webversion.pdf"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s://www.cambridge.org/core/journals/ps-political-science-and-politics/article/understanding-process-tracing/183A057AD6A36783E678CB37440346D1" TargetMode="External"/><Relationship Id="rId131" Type="http://schemas.openxmlformats.org/officeDocument/2006/relationships/hyperlink" Target="https://ec.europa.eu/eip/agriculture/en/content/innovation-support-services" TargetMode="External"/><Relationship Id="rId61" Type="http://schemas.openxmlformats.org/officeDocument/2006/relationships/hyperlink" Target="https://enrd.ec.europa.eu/evaluation/publications/guidelines-evaluation-national-rural-networks-2014-2020_en" TargetMode="External"/><Relationship Id="rId82" Type="http://schemas.openxmlformats.org/officeDocument/2006/relationships/hyperlink" Target="http://www.men-d.de/uploads/media/MEN-D_Jahresveranstaltung_2017.pdf"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A70E4-CD11-4309-B249-5BAF94B2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86</Pages>
  <Words>20068</Words>
  <Characters>114394</Characters>
  <Application>Microsoft Office Word</Application>
  <DocSecurity>0</DocSecurity>
  <Lines>953</Lines>
  <Paragraphs>268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22</cp:revision>
  <cp:lastPrinted>2018-01-12T09:16:00Z</cp:lastPrinted>
  <dcterms:created xsi:type="dcterms:W3CDTF">2018-03-16T18:07:00Z</dcterms:created>
  <dcterms:modified xsi:type="dcterms:W3CDTF">2018-03-20T11:38:00Z</dcterms:modified>
</cp:coreProperties>
</file>