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5D08" w:rsidRPr="00E05D08" w:rsidRDefault="00E05D08" w:rsidP="00E05D08">
      <w:pPr>
        <w:spacing w:after="120" w:line="280" w:lineRule="atLeast"/>
        <w:mirrorIndents/>
        <w:rPr>
          <w:rFonts w:eastAsia="Times New Roman" w:cs="Times New Roman"/>
          <w:szCs w:val="20"/>
        </w:rPr>
      </w:pPr>
      <w:bookmarkStart w:id="0" w:name="_Hlk503275930"/>
      <w:r>
        <w:rPr>
          <w:rFonts w:eastAsia="Times New Roman" w:cs="Times New Roman"/>
          <w:noProof/>
          <w:szCs w:val="24"/>
          <w:lang w:val="en-GB" w:eastAsia="en-GB"/>
        </w:rPr>
        <mc:AlternateContent>
          <mc:Choice Requires="wps">
            <w:drawing>
              <wp:anchor distT="0" distB="0" distL="114300" distR="114300" simplePos="0" relativeHeight="251645440" behindDoc="1" locked="0" layoutInCell="1" allowOverlap="1" wp14:anchorId="6C8EB33A" wp14:editId="397EA611">
                <wp:simplePos x="0" y="0"/>
                <wp:positionH relativeFrom="page">
                  <wp:posOffset>834013</wp:posOffset>
                </wp:positionH>
                <wp:positionV relativeFrom="page">
                  <wp:posOffset>5024176</wp:posOffset>
                </wp:positionV>
                <wp:extent cx="6049108" cy="3537020"/>
                <wp:effectExtent l="0" t="0" r="8890" b="6350"/>
                <wp:wrapTight wrapText="bothSides">
                  <wp:wrapPolygon edited="0">
                    <wp:start x="0" y="0"/>
                    <wp:lineTo x="0" y="21522"/>
                    <wp:lineTo x="21564" y="21522"/>
                    <wp:lineTo x="21564"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108" cy="353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EFF" w:rsidRPr="00DD6E53" w:rsidRDefault="00272EFF" w:rsidP="00E05D08">
                            <w:pPr>
                              <w:pStyle w:val="HTitle1"/>
                            </w:pPr>
                            <w:r>
                              <w:t xml:space="preserve">Κατευθυντήριες γραμμές </w:t>
                            </w:r>
                          </w:p>
                          <w:p w:rsidR="00272EFF" w:rsidRPr="00DD6E53" w:rsidRDefault="00272EFF" w:rsidP="00C947BA">
                            <w:pPr>
                              <w:pStyle w:val="HTitle2"/>
                              <w:jc w:val="left"/>
                            </w:pPr>
                            <w:bookmarkStart w:id="1" w:name="_Hlk501355929"/>
                            <w:r>
                              <w:t>Αξιολόγηση της καινοτομίας στο πλαίσιο των προγραμμάτων αγροτικής ανάπτυξης της περιόδου 2014-2020</w:t>
                            </w:r>
                            <w:bookmarkEnd w:id="1"/>
                            <w:r>
                              <w:t xml:space="preserve"> </w:t>
                            </w:r>
                          </w:p>
                          <w:p w:rsidR="00272EFF" w:rsidRPr="00DD6E53" w:rsidRDefault="00272EFF" w:rsidP="00E05D08">
                            <w:pPr>
                              <w:rPr>
                                <w:color w:val="6F6F6F"/>
                                <w:sz w:val="28"/>
                                <w:szCs w:val="28"/>
                              </w:rPr>
                            </w:pPr>
                          </w:p>
                          <w:p w:rsidR="00272EFF" w:rsidRDefault="00272EFF" w:rsidP="00E05D08">
                            <w:pPr>
                              <w:pStyle w:val="HTitle3"/>
                            </w:pPr>
                            <w:r>
                              <w:t xml:space="preserve">Δεκέμβριος 2017 </w:t>
                            </w:r>
                          </w:p>
                          <w:p w:rsidR="00272EFF" w:rsidRDefault="00272EFF" w:rsidP="00E05D08">
                            <w:pPr>
                              <w:pStyle w:val="HTitle3"/>
                            </w:pPr>
                          </w:p>
                          <w:p w:rsidR="00272EFF" w:rsidRDefault="00272EFF" w:rsidP="00E05D08">
                            <w:pPr>
                              <w:pStyle w:val="HTitle3"/>
                            </w:pPr>
                          </w:p>
                          <w:p w:rsidR="00272EFF" w:rsidRDefault="00272EFF" w:rsidP="00E05D08">
                            <w:pPr>
                              <w:pStyle w:val="HTitle3"/>
                            </w:pPr>
                          </w:p>
                          <w:p w:rsidR="00272EFF" w:rsidRPr="00912430" w:rsidRDefault="00272EFF" w:rsidP="00912430">
                            <w:pPr>
                              <w:rPr>
                                <w:color w:val="auto"/>
                                <w:sz w:val="18"/>
                                <w:szCs w:val="18"/>
                              </w:rPr>
                            </w:pPr>
                            <w:r>
                              <w:rPr>
                                <w:i/>
                                <w:sz w:val="18"/>
                                <w:szCs w:val="18"/>
                              </w:rPr>
                              <w:t xml:space="preserve">Το παρόν έγγραφο περιέχει τη μετάφραση της έκδοσης του Δεκεμβρίου του 2017 «Κατευθυντήριες γραμμές: Αξιολόγηση της καινοτομίας στο πλαίσιο των προγραμμάτων αγροτικής ανάπτυξης της περιόδου 2014-2020». Η μετάφραση παρέχεται ούτως ώστε οι κατευθυντήριες γραμμές να είναι πιο χρήσιμες και προσβάσιμες από όλους τους ενδιαφερόμενους φορείς. Σημειώνεται ότι ως τελικό κείμενο αναφοράς θα πρέπει να χρησιμοποιείται η αγγλική έκδοση. Η αγγλική έκδοση διατίθεται στον </w:t>
                            </w:r>
                            <w:hyperlink r:id="rId8" w:tgtFrame="_blank" w:history="1">
                              <w:r>
                                <w:rPr>
                                  <w:rStyle w:val="Hyperlink"/>
                                  <w:i/>
                                  <w:sz w:val="18"/>
                                  <w:szCs w:val="18"/>
                                </w:rPr>
                                <w:t>ακόλουθο σύνδεσμο</w:t>
                              </w:r>
                            </w:hyperlink>
                            <w:r>
                              <w:rPr>
                                <w:rStyle w:val="Hyperlink"/>
                                <w:color w:val="auto"/>
                                <w:sz w:val="18"/>
                                <w:szCs w:val="18"/>
                                <w:u w:val="non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EB33A" id="_x0000_t202" coordsize="21600,21600" o:spt="202" path="m,l,21600r21600,l21600,xe">
                <v:stroke joinstyle="miter"/>
                <v:path gradientshapeok="t" o:connecttype="rect"/>
              </v:shapetype>
              <v:shape id="Text Box 5" o:spid="_x0000_s1026" type="#_x0000_t202" style="position:absolute;left:0;text-align:left;margin-left:65.65pt;margin-top:395.6pt;width:476.3pt;height:278.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H+hrw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" filled="f" stroked="f">
                <v:textbox inset="0,0,0,0">
                  <w:txbxContent>
                    <w:p w:rsidR="00272EFF" w:rsidRPr="00DD6E53" w:rsidRDefault="00272EFF" w:rsidP="00E05D08">
                      <w:pPr>
                        <w:pStyle w:val="HTitle1"/>
                      </w:pPr>
                      <w:r>
                        <w:t xml:space="preserve">Κατευθυντήριες γραμμές </w:t>
                      </w:r>
                    </w:p>
                    <w:p w:rsidR="00272EFF" w:rsidRPr="00DD6E53" w:rsidRDefault="00272EFF" w:rsidP="00C947BA">
                      <w:pPr>
                        <w:pStyle w:val="HTitle2"/>
                        <w:jc w:val="left"/>
                      </w:pPr>
                      <w:bookmarkStart w:id="2" w:name="_Hlk501355929"/>
                      <w:r>
                        <w:t>Αξιολόγηση της καινοτομίας στο πλαίσιο των προγραμμάτων αγροτικής ανάπτυξης της περιόδου 2014-2020</w:t>
                      </w:r>
                      <w:bookmarkEnd w:id="2"/>
                      <w:r>
                        <w:t xml:space="preserve"> </w:t>
                      </w:r>
                    </w:p>
                    <w:p w:rsidR="00272EFF" w:rsidRPr="00DD6E53" w:rsidRDefault="00272EFF" w:rsidP="00E05D08">
                      <w:pPr>
                        <w:rPr>
                          <w:color w:val="6F6F6F"/>
                          <w:sz w:val="28"/>
                          <w:szCs w:val="28"/>
                        </w:rPr>
                      </w:pPr>
                    </w:p>
                    <w:p w:rsidR="00272EFF" w:rsidRDefault="00272EFF" w:rsidP="00E05D08">
                      <w:pPr>
                        <w:pStyle w:val="HTitle3"/>
                      </w:pPr>
                      <w:r>
                        <w:t xml:space="preserve">Δεκέμβριος 2017 </w:t>
                      </w:r>
                    </w:p>
                    <w:p w:rsidR="00272EFF" w:rsidRDefault="00272EFF" w:rsidP="00E05D08">
                      <w:pPr>
                        <w:pStyle w:val="HTitle3"/>
                      </w:pPr>
                    </w:p>
                    <w:p w:rsidR="00272EFF" w:rsidRDefault="00272EFF" w:rsidP="00E05D08">
                      <w:pPr>
                        <w:pStyle w:val="HTitle3"/>
                      </w:pPr>
                    </w:p>
                    <w:p w:rsidR="00272EFF" w:rsidRDefault="00272EFF" w:rsidP="00E05D08">
                      <w:pPr>
                        <w:pStyle w:val="HTitle3"/>
                      </w:pPr>
                    </w:p>
                    <w:p w:rsidR="00272EFF" w:rsidRPr="00912430" w:rsidRDefault="00272EFF" w:rsidP="00912430">
                      <w:pPr>
                        <w:rPr>
                          <w:color w:val="auto"/>
                          <w:sz w:val="18"/>
                          <w:szCs w:val="18"/>
                        </w:rPr>
                      </w:pPr>
                      <w:r>
                        <w:rPr>
                          <w:i/>
                          <w:sz w:val="18"/>
                          <w:szCs w:val="18"/>
                        </w:rPr>
                        <w:t xml:space="preserve">Το παρόν έγγραφο περιέχει τη μετάφραση της έκδοσης του Δεκεμβρίου του 2017 «Κατευθυντήριες γραμμές: Αξιολόγηση της καινοτομίας στο πλαίσιο των προγραμμάτων αγροτικής ανάπτυξης της περιόδου 2014-2020». Η μετάφραση παρέχεται ούτως ώστε οι κατευθυντήριες γραμμές να είναι πιο χρήσιμες και προσβάσιμες από όλους τους ενδιαφερόμενους φορείς. Σημειώνεται ότι ως τελικό κείμενο αναφοράς θα πρέπει να χρησιμοποιείται η αγγλική έκδοση. Η αγγλική έκδοση διατίθεται στον </w:t>
                      </w:r>
                      <w:hyperlink r:id="rId9" w:tgtFrame="_blank" w:history="1">
                        <w:r>
                          <w:rPr>
                            <w:rStyle w:val="Hyperlink"/>
                            <w:i/>
                            <w:sz w:val="18"/>
                            <w:szCs w:val="18"/>
                          </w:rPr>
                          <w:t>ακόλουθο σύνδεσμο</w:t>
                        </w:r>
                      </w:hyperlink>
                      <w:r>
                        <w:rPr>
                          <w:rStyle w:val="Hyperlink"/>
                          <w:color w:val="auto"/>
                          <w:sz w:val="18"/>
                          <w:szCs w:val="18"/>
                          <w:u w:val="none"/>
                        </w:rPr>
                        <w:t>.</w:t>
                      </w:r>
                    </w:p>
                  </w:txbxContent>
                </v:textbox>
                <w10:wrap type="tight" anchorx="page" anchory="page"/>
              </v:shape>
            </w:pict>
          </mc:Fallback>
        </mc:AlternateContent>
      </w:r>
      <w:r>
        <w:br w:type="page"/>
      </w:r>
    </w:p>
    <w:p w:rsidR="00E05D08" w:rsidRPr="00E05D08" w:rsidRDefault="00E05D08" w:rsidP="00E05D08">
      <w:pPr>
        <w:spacing w:after="120" w:line="280" w:lineRule="atLeast"/>
        <w:mirrorIndents/>
        <w:rPr>
          <w:rFonts w:eastAsia="Times New Roman" w:cs="Times New Roman"/>
          <w:szCs w:val="20"/>
        </w:rPr>
      </w:pPr>
      <w:r>
        <w:rPr>
          <w:rFonts w:eastAsia="Times New Roman" w:cs="Times New Roman"/>
          <w:noProof/>
          <w:szCs w:val="20"/>
          <w:lang w:val="en-GB" w:eastAsia="en-GB"/>
        </w:rPr>
        <w:lastRenderedPageBreak/>
        <mc:AlternateContent>
          <mc:Choice Requires="wps">
            <w:drawing>
              <wp:anchor distT="0" distB="0" distL="114300" distR="114300" simplePos="0" relativeHeight="251646464" behindDoc="0" locked="0" layoutInCell="1" allowOverlap="1" wp14:anchorId="7DDF63B1" wp14:editId="7E007B2D">
                <wp:simplePos x="0" y="0"/>
                <wp:positionH relativeFrom="margin">
                  <wp:posOffset>-426085</wp:posOffset>
                </wp:positionH>
                <wp:positionV relativeFrom="paragraph">
                  <wp:posOffset>4095115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272EFF" w:rsidRPr="007F1B7F" w:rsidRDefault="00272EFF" w:rsidP="00E05D08">
                            <w:pPr>
                              <w:pStyle w:val="Normal12PTcouleurgris"/>
                              <w:rPr>
                                <w:sz w:val="18"/>
                              </w:rPr>
                            </w:pPr>
                            <w:r>
                              <w:rPr>
                                <w:sz w:val="18"/>
                              </w:rPr>
                              <w:t>Επιφύλαξη δικαιωμάτων πνευματικής ιδιοκτησίας</w:t>
                            </w:r>
                          </w:p>
                          <w:p w:rsidR="00272EFF" w:rsidRPr="007F1B7F" w:rsidRDefault="00272EFF" w:rsidP="00E05D08">
                            <w:pPr>
                              <w:pStyle w:val="Normal12PTcouleurgris"/>
                              <w:rPr>
                                <w:sz w:val="18"/>
                              </w:rPr>
                            </w:pPr>
                            <w:r>
                              <w:rPr>
                                <w:sz w:val="18"/>
                              </w:rPr>
                              <w:t>© Ευρωπαϊκή Ένωση, 2017</w:t>
                            </w:r>
                          </w:p>
                          <w:p w:rsidR="00272EFF" w:rsidRPr="007F1B7F" w:rsidRDefault="00272EFF" w:rsidP="00E05D08">
                            <w:pPr>
                              <w:pStyle w:val="Normal12PTcouleurgris"/>
                              <w:rPr>
                                <w:sz w:val="18"/>
                              </w:rPr>
                            </w:pPr>
                            <w:r>
                              <w:rPr>
                                <w:sz w:val="18"/>
                              </w:rPr>
                              <w:t>Επιτρέπεται η αναπαραγωγή, εφόσον γίνεται μνεία της πηγής.</w:t>
                            </w:r>
                          </w:p>
                          <w:p w:rsidR="00272EFF" w:rsidRPr="0002668A" w:rsidRDefault="00272EFF" w:rsidP="00E05D08">
                            <w:pPr>
                              <w:pStyle w:val="Normal12PTcouleurgris"/>
                              <w:rPr>
                                <w:sz w:val="18"/>
                              </w:rPr>
                            </w:pPr>
                            <w:r>
                              <w:rPr>
                                <w:bCs/>
                                <w:sz w:val="18"/>
                                <w:u w:val="single"/>
                              </w:rPr>
                              <w:t>Προτεινόμενη παραπομπή</w:t>
                            </w:r>
                            <w:r>
                              <w:rPr>
                                <w:bCs/>
                                <w:sz w:val="18"/>
                              </w:rPr>
                              <w:t>:</w:t>
                            </w:r>
                            <w:r>
                              <w:rPr>
                                <w:sz w:val="18"/>
                              </w:rPr>
                              <w:t xml:space="preserve"> </w:t>
                            </w:r>
                          </w:p>
                          <w:p w:rsidR="00272EFF" w:rsidRPr="0002668A" w:rsidRDefault="00272EFF" w:rsidP="00E05D08">
                            <w:pPr>
                              <w:pStyle w:val="Normal12PTcouleurgris"/>
                              <w:rPr>
                                <w:sz w:val="18"/>
                              </w:rPr>
                            </w:pPr>
                            <w:r>
                              <w:rPr>
                                <w:sz w:val="18"/>
                              </w:rPr>
                              <w:t>ΕΥΡΩΠΑΪΚΗ ΕΠΙΤΡΟΠΗ – Γενική Διεύθυνση Γεωργίας και Αγροτικής Ανάπτυξης – Διοικητική μονάδα C.4 (2017): Κατευθυντήριες γραμμές. Αξιολόγηση της καινοτομίας στο πλαίσιο των προγραμμάτων αγροτικής ανάπτυξης της περιόδου 2014-2020.</w:t>
                            </w:r>
                          </w:p>
                          <w:p w:rsidR="00272EFF" w:rsidRPr="0002668A" w:rsidRDefault="00272EFF" w:rsidP="00E05D08">
                            <w:pPr>
                              <w:pStyle w:val="Normal12PTcouleurgris"/>
                              <w:rPr>
                                <w:bCs/>
                                <w:sz w:val="18"/>
                                <w:u w:val="single"/>
                              </w:rPr>
                            </w:pPr>
                            <w:r>
                              <w:rPr>
                                <w:bCs/>
                                <w:sz w:val="18"/>
                                <w:u w:val="single"/>
                              </w:rPr>
                              <w:t>Δήλωση αποποίησης ευθύνης:</w:t>
                            </w:r>
                          </w:p>
                          <w:p w:rsidR="00272EFF" w:rsidRPr="0002668A" w:rsidRDefault="00272EFF" w:rsidP="00E05D08">
                            <w:pPr>
                              <w:pStyle w:val="Normal12PTcouleurgris"/>
                              <w:rPr>
                                <w:sz w:val="18"/>
                              </w:rPr>
                            </w:pPr>
                            <w:r>
                              <w:rPr>
                                <w:sz w:val="18"/>
                              </w:rPr>
                              <w:t>Οι πληροφορίες και οι απόψεις που διατυπώνονται στην παρούσα έκθεση εκφράζουν τον συντάκτη/τους συντάκτες της και δεν απηχούν κατ’ ανάγκη την επίσημη θέση της Επιτροπής. Η Επιτροπή δεν εγγυάται την ακρίβεια των στοιχείων που περιλαμβάνονται στην παρούσα έκθεση. Η Επιτροπή και οποιοδήποτε άλλο πρόσωπο που ενεργεί εξ ονόματός της δεν φέρουν ευθύνη για την ενδεχόμενη χρήση των πληροφοριών που περιέχονται σε αυτήν.</w:t>
                            </w:r>
                          </w:p>
                          <w:p w:rsidR="00272EFF" w:rsidRPr="000B1DDA" w:rsidRDefault="00272EFF" w:rsidP="00E05D08">
                            <w:pPr>
                              <w:pStyle w:val="Normal12PTcouleurgris"/>
                            </w:pPr>
                          </w:p>
                          <w:p w:rsidR="00272EFF" w:rsidRPr="004D4D87" w:rsidRDefault="00272EFF" w:rsidP="00E05D08">
                            <w:pPr>
                              <w:pStyle w:val="Normal12PTcouleurgris"/>
                            </w:pPr>
                            <w:r>
                              <w:rPr>
                                <w:noProof/>
                                <w:lang w:val="en-GB" w:eastAsia="en-GB"/>
                              </w:rPr>
                              <w:drawing>
                                <wp:inline distT="0" distB="0" distL="0" distR="0" wp14:anchorId="528FF855" wp14:editId="7836C99D">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rPr>
                              <w:drawing>
                                <wp:inline distT="0" distB="0" distL="0" distR="0" wp14:anchorId="68E18C16" wp14:editId="2FC8122B">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272EFF" w:rsidRPr="00E05D08" w:rsidRDefault="00272EFF" w:rsidP="00E05D08">
                            <w:pPr>
                              <w:pStyle w:val="Normal12PTcouleurgris"/>
                              <w:rPr>
                                <w:color w:val="BFBFBF"/>
                              </w:rPr>
                            </w:pPr>
                          </w:p>
                          <w:p w:rsidR="00272EFF" w:rsidRPr="007F1B7F" w:rsidRDefault="00272EFF" w:rsidP="00E05D08">
                            <w:pPr>
                              <w:pStyle w:val="Normal12PTcouleurgris"/>
                              <w:rPr>
                                <w:sz w:val="18"/>
                              </w:rPr>
                            </w:pPr>
                            <w:r>
                              <w:rPr>
                                <w:sz w:val="18"/>
                              </w:rPr>
                              <w:t>Το Helpdesk αξιολόγησης είναι αρμόδιο για την αξιολόγηση στο πλαίσιο του Ευρωπαϊκού Δικτύου Αγροτικής Ανάπτυξης (ΕΔΑΑ) και παρέχει κατευθυντήριες γραμμές σχετικά με την αξιολόγηση των προγραμμάτων αγροτικής ανάπτυξης (ΠΑΑ) και των πολιτικών που εμπίπτουν στην αρμοδιότητα και στην εποπτεία της Μονάδας C.4 «Παρακολούθηση και αξιολόγηση» της ΓΔ AGRI της Ευρωπαϊκής Επιτροπής. Προκειμένου να βελτιωθεί η αξιολόγηση της πολιτικής αγροτικής ανάπτυξης της ΕΕ, το Helpdesk αξιολόγησης παρέχει υποστήριξη σε όλους τους ενδιαφερόμενους φορείς της αξιολόγησης, και ειδικότερα τη ΓΔ AGRI, τις εθνικές αρχές, τις διαχειριστικές αρχές και τους αξιολογητές των ΠΑΑ, μέσω της ανάπτυξης και της διάδοσης κατάλληλων μεθοδολογιών και εργαλείων, της συλλογής και ανταλλαγής ορθών πρακτικών, της ανάπτυξης ικανοτήτων, καθώς και της επικοινωνίας με μέλη του δικτύου σχετικά με θέματα που αφορούν την αξιολόγηση.</w:t>
                            </w:r>
                          </w:p>
                          <w:p w:rsidR="00272EFF" w:rsidRPr="007F1B7F" w:rsidRDefault="00272EFF" w:rsidP="00E05D08">
                            <w:pPr>
                              <w:pStyle w:val="Normal12PTcouleurgris"/>
                              <w:rPr>
                                <w:sz w:val="18"/>
                              </w:rPr>
                            </w:pPr>
                            <w:r>
                              <w:rPr>
                                <w:sz w:val="18"/>
                              </w:rPr>
                              <w:t>Πρόσθετες πληροφορίες σχετικά με τις δραστηριότητες του ευρωπαϊκού Helpdesk αξιολόγησης για την αγροτική ανάπτυξη διατίθενται στο διαδίκτυο μέσω του εξυπηρετητή Europa (http://enrd.ec.europa.eu).</w:t>
                            </w:r>
                          </w:p>
                          <w:p w:rsidR="00272EFF" w:rsidRPr="00811EF1" w:rsidRDefault="00272EFF" w:rsidP="00E05D08">
                            <w:pPr>
                              <w:pStyle w:val="Hdisclaim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F63B1" id="Text Box 7" o:spid="_x0000_s1027" type="#_x0000_t202" style="position:absolute;left:0;text-align:left;margin-left:-33.55pt;margin-top:322.45pt;width:518.4pt;height:406.4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y6GQ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" stroked="f">
                <v:fill opacity="0"/>
                <v:textbox>
                  <w:txbxContent>
                    <w:p w:rsidR="00272EFF" w:rsidRPr="007F1B7F" w:rsidRDefault="00272EFF" w:rsidP="00E05D08">
                      <w:pPr>
                        <w:pStyle w:val="Normal12PTcouleurgris"/>
                        <w:rPr>
                          <w:sz w:val="18"/>
                        </w:rPr>
                      </w:pPr>
                      <w:r>
                        <w:rPr>
                          <w:sz w:val="18"/>
                        </w:rPr>
                        <w:t>Επιφύλαξη δικαιωμάτων πνευματικής ιδιοκτησίας</w:t>
                      </w:r>
                    </w:p>
                    <w:p w:rsidR="00272EFF" w:rsidRPr="007F1B7F" w:rsidRDefault="00272EFF" w:rsidP="00E05D08">
                      <w:pPr>
                        <w:pStyle w:val="Normal12PTcouleurgris"/>
                        <w:rPr>
                          <w:sz w:val="18"/>
                        </w:rPr>
                      </w:pPr>
                      <w:r>
                        <w:rPr>
                          <w:sz w:val="18"/>
                        </w:rPr>
                        <w:t>© Ευρωπαϊκή Ένωση, 2017</w:t>
                      </w:r>
                    </w:p>
                    <w:p w:rsidR="00272EFF" w:rsidRPr="007F1B7F" w:rsidRDefault="00272EFF" w:rsidP="00E05D08">
                      <w:pPr>
                        <w:pStyle w:val="Normal12PTcouleurgris"/>
                        <w:rPr>
                          <w:sz w:val="18"/>
                        </w:rPr>
                      </w:pPr>
                      <w:r>
                        <w:rPr>
                          <w:sz w:val="18"/>
                        </w:rPr>
                        <w:t>Επιτρέπεται η αναπαραγωγή, εφόσον γίνεται μνεία της πηγής.</w:t>
                      </w:r>
                    </w:p>
                    <w:p w:rsidR="00272EFF" w:rsidRPr="0002668A" w:rsidRDefault="00272EFF" w:rsidP="00E05D08">
                      <w:pPr>
                        <w:pStyle w:val="Normal12PTcouleurgris"/>
                        <w:rPr>
                          <w:sz w:val="18"/>
                        </w:rPr>
                      </w:pPr>
                      <w:r>
                        <w:rPr>
                          <w:bCs/>
                          <w:sz w:val="18"/>
                          <w:u w:val="single"/>
                        </w:rPr>
                        <w:t>Προτεινόμενη παραπομπή</w:t>
                      </w:r>
                      <w:r>
                        <w:rPr>
                          <w:bCs/>
                          <w:sz w:val="18"/>
                        </w:rPr>
                        <w:t>:</w:t>
                      </w:r>
                      <w:r>
                        <w:rPr>
                          <w:sz w:val="18"/>
                        </w:rPr>
                        <w:t xml:space="preserve"> </w:t>
                      </w:r>
                    </w:p>
                    <w:p w:rsidR="00272EFF" w:rsidRPr="0002668A" w:rsidRDefault="00272EFF" w:rsidP="00E05D08">
                      <w:pPr>
                        <w:pStyle w:val="Normal12PTcouleurgris"/>
                        <w:rPr>
                          <w:sz w:val="18"/>
                        </w:rPr>
                      </w:pPr>
                      <w:r>
                        <w:rPr>
                          <w:sz w:val="18"/>
                        </w:rPr>
                        <w:t>ΕΥΡΩΠΑΪΚΗ ΕΠΙΤΡΟΠΗ – Γενική Διεύθυνση Γεωργίας και Αγροτικής Ανάπτυξης – Διοικητική μονάδα C.4 (2017): Κατευθυντήριες γραμμές. Αξιολόγηση της καινοτομίας στο πλαίσιο των προγραμμάτων αγροτικής ανάπτυξης της περιόδου 2014-2020.</w:t>
                      </w:r>
                    </w:p>
                    <w:p w:rsidR="00272EFF" w:rsidRPr="0002668A" w:rsidRDefault="00272EFF" w:rsidP="00E05D08">
                      <w:pPr>
                        <w:pStyle w:val="Normal12PTcouleurgris"/>
                        <w:rPr>
                          <w:bCs/>
                          <w:sz w:val="18"/>
                          <w:u w:val="single"/>
                        </w:rPr>
                      </w:pPr>
                      <w:r>
                        <w:rPr>
                          <w:bCs/>
                          <w:sz w:val="18"/>
                          <w:u w:val="single"/>
                        </w:rPr>
                        <w:t>Δήλωση αποποίησης ευθύνης:</w:t>
                      </w:r>
                    </w:p>
                    <w:p w:rsidR="00272EFF" w:rsidRPr="0002668A" w:rsidRDefault="00272EFF" w:rsidP="00E05D08">
                      <w:pPr>
                        <w:pStyle w:val="Normal12PTcouleurgris"/>
                        <w:rPr>
                          <w:sz w:val="18"/>
                        </w:rPr>
                      </w:pPr>
                      <w:r>
                        <w:rPr>
                          <w:sz w:val="18"/>
                        </w:rPr>
                        <w:t>Οι πληροφορίες και οι απόψεις που διατυπώνονται στην παρούσα έκθεση εκφράζουν τον συντάκτη/τους συντάκτες της και δεν απηχούν κατ’ ανάγκη την επίσημη θέση της Επιτροπής. Η Επιτροπή δεν εγγυάται την ακρίβεια των στοιχείων που περιλαμβάνονται στην παρούσα έκθεση. Η Επιτροπή και οποιοδήποτε άλλο πρόσωπο που ενεργεί εξ ονόματός της δεν φέρουν ευθύνη για την ενδεχόμενη χρήση των πληροφοριών που περιέχονται σε αυτήν.</w:t>
                      </w:r>
                    </w:p>
                    <w:p w:rsidR="00272EFF" w:rsidRPr="000B1DDA" w:rsidRDefault="00272EFF" w:rsidP="00E05D08">
                      <w:pPr>
                        <w:pStyle w:val="Normal12PTcouleurgris"/>
                      </w:pPr>
                    </w:p>
                    <w:p w:rsidR="00272EFF" w:rsidRPr="004D4D87" w:rsidRDefault="00272EFF" w:rsidP="00E05D08">
                      <w:pPr>
                        <w:pStyle w:val="Normal12PTcouleurgris"/>
                      </w:pPr>
                      <w:r>
                        <w:rPr>
                          <w:noProof/>
                          <w:lang w:val="en-GB" w:eastAsia="en-GB"/>
                        </w:rPr>
                        <w:drawing>
                          <wp:inline distT="0" distB="0" distL="0" distR="0" wp14:anchorId="528FF855" wp14:editId="7836C99D">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rPr>
                        <w:drawing>
                          <wp:inline distT="0" distB="0" distL="0" distR="0" wp14:anchorId="68E18C16" wp14:editId="2FC8122B">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272EFF" w:rsidRPr="00E05D08" w:rsidRDefault="00272EFF" w:rsidP="00E05D08">
                      <w:pPr>
                        <w:pStyle w:val="Normal12PTcouleurgris"/>
                        <w:rPr>
                          <w:color w:val="BFBFBF"/>
                        </w:rPr>
                      </w:pPr>
                    </w:p>
                    <w:p w:rsidR="00272EFF" w:rsidRPr="007F1B7F" w:rsidRDefault="00272EFF" w:rsidP="00E05D08">
                      <w:pPr>
                        <w:pStyle w:val="Normal12PTcouleurgris"/>
                        <w:rPr>
                          <w:sz w:val="18"/>
                        </w:rPr>
                      </w:pPr>
                      <w:r>
                        <w:rPr>
                          <w:sz w:val="18"/>
                        </w:rPr>
                        <w:t>Το Helpdesk αξιολόγησης είναι αρμόδιο για την αξιολόγηση στο πλαίσιο του Ευρωπαϊκού Δικτύου Αγροτικής Ανάπτυξης (ΕΔΑΑ) και παρέχει κατευθυντήριες γραμμές σχετικά με την αξιολόγηση των προγραμμάτων αγροτικής ανάπτυξης (ΠΑΑ) και των πολιτικών που εμπίπτουν στην αρμοδιότητα και στην εποπτεία της Μονάδας C.4 «Παρακολούθηση και αξιολόγηση» της ΓΔ AGRI της Ευρωπαϊκής Επιτροπής. Προκειμένου να βελτιωθεί η αξιολόγηση της πολιτικής αγροτικής ανάπτυξης της ΕΕ, το Helpdesk αξιολόγησης παρέχει υποστήριξη σε όλους τους ενδιαφερόμενους φορείς της αξιολόγησης, και ειδικότερα τη ΓΔ AGRI, τις εθνικές αρχές, τις διαχειριστικές αρχές και τους αξιολογητές των ΠΑΑ, μέσω της ανάπτυξης και της διάδοσης κατάλληλων μεθοδολογιών και εργαλείων, της συλλογής και ανταλλαγής ορθών πρακτικών, της ανάπτυξης ικανοτήτων, καθώς και της επικοινωνίας με μέλη του δικτύου σχετικά με θέματα που αφορούν την αξιολόγηση.</w:t>
                      </w:r>
                    </w:p>
                    <w:p w:rsidR="00272EFF" w:rsidRPr="007F1B7F" w:rsidRDefault="00272EFF" w:rsidP="00E05D08">
                      <w:pPr>
                        <w:pStyle w:val="Normal12PTcouleurgris"/>
                        <w:rPr>
                          <w:sz w:val="18"/>
                        </w:rPr>
                      </w:pPr>
                      <w:r>
                        <w:rPr>
                          <w:sz w:val="18"/>
                        </w:rPr>
                        <w:t>Πρόσθετες πληροφορίες σχετικά με τις δραστηριότητες του ευρωπαϊκού Helpdesk αξιολόγησης για την αγροτική ανάπτυξη διατίθενται στο διαδίκτυο μέσω του εξυπηρετητή Europa (http://enrd.ec.europa.eu).</w:t>
                      </w:r>
                    </w:p>
                    <w:p w:rsidR="00272EFF" w:rsidRPr="00811EF1" w:rsidRDefault="00272EFF" w:rsidP="00E05D08">
                      <w:pPr>
                        <w:pStyle w:val="Hdisclaimer"/>
                      </w:pPr>
                    </w:p>
                  </w:txbxContent>
                </v:textbox>
                <w10:wrap anchorx="margin"/>
              </v:shape>
            </w:pict>
          </mc:Fallback>
        </mc:AlternateContent>
      </w:r>
      <w:r>
        <w:br w:type="page"/>
      </w: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rPr>
      </w:pPr>
      <w:r>
        <w:rPr>
          <w:rFonts w:eastAsia="Times New Roman" w:cs="Times New Roman"/>
          <w:noProof/>
          <w:szCs w:val="20"/>
          <w:lang w:val="en-GB" w:eastAsia="en-GB"/>
        </w:rPr>
        <mc:AlternateContent>
          <mc:Choice Requires="wps">
            <w:drawing>
              <wp:anchor distT="0" distB="0" distL="114300" distR="114300" simplePos="0" relativeHeight="251647488" behindDoc="1" locked="0" layoutInCell="1" allowOverlap="1" wp14:anchorId="7382738B" wp14:editId="6E97819F">
                <wp:simplePos x="0" y="0"/>
                <wp:positionH relativeFrom="page">
                  <wp:posOffset>2204720</wp:posOffset>
                </wp:positionH>
                <wp:positionV relativeFrom="page">
                  <wp:posOffset>5175250</wp:posOffset>
                </wp:positionV>
                <wp:extent cx="4958080" cy="3855720"/>
                <wp:effectExtent l="4445" t="3175" r="0" b="0"/>
                <wp:wrapTight wrapText="bothSides">
                  <wp:wrapPolygon edited="0">
                    <wp:start x="0" y="0"/>
                    <wp:lineTo x="21600" y="0"/>
                    <wp:lineTo x="21600" y="21600"/>
                    <wp:lineTo x="0" y="21600"/>
                    <wp:lineTo x="0" y="0"/>
                  </wp:wrapPolygon>
                </wp:wrapTight>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EFF" w:rsidRPr="002D3552" w:rsidRDefault="00272EFF" w:rsidP="00E05D08">
                            <w:pPr>
                              <w:pStyle w:val="HTitle1"/>
                            </w:pPr>
                            <w:r>
                              <w:t xml:space="preserve">Κατευθυντήριες γραμμές </w:t>
                            </w:r>
                          </w:p>
                          <w:p w:rsidR="00272EFF" w:rsidRPr="00DD6E53" w:rsidRDefault="00272EFF" w:rsidP="00C947BA">
                            <w:pPr>
                              <w:pStyle w:val="HTitle2"/>
                              <w:jc w:val="left"/>
                            </w:pPr>
                            <w:r>
                              <w:t xml:space="preserve">Αξιολόγηση της καινοτομίας στο πλαίσιο των προγραμμάτων αγροτικής ανάπτυξης της περιόδου 2014-2020 </w:t>
                            </w:r>
                          </w:p>
                          <w:p w:rsidR="00272EFF" w:rsidRPr="00DD6E53" w:rsidRDefault="00272EFF" w:rsidP="00E05D08">
                            <w:pPr>
                              <w:rPr>
                                <w:color w:val="6F6F6F"/>
                                <w:sz w:val="28"/>
                                <w:szCs w:val="28"/>
                              </w:rPr>
                            </w:pPr>
                          </w:p>
                          <w:p w:rsidR="00272EFF" w:rsidRDefault="00272EFF" w:rsidP="00E05D08">
                            <w:pPr>
                              <w:pStyle w:val="HTitle3"/>
                            </w:pPr>
                            <w:r>
                              <w:t xml:space="preserve">Δεκέμβριος 2017 </w:t>
                            </w:r>
                          </w:p>
                          <w:p w:rsidR="00272EFF" w:rsidRPr="00BE49CF" w:rsidRDefault="00272EFF" w:rsidP="00E05D08">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2738B" id="Text Box 16" o:spid="_x0000_s1028" type="#_x0000_t202" style="position:absolute;left:0;text-align:left;margin-left:173.6pt;margin-top:407.5pt;width:390.4pt;height:303.6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Gt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cxdRrbMCAACy&#10;BQAADgAAAAAAAAAAAAAAAAAuAgAAZHJzL2Uyb0RvYy54bWxQSwECLQAUAAYACAAAACEAec+11OEA&#10;AAANAQAADwAAAAAAAAAAAAAAAAANBQAAZHJzL2Rvd25yZXYueG1sUEsFBgAAAAAEAAQA8wAAABsG&#10;AAAAAA==&#10;" filled="f" stroked="f">
                <v:textbox inset="0,0,0,0">
                  <w:txbxContent>
                    <w:p w:rsidR="00272EFF" w:rsidRPr="002D3552" w:rsidRDefault="00272EFF" w:rsidP="00E05D08">
                      <w:pPr>
                        <w:pStyle w:val="HTitle1"/>
                      </w:pPr>
                      <w:r>
                        <w:t xml:space="preserve">Κατευθυντήριες γραμμές </w:t>
                      </w:r>
                    </w:p>
                    <w:p w:rsidR="00272EFF" w:rsidRPr="00DD6E53" w:rsidRDefault="00272EFF" w:rsidP="00C947BA">
                      <w:pPr>
                        <w:pStyle w:val="HTitle2"/>
                        <w:jc w:val="left"/>
                      </w:pPr>
                      <w:r>
                        <w:t xml:space="preserve">Αξιολόγηση της καινοτομίας στο πλαίσιο των προγραμμάτων αγροτικής ανάπτυξης της περιόδου 2014-2020 </w:t>
                      </w:r>
                    </w:p>
                    <w:p w:rsidR="00272EFF" w:rsidRPr="00DD6E53" w:rsidRDefault="00272EFF" w:rsidP="00E05D08">
                      <w:pPr>
                        <w:rPr>
                          <w:color w:val="6F6F6F"/>
                          <w:sz w:val="28"/>
                          <w:szCs w:val="28"/>
                        </w:rPr>
                      </w:pPr>
                    </w:p>
                    <w:p w:rsidR="00272EFF" w:rsidRDefault="00272EFF" w:rsidP="00E05D08">
                      <w:pPr>
                        <w:pStyle w:val="HTitle3"/>
                      </w:pPr>
                      <w:r>
                        <w:t xml:space="preserve">Δεκέμβριος 2017 </w:t>
                      </w:r>
                    </w:p>
                    <w:p w:rsidR="00272EFF" w:rsidRPr="00BE49CF" w:rsidRDefault="00272EFF" w:rsidP="00E05D08">
                      <w:pPr>
                        <w:pStyle w:val="HTitle3"/>
                      </w:pPr>
                    </w:p>
                  </w:txbxContent>
                </v:textbox>
                <w10:wrap type="tight" anchorx="page" anchory="page"/>
              </v:shape>
            </w:pict>
          </mc:Fallback>
        </mc:AlternateContent>
      </w:r>
    </w:p>
    <w:p w:rsidR="00E05D08" w:rsidRPr="00E05D08" w:rsidRDefault="00E05D08" w:rsidP="00E05D08">
      <w:pPr>
        <w:spacing w:after="120" w:line="280" w:lineRule="atLeast"/>
        <w:mirrorIndents/>
        <w:rPr>
          <w:rFonts w:eastAsia="Times New Roman" w:cs="Times New Roman"/>
          <w:szCs w:val="20"/>
          <w:lang w:eastAsia="de-DE"/>
        </w:rPr>
        <w:sectPr w:rsidR="00E05D08" w:rsidRPr="00E05D08" w:rsidSect="00BC211C">
          <w:headerReference w:type="default" r:id="rId12"/>
          <w:endnotePr>
            <w:numFmt w:val="decimal"/>
          </w:endnotePr>
          <w:pgSz w:w="11906" w:h="16838" w:code="9"/>
          <w:pgMar w:top="1440" w:right="1440" w:bottom="1134" w:left="1440" w:header="624" w:footer="709" w:gutter="0"/>
          <w:cols w:space="708"/>
          <w:titlePg/>
          <w:docGrid w:linePitch="360"/>
        </w:sectPr>
      </w:pPr>
    </w:p>
    <w:p w:rsidR="00405B0B" w:rsidRDefault="00405B0B"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lastRenderedPageBreak/>
        <w:br w:type="page"/>
      </w:r>
    </w:p>
    <w:p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b/>
          <w:bCs/>
          <w:caps/>
          <w:color w:val="F07E31"/>
          <w:szCs w:val="32"/>
        </w:rPr>
        <w:lastRenderedPageBreak/>
        <w:t>Περιεχόμενα</w:t>
      </w:r>
    </w:p>
    <w:p w:rsidR="00A011BD" w:rsidRDefault="009837FF">
      <w:pPr>
        <w:pStyle w:val="TOC1"/>
        <w:tabs>
          <w:tab w:val="right" w:leader="dot" w:pos="9040"/>
        </w:tabs>
        <w:rPr>
          <w:rFonts w:asciiTheme="minorHAnsi" w:eastAsiaTheme="minorEastAsia" w:hAnsiTheme="minorHAnsi"/>
          <w:b w:val="0"/>
          <w:caps w:val="0"/>
          <w:noProof/>
          <w:color w:val="auto"/>
          <w:sz w:val="22"/>
          <w:lang w:val="en-GB" w:eastAsia="en-GB"/>
        </w:rPr>
      </w:pPr>
      <w:r>
        <w:rPr>
          <w:rFonts w:ascii="Helvetica LT Pro" w:eastAsia="Times New Roman" w:hAnsi="Helvetica LT Pro" w:cs="Times New Roman"/>
          <w:caps w:val="0"/>
          <w:color w:val="000000" w:themeColor="text1"/>
          <w:szCs w:val="20"/>
        </w:rPr>
        <w:fldChar w:fldCharType="begin"/>
      </w:r>
      <w:r>
        <w:rPr>
          <w:rFonts w:ascii="Helvetica LT Pro" w:eastAsia="Times New Roman" w:hAnsi="Helvetica LT Pro" w:cs="Times New Roman"/>
          <w:caps w:val="0"/>
          <w:color w:val="000000" w:themeColor="text1"/>
          <w:szCs w:val="20"/>
        </w:rPr>
        <w:instrText xml:space="preserve"> TOC \h \z \t "H_Heading 1;1;H_Heading 2;2;H_Heading 3;3" </w:instrText>
      </w:r>
      <w:r>
        <w:rPr>
          <w:rFonts w:ascii="Helvetica LT Pro" w:eastAsia="Times New Roman" w:hAnsi="Helvetica LT Pro" w:cs="Times New Roman"/>
          <w:caps w:val="0"/>
          <w:color w:val="000000" w:themeColor="text1"/>
          <w:szCs w:val="20"/>
        </w:rPr>
        <w:fldChar w:fldCharType="separate"/>
      </w:r>
      <w:hyperlink w:anchor="_Toc508964807" w:history="1">
        <w:r w:rsidR="00A011BD" w:rsidRPr="007F03DC">
          <w:rPr>
            <w:rStyle w:val="Hyperlink"/>
            <w:noProof/>
          </w:rPr>
          <w:t>1.</w:t>
        </w:r>
        <w:r w:rsidR="00A011BD">
          <w:rPr>
            <w:rFonts w:asciiTheme="minorHAnsi" w:eastAsiaTheme="minorEastAsia" w:hAnsiTheme="minorHAnsi"/>
            <w:b w:val="0"/>
            <w:caps w:val="0"/>
            <w:noProof/>
            <w:color w:val="auto"/>
            <w:sz w:val="22"/>
            <w:lang w:val="en-GB" w:eastAsia="en-GB"/>
          </w:rPr>
          <w:tab/>
        </w:r>
        <w:r w:rsidR="00A011BD" w:rsidRPr="007F03DC">
          <w:rPr>
            <w:rStyle w:val="Hyperlink"/>
            <w:noProof/>
          </w:rPr>
          <w:t>ΕΝΝΟΙΟΛΟΓΙΚΟ ΠΛΑΙΣΙΟ</w:t>
        </w:r>
        <w:r w:rsidR="00A011BD">
          <w:rPr>
            <w:noProof/>
            <w:webHidden/>
          </w:rPr>
          <w:tab/>
        </w:r>
        <w:r w:rsidR="00A011BD">
          <w:rPr>
            <w:noProof/>
            <w:webHidden/>
          </w:rPr>
          <w:fldChar w:fldCharType="begin"/>
        </w:r>
        <w:r w:rsidR="00A011BD">
          <w:rPr>
            <w:noProof/>
            <w:webHidden/>
          </w:rPr>
          <w:instrText xml:space="preserve"> PAGEREF _Toc508964807 \h </w:instrText>
        </w:r>
        <w:r w:rsidR="00A011BD">
          <w:rPr>
            <w:noProof/>
            <w:webHidden/>
          </w:rPr>
        </w:r>
        <w:r w:rsidR="00A011BD">
          <w:rPr>
            <w:noProof/>
            <w:webHidden/>
          </w:rPr>
          <w:fldChar w:fldCharType="separate"/>
        </w:r>
        <w:r w:rsidR="00985669">
          <w:rPr>
            <w:noProof/>
            <w:webHidden/>
          </w:rPr>
          <w:t>4</w:t>
        </w:r>
        <w:r w:rsidR="00A011BD">
          <w:rPr>
            <w:noProof/>
            <w:webHidden/>
          </w:rPr>
          <w:fldChar w:fldCharType="end"/>
        </w:r>
      </w:hyperlink>
    </w:p>
    <w:p w:rsidR="00A011BD" w:rsidRDefault="00272EFF">
      <w:pPr>
        <w:pStyle w:val="TOC2"/>
        <w:tabs>
          <w:tab w:val="right" w:leader="dot" w:pos="9040"/>
        </w:tabs>
        <w:rPr>
          <w:rFonts w:asciiTheme="minorHAnsi" w:eastAsiaTheme="minorEastAsia" w:hAnsiTheme="minorHAnsi"/>
          <w:noProof/>
          <w:color w:val="auto"/>
          <w:sz w:val="22"/>
          <w:lang w:val="en-GB" w:eastAsia="en-GB"/>
        </w:rPr>
      </w:pPr>
      <w:hyperlink w:anchor="_Toc508964808" w:history="1">
        <w:r w:rsidR="00A011BD" w:rsidRPr="007F03DC">
          <w:rPr>
            <w:rStyle w:val="Hyperlink"/>
            <w:noProof/>
          </w:rPr>
          <w:t>1.1</w:t>
        </w:r>
        <w:r w:rsidR="00A011BD">
          <w:rPr>
            <w:rFonts w:asciiTheme="minorHAnsi" w:eastAsiaTheme="minorEastAsia" w:hAnsiTheme="minorHAnsi"/>
            <w:noProof/>
            <w:color w:val="auto"/>
            <w:sz w:val="22"/>
            <w:lang w:val="en-GB" w:eastAsia="en-GB"/>
          </w:rPr>
          <w:tab/>
        </w:r>
        <w:r w:rsidR="00A011BD" w:rsidRPr="007F03DC">
          <w:rPr>
            <w:rStyle w:val="Hyperlink"/>
            <w:noProof/>
          </w:rPr>
          <w:t>Καινοτομία και Αγροτική Ανάπτυξη</w:t>
        </w:r>
        <w:r w:rsidR="00A011BD">
          <w:rPr>
            <w:noProof/>
            <w:webHidden/>
          </w:rPr>
          <w:tab/>
        </w:r>
        <w:r w:rsidR="00A011BD">
          <w:rPr>
            <w:noProof/>
            <w:webHidden/>
          </w:rPr>
          <w:fldChar w:fldCharType="begin"/>
        </w:r>
        <w:r w:rsidR="00A011BD">
          <w:rPr>
            <w:noProof/>
            <w:webHidden/>
          </w:rPr>
          <w:instrText xml:space="preserve"> PAGEREF _Toc508964808 \h </w:instrText>
        </w:r>
        <w:r w:rsidR="00A011BD">
          <w:rPr>
            <w:noProof/>
            <w:webHidden/>
          </w:rPr>
        </w:r>
        <w:r w:rsidR="00A011BD">
          <w:rPr>
            <w:noProof/>
            <w:webHidden/>
          </w:rPr>
          <w:fldChar w:fldCharType="separate"/>
        </w:r>
        <w:r w:rsidR="00985669">
          <w:rPr>
            <w:noProof/>
            <w:webHidden/>
          </w:rPr>
          <w:t>4</w:t>
        </w:r>
        <w:r w:rsidR="00A011BD">
          <w:rPr>
            <w:noProof/>
            <w:webHidden/>
          </w:rPr>
          <w:fldChar w:fldCharType="end"/>
        </w:r>
      </w:hyperlink>
    </w:p>
    <w:p w:rsidR="00A011BD" w:rsidRDefault="00272EFF">
      <w:pPr>
        <w:pStyle w:val="TOC2"/>
        <w:tabs>
          <w:tab w:val="right" w:leader="dot" w:pos="9040"/>
        </w:tabs>
        <w:rPr>
          <w:rFonts w:asciiTheme="minorHAnsi" w:eastAsiaTheme="minorEastAsia" w:hAnsiTheme="minorHAnsi"/>
          <w:noProof/>
          <w:color w:val="auto"/>
          <w:sz w:val="22"/>
          <w:lang w:val="en-GB" w:eastAsia="en-GB"/>
        </w:rPr>
      </w:pPr>
      <w:hyperlink w:anchor="_Toc508964809" w:history="1">
        <w:r w:rsidR="00A011BD" w:rsidRPr="007F03DC">
          <w:rPr>
            <w:rStyle w:val="Hyperlink"/>
            <w:noProof/>
          </w:rPr>
          <w:t>1.2</w:t>
        </w:r>
        <w:r w:rsidR="00A011BD">
          <w:rPr>
            <w:rFonts w:asciiTheme="minorHAnsi" w:eastAsiaTheme="minorEastAsia" w:hAnsiTheme="minorHAnsi"/>
            <w:noProof/>
            <w:color w:val="auto"/>
            <w:sz w:val="22"/>
            <w:lang w:val="en-GB" w:eastAsia="en-GB"/>
          </w:rPr>
          <w:tab/>
        </w:r>
        <w:r w:rsidR="00A011BD" w:rsidRPr="007F03DC">
          <w:rPr>
            <w:rStyle w:val="Hyperlink"/>
            <w:noProof/>
          </w:rPr>
          <w:t>Το πλαίσιο πολιτικής της ΕΕ</w:t>
        </w:r>
        <w:r w:rsidR="00A011BD">
          <w:rPr>
            <w:noProof/>
            <w:webHidden/>
          </w:rPr>
          <w:tab/>
        </w:r>
        <w:r w:rsidR="00A011BD">
          <w:rPr>
            <w:noProof/>
            <w:webHidden/>
          </w:rPr>
          <w:fldChar w:fldCharType="begin"/>
        </w:r>
        <w:r w:rsidR="00A011BD">
          <w:rPr>
            <w:noProof/>
            <w:webHidden/>
          </w:rPr>
          <w:instrText xml:space="preserve"> PAGEREF _Toc508964809 \h </w:instrText>
        </w:r>
        <w:r w:rsidR="00A011BD">
          <w:rPr>
            <w:noProof/>
            <w:webHidden/>
          </w:rPr>
        </w:r>
        <w:r w:rsidR="00A011BD">
          <w:rPr>
            <w:noProof/>
            <w:webHidden/>
          </w:rPr>
          <w:fldChar w:fldCharType="separate"/>
        </w:r>
        <w:r w:rsidR="00985669">
          <w:rPr>
            <w:noProof/>
            <w:webHidden/>
          </w:rPr>
          <w:t>12</w:t>
        </w:r>
        <w:r w:rsidR="00A011BD">
          <w:rPr>
            <w:noProof/>
            <w:webHidden/>
          </w:rPr>
          <w:fldChar w:fldCharType="end"/>
        </w:r>
      </w:hyperlink>
    </w:p>
    <w:p w:rsidR="00A011BD" w:rsidRDefault="00272EFF">
      <w:pPr>
        <w:pStyle w:val="TOC3"/>
        <w:tabs>
          <w:tab w:val="right" w:leader="dot" w:pos="9040"/>
        </w:tabs>
        <w:rPr>
          <w:rFonts w:asciiTheme="minorHAnsi" w:eastAsiaTheme="minorEastAsia" w:hAnsiTheme="minorHAnsi"/>
          <w:noProof/>
          <w:color w:val="auto"/>
          <w:sz w:val="22"/>
          <w:lang w:val="en-GB" w:eastAsia="en-GB"/>
        </w:rPr>
      </w:pPr>
      <w:hyperlink w:anchor="_Toc508964810" w:history="1">
        <w:r w:rsidR="00A011BD" w:rsidRPr="007F03DC">
          <w:rPr>
            <w:rStyle w:val="Hyperlink"/>
            <w:noProof/>
          </w:rPr>
          <w:t>1.2.1</w:t>
        </w:r>
        <w:r w:rsidR="00A011BD">
          <w:rPr>
            <w:rFonts w:asciiTheme="minorHAnsi" w:eastAsiaTheme="minorEastAsia" w:hAnsiTheme="minorHAnsi"/>
            <w:noProof/>
            <w:color w:val="auto"/>
            <w:sz w:val="22"/>
            <w:lang w:val="en-GB" w:eastAsia="en-GB"/>
          </w:rPr>
          <w:tab/>
        </w:r>
        <w:r w:rsidR="00A011BD" w:rsidRPr="007F03DC">
          <w:rPr>
            <w:rStyle w:val="Hyperlink"/>
            <w:noProof/>
          </w:rPr>
          <w:t>Το πλαίσιο πολιτικής για την καινοτομία στην ΕΕ και στην πολιτική αγροτικής ανάπτυξης</w:t>
        </w:r>
        <w:r w:rsidR="00A011BD">
          <w:rPr>
            <w:noProof/>
            <w:webHidden/>
          </w:rPr>
          <w:tab/>
        </w:r>
        <w:r w:rsidR="00A011BD">
          <w:rPr>
            <w:noProof/>
            <w:webHidden/>
          </w:rPr>
          <w:fldChar w:fldCharType="begin"/>
        </w:r>
        <w:r w:rsidR="00A011BD">
          <w:rPr>
            <w:noProof/>
            <w:webHidden/>
          </w:rPr>
          <w:instrText xml:space="preserve"> PAGEREF _Toc508964810 \h </w:instrText>
        </w:r>
        <w:r w:rsidR="00A011BD">
          <w:rPr>
            <w:noProof/>
            <w:webHidden/>
          </w:rPr>
        </w:r>
        <w:r w:rsidR="00A011BD">
          <w:rPr>
            <w:noProof/>
            <w:webHidden/>
          </w:rPr>
          <w:fldChar w:fldCharType="separate"/>
        </w:r>
        <w:r w:rsidR="00985669">
          <w:rPr>
            <w:noProof/>
            <w:webHidden/>
          </w:rPr>
          <w:t>12</w:t>
        </w:r>
        <w:r w:rsidR="00A011BD">
          <w:rPr>
            <w:noProof/>
            <w:webHidden/>
          </w:rPr>
          <w:fldChar w:fldCharType="end"/>
        </w:r>
      </w:hyperlink>
    </w:p>
    <w:p w:rsidR="00A011BD" w:rsidRDefault="00272EFF">
      <w:pPr>
        <w:pStyle w:val="TOC3"/>
        <w:tabs>
          <w:tab w:val="right" w:leader="dot" w:pos="9040"/>
        </w:tabs>
        <w:rPr>
          <w:rFonts w:asciiTheme="minorHAnsi" w:eastAsiaTheme="minorEastAsia" w:hAnsiTheme="minorHAnsi"/>
          <w:noProof/>
          <w:color w:val="auto"/>
          <w:sz w:val="22"/>
          <w:lang w:val="en-GB" w:eastAsia="en-GB"/>
        </w:rPr>
      </w:pPr>
      <w:hyperlink w:anchor="_Toc508964811" w:history="1">
        <w:r w:rsidR="00A011BD" w:rsidRPr="007F03DC">
          <w:rPr>
            <w:rStyle w:val="Hyperlink"/>
            <w:noProof/>
          </w:rPr>
          <w:t>1.2.2</w:t>
        </w:r>
        <w:r w:rsidR="00A011BD">
          <w:rPr>
            <w:rFonts w:asciiTheme="minorHAnsi" w:eastAsiaTheme="minorEastAsia" w:hAnsiTheme="minorHAnsi"/>
            <w:noProof/>
            <w:color w:val="auto"/>
            <w:sz w:val="22"/>
            <w:lang w:val="en-GB" w:eastAsia="en-GB"/>
          </w:rPr>
          <w:tab/>
        </w:r>
        <w:r w:rsidR="00A011BD" w:rsidRPr="007F03DC">
          <w:rPr>
            <w:rStyle w:val="Hyperlink"/>
            <w:noProof/>
          </w:rPr>
          <w:t>Τα κοινά στοιχεία αξιολόγησης της καινοτομίας</w:t>
        </w:r>
        <w:r w:rsidR="00A011BD">
          <w:rPr>
            <w:noProof/>
            <w:webHidden/>
          </w:rPr>
          <w:tab/>
        </w:r>
        <w:r w:rsidR="00A011BD">
          <w:rPr>
            <w:noProof/>
            <w:webHidden/>
          </w:rPr>
          <w:fldChar w:fldCharType="begin"/>
        </w:r>
        <w:r w:rsidR="00A011BD">
          <w:rPr>
            <w:noProof/>
            <w:webHidden/>
          </w:rPr>
          <w:instrText xml:space="preserve"> PAGEREF _Toc508964811 \h </w:instrText>
        </w:r>
        <w:r w:rsidR="00A011BD">
          <w:rPr>
            <w:noProof/>
            <w:webHidden/>
          </w:rPr>
        </w:r>
        <w:r w:rsidR="00A011BD">
          <w:rPr>
            <w:noProof/>
            <w:webHidden/>
          </w:rPr>
          <w:fldChar w:fldCharType="separate"/>
        </w:r>
        <w:r w:rsidR="00985669">
          <w:rPr>
            <w:noProof/>
            <w:webHidden/>
          </w:rPr>
          <w:t>17</w:t>
        </w:r>
        <w:r w:rsidR="00A011BD">
          <w:rPr>
            <w:noProof/>
            <w:webHidden/>
          </w:rPr>
          <w:fldChar w:fldCharType="end"/>
        </w:r>
      </w:hyperlink>
    </w:p>
    <w:p w:rsidR="00A011BD" w:rsidRDefault="00272EFF">
      <w:pPr>
        <w:pStyle w:val="TOC2"/>
        <w:tabs>
          <w:tab w:val="right" w:leader="dot" w:pos="9040"/>
        </w:tabs>
        <w:rPr>
          <w:rFonts w:asciiTheme="minorHAnsi" w:eastAsiaTheme="minorEastAsia" w:hAnsiTheme="minorHAnsi"/>
          <w:noProof/>
          <w:color w:val="auto"/>
          <w:sz w:val="22"/>
          <w:lang w:val="en-GB" w:eastAsia="en-GB"/>
        </w:rPr>
      </w:pPr>
      <w:hyperlink w:anchor="_Toc508964812" w:history="1">
        <w:r w:rsidR="00A011BD" w:rsidRPr="007F03DC">
          <w:rPr>
            <w:rStyle w:val="Hyperlink"/>
            <w:noProof/>
          </w:rPr>
          <w:t>1.3</w:t>
        </w:r>
        <w:r w:rsidR="00A011BD">
          <w:rPr>
            <w:rFonts w:asciiTheme="minorHAnsi" w:eastAsiaTheme="minorEastAsia" w:hAnsiTheme="minorHAnsi"/>
            <w:noProof/>
            <w:color w:val="auto"/>
            <w:sz w:val="22"/>
            <w:lang w:val="en-GB" w:eastAsia="en-GB"/>
          </w:rPr>
          <w:tab/>
        </w:r>
        <w:r w:rsidR="00A011BD" w:rsidRPr="007F03DC">
          <w:rPr>
            <w:rStyle w:val="Hyperlink"/>
            <w:noProof/>
          </w:rPr>
          <w:t>Προκλήσεις στην αξιολόγηση της καινοτομίας</w:t>
        </w:r>
        <w:r w:rsidR="00A011BD">
          <w:rPr>
            <w:noProof/>
            <w:webHidden/>
          </w:rPr>
          <w:tab/>
        </w:r>
        <w:r w:rsidR="00A011BD">
          <w:rPr>
            <w:noProof/>
            <w:webHidden/>
          </w:rPr>
          <w:fldChar w:fldCharType="begin"/>
        </w:r>
        <w:r w:rsidR="00A011BD">
          <w:rPr>
            <w:noProof/>
            <w:webHidden/>
          </w:rPr>
          <w:instrText xml:space="preserve"> PAGEREF _Toc508964812 \h </w:instrText>
        </w:r>
        <w:r w:rsidR="00A011BD">
          <w:rPr>
            <w:noProof/>
            <w:webHidden/>
          </w:rPr>
        </w:r>
        <w:r w:rsidR="00A011BD">
          <w:rPr>
            <w:noProof/>
            <w:webHidden/>
          </w:rPr>
          <w:fldChar w:fldCharType="separate"/>
        </w:r>
        <w:r w:rsidR="00985669">
          <w:rPr>
            <w:noProof/>
            <w:webHidden/>
          </w:rPr>
          <w:t>19</w:t>
        </w:r>
        <w:r w:rsidR="00A011BD">
          <w:rPr>
            <w:noProof/>
            <w:webHidden/>
          </w:rPr>
          <w:fldChar w:fldCharType="end"/>
        </w:r>
      </w:hyperlink>
    </w:p>
    <w:p w:rsidR="00A011BD" w:rsidRDefault="00272EFF">
      <w:pPr>
        <w:pStyle w:val="TOC1"/>
        <w:tabs>
          <w:tab w:val="right" w:leader="dot" w:pos="9040"/>
        </w:tabs>
        <w:rPr>
          <w:rFonts w:asciiTheme="minorHAnsi" w:eastAsiaTheme="minorEastAsia" w:hAnsiTheme="minorHAnsi"/>
          <w:b w:val="0"/>
          <w:caps w:val="0"/>
          <w:noProof/>
          <w:color w:val="auto"/>
          <w:sz w:val="22"/>
          <w:lang w:val="en-GB" w:eastAsia="en-GB"/>
        </w:rPr>
      </w:pPr>
      <w:hyperlink w:anchor="_Toc508964813" w:history="1">
        <w:r w:rsidR="00A011BD" w:rsidRPr="007F03DC">
          <w:rPr>
            <w:rStyle w:val="Hyperlink"/>
            <w:noProof/>
          </w:rPr>
          <w:t>2.</w:t>
        </w:r>
        <w:r w:rsidR="00A011BD">
          <w:rPr>
            <w:rFonts w:asciiTheme="minorHAnsi" w:eastAsiaTheme="minorEastAsia" w:hAnsiTheme="minorHAnsi"/>
            <w:b w:val="0"/>
            <w:caps w:val="0"/>
            <w:noProof/>
            <w:color w:val="auto"/>
            <w:sz w:val="22"/>
            <w:lang w:val="en-GB" w:eastAsia="en-GB"/>
          </w:rPr>
          <w:tab/>
        </w:r>
        <w:r w:rsidR="00A011BD" w:rsidRPr="007F03DC">
          <w:rPr>
            <w:rStyle w:val="Hyperlink"/>
            <w:noProof/>
          </w:rPr>
          <w:t>Πώς αξιολογείται η καινοτομία των ΠΑΑ</w:t>
        </w:r>
        <w:r w:rsidR="00A011BD">
          <w:rPr>
            <w:noProof/>
            <w:webHidden/>
          </w:rPr>
          <w:tab/>
        </w:r>
        <w:r w:rsidR="00A011BD">
          <w:rPr>
            <w:noProof/>
            <w:webHidden/>
          </w:rPr>
          <w:fldChar w:fldCharType="begin"/>
        </w:r>
        <w:r w:rsidR="00A011BD">
          <w:rPr>
            <w:noProof/>
            <w:webHidden/>
          </w:rPr>
          <w:instrText xml:space="preserve"> PAGEREF _Toc508964813 \h </w:instrText>
        </w:r>
        <w:r w:rsidR="00A011BD">
          <w:rPr>
            <w:noProof/>
            <w:webHidden/>
          </w:rPr>
        </w:r>
        <w:r w:rsidR="00A011BD">
          <w:rPr>
            <w:noProof/>
            <w:webHidden/>
          </w:rPr>
          <w:fldChar w:fldCharType="separate"/>
        </w:r>
        <w:r w:rsidR="00985669">
          <w:rPr>
            <w:noProof/>
            <w:webHidden/>
          </w:rPr>
          <w:t>21</w:t>
        </w:r>
        <w:r w:rsidR="00A011BD">
          <w:rPr>
            <w:noProof/>
            <w:webHidden/>
          </w:rPr>
          <w:fldChar w:fldCharType="end"/>
        </w:r>
      </w:hyperlink>
    </w:p>
    <w:p w:rsidR="00A011BD" w:rsidRDefault="00272EFF">
      <w:pPr>
        <w:pStyle w:val="TOC2"/>
        <w:tabs>
          <w:tab w:val="right" w:leader="dot" w:pos="9040"/>
        </w:tabs>
        <w:rPr>
          <w:rFonts w:asciiTheme="minorHAnsi" w:eastAsiaTheme="minorEastAsia" w:hAnsiTheme="minorHAnsi"/>
          <w:noProof/>
          <w:color w:val="auto"/>
          <w:sz w:val="22"/>
          <w:lang w:val="en-GB" w:eastAsia="en-GB"/>
        </w:rPr>
      </w:pPr>
      <w:hyperlink w:anchor="_Toc508964814" w:history="1">
        <w:r w:rsidR="00A011BD" w:rsidRPr="007F03DC">
          <w:rPr>
            <w:rStyle w:val="Hyperlink"/>
            <w:noProof/>
          </w:rPr>
          <w:t>2.1</w:t>
        </w:r>
        <w:r w:rsidR="00A011BD">
          <w:rPr>
            <w:rFonts w:asciiTheme="minorHAnsi" w:eastAsiaTheme="minorEastAsia" w:hAnsiTheme="minorHAnsi"/>
            <w:noProof/>
            <w:color w:val="auto"/>
            <w:sz w:val="22"/>
            <w:lang w:val="en-GB" w:eastAsia="en-GB"/>
          </w:rPr>
          <w:tab/>
        </w:r>
        <w:r w:rsidR="00A011BD" w:rsidRPr="007F03DC">
          <w:rPr>
            <w:rStyle w:val="Hyperlink"/>
            <w:noProof/>
          </w:rPr>
          <w:t>Προτεινόμενη προσέγγιση για την αξιολόγηση της καινοτομίας στο πλαίσιο των ΠΑΑ της περιόδου 2014-2020 (επισκόπηση)</w:t>
        </w:r>
        <w:r w:rsidR="00A011BD">
          <w:rPr>
            <w:noProof/>
            <w:webHidden/>
          </w:rPr>
          <w:tab/>
        </w:r>
        <w:r w:rsidR="00A011BD">
          <w:rPr>
            <w:noProof/>
            <w:webHidden/>
          </w:rPr>
          <w:fldChar w:fldCharType="begin"/>
        </w:r>
        <w:r w:rsidR="00A011BD">
          <w:rPr>
            <w:noProof/>
            <w:webHidden/>
          </w:rPr>
          <w:instrText xml:space="preserve"> PAGEREF _Toc508964814 \h </w:instrText>
        </w:r>
        <w:r w:rsidR="00A011BD">
          <w:rPr>
            <w:noProof/>
            <w:webHidden/>
          </w:rPr>
        </w:r>
        <w:r w:rsidR="00A011BD">
          <w:rPr>
            <w:noProof/>
            <w:webHidden/>
          </w:rPr>
          <w:fldChar w:fldCharType="separate"/>
        </w:r>
        <w:r w:rsidR="00985669">
          <w:rPr>
            <w:noProof/>
            <w:webHidden/>
          </w:rPr>
          <w:t>21</w:t>
        </w:r>
        <w:r w:rsidR="00A011BD">
          <w:rPr>
            <w:noProof/>
            <w:webHidden/>
          </w:rPr>
          <w:fldChar w:fldCharType="end"/>
        </w:r>
      </w:hyperlink>
    </w:p>
    <w:p w:rsidR="00A011BD" w:rsidRDefault="00272EFF">
      <w:pPr>
        <w:pStyle w:val="TOC2"/>
        <w:tabs>
          <w:tab w:val="right" w:leader="dot" w:pos="9040"/>
        </w:tabs>
        <w:rPr>
          <w:rFonts w:asciiTheme="minorHAnsi" w:eastAsiaTheme="minorEastAsia" w:hAnsiTheme="minorHAnsi"/>
          <w:noProof/>
          <w:color w:val="auto"/>
          <w:sz w:val="22"/>
          <w:lang w:val="en-GB" w:eastAsia="en-GB"/>
        </w:rPr>
      </w:pPr>
      <w:hyperlink w:anchor="_Toc508964815" w:history="1">
        <w:r w:rsidR="00A011BD" w:rsidRPr="007F03DC">
          <w:rPr>
            <w:rStyle w:val="Hyperlink"/>
            <w:noProof/>
          </w:rPr>
          <w:t>2.2</w:t>
        </w:r>
        <w:r w:rsidR="00A011BD">
          <w:rPr>
            <w:rFonts w:asciiTheme="minorHAnsi" w:eastAsiaTheme="minorEastAsia" w:hAnsiTheme="minorHAnsi"/>
            <w:noProof/>
            <w:color w:val="auto"/>
            <w:sz w:val="22"/>
            <w:lang w:val="en-GB" w:eastAsia="en-GB"/>
          </w:rPr>
          <w:tab/>
        </w:r>
        <w:r w:rsidR="00A011BD" w:rsidRPr="007F03DC">
          <w:rPr>
            <w:rStyle w:val="Hyperlink"/>
            <w:noProof/>
          </w:rPr>
          <w:t>Εξέταση του δυναμικού καινοτομίας των μέτρων/επιμέρους μέτρων του ΠΑΑ (συνιστώμενο)</w:t>
        </w:r>
        <w:r w:rsidR="00A011BD">
          <w:rPr>
            <w:noProof/>
            <w:webHidden/>
          </w:rPr>
          <w:tab/>
        </w:r>
        <w:r w:rsidR="00A011BD">
          <w:rPr>
            <w:noProof/>
            <w:webHidden/>
          </w:rPr>
          <w:fldChar w:fldCharType="begin"/>
        </w:r>
        <w:r w:rsidR="00A011BD">
          <w:rPr>
            <w:noProof/>
            <w:webHidden/>
          </w:rPr>
          <w:instrText xml:space="preserve"> PAGEREF _Toc508964815 \h </w:instrText>
        </w:r>
        <w:r w:rsidR="00A011BD">
          <w:rPr>
            <w:noProof/>
            <w:webHidden/>
          </w:rPr>
        </w:r>
        <w:r w:rsidR="00A011BD">
          <w:rPr>
            <w:noProof/>
            <w:webHidden/>
          </w:rPr>
          <w:fldChar w:fldCharType="separate"/>
        </w:r>
        <w:r w:rsidR="00985669">
          <w:rPr>
            <w:noProof/>
            <w:webHidden/>
          </w:rPr>
          <w:t>25</w:t>
        </w:r>
        <w:r w:rsidR="00A011BD">
          <w:rPr>
            <w:noProof/>
            <w:webHidden/>
          </w:rPr>
          <w:fldChar w:fldCharType="end"/>
        </w:r>
      </w:hyperlink>
    </w:p>
    <w:p w:rsidR="00A011BD" w:rsidRDefault="00272EFF">
      <w:pPr>
        <w:pStyle w:val="TOC2"/>
        <w:tabs>
          <w:tab w:val="right" w:leader="dot" w:pos="9040"/>
        </w:tabs>
        <w:rPr>
          <w:rFonts w:asciiTheme="minorHAnsi" w:eastAsiaTheme="minorEastAsia" w:hAnsiTheme="minorHAnsi"/>
          <w:noProof/>
          <w:color w:val="auto"/>
          <w:sz w:val="22"/>
          <w:lang w:val="en-GB" w:eastAsia="en-GB"/>
        </w:rPr>
      </w:pPr>
      <w:hyperlink w:anchor="_Toc508964816" w:history="1">
        <w:r w:rsidR="00A011BD" w:rsidRPr="007F03DC">
          <w:rPr>
            <w:rStyle w:val="Hyperlink"/>
            <w:noProof/>
          </w:rPr>
          <w:t>2.3</w:t>
        </w:r>
        <w:r w:rsidR="00A011BD">
          <w:rPr>
            <w:rFonts w:asciiTheme="minorHAnsi" w:eastAsiaTheme="minorEastAsia" w:hAnsiTheme="minorHAnsi"/>
            <w:noProof/>
            <w:color w:val="auto"/>
            <w:sz w:val="22"/>
            <w:lang w:val="en-GB" w:eastAsia="en-GB"/>
          </w:rPr>
          <w:tab/>
        </w:r>
        <w:r w:rsidR="00A011BD" w:rsidRPr="007F03DC">
          <w:rPr>
            <w:rStyle w:val="Hyperlink"/>
            <w:noProof/>
          </w:rPr>
          <w:t>Συμπλήρωση των κοινών στοιχείων αξιολόγησης για την καινοτομία (συνιστώμενο)</w:t>
        </w:r>
        <w:r w:rsidR="00A011BD">
          <w:rPr>
            <w:noProof/>
            <w:webHidden/>
          </w:rPr>
          <w:tab/>
        </w:r>
        <w:r w:rsidR="00A011BD">
          <w:rPr>
            <w:noProof/>
            <w:webHidden/>
          </w:rPr>
          <w:fldChar w:fldCharType="begin"/>
        </w:r>
        <w:r w:rsidR="00A011BD">
          <w:rPr>
            <w:noProof/>
            <w:webHidden/>
          </w:rPr>
          <w:instrText xml:space="preserve"> PAGEREF _Toc508964816 \h </w:instrText>
        </w:r>
        <w:r w:rsidR="00A011BD">
          <w:rPr>
            <w:noProof/>
            <w:webHidden/>
          </w:rPr>
        </w:r>
        <w:r w:rsidR="00A011BD">
          <w:rPr>
            <w:noProof/>
            <w:webHidden/>
          </w:rPr>
          <w:fldChar w:fldCharType="separate"/>
        </w:r>
        <w:r w:rsidR="00985669">
          <w:rPr>
            <w:noProof/>
            <w:webHidden/>
          </w:rPr>
          <w:t>28</w:t>
        </w:r>
        <w:r w:rsidR="00A011BD">
          <w:rPr>
            <w:noProof/>
            <w:webHidden/>
          </w:rPr>
          <w:fldChar w:fldCharType="end"/>
        </w:r>
      </w:hyperlink>
    </w:p>
    <w:p w:rsidR="00A011BD" w:rsidRDefault="00272EFF">
      <w:pPr>
        <w:pStyle w:val="TOC2"/>
        <w:tabs>
          <w:tab w:val="right" w:leader="dot" w:pos="9040"/>
        </w:tabs>
        <w:rPr>
          <w:rFonts w:asciiTheme="minorHAnsi" w:eastAsiaTheme="minorEastAsia" w:hAnsiTheme="minorHAnsi"/>
          <w:noProof/>
          <w:color w:val="auto"/>
          <w:sz w:val="22"/>
          <w:lang w:val="en-GB" w:eastAsia="en-GB"/>
        </w:rPr>
      </w:pPr>
      <w:hyperlink w:anchor="_Toc508964817" w:history="1">
        <w:r w:rsidR="00A011BD" w:rsidRPr="007F03DC">
          <w:rPr>
            <w:rStyle w:val="Hyperlink"/>
            <w:noProof/>
            <w:snapToGrid w:val="0"/>
          </w:rPr>
          <w:t>2.4</w:t>
        </w:r>
        <w:r w:rsidR="00A011BD">
          <w:rPr>
            <w:rFonts w:asciiTheme="minorHAnsi" w:eastAsiaTheme="minorEastAsia" w:hAnsiTheme="minorHAnsi"/>
            <w:noProof/>
            <w:color w:val="auto"/>
            <w:sz w:val="22"/>
            <w:lang w:val="en-GB" w:eastAsia="en-GB"/>
          </w:rPr>
          <w:tab/>
        </w:r>
        <w:r w:rsidR="00A011BD" w:rsidRPr="007F03DC">
          <w:rPr>
            <w:rStyle w:val="Hyperlink"/>
            <w:noProof/>
          </w:rPr>
          <w:t>Απαντήσεις στα σχετικά κοινά ερωτήματα αξιολόγησης (υποχρεωτικό)</w:t>
        </w:r>
        <w:r w:rsidR="00A011BD">
          <w:rPr>
            <w:noProof/>
            <w:webHidden/>
          </w:rPr>
          <w:tab/>
        </w:r>
        <w:r w:rsidR="00A011BD">
          <w:rPr>
            <w:noProof/>
            <w:webHidden/>
          </w:rPr>
          <w:fldChar w:fldCharType="begin"/>
        </w:r>
        <w:r w:rsidR="00A011BD">
          <w:rPr>
            <w:noProof/>
            <w:webHidden/>
          </w:rPr>
          <w:instrText xml:space="preserve"> PAGEREF _Toc508964817 \h </w:instrText>
        </w:r>
        <w:r w:rsidR="00A011BD">
          <w:rPr>
            <w:noProof/>
            <w:webHidden/>
          </w:rPr>
        </w:r>
        <w:r w:rsidR="00A011BD">
          <w:rPr>
            <w:noProof/>
            <w:webHidden/>
          </w:rPr>
          <w:fldChar w:fldCharType="separate"/>
        </w:r>
        <w:r w:rsidR="00985669">
          <w:rPr>
            <w:noProof/>
            <w:webHidden/>
          </w:rPr>
          <w:t>30</w:t>
        </w:r>
        <w:r w:rsidR="00A011BD">
          <w:rPr>
            <w:noProof/>
            <w:webHidden/>
          </w:rPr>
          <w:fldChar w:fldCharType="end"/>
        </w:r>
      </w:hyperlink>
    </w:p>
    <w:p w:rsidR="00A011BD" w:rsidRDefault="00272EFF">
      <w:pPr>
        <w:pStyle w:val="TOC3"/>
        <w:tabs>
          <w:tab w:val="right" w:leader="dot" w:pos="9040"/>
        </w:tabs>
        <w:rPr>
          <w:rFonts w:asciiTheme="minorHAnsi" w:eastAsiaTheme="minorEastAsia" w:hAnsiTheme="minorHAnsi"/>
          <w:noProof/>
          <w:color w:val="auto"/>
          <w:sz w:val="22"/>
          <w:lang w:val="en-GB" w:eastAsia="en-GB"/>
        </w:rPr>
      </w:pPr>
      <w:hyperlink w:anchor="_Toc508964818" w:history="1">
        <w:r w:rsidR="00A011BD" w:rsidRPr="007F03DC">
          <w:rPr>
            <w:rStyle w:val="Hyperlink"/>
            <w:noProof/>
          </w:rPr>
          <w:t>2.4.1</w:t>
        </w:r>
        <w:r w:rsidR="00A011BD">
          <w:rPr>
            <w:rFonts w:asciiTheme="minorHAnsi" w:eastAsiaTheme="minorEastAsia" w:hAnsiTheme="minorHAnsi"/>
            <w:noProof/>
            <w:color w:val="auto"/>
            <w:sz w:val="22"/>
            <w:lang w:val="en-GB" w:eastAsia="en-GB"/>
          </w:rPr>
          <w:tab/>
        </w:r>
        <w:r w:rsidR="00A011BD" w:rsidRPr="007F03DC">
          <w:rPr>
            <w:rStyle w:val="Hyperlink"/>
            <w:noProof/>
          </w:rPr>
          <w:t>ΚΕΑ αριθ. 1: «Σε ποιο βαθμό οι παρεμβάσεις του ΠΑΑ έχουν στηρίξει την καινοτομία, τη συνεργασία και την ανάπτυξη της βάσης γνώσεων στις αγροτικές περιοχές;»</w:t>
        </w:r>
        <w:r w:rsidR="00A011BD">
          <w:rPr>
            <w:noProof/>
            <w:webHidden/>
          </w:rPr>
          <w:tab/>
        </w:r>
        <w:r w:rsidR="00A011BD">
          <w:rPr>
            <w:noProof/>
            <w:webHidden/>
          </w:rPr>
          <w:fldChar w:fldCharType="begin"/>
        </w:r>
        <w:r w:rsidR="00A011BD">
          <w:rPr>
            <w:noProof/>
            <w:webHidden/>
          </w:rPr>
          <w:instrText xml:space="preserve"> PAGEREF _Toc508964818 \h </w:instrText>
        </w:r>
        <w:r w:rsidR="00A011BD">
          <w:rPr>
            <w:noProof/>
            <w:webHidden/>
          </w:rPr>
        </w:r>
        <w:r w:rsidR="00A011BD">
          <w:rPr>
            <w:noProof/>
            <w:webHidden/>
          </w:rPr>
          <w:fldChar w:fldCharType="separate"/>
        </w:r>
        <w:r w:rsidR="00985669">
          <w:rPr>
            <w:noProof/>
            <w:webHidden/>
          </w:rPr>
          <w:t>31</w:t>
        </w:r>
        <w:r w:rsidR="00A011BD">
          <w:rPr>
            <w:noProof/>
            <w:webHidden/>
          </w:rPr>
          <w:fldChar w:fldCharType="end"/>
        </w:r>
      </w:hyperlink>
    </w:p>
    <w:p w:rsidR="00A011BD" w:rsidRDefault="00272EFF">
      <w:pPr>
        <w:pStyle w:val="TOC3"/>
        <w:tabs>
          <w:tab w:val="right" w:leader="dot" w:pos="9040"/>
        </w:tabs>
        <w:rPr>
          <w:rFonts w:asciiTheme="minorHAnsi" w:eastAsiaTheme="minorEastAsia" w:hAnsiTheme="minorHAnsi"/>
          <w:noProof/>
          <w:color w:val="auto"/>
          <w:sz w:val="22"/>
          <w:lang w:val="en-GB" w:eastAsia="en-GB"/>
        </w:rPr>
      </w:pPr>
      <w:hyperlink w:anchor="_Toc508964819" w:history="1">
        <w:r w:rsidR="00A011BD" w:rsidRPr="007F03DC">
          <w:rPr>
            <w:rStyle w:val="Hyperlink"/>
            <w:noProof/>
          </w:rPr>
          <w:t>2.4.2</w:t>
        </w:r>
        <w:r w:rsidR="00A011BD">
          <w:rPr>
            <w:rFonts w:asciiTheme="minorHAnsi" w:eastAsiaTheme="minorEastAsia" w:hAnsiTheme="minorHAnsi"/>
            <w:noProof/>
            <w:color w:val="auto"/>
            <w:sz w:val="22"/>
            <w:lang w:val="en-GB" w:eastAsia="en-GB"/>
          </w:rPr>
          <w:tab/>
        </w:r>
        <w:r w:rsidR="00A011BD" w:rsidRPr="007F03DC">
          <w:rPr>
            <w:rStyle w:val="Hyperlink"/>
            <w:noProof/>
          </w:rPr>
          <w:t>ΚΕΑ αριθ. 2: «Σε ποιο βαθμό οι παρεμβάσεις του ΠΑΑ έχουν στηρίξει την ενίσχυση των δεσμών μεταξύ της γεωργίας, της παραγωγής τροφίμων και της δασοκομίας, καθώς και της έρευνας και καινοτομίας, μεταξύ άλλων και με στόχο τη βελτιωμένη περιβαλλοντική διαχείριση και αποδοτικότητα;»</w:t>
        </w:r>
        <w:r w:rsidR="00A011BD">
          <w:rPr>
            <w:noProof/>
            <w:webHidden/>
          </w:rPr>
          <w:tab/>
        </w:r>
        <w:r w:rsidR="00A011BD">
          <w:rPr>
            <w:noProof/>
            <w:webHidden/>
          </w:rPr>
          <w:fldChar w:fldCharType="begin"/>
        </w:r>
        <w:r w:rsidR="00A011BD">
          <w:rPr>
            <w:noProof/>
            <w:webHidden/>
          </w:rPr>
          <w:instrText xml:space="preserve"> PAGEREF _Toc508964819 \h </w:instrText>
        </w:r>
        <w:r w:rsidR="00A011BD">
          <w:rPr>
            <w:noProof/>
            <w:webHidden/>
          </w:rPr>
        </w:r>
        <w:r w:rsidR="00A011BD">
          <w:rPr>
            <w:noProof/>
            <w:webHidden/>
          </w:rPr>
          <w:fldChar w:fldCharType="separate"/>
        </w:r>
        <w:r w:rsidR="00985669">
          <w:rPr>
            <w:noProof/>
            <w:webHidden/>
          </w:rPr>
          <w:t>43</w:t>
        </w:r>
        <w:r w:rsidR="00A011BD">
          <w:rPr>
            <w:noProof/>
            <w:webHidden/>
          </w:rPr>
          <w:fldChar w:fldCharType="end"/>
        </w:r>
      </w:hyperlink>
    </w:p>
    <w:p w:rsidR="00A011BD" w:rsidRDefault="00272EFF">
      <w:pPr>
        <w:pStyle w:val="TOC3"/>
        <w:tabs>
          <w:tab w:val="right" w:leader="dot" w:pos="9040"/>
        </w:tabs>
        <w:rPr>
          <w:rFonts w:asciiTheme="minorHAnsi" w:eastAsiaTheme="minorEastAsia" w:hAnsiTheme="minorHAnsi"/>
          <w:noProof/>
          <w:color w:val="auto"/>
          <w:sz w:val="22"/>
          <w:lang w:val="en-GB" w:eastAsia="en-GB"/>
        </w:rPr>
      </w:pPr>
      <w:hyperlink w:anchor="_Toc508964820" w:history="1">
        <w:r w:rsidR="00A011BD" w:rsidRPr="007F03DC">
          <w:rPr>
            <w:rStyle w:val="Hyperlink"/>
            <w:noProof/>
          </w:rPr>
          <w:t>2.4.3</w:t>
        </w:r>
        <w:r w:rsidR="00A011BD">
          <w:rPr>
            <w:rFonts w:asciiTheme="minorHAnsi" w:eastAsiaTheme="minorEastAsia" w:hAnsiTheme="minorHAnsi"/>
            <w:noProof/>
            <w:color w:val="auto"/>
            <w:sz w:val="22"/>
            <w:lang w:val="en-GB" w:eastAsia="en-GB"/>
          </w:rPr>
          <w:tab/>
        </w:r>
        <w:r w:rsidR="00A011BD" w:rsidRPr="007F03DC">
          <w:rPr>
            <w:rStyle w:val="Hyperlink"/>
            <w:noProof/>
          </w:rPr>
          <w:t>ΚΕΑ αριθ. 21: «Σε ποιο βαθμό το εθνικό αγροτικό δίκτυο έχει συμβάλει στην επίτευξη των στόχων που καθορίζονται στο άρθρο 54 παράγραφος 2 του κανονισμού (ΕΕ) αριθ. 1305/2013;»</w:t>
        </w:r>
        <w:r w:rsidR="00A011BD">
          <w:rPr>
            <w:noProof/>
            <w:webHidden/>
          </w:rPr>
          <w:tab/>
        </w:r>
        <w:r w:rsidR="00A011BD">
          <w:rPr>
            <w:noProof/>
            <w:webHidden/>
          </w:rPr>
          <w:fldChar w:fldCharType="begin"/>
        </w:r>
        <w:r w:rsidR="00A011BD">
          <w:rPr>
            <w:noProof/>
            <w:webHidden/>
          </w:rPr>
          <w:instrText xml:space="preserve"> PAGEREF _Toc508964820 \h </w:instrText>
        </w:r>
        <w:r w:rsidR="00A011BD">
          <w:rPr>
            <w:noProof/>
            <w:webHidden/>
          </w:rPr>
        </w:r>
        <w:r w:rsidR="00A011BD">
          <w:rPr>
            <w:noProof/>
            <w:webHidden/>
          </w:rPr>
          <w:fldChar w:fldCharType="separate"/>
        </w:r>
        <w:r w:rsidR="00985669">
          <w:rPr>
            <w:noProof/>
            <w:webHidden/>
          </w:rPr>
          <w:t>53</w:t>
        </w:r>
        <w:r w:rsidR="00A011BD">
          <w:rPr>
            <w:noProof/>
            <w:webHidden/>
          </w:rPr>
          <w:fldChar w:fldCharType="end"/>
        </w:r>
      </w:hyperlink>
    </w:p>
    <w:p w:rsidR="00A011BD" w:rsidRDefault="00272EFF">
      <w:pPr>
        <w:pStyle w:val="TOC3"/>
        <w:tabs>
          <w:tab w:val="right" w:leader="dot" w:pos="9040"/>
        </w:tabs>
        <w:rPr>
          <w:rFonts w:asciiTheme="minorHAnsi" w:eastAsiaTheme="minorEastAsia" w:hAnsiTheme="minorHAnsi"/>
          <w:noProof/>
          <w:color w:val="auto"/>
          <w:sz w:val="22"/>
          <w:lang w:val="en-GB" w:eastAsia="en-GB"/>
        </w:rPr>
      </w:pPr>
      <w:hyperlink w:anchor="_Toc508964821" w:history="1">
        <w:r w:rsidR="00A011BD" w:rsidRPr="007F03DC">
          <w:rPr>
            <w:rStyle w:val="Hyperlink"/>
            <w:noProof/>
          </w:rPr>
          <w:t>2.4.4</w:t>
        </w:r>
        <w:r w:rsidR="00A011BD">
          <w:rPr>
            <w:rFonts w:asciiTheme="minorHAnsi" w:eastAsiaTheme="minorEastAsia" w:hAnsiTheme="minorHAnsi"/>
            <w:noProof/>
            <w:color w:val="auto"/>
            <w:sz w:val="22"/>
            <w:lang w:val="en-GB" w:eastAsia="en-GB"/>
          </w:rPr>
          <w:tab/>
        </w:r>
        <w:r w:rsidR="00A011BD" w:rsidRPr="007F03DC">
          <w:rPr>
            <w:rStyle w:val="Hyperlink"/>
            <w:noProof/>
          </w:rPr>
          <w:t>ΚΕΑ αριθ. 23: «Σε ποιο βαθμό έχει συμβάλει το ΠΑΑ στην επίτευξη του πρωταρχικού στόχου της στρατηγικής «Ευρώπη 2020» όσον αφορά την επένδυση του 3 % του ΑΕΠ της ΕΕ στην έρευνα, την ανάπτυξη και την καινοτομία;»</w:t>
        </w:r>
        <w:r w:rsidR="00A011BD">
          <w:rPr>
            <w:noProof/>
            <w:webHidden/>
          </w:rPr>
          <w:tab/>
        </w:r>
        <w:r w:rsidR="00A011BD">
          <w:rPr>
            <w:noProof/>
            <w:webHidden/>
          </w:rPr>
          <w:fldChar w:fldCharType="begin"/>
        </w:r>
        <w:r w:rsidR="00A011BD">
          <w:rPr>
            <w:noProof/>
            <w:webHidden/>
          </w:rPr>
          <w:instrText xml:space="preserve"> PAGEREF _Toc508964821 \h </w:instrText>
        </w:r>
        <w:r w:rsidR="00A011BD">
          <w:rPr>
            <w:noProof/>
            <w:webHidden/>
          </w:rPr>
        </w:r>
        <w:r w:rsidR="00A011BD">
          <w:rPr>
            <w:noProof/>
            <w:webHidden/>
          </w:rPr>
          <w:fldChar w:fldCharType="separate"/>
        </w:r>
        <w:r w:rsidR="00985669">
          <w:rPr>
            <w:noProof/>
            <w:webHidden/>
          </w:rPr>
          <w:t>66</w:t>
        </w:r>
        <w:r w:rsidR="00A011BD">
          <w:rPr>
            <w:noProof/>
            <w:webHidden/>
          </w:rPr>
          <w:fldChar w:fldCharType="end"/>
        </w:r>
      </w:hyperlink>
    </w:p>
    <w:p w:rsidR="00A011BD" w:rsidRDefault="00272EFF">
      <w:pPr>
        <w:pStyle w:val="TOC3"/>
        <w:tabs>
          <w:tab w:val="right" w:leader="dot" w:pos="9040"/>
        </w:tabs>
        <w:rPr>
          <w:rFonts w:asciiTheme="minorHAnsi" w:eastAsiaTheme="minorEastAsia" w:hAnsiTheme="minorHAnsi"/>
          <w:noProof/>
          <w:color w:val="auto"/>
          <w:sz w:val="22"/>
          <w:lang w:val="en-GB" w:eastAsia="en-GB"/>
        </w:rPr>
      </w:pPr>
      <w:hyperlink w:anchor="_Toc508964822" w:history="1">
        <w:r w:rsidR="00A011BD" w:rsidRPr="007F03DC">
          <w:rPr>
            <w:rStyle w:val="Hyperlink"/>
            <w:noProof/>
          </w:rPr>
          <w:t>2.4.5</w:t>
        </w:r>
        <w:r w:rsidR="00A011BD">
          <w:rPr>
            <w:rFonts w:asciiTheme="minorHAnsi" w:eastAsiaTheme="minorEastAsia" w:hAnsiTheme="minorHAnsi"/>
            <w:noProof/>
            <w:color w:val="auto"/>
            <w:sz w:val="22"/>
            <w:lang w:val="en-GB" w:eastAsia="en-GB"/>
          </w:rPr>
          <w:tab/>
        </w:r>
        <w:r w:rsidR="00A011BD" w:rsidRPr="007F03DC">
          <w:rPr>
            <w:rStyle w:val="Hyperlink"/>
            <w:noProof/>
          </w:rPr>
          <w:t>ΚΕΑ αριθ. 30: «Σε ποιο βαθμό έχουν συμβάλει οι παρεμβάσεις στο πλαίσιο του ΠΑΑ στην προώθηση της καινοτομίας;»</w:t>
        </w:r>
        <w:r w:rsidR="00A011BD">
          <w:rPr>
            <w:noProof/>
            <w:webHidden/>
          </w:rPr>
          <w:tab/>
        </w:r>
        <w:r w:rsidR="00A011BD">
          <w:rPr>
            <w:noProof/>
            <w:webHidden/>
          </w:rPr>
          <w:fldChar w:fldCharType="begin"/>
        </w:r>
        <w:r w:rsidR="00A011BD">
          <w:rPr>
            <w:noProof/>
            <w:webHidden/>
          </w:rPr>
          <w:instrText xml:space="preserve"> PAGEREF _Toc508964822 \h </w:instrText>
        </w:r>
        <w:r w:rsidR="00A011BD">
          <w:rPr>
            <w:noProof/>
            <w:webHidden/>
          </w:rPr>
        </w:r>
        <w:r w:rsidR="00A011BD">
          <w:rPr>
            <w:noProof/>
            <w:webHidden/>
          </w:rPr>
          <w:fldChar w:fldCharType="separate"/>
        </w:r>
        <w:r w:rsidR="00985669">
          <w:rPr>
            <w:noProof/>
            <w:webHidden/>
          </w:rPr>
          <w:t>74</w:t>
        </w:r>
        <w:r w:rsidR="00A011BD">
          <w:rPr>
            <w:noProof/>
            <w:webHidden/>
          </w:rPr>
          <w:fldChar w:fldCharType="end"/>
        </w:r>
      </w:hyperlink>
    </w:p>
    <w:p w:rsidR="00A011BD" w:rsidRDefault="00272EFF">
      <w:pPr>
        <w:pStyle w:val="TOC1"/>
        <w:tabs>
          <w:tab w:val="right" w:leader="dot" w:pos="9040"/>
        </w:tabs>
        <w:rPr>
          <w:rFonts w:asciiTheme="minorHAnsi" w:eastAsiaTheme="minorEastAsia" w:hAnsiTheme="minorHAnsi"/>
          <w:b w:val="0"/>
          <w:caps w:val="0"/>
          <w:noProof/>
          <w:color w:val="auto"/>
          <w:sz w:val="22"/>
          <w:lang w:val="en-GB" w:eastAsia="en-GB"/>
        </w:rPr>
      </w:pPr>
      <w:hyperlink w:anchor="_Toc508964823" w:history="1">
        <w:r w:rsidR="00A011BD" w:rsidRPr="007F03DC">
          <w:rPr>
            <w:rStyle w:val="Hyperlink"/>
            <w:noProof/>
          </w:rPr>
          <w:t>3.</w:t>
        </w:r>
        <w:r w:rsidR="00A011BD">
          <w:rPr>
            <w:rFonts w:asciiTheme="minorHAnsi" w:eastAsiaTheme="minorEastAsia" w:hAnsiTheme="minorHAnsi"/>
            <w:b w:val="0"/>
            <w:caps w:val="0"/>
            <w:noProof/>
            <w:color w:val="auto"/>
            <w:sz w:val="22"/>
            <w:lang w:val="en-GB" w:eastAsia="en-GB"/>
          </w:rPr>
          <w:tab/>
        </w:r>
        <w:r w:rsidR="00A011BD" w:rsidRPr="007F03DC">
          <w:rPr>
            <w:rStyle w:val="Hyperlink"/>
            <w:noProof/>
          </w:rPr>
          <w:t>ΠΑΡΑΡΤΗΜΑΤΑ</w:t>
        </w:r>
        <w:r w:rsidR="00A011BD">
          <w:rPr>
            <w:noProof/>
            <w:webHidden/>
          </w:rPr>
          <w:tab/>
        </w:r>
        <w:r w:rsidR="00A011BD">
          <w:rPr>
            <w:noProof/>
            <w:webHidden/>
          </w:rPr>
          <w:fldChar w:fldCharType="begin"/>
        </w:r>
        <w:r w:rsidR="00A011BD">
          <w:rPr>
            <w:noProof/>
            <w:webHidden/>
          </w:rPr>
          <w:instrText xml:space="preserve"> PAGEREF _Toc508964823 \h </w:instrText>
        </w:r>
        <w:r w:rsidR="00A011BD">
          <w:rPr>
            <w:noProof/>
            <w:webHidden/>
          </w:rPr>
        </w:r>
        <w:r w:rsidR="00A011BD">
          <w:rPr>
            <w:noProof/>
            <w:webHidden/>
          </w:rPr>
          <w:fldChar w:fldCharType="separate"/>
        </w:r>
        <w:r w:rsidR="00985669">
          <w:rPr>
            <w:noProof/>
            <w:webHidden/>
          </w:rPr>
          <w:t>87</w:t>
        </w:r>
        <w:r w:rsidR="00A011BD">
          <w:rPr>
            <w:noProof/>
            <w:webHidden/>
          </w:rPr>
          <w:fldChar w:fldCharType="end"/>
        </w:r>
      </w:hyperlink>
    </w:p>
    <w:p w:rsidR="00A011BD" w:rsidRDefault="00272EFF">
      <w:pPr>
        <w:pStyle w:val="TOC2"/>
        <w:tabs>
          <w:tab w:val="right" w:leader="dot" w:pos="9040"/>
        </w:tabs>
        <w:rPr>
          <w:rFonts w:asciiTheme="minorHAnsi" w:eastAsiaTheme="minorEastAsia" w:hAnsiTheme="minorHAnsi"/>
          <w:noProof/>
          <w:color w:val="auto"/>
          <w:sz w:val="22"/>
          <w:lang w:val="en-GB" w:eastAsia="en-GB"/>
        </w:rPr>
      </w:pPr>
      <w:hyperlink w:anchor="_Toc508964824" w:history="1">
        <w:r w:rsidR="00A011BD" w:rsidRPr="007F03DC">
          <w:rPr>
            <w:rStyle w:val="Hyperlink"/>
            <w:noProof/>
          </w:rPr>
          <w:t>3.1</w:t>
        </w:r>
        <w:r w:rsidR="00A011BD">
          <w:rPr>
            <w:rFonts w:asciiTheme="minorHAnsi" w:eastAsiaTheme="minorEastAsia" w:hAnsiTheme="minorHAnsi"/>
            <w:noProof/>
            <w:color w:val="auto"/>
            <w:sz w:val="22"/>
            <w:lang w:val="en-GB" w:eastAsia="en-GB"/>
          </w:rPr>
          <w:tab/>
        </w:r>
        <w:r w:rsidR="00A011BD" w:rsidRPr="007F03DC">
          <w:rPr>
            <w:rStyle w:val="Hyperlink"/>
            <w:noProof/>
          </w:rPr>
          <w:t>Γλωσσάριο</w:t>
        </w:r>
        <w:r w:rsidR="00A011BD">
          <w:rPr>
            <w:noProof/>
            <w:webHidden/>
          </w:rPr>
          <w:tab/>
        </w:r>
        <w:r w:rsidR="00A011BD">
          <w:rPr>
            <w:noProof/>
            <w:webHidden/>
          </w:rPr>
          <w:fldChar w:fldCharType="begin"/>
        </w:r>
        <w:r w:rsidR="00A011BD">
          <w:rPr>
            <w:noProof/>
            <w:webHidden/>
          </w:rPr>
          <w:instrText xml:space="preserve"> PAGEREF _Toc508964824 \h </w:instrText>
        </w:r>
        <w:r w:rsidR="00A011BD">
          <w:rPr>
            <w:noProof/>
            <w:webHidden/>
          </w:rPr>
        </w:r>
        <w:r w:rsidR="00A011BD">
          <w:rPr>
            <w:noProof/>
            <w:webHidden/>
          </w:rPr>
          <w:fldChar w:fldCharType="separate"/>
        </w:r>
        <w:r w:rsidR="00985669">
          <w:rPr>
            <w:noProof/>
            <w:webHidden/>
          </w:rPr>
          <w:t>87</w:t>
        </w:r>
        <w:r w:rsidR="00A011BD">
          <w:rPr>
            <w:noProof/>
            <w:webHidden/>
          </w:rPr>
          <w:fldChar w:fldCharType="end"/>
        </w:r>
      </w:hyperlink>
    </w:p>
    <w:p w:rsidR="00A011BD" w:rsidRDefault="00272EFF">
      <w:pPr>
        <w:pStyle w:val="TOC2"/>
        <w:tabs>
          <w:tab w:val="right" w:leader="dot" w:pos="9040"/>
        </w:tabs>
        <w:rPr>
          <w:rFonts w:asciiTheme="minorHAnsi" w:eastAsiaTheme="minorEastAsia" w:hAnsiTheme="minorHAnsi"/>
          <w:noProof/>
          <w:color w:val="auto"/>
          <w:sz w:val="22"/>
          <w:lang w:val="en-GB" w:eastAsia="en-GB"/>
        </w:rPr>
      </w:pPr>
      <w:hyperlink w:anchor="_Toc508964825" w:history="1">
        <w:r w:rsidR="00A011BD" w:rsidRPr="007F03DC">
          <w:rPr>
            <w:rStyle w:val="Hyperlink"/>
            <w:noProof/>
          </w:rPr>
          <w:t>3.2</w:t>
        </w:r>
        <w:r w:rsidR="00A011BD">
          <w:rPr>
            <w:rFonts w:asciiTheme="minorHAnsi" w:eastAsiaTheme="minorEastAsia" w:hAnsiTheme="minorHAnsi"/>
            <w:noProof/>
            <w:color w:val="auto"/>
            <w:sz w:val="22"/>
            <w:lang w:val="en-GB" w:eastAsia="en-GB"/>
          </w:rPr>
          <w:tab/>
        </w:r>
        <w:r w:rsidR="00A011BD" w:rsidRPr="007F03DC">
          <w:rPr>
            <w:rStyle w:val="Hyperlink"/>
            <w:noProof/>
          </w:rPr>
          <w:t>Προσδιορισμός του δυναμικού καινοτομίας του ΠΑΑ: βήμα προς βήμα</w:t>
        </w:r>
        <w:r w:rsidR="00A011BD">
          <w:rPr>
            <w:noProof/>
            <w:webHidden/>
          </w:rPr>
          <w:tab/>
        </w:r>
        <w:r w:rsidR="00A011BD">
          <w:rPr>
            <w:noProof/>
            <w:webHidden/>
          </w:rPr>
          <w:fldChar w:fldCharType="begin"/>
        </w:r>
        <w:r w:rsidR="00A011BD">
          <w:rPr>
            <w:noProof/>
            <w:webHidden/>
          </w:rPr>
          <w:instrText xml:space="preserve"> PAGEREF _Toc508964825 \h </w:instrText>
        </w:r>
        <w:r w:rsidR="00A011BD">
          <w:rPr>
            <w:noProof/>
            <w:webHidden/>
          </w:rPr>
        </w:r>
        <w:r w:rsidR="00A011BD">
          <w:rPr>
            <w:noProof/>
            <w:webHidden/>
          </w:rPr>
          <w:fldChar w:fldCharType="separate"/>
        </w:r>
        <w:r w:rsidR="00985669">
          <w:rPr>
            <w:noProof/>
            <w:webHidden/>
          </w:rPr>
          <w:t>89</w:t>
        </w:r>
        <w:r w:rsidR="00A011BD">
          <w:rPr>
            <w:noProof/>
            <w:webHidden/>
          </w:rPr>
          <w:fldChar w:fldCharType="end"/>
        </w:r>
      </w:hyperlink>
    </w:p>
    <w:p w:rsidR="00501827" w:rsidRDefault="009837FF" w:rsidP="00E05D08">
      <w:pPr>
        <w:tabs>
          <w:tab w:val="left" w:pos="454"/>
          <w:tab w:val="right" w:leader="dot" w:pos="9072"/>
        </w:tabs>
        <w:suppressAutoHyphens/>
        <w:ind w:left="454" w:hanging="454"/>
        <w:rPr>
          <w:rFonts w:ascii="Helvetica LT Pro" w:eastAsia="Times New Roman" w:hAnsi="Helvetica LT Pro" w:cs="Times New Roman"/>
          <w:b/>
          <w:color w:val="000000" w:themeColor="text1"/>
          <w:szCs w:val="20"/>
        </w:rPr>
      </w:pPr>
      <w:r>
        <w:rPr>
          <w:rFonts w:ascii="Helvetica LT Pro" w:eastAsia="Times New Roman" w:hAnsi="Helvetica LT Pro" w:cs="Times New Roman"/>
          <w:caps/>
          <w:color w:val="000000" w:themeColor="text1"/>
          <w:szCs w:val="20"/>
        </w:rPr>
        <w:fldChar w:fldCharType="end"/>
      </w:r>
    </w:p>
    <w:p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b/>
          <w:bCs/>
          <w:caps/>
          <w:color w:val="F07E31"/>
          <w:szCs w:val="32"/>
        </w:rPr>
        <w:lastRenderedPageBreak/>
        <w:t>Πίνακες και σχήματα</w:t>
      </w:r>
    </w:p>
    <w:p w:rsidR="00A011BD" w:rsidRDefault="00E05D08">
      <w:pPr>
        <w:pStyle w:val="TOC2"/>
        <w:tabs>
          <w:tab w:val="left" w:pos="1320"/>
          <w:tab w:val="right" w:leader="dot" w:pos="9040"/>
        </w:tabs>
        <w:rPr>
          <w:rFonts w:asciiTheme="minorHAnsi" w:eastAsiaTheme="minorEastAsia" w:hAnsiTheme="minorHAnsi"/>
          <w:noProof/>
          <w:color w:val="auto"/>
          <w:sz w:val="22"/>
          <w:lang w:val="en-GB" w:eastAsia="en-GB"/>
        </w:rPr>
      </w:pPr>
      <w:r>
        <w:rPr>
          <w:rStyle w:val="Hyperlink"/>
          <w14:scene3d>
            <w14:camera w14:prst="orthographicFront"/>
            <w14:lightRig w14:rig="threePt" w14:dir="t">
              <w14:rot w14:lat="0" w14:lon="0" w14:rev="0"/>
            </w14:lightRig>
          </w14:scene3d>
        </w:rPr>
        <w:fldChar w:fldCharType="begin"/>
      </w:r>
      <w:r>
        <w:rPr>
          <w:rStyle w:val="Hyperlink"/>
          <w14:scene3d>
            <w14:camera w14:prst="orthographicFront"/>
            <w14:lightRig w14:rig="threePt" w14:dir="t">
              <w14:rot w14:lat="0" w14:lon="0" w14:rev="0"/>
            </w14:lightRig>
          </w14:scene3d>
        </w:rPr>
        <w:instrText xml:space="preserve"> TOC \h \z \t "H_Heading_tables;2" </w:instrText>
      </w:r>
      <w:r>
        <w:rPr>
          <w:rStyle w:val="Hyperlink"/>
          <w14:scene3d>
            <w14:camera w14:prst="orthographicFront"/>
            <w14:lightRig w14:rig="threePt" w14:dir="t">
              <w14:rot w14:lat="0" w14:lon="0" w14:rev="0"/>
            </w14:lightRig>
          </w14:scene3d>
        </w:rPr>
        <w:fldChar w:fldCharType="separate"/>
      </w:r>
      <w:hyperlink w:anchor="_Toc508964826" w:history="1">
        <w:r w:rsidR="00A011BD" w:rsidRPr="00D770C7">
          <w:rPr>
            <w:rStyle w:val="Hyperlink"/>
            <w:noProof/>
          </w:rPr>
          <w:t>Πίνακας 1.</w:t>
        </w:r>
        <w:r w:rsidR="00A011BD">
          <w:rPr>
            <w:rFonts w:asciiTheme="minorHAnsi" w:eastAsiaTheme="minorEastAsia" w:hAnsiTheme="minorHAnsi"/>
            <w:noProof/>
            <w:color w:val="auto"/>
            <w:sz w:val="22"/>
            <w:lang w:val="en-GB" w:eastAsia="en-GB"/>
          </w:rPr>
          <w:tab/>
        </w:r>
        <w:r w:rsidR="00A011BD" w:rsidRPr="00D770C7">
          <w:rPr>
            <w:rStyle w:val="Hyperlink"/>
            <w:noProof/>
          </w:rPr>
          <w:t>Στοιχεία αξιολόγησης και πηγές πληροφοριών σε σχέση με το ΚΕΑ αριθ. 1</w:t>
        </w:r>
        <w:r w:rsidR="00A011BD">
          <w:rPr>
            <w:noProof/>
            <w:webHidden/>
          </w:rPr>
          <w:tab/>
        </w:r>
        <w:r w:rsidR="00A011BD">
          <w:rPr>
            <w:noProof/>
            <w:webHidden/>
          </w:rPr>
          <w:fldChar w:fldCharType="begin"/>
        </w:r>
        <w:r w:rsidR="00A011BD">
          <w:rPr>
            <w:noProof/>
            <w:webHidden/>
          </w:rPr>
          <w:instrText xml:space="preserve"> PAGEREF _Toc508964826 \h </w:instrText>
        </w:r>
        <w:r w:rsidR="00A011BD">
          <w:rPr>
            <w:noProof/>
            <w:webHidden/>
          </w:rPr>
        </w:r>
        <w:r w:rsidR="00A011BD">
          <w:rPr>
            <w:noProof/>
            <w:webHidden/>
          </w:rPr>
          <w:fldChar w:fldCharType="separate"/>
        </w:r>
        <w:r w:rsidR="00985669">
          <w:rPr>
            <w:noProof/>
            <w:webHidden/>
          </w:rPr>
          <w:t>36</w:t>
        </w:r>
        <w:r w:rsidR="00A011BD">
          <w:rPr>
            <w:noProof/>
            <w:webHidden/>
          </w:rPr>
          <w:fldChar w:fldCharType="end"/>
        </w:r>
      </w:hyperlink>
    </w:p>
    <w:p w:rsidR="00A011BD" w:rsidRDefault="00272EFF">
      <w:pPr>
        <w:pStyle w:val="TOC2"/>
        <w:tabs>
          <w:tab w:val="left" w:pos="1320"/>
          <w:tab w:val="right" w:leader="dot" w:pos="9040"/>
        </w:tabs>
        <w:rPr>
          <w:rFonts w:asciiTheme="minorHAnsi" w:eastAsiaTheme="minorEastAsia" w:hAnsiTheme="minorHAnsi"/>
          <w:noProof/>
          <w:color w:val="auto"/>
          <w:sz w:val="22"/>
          <w:lang w:val="en-GB" w:eastAsia="en-GB"/>
        </w:rPr>
      </w:pPr>
      <w:hyperlink w:anchor="_Toc508964827" w:history="1">
        <w:r w:rsidR="00A011BD" w:rsidRPr="00D770C7">
          <w:rPr>
            <w:rStyle w:val="Hyperlink"/>
            <w:noProof/>
          </w:rPr>
          <w:t>Πίνακας 2.</w:t>
        </w:r>
        <w:r w:rsidR="00A011BD">
          <w:rPr>
            <w:rFonts w:asciiTheme="minorHAnsi" w:eastAsiaTheme="minorEastAsia" w:hAnsiTheme="minorHAnsi"/>
            <w:noProof/>
            <w:color w:val="auto"/>
            <w:sz w:val="22"/>
            <w:lang w:val="en-GB" w:eastAsia="en-GB"/>
          </w:rPr>
          <w:tab/>
        </w:r>
        <w:r w:rsidR="00A011BD" w:rsidRPr="00D770C7">
          <w:rPr>
            <w:rStyle w:val="Hyperlink"/>
            <w:noProof/>
          </w:rPr>
          <w:t>Προτεινόμενες μέθοδοι για το ΚΕΑ αριθ. 1</w:t>
        </w:r>
        <w:r w:rsidR="00A011BD">
          <w:rPr>
            <w:noProof/>
            <w:webHidden/>
          </w:rPr>
          <w:tab/>
        </w:r>
        <w:r w:rsidR="00A011BD">
          <w:rPr>
            <w:noProof/>
            <w:webHidden/>
          </w:rPr>
          <w:fldChar w:fldCharType="begin"/>
        </w:r>
        <w:r w:rsidR="00A011BD">
          <w:rPr>
            <w:noProof/>
            <w:webHidden/>
          </w:rPr>
          <w:instrText xml:space="preserve"> PAGEREF _Toc508964827 \h </w:instrText>
        </w:r>
        <w:r w:rsidR="00A011BD">
          <w:rPr>
            <w:noProof/>
            <w:webHidden/>
          </w:rPr>
        </w:r>
        <w:r w:rsidR="00A011BD">
          <w:rPr>
            <w:noProof/>
            <w:webHidden/>
          </w:rPr>
          <w:fldChar w:fldCharType="separate"/>
        </w:r>
        <w:r w:rsidR="00985669">
          <w:rPr>
            <w:noProof/>
            <w:webHidden/>
          </w:rPr>
          <w:t>39</w:t>
        </w:r>
        <w:r w:rsidR="00A011BD">
          <w:rPr>
            <w:noProof/>
            <w:webHidden/>
          </w:rPr>
          <w:fldChar w:fldCharType="end"/>
        </w:r>
      </w:hyperlink>
    </w:p>
    <w:p w:rsidR="00A011BD" w:rsidRDefault="00272EFF">
      <w:pPr>
        <w:pStyle w:val="TOC2"/>
        <w:tabs>
          <w:tab w:val="left" w:pos="1320"/>
          <w:tab w:val="right" w:leader="dot" w:pos="9040"/>
        </w:tabs>
        <w:rPr>
          <w:rFonts w:asciiTheme="minorHAnsi" w:eastAsiaTheme="minorEastAsia" w:hAnsiTheme="minorHAnsi"/>
          <w:noProof/>
          <w:color w:val="auto"/>
          <w:sz w:val="22"/>
          <w:lang w:val="en-GB" w:eastAsia="en-GB"/>
        </w:rPr>
      </w:pPr>
      <w:hyperlink w:anchor="_Toc508964828" w:history="1">
        <w:r w:rsidR="00A011BD" w:rsidRPr="00D770C7">
          <w:rPr>
            <w:rStyle w:val="Hyperlink"/>
            <w:noProof/>
          </w:rPr>
          <w:t>Πίνακας 3.</w:t>
        </w:r>
        <w:r w:rsidR="00A011BD">
          <w:rPr>
            <w:rFonts w:asciiTheme="minorHAnsi" w:eastAsiaTheme="minorEastAsia" w:hAnsiTheme="minorHAnsi"/>
            <w:noProof/>
            <w:color w:val="auto"/>
            <w:sz w:val="22"/>
            <w:lang w:val="en-GB" w:eastAsia="en-GB"/>
          </w:rPr>
          <w:tab/>
        </w:r>
        <w:r w:rsidR="00A011BD" w:rsidRPr="00D770C7">
          <w:rPr>
            <w:rStyle w:val="Hyperlink"/>
            <w:noProof/>
          </w:rPr>
          <w:t>Κριτήρια απόφασης, δείκτες, ανάγκες σε δεδομένα και πηγές δεδομένων</w:t>
        </w:r>
        <w:r w:rsidR="00A011BD">
          <w:rPr>
            <w:noProof/>
            <w:webHidden/>
          </w:rPr>
          <w:tab/>
        </w:r>
        <w:r w:rsidR="00A011BD">
          <w:rPr>
            <w:noProof/>
            <w:webHidden/>
          </w:rPr>
          <w:fldChar w:fldCharType="begin"/>
        </w:r>
        <w:r w:rsidR="00A011BD">
          <w:rPr>
            <w:noProof/>
            <w:webHidden/>
          </w:rPr>
          <w:instrText xml:space="preserve"> PAGEREF _Toc508964828 \h </w:instrText>
        </w:r>
        <w:r w:rsidR="00A011BD">
          <w:rPr>
            <w:noProof/>
            <w:webHidden/>
          </w:rPr>
        </w:r>
        <w:r w:rsidR="00A011BD">
          <w:rPr>
            <w:noProof/>
            <w:webHidden/>
          </w:rPr>
          <w:fldChar w:fldCharType="separate"/>
        </w:r>
        <w:r w:rsidR="00985669">
          <w:rPr>
            <w:noProof/>
            <w:webHidden/>
          </w:rPr>
          <w:t>48</w:t>
        </w:r>
        <w:r w:rsidR="00A011BD">
          <w:rPr>
            <w:noProof/>
            <w:webHidden/>
          </w:rPr>
          <w:fldChar w:fldCharType="end"/>
        </w:r>
      </w:hyperlink>
    </w:p>
    <w:p w:rsidR="00A011BD" w:rsidRDefault="00272EFF">
      <w:pPr>
        <w:pStyle w:val="TOC2"/>
        <w:tabs>
          <w:tab w:val="left" w:pos="1320"/>
          <w:tab w:val="right" w:leader="dot" w:pos="9040"/>
        </w:tabs>
        <w:rPr>
          <w:rFonts w:asciiTheme="minorHAnsi" w:eastAsiaTheme="minorEastAsia" w:hAnsiTheme="minorHAnsi"/>
          <w:noProof/>
          <w:color w:val="auto"/>
          <w:sz w:val="22"/>
          <w:lang w:val="en-GB" w:eastAsia="en-GB"/>
        </w:rPr>
      </w:pPr>
      <w:hyperlink w:anchor="_Toc508964829" w:history="1">
        <w:r w:rsidR="00A011BD" w:rsidRPr="00D770C7">
          <w:rPr>
            <w:rStyle w:val="Hyperlink"/>
            <w:noProof/>
          </w:rPr>
          <w:t>Πίνακας 4.</w:t>
        </w:r>
        <w:r w:rsidR="00A011BD">
          <w:rPr>
            <w:rFonts w:asciiTheme="minorHAnsi" w:eastAsiaTheme="minorEastAsia" w:hAnsiTheme="minorHAnsi"/>
            <w:noProof/>
            <w:color w:val="auto"/>
            <w:sz w:val="22"/>
            <w:lang w:val="en-GB" w:eastAsia="en-GB"/>
          </w:rPr>
          <w:tab/>
        </w:r>
        <w:r w:rsidR="00A011BD" w:rsidRPr="00D770C7">
          <w:rPr>
            <w:rStyle w:val="Hyperlink"/>
            <w:noProof/>
          </w:rPr>
          <w:t>Προτεινόμενες μέθοδοι για το ΚΕΑ αριθ. 2</w:t>
        </w:r>
        <w:r w:rsidR="00A011BD">
          <w:rPr>
            <w:noProof/>
            <w:webHidden/>
          </w:rPr>
          <w:tab/>
        </w:r>
        <w:r w:rsidR="00A011BD">
          <w:rPr>
            <w:noProof/>
            <w:webHidden/>
          </w:rPr>
          <w:fldChar w:fldCharType="begin"/>
        </w:r>
        <w:r w:rsidR="00A011BD">
          <w:rPr>
            <w:noProof/>
            <w:webHidden/>
          </w:rPr>
          <w:instrText xml:space="preserve"> PAGEREF _Toc508964829 \h </w:instrText>
        </w:r>
        <w:r w:rsidR="00A011BD">
          <w:rPr>
            <w:noProof/>
            <w:webHidden/>
          </w:rPr>
        </w:r>
        <w:r w:rsidR="00A011BD">
          <w:rPr>
            <w:noProof/>
            <w:webHidden/>
          </w:rPr>
          <w:fldChar w:fldCharType="separate"/>
        </w:r>
        <w:r w:rsidR="00985669">
          <w:rPr>
            <w:noProof/>
            <w:webHidden/>
          </w:rPr>
          <w:t>50</w:t>
        </w:r>
        <w:r w:rsidR="00A011BD">
          <w:rPr>
            <w:noProof/>
            <w:webHidden/>
          </w:rPr>
          <w:fldChar w:fldCharType="end"/>
        </w:r>
      </w:hyperlink>
    </w:p>
    <w:p w:rsidR="00A011BD" w:rsidRDefault="00272EFF">
      <w:pPr>
        <w:pStyle w:val="TOC2"/>
        <w:tabs>
          <w:tab w:val="left" w:pos="1320"/>
          <w:tab w:val="right" w:leader="dot" w:pos="9040"/>
        </w:tabs>
        <w:rPr>
          <w:rFonts w:asciiTheme="minorHAnsi" w:eastAsiaTheme="minorEastAsia" w:hAnsiTheme="minorHAnsi"/>
          <w:noProof/>
          <w:color w:val="auto"/>
          <w:sz w:val="22"/>
          <w:lang w:val="en-GB" w:eastAsia="en-GB"/>
        </w:rPr>
      </w:pPr>
      <w:hyperlink w:anchor="_Toc508964830" w:history="1">
        <w:r w:rsidR="00A011BD" w:rsidRPr="00D770C7">
          <w:rPr>
            <w:rStyle w:val="Hyperlink"/>
            <w:noProof/>
          </w:rPr>
          <w:t>Πίνακας 5.</w:t>
        </w:r>
        <w:r w:rsidR="00A011BD">
          <w:rPr>
            <w:rFonts w:asciiTheme="minorHAnsi" w:eastAsiaTheme="minorEastAsia" w:hAnsiTheme="minorHAnsi"/>
            <w:noProof/>
            <w:color w:val="auto"/>
            <w:sz w:val="22"/>
            <w:lang w:val="en-GB" w:eastAsia="en-GB"/>
          </w:rPr>
          <w:tab/>
        </w:r>
        <w:r w:rsidR="00A011BD" w:rsidRPr="00D770C7">
          <w:rPr>
            <w:rStyle w:val="Hyperlink"/>
            <w:noProof/>
          </w:rPr>
          <w:t>Προτεινόμενα πρόσθετα κριτήρια απόφασης, δείκτες και δεδομένα για την απάντηση του ΚΕΑ αριθ. 21</w:t>
        </w:r>
        <w:r w:rsidR="00A011BD">
          <w:rPr>
            <w:noProof/>
            <w:webHidden/>
          </w:rPr>
          <w:tab/>
        </w:r>
        <w:r w:rsidR="00A011BD">
          <w:rPr>
            <w:noProof/>
            <w:webHidden/>
          </w:rPr>
          <w:fldChar w:fldCharType="begin"/>
        </w:r>
        <w:r w:rsidR="00A011BD">
          <w:rPr>
            <w:noProof/>
            <w:webHidden/>
          </w:rPr>
          <w:instrText xml:space="preserve"> PAGEREF _Toc508964830 \h </w:instrText>
        </w:r>
        <w:r w:rsidR="00A011BD">
          <w:rPr>
            <w:noProof/>
            <w:webHidden/>
          </w:rPr>
        </w:r>
        <w:r w:rsidR="00A011BD">
          <w:rPr>
            <w:noProof/>
            <w:webHidden/>
          </w:rPr>
          <w:fldChar w:fldCharType="separate"/>
        </w:r>
        <w:r w:rsidR="00985669">
          <w:rPr>
            <w:noProof/>
            <w:webHidden/>
          </w:rPr>
          <w:t>58</w:t>
        </w:r>
        <w:r w:rsidR="00A011BD">
          <w:rPr>
            <w:noProof/>
            <w:webHidden/>
          </w:rPr>
          <w:fldChar w:fldCharType="end"/>
        </w:r>
      </w:hyperlink>
    </w:p>
    <w:p w:rsidR="00A011BD" w:rsidRDefault="00272EFF">
      <w:pPr>
        <w:pStyle w:val="TOC2"/>
        <w:tabs>
          <w:tab w:val="left" w:pos="1320"/>
          <w:tab w:val="right" w:leader="dot" w:pos="9040"/>
        </w:tabs>
        <w:rPr>
          <w:rFonts w:asciiTheme="minorHAnsi" w:eastAsiaTheme="minorEastAsia" w:hAnsiTheme="minorHAnsi"/>
          <w:noProof/>
          <w:color w:val="auto"/>
          <w:sz w:val="22"/>
          <w:lang w:val="en-GB" w:eastAsia="en-GB"/>
        </w:rPr>
      </w:pPr>
      <w:hyperlink w:anchor="_Toc508964831" w:history="1">
        <w:r w:rsidR="00A011BD" w:rsidRPr="00D770C7">
          <w:rPr>
            <w:rStyle w:val="Hyperlink"/>
            <w:noProof/>
          </w:rPr>
          <w:t>Πίνακας 6.</w:t>
        </w:r>
        <w:r w:rsidR="00A011BD">
          <w:rPr>
            <w:rFonts w:asciiTheme="minorHAnsi" w:eastAsiaTheme="minorEastAsia" w:hAnsiTheme="minorHAnsi"/>
            <w:noProof/>
            <w:color w:val="auto"/>
            <w:sz w:val="22"/>
            <w:lang w:val="en-GB" w:eastAsia="en-GB"/>
          </w:rPr>
          <w:tab/>
        </w:r>
        <w:r w:rsidR="00A011BD" w:rsidRPr="00D770C7">
          <w:rPr>
            <w:rStyle w:val="Hyperlink"/>
            <w:noProof/>
          </w:rPr>
          <w:t>Προτεινόμενες μέθοδοι για το ΚΕΑ αριθ. 21</w:t>
        </w:r>
        <w:r w:rsidR="00A011BD">
          <w:rPr>
            <w:noProof/>
            <w:webHidden/>
          </w:rPr>
          <w:tab/>
        </w:r>
        <w:r w:rsidR="00A011BD">
          <w:rPr>
            <w:noProof/>
            <w:webHidden/>
          </w:rPr>
          <w:fldChar w:fldCharType="begin"/>
        </w:r>
        <w:r w:rsidR="00A011BD">
          <w:rPr>
            <w:noProof/>
            <w:webHidden/>
          </w:rPr>
          <w:instrText xml:space="preserve"> PAGEREF _Toc508964831 \h </w:instrText>
        </w:r>
        <w:r w:rsidR="00A011BD">
          <w:rPr>
            <w:noProof/>
            <w:webHidden/>
          </w:rPr>
        </w:r>
        <w:r w:rsidR="00A011BD">
          <w:rPr>
            <w:noProof/>
            <w:webHidden/>
          </w:rPr>
          <w:fldChar w:fldCharType="separate"/>
        </w:r>
        <w:r w:rsidR="00985669">
          <w:rPr>
            <w:noProof/>
            <w:webHidden/>
          </w:rPr>
          <w:t>63</w:t>
        </w:r>
        <w:r w:rsidR="00A011BD">
          <w:rPr>
            <w:noProof/>
            <w:webHidden/>
          </w:rPr>
          <w:fldChar w:fldCharType="end"/>
        </w:r>
      </w:hyperlink>
    </w:p>
    <w:p w:rsidR="00A011BD" w:rsidRDefault="00272EFF">
      <w:pPr>
        <w:pStyle w:val="TOC2"/>
        <w:tabs>
          <w:tab w:val="left" w:pos="1320"/>
          <w:tab w:val="right" w:leader="dot" w:pos="9040"/>
        </w:tabs>
        <w:rPr>
          <w:rFonts w:asciiTheme="minorHAnsi" w:eastAsiaTheme="minorEastAsia" w:hAnsiTheme="minorHAnsi"/>
          <w:noProof/>
          <w:color w:val="auto"/>
          <w:sz w:val="22"/>
          <w:lang w:val="en-GB" w:eastAsia="en-GB"/>
        </w:rPr>
      </w:pPr>
      <w:hyperlink w:anchor="_Toc508964832" w:history="1">
        <w:r w:rsidR="00A011BD" w:rsidRPr="00D770C7">
          <w:rPr>
            <w:rStyle w:val="Hyperlink"/>
            <w:noProof/>
          </w:rPr>
          <w:t>Πίνακας 7.</w:t>
        </w:r>
        <w:r w:rsidR="00A011BD">
          <w:rPr>
            <w:rFonts w:asciiTheme="minorHAnsi" w:eastAsiaTheme="minorEastAsia" w:hAnsiTheme="minorHAnsi"/>
            <w:noProof/>
            <w:color w:val="auto"/>
            <w:sz w:val="22"/>
            <w:lang w:val="en-GB" w:eastAsia="en-GB"/>
          </w:rPr>
          <w:tab/>
        </w:r>
        <w:r w:rsidR="00A011BD" w:rsidRPr="00D770C7">
          <w:rPr>
            <w:rStyle w:val="Hyperlink"/>
            <w:noProof/>
          </w:rPr>
          <w:t>Κριτήρια απόφασης, δείκτες και δεδομένα που απαιτούνται για την απάντηση του ΚΕΑ αριθ. 23</w:t>
        </w:r>
        <w:r w:rsidR="00A011BD">
          <w:rPr>
            <w:noProof/>
            <w:webHidden/>
          </w:rPr>
          <w:tab/>
        </w:r>
        <w:r w:rsidR="00A011BD">
          <w:rPr>
            <w:noProof/>
            <w:webHidden/>
          </w:rPr>
          <w:fldChar w:fldCharType="begin"/>
        </w:r>
        <w:r w:rsidR="00A011BD">
          <w:rPr>
            <w:noProof/>
            <w:webHidden/>
          </w:rPr>
          <w:instrText xml:space="preserve"> PAGEREF _Toc508964832 \h </w:instrText>
        </w:r>
        <w:r w:rsidR="00A011BD">
          <w:rPr>
            <w:noProof/>
            <w:webHidden/>
          </w:rPr>
        </w:r>
        <w:r w:rsidR="00A011BD">
          <w:rPr>
            <w:noProof/>
            <w:webHidden/>
          </w:rPr>
          <w:fldChar w:fldCharType="separate"/>
        </w:r>
        <w:r w:rsidR="00985669">
          <w:rPr>
            <w:noProof/>
            <w:webHidden/>
          </w:rPr>
          <w:t>69</w:t>
        </w:r>
        <w:r w:rsidR="00A011BD">
          <w:rPr>
            <w:noProof/>
            <w:webHidden/>
          </w:rPr>
          <w:fldChar w:fldCharType="end"/>
        </w:r>
      </w:hyperlink>
    </w:p>
    <w:p w:rsidR="00A011BD" w:rsidRDefault="00272EFF">
      <w:pPr>
        <w:pStyle w:val="TOC2"/>
        <w:tabs>
          <w:tab w:val="left" w:pos="1320"/>
          <w:tab w:val="right" w:leader="dot" w:pos="9040"/>
        </w:tabs>
        <w:rPr>
          <w:rFonts w:asciiTheme="minorHAnsi" w:eastAsiaTheme="minorEastAsia" w:hAnsiTheme="minorHAnsi"/>
          <w:noProof/>
          <w:color w:val="auto"/>
          <w:sz w:val="22"/>
          <w:lang w:val="en-GB" w:eastAsia="en-GB"/>
        </w:rPr>
      </w:pPr>
      <w:hyperlink w:anchor="_Toc508964833" w:history="1">
        <w:r w:rsidR="00A011BD" w:rsidRPr="00D770C7">
          <w:rPr>
            <w:rStyle w:val="Hyperlink"/>
            <w:noProof/>
          </w:rPr>
          <w:t>Πίνακας 8.</w:t>
        </w:r>
        <w:r w:rsidR="00A011BD">
          <w:rPr>
            <w:rFonts w:asciiTheme="minorHAnsi" w:eastAsiaTheme="minorEastAsia" w:hAnsiTheme="minorHAnsi"/>
            <w:noProof/>
            <w:color w:val="auto"/>
            <w:sz w:val="22"/>
            <w:lang w:val="en-GB" w:eastAsia="en-GB"/>
          </w:rPr>
          <w:tab/>
        </w:r>
        <w:r w:rsidR="00A011BD" w:rsidRPr="00D770C7">
          <w:rPr>
            <w:rStyle w:val="Hyperlink"/>
            <w:noProof/>
          </w:rPr>
          <w:t>Παράδειγμα προβλεπόμενων και πραγματικών τιμών των κοινών και πρόσθετων δεικτών</w:t>
        </w:r>
        <w:r w:rsidR="00A011BD">
          <w:rPr>
            <w:noProof/>
            <w:webHidden/>
          </w:rPr>
          <w:tab/>
        </w:r>
        <w:r w:rsidR="00A011BD">
          <w:rPr>
            <w:noProof/>
            <w:webHidden/>
          </w:rPr>
          <w:fldChar w:fldCharType="begin"/>
        </w:r>
        <w:r w:rsidR="00A011BD">
          <w:rPr>
            <w:noProof/>
            <w:webHidden/>
          </w:rPr>
          <w:instrText xml:space="preserve"> PAGEREF _Toc508964833 \h </w:instrText>
        </w:r>
        <w:r w:rsidR="00A011BD">
          <w:rPr>
            <w:noProof/>
            <w:webHidden/>
          </w:rPr>
        </w:r>
        <w:r w:rsidR="00A011BD">
          <w:rPr>
            <w:noProof/>
            <w:webHidden/>
          </w:rPr>
          <w:fldChar w:fldCharType="separate"/>
        </w:r>
        <w:r w:rsidR="00985669">
          <w:rPr>
            <w:noProof/>
            <w:webHidden/>
          </w:rPr>
          <w:t>72</w:t>
        </w:r>
        <w:r w:rsidR="00A011BD">
          <w:rPr>
            <w:noProof/>
            <w:webHidden/>
          </w:rPr>
          <w:fldChar w:fldCharType="end"/>
        </w:r>
      </w:hyperlink>
    </w:p>
    <w:p w:rsidR="00A011BD" w:rsidRDefault="00272EFF">
      <w:pPr>
        <w:pStyle w:val="TOC2"/>
        <w:tabs>
          <w:tab w:val="left" w:pos="1320"/>
          <w:tab w:val="right" w:leader="dot" w:pos="9040"/>
        </w:tabs>
        <w:rPr>
          <w:rFonts w:asciiTheme="minorHAnsi" w:eastAsiaTheme="minorEastAsia" w:hAnsiTheme="minorHAnsi"/>
          <w:noProof/>
          <w:color w:val="auto"/>
          <w:sz w:val="22"/>
          <w:lang w:val="en-GB" w:eastAsia="en-GB"/>
        </w:rPr>
      </w:pPr>
      <w:hyperlink w:anchor="_Toc508964834" w:history="1">
        <w:r w:rsidR="00A011BD" w:rsidRPr="00D770C7">
          <w:rPr>
            <w:rStyle w:val="Hyperlink"/>
            <w:noProof/>
          </w:rPr>
          <w:t>Πίνακας 9.</w:t>
        </w:r>
        <w:r w:rsidR="00A011BD">
          <w:rPr>
            <w:rFonts w:asciiTheme="minorHAnsi" w:eastAsiaTheme="minorEastAsia" w:hAnsiTheme="minorHAnsi"/>
            <w:noProof/>
            <w:color w:val="auto"/>
            <w:sz w:val="22"/>
            <w:lang w:val="en-GB" w:eastAsia="en-GB"/>
          </w:rPr>
          <w:tab/>
        </w:r>
        <w:r w:rsidR="00A011BD" w:rsidRPr="00D770C7">
          <w:rPr>
            <w:rStyle w:val="Hyperlink"/>
            <w:noProof/>
          </w:rPr>
          <w:t>Στοιχεία αξιολόγησης που συνδέονται με το ΚΕΑ αριθ. 30</w:t>
        </w:r>
        <w:r w:rsidR="00A011BD">
          <w:rPr>
            <w:noProof/>
            <w:webHidden/>
          </w:rPr>
          <w:tab/>
        </w:r>
        <w:r w:rsidR="00A011BD">
          <w:rPr>
            <w:noProof/>
            <w:webHidden/>
          </w:rPr>
          <w:fldChar w:fldCharType="begin"/>
        </w:r>
        <w:r w:rsidR="00A011BD">
          <w:rPr>
            <w:noProof/>
            <w:webHidden/>
          </w:rPr>
          <w:instrText xml:space="preserve"> PAGEREF _Toc508964834 \h </w:instrText>
        </w:r>
        <w:r w:rsidR="00A011BD">
          <w:rPr>
            <w:noProof/>
            <w:webHidden/>
          </w:rPr>
        </w:r>
        <w:r w:rsidR="00A011BD">
          <w:rPr>
            <w:noProof/>
            <w:webHidden/>
          </w:rPr>
          <w:fldChar w:fldCharType="separate"/>
        </w:r>
        <w:r w:rsidR="00985669">
          <w:rPr>
            <w:noProof/>
            <w:webHidden/>
          </w:rPr>
          <w:t>77</w:t>
        </w:r>
        <w:r w:rsidR="00A011BD">
          <w:rPr>
            <w:noProof/>
            <w:webHidden/>
          </w:rPr>
          <w:fldChar w:fldCharType="end"/>
        </w:r>
      </w:hyperlink>
    </w:p>
    <w:p w:rsidR="001A12C3" w:rsidRPr="00530DA6" w:rsidRDefault="00E05D08" w:rsidP="00530DA6">
      <w:pPr>
        <w:tabs>
          <w:tab w:val="left" w:pos="1540"/>
          <w:tab w:val="right" w:leader="dot" w:pos="9016"/>
        </w:tabs>
        <w:ind w:left="1560" w:hanging="1340"/>
        <w:rPr>
          <w:rStyle w:val="Hyperlink"/>
          <w14:scene3d>
            <w14:camera w14:prst="orthographicFront"/>
            <w14:lightRig w14:rig="threePt" w14:dir="t">
              <w14:rot w14:lat="0" w14:lon="0" w14:rev="0"/>
            </w14:lightRig>
          </w14:scene3d>
        </w:rPr>
      </w:pPr>
      <w:r>
        <w:rPr>
          <w:rStyle w:val="Hyperlink"/>
          <w14:scene3d>
            <w14:camera w14:prst="orthographicFront"/>
            <w14:lightRig w14:rig="threePt" w14:dir="t">
              <w14:rot w14:lat="0" w14:lon="0" w14:rev="0"/>
            </w14:lightRig>
          </w14:scene3d>
        </w:rPr>
        <w:fldChar w:fldCharType="end"/>
      </w:r>
    </w:p>
    <w:p w:rsidR="00A011BD" w:rsidRDefault="002F11D9">
      <w:pPr>
        <w:pStyle w:val="TOC4"/>
        <w:tabs>
          <w:tab w:val="left" w:pos="1540"/>
          <w:tab w:val="right" w:leader="dot" w:pos="9040"/>
        </w:tabs>
        <w:rPr>
          <w:rFonts w:asciiTheme="minorHAnsi" w:eastAsiaTheme="minorEastAsia" w:hAnsiTheme="minorHAnsi"/>
          <w:color w:val="auto"/>
          <w:sz w:val="22"/>
          <w:lang w:val="en-GB" w:eastAsia="en-GB"/>
        </w:rPr>
      </w:pPr>
      <w:r>
        <w:rPr>
          <w:rStyle w:val="Hyperlink"/>
          <w14:scene3d>
            <w14:camera w14:prst="orthographicFront"/>
            <w14:lightRig w14:rig="threePt" w14:dir="t">
              <w14:rot w14:lat="0" w14:lon="0" w14:rev="0"/>
            </w14:lightRig>
          </w14:scene3d>
        </w:rPr>
        <w:fldChar w:fldCharType="begin"/>
      </w:r>
      <w:r>
        <w:rPr>
          <w:rStyle w:val="Hyperlink"/>
          <w14:scene3d>
            <w14:camera w14:prst="orthographicFront"/>
            <w14:lightRig w14:rig="threePt" w14:dir="t">
              <w14:rot w14:lat="0" w14:lon="0" w14:rev="0"/>
            </w14:lightRig>
          </w14:scene3d>
        </w:rPr>
        <w:instrText xml:space="preserve"> TOC \h \z \t "H_Heading_figures;4" </w:instrText>
      </w:r>
      <w:r>
        <w:rPr>
          <w:rStyle w:val="Hyperlink"/>
          <w14:scene3d>
            <w14:camera w14:prst="orthographicFront"/>
            <w14:lightRig w14:rig="threePt" w14:dir="t">
              <w14:rot w14:lat="0" w14:lon="0" w14:rev="0"/>
            </w14:lightRig>
          </w14:scene3d>
        </w:rPr>
        <w:fldChar w:fldCharType="separate"/>
      </w:r>
      <w:hyperlink w:anchor="_Toc508964835" w:history="1">
        <w:r w:rsidR="00A011BD" w:rsidRPr="00936D7B">
          <w:rPr>
            <w:rStyle w:val="Hyperlink"/>
          </w:rPr>
          <w:t>Διάγραμμα 1.</w:t>
        </w:r>
        <w:r w:rsidR="00A011BD">
          <w:rPr>
            <w:rFonts w:asciiTheme="minorHAnsi" w:eastAsiaTheme="minorEastAsia" w:hAnsiTheme="minorHAnsi"/>
            <w:color w:val="auto"/>
            <w:sz w:val="22"/>
            <w:lang w:val="en-GB" w:eastAsia="en-GB"/>
          </w:rPr>
          <w:tab/>
        </w:r>
        <w:r w:rsidR="00A011BD" w:rsidRPr="00936D7B">
          <w:rPr>
            <w:rStyle w:val="Hyperlink"/>
          </w:rPr>
          <w:t>Απλουστευμένη απεικόνιση του τρόπου με τον οποίο το ΠΑΑ προωθεί την καινοτομία</w:t>
        </w:r>
        <w:r w:rsidR="00A011BD">
          <w:rPr>
            <w:webHidden/>
          </w:rPr>
          <w:tab/>
        </w:r>
        <w:r w:rsidR="00A011BD">
          <w:rPr>
            <w:webHidden/>
          </w:rPr>
          <w:tab/>
        </w:r>
        <w:r w:rsidR="00A011BD">
          <w:rPr>
            <w:webHidden/>
          </w:rPr>
          <w:fldChar w:fldCharType="begin"/>
        </w:r>
        <w:r w:rsidR="00A011BD">
          <w:rPr>
            <w:webHidden/>
          </w:rPr>
          <w:instrText xml:space="preserve"> PAGEREF _Toc508964835 \h </w:instrText>
        </w:r>
        <w:r w:rsidR="00A011BD">
          <w:rPr>
            <w:webHidden/>
          </w:rPr>
        </w:r>
        <w:r w:rsidR="00A011BD">
          <w:rPr>
            <w:webHidden/>
          </w:rPr>
          <w:fldChar w:fldCharType="separate"/>
        </w:r>
        <w:r w:rsidR="00985669">
          <w:rPr>
            <w:webHidden/>
          </w:rPr>
          <w:t>6</w:t>
        </w:r>
        <w:r w:rsidR="00A011BD">
          <w:rPr>
            <w:webHidden/>
          </w:rPr>
          <w:fldChar w:fldCharType="end"/>
        </w:r>
      </w:hyperlink>
    </w:p>
    <w:p w:rsidR="00A011BD" w:rsidRDefault="00272EFF">
      <w:pPr>
        <w:pStyle w:val="TOC4"/>
        <w:tabs>
          <w:tab w:val="left" w:pos="1540"/>
          <w:tab w:val="right" w:leader="dot" w:pos="9040"/>
        </w:tabs>
        <w:rPr>
          <w:rFonts w:asciiTheme="minorHAnsi" w:eastAsiaTheme="minorEastAsia" w:hAnsiTheme="minorHAnsi"/>
          <w:color w:val="auto"/>
          <w:sz w:val="22"/>
          <w:lang w:val="en-GB" w:eastAsia="en-GB"/>
        </w:rPr>
      </w:pPr>
      <w:hyperlink w:anchor="_Toc508964836" w:history="1">
        <w:r w:rsidR="00A011BD" w:rsidRPr="00936D7B">
          <w:rPr>
            <w:rStyle w:val="Hyperlink"/>
          </w:rPr>
          <w:t>Διάγραμμα 2.</w:t>
        </w:r>
        <w:r w:rsidR="00A011BD">
          <w:rPr>
            <w:rFonts w:asciiTheme="minorHAnsi" w:eastAsiaTheme="minorEastAsia" w:hAnsiTheme="minorHAnsi"/>
            <w:color w:val="auto"/>
            <w:sz w:val="22"/>
            <w:lang w:val="en-GB" w:eastAsia="en-GB"/>
          </w:rPr>
          <w:tab/>
        </w:r>
        <w:r w:rsidR="00A011BD" w:rsidRPr="00936D7B">
          <w:rPr>
            <w:rStyle w:val="Hyperlink"/>
          </w:rPr>
          <w:t>Το πλαίσιο πολιτικής για την καινοτομία στην ΕΕ και στην πολιτική αγροτικής ανάπτυξης</w:t>
        </w:r>
        <w:r w:rsidR="00A011BD">
          <w:rPr>
            <w:webHidden/>
          </w:rPr>
          <w:tab/>
        </w:r>
        <w:r w:rsidR="00A011BD">
          <w:rPr>
            <w:webHidden/>
          </w:rPr>
          <w:tab/>
        </w:r>
        <w:r w:rsidR="00A011BD">
          <w:rPr>
            <w:webHidden/>
          </w:rPr>
          <w:fldChar w:fldCharType="begin"/>
        </w:r>
        <w:r w:rsidR="00A011BD">
          <w:rPr>
            <w:webHidden/>
          </w:rPr>
          <w:instrText xml:space="preserve"> PAGEREF _Toc508964836 \h </w:instrText>
        </w:r>
        <w:r w:rsidR="00A011BD">
          <w:rPr>
            <w:webHidden/>
          </w:rPr>
        </w:r>
        <w:r w:rsidR="00A011BD">
          <w:rPr>
            <w:webHidden/>
          </w:rPr>
          <w:fldChar w:fldCharType="separate"/>
        </w:r>
        <w:r w:rsidR="00985669">
          <w:rPr>
            <w:webHidden/>
          </w:rPr>
          <w:t>12</w:t>
        </w:r>
        <w:r w:rsidR="00A011BD">
          <w:rPr>
            <w:webHidden/>
          </w:rPr>
          <w:fldChar w:fldCharType="end"/>
        </w:r>
      </w:hyperlink>
    </w:p>
    <w:p w:rsidR="00A011BD" w:rsidRDefault="00272EFF">
      <w:pPr>
        <w:pStyle w:val="TOC4"/>
        <w:tabs>
          <w:tab w:val="left" w:pos="1540"/>
          <w:tab w:val="right" w:leader="dot" w:pos="9040"/>
        </w:tabs>
        <w:rPr>
          <w:rFonts w:asciiTheme="minorHAnsi" w:eastAsiaTheme="minorEastAsia" w:hAnsiTheme="minorHAnsi"/>
          <w:color w:val="auto"/>
          <w:sz w:val="22"/>
          <w:lang w:val="en-GB" w:eastAsia="en-GB"/>
        </w:rPr>
      </w:pPr>
      <w:hyperlink w:anchor="_Toc508964837" w:history="1">
        <w:r w:rsidR="00A011BD" w:rsidRPr="00936D7B">
          <w:rPr>
            <w:rStyle w:val="Hyperlink"/>
          </w:rPr>
          <w:t>Διάγραμμα 3.</w:t>
        </w:r>
        <w:r w:rsidR="00A011BD">
          <w:rPr>
            <w:rFonts w:asciiTheme="minorHAnsi" w:eastAsiaTheme="minorEastAsia" w:hAnsiTheme="minorHAnsi"/>
            <w:color w:val="auto"/>
            <w:sz w:val="22"/>
            <w:lang w:val="en-GB" w:eastAsia="en-GB"/>
          </w:rPr>
          <w:tab/>
        </w:r>
        <w:r w:rsidR="00A011BD" w:rsidRPr="00936D7B">
          <w:rPr>
            <w:rStyle w:val="Hyperlink"/>
          </w:rPr>
          <w:t>Τα κ</w:t>
        </w:r>
        <w:bookmarkStart w:id="3" w:name="_GoBack"/>
        <w:bookmarkEnd w:id="3"/>
        <w:r w:rsidR="00A011BD" w:rsidRPr="00936D7B">
          <w:rPr>
            <w:rStyle w:val="Hyperlink"/>
          </w:rPr>
          <w:t>οινά στοιχεία αξιολόγησης για την αξιολόγηση της καινοτομίας</w:t>
        </w:r>
        <w:r w:rsidR="00A011BD">
          <w:rPr>
            <w:webHidden/>
          </w:rPr>
          <w:tab/>
        </w:r>
        <w:r w:rsidR="00A011BD">
          <w:rPr>
            <w:webHidden/>
          </w:rPr>
          <w:fldChar w:fldCharType="begin"/>
        </w:r>
        <w:r w:rsidR="00A011BD">
          <w:rPr>
            <w:webHidden/>
          </w:rPr>
          <w:instrText xml:space="preserve"> PAGEREF _Toc508964837 \h </w:instrText>
        </w:r>
        <w:r w:rsidR="00A011BD">
          <w:rPr>
            <w:webHidden/>
          </w:rPr>
        </w:r>
        <w:r w:rsidR="00A011BD">
          <w:rPr>
            <w:webHidden/>
          </w:rPr>
          <w:fldChar w:fldCharType="separate"/>
        </w:r>
        <w:r w:rsidR="00985669">
          <w:rPr>
            <w:webHidden/>
          </w:rPr>
          <w:t>18</w:t>
        </w:r>
        <w:r w:rsidR="00A011BD">
          <w:rPr>
            <w:webHidden/>
          </w:rPr>
          <w:fldChar w:fldCharType="end"/>
        </w:r>
      </w:hyperlink>
    </w:p>
    <w:p w:rsidR="00A011BD" w:rsidRDefault="00272EFF">
      <w:pPr>
        <w:pStyle w:val="TOC4"/>
        <w:tabs>
          <w:tab w:val="left" w:pos="1540"/>
          <w:tab w:val="right" w:leader="dot" w:pos="9040"/>
        </w:tabs>
        <w:rPr>
          <w:rFonts w:asciiTheme="minorHAnsi" w:eastAsiaTheme="minorEastAsia" w:hAnsiTheme="minorHAnsi"/>
          <w:color w:val="auto"/>
          <w:sz w:val="22"/>
          <w:lang w:val="en-GB" w:eastAsia="en-GB"/>
        </w:rPr>
      </w:pPr>
      <w:hyperlink w:anchor="_Toc508964838" w:history="1">
        <w:r w:rsidR="00A011BD" w:rsidRPr="00936D7B">
          <w:rPr>
            <w:rStyle w:val="Hyperlink"/>
          </w:rPr>
          <w:t>Διάγραμμα 4.</w:t>
        </w:r>
        <w:r w:rsidR="00A011BD">
          <w:rPr>
            <w:rFonts w:asciiTheme="minorHAnsi" w:eastAsiaTheme="minorEastAsia" w:hAnsiTheme="minorHAnsi"/>
            <w:color w:val="auto"/>
            <w:sz w:val="22"/>
            <w:lang w:val="en-GB" w:eastAsia="en-GB"/>
          </w:rPr>
          <w:tab/>
        </w:r>
        <w:r w:rsidR="00A011BD" w:rsidRPr="00936D7B">
          <w:rPr>
            <w:rStyle w:val="Hyperlink"/>
          </w:rPr>
          <w:t>Διαχείριση της αξιολόγησης της καινοτομίας στα ΠΑΑ της περιόδου 2014-2020</w:t>
        </w:r>
        <w:r w:rsidR="00A011BD">
          <w:rPr>
            <w:webHidden/>
          </w:rPr>
          <w:tab/>
        </w:r>
        <w:r w:rsidR="00A011BD">
          <w:rPr>
            <w:webHidden/>
          </w:rPr>
          <w:fldChar w:fldCharType="begin"/>
        </w:r>
        <w:r w:rsidR="00A011BD">
          <w:rPr>
            <w:webHidden/>
          </w:rPr>
          <w:instrText xml:space="preserve"> PAGEREF _Toc508964838 \h </w:instrText>
        </w:r>
        <w:r w:rsidR="00A011BD">
          <w:rPr>
            <w:webHidden/>
          </w:rPr>
        </w:r>
        <w:r w:rsidR="00A011BD">
          <w:rPr>
            <w:webHidden/>
          </w:rPr>
          <w:fldChar w:fldCharType="separate"/>
        </w:r>
        <w:r w:rsidR="00985669">
          <w:rPr>
            <w:webHidden/>
          </w:rPr>
          <w:t>21</w:t>
        </w:r>
        <w:r w:rsidR="00A011BD">
          <w:rPr>
            <w:webHidden/>
          </w:rPr>
          <w:fldChar w:fldCharType="end"/>
        </w:r>
      </w:hyperlink>
    </w:p>
    <w:p w:rsidR="00A011BD" w:rsidRDefault="00272EFF">
      <w:pPr>
        <w:pStyle w:val="TOC4"/>
        <w:tabs>
          <w:tab w:val="left" w:pos="1540"/>
          <w:tab w:val="right" w:leader="dot" w:pos="9040"/>
        </w:tabs>
        <w:rPr>
          <w:rFonts w:asciiTheme="minorHAnsi" w:eastAsiaTheme="minorEastAsia" w:hAnsiTheme="minorHAnsi"/>
          <w:color w:val="auto"/>
          <w:sz w:val="22"/>
          <w:lang w:val="en-GB" w:eastAsia="en-GB"/>
        </w:rPr>
      </w:pPr>
      <w:hyperlink w:anchor="_Toc508964839" w:history="1">
        <w:r w:rsidR="00A011BD" w:rsidRPr="00936D7B">
          <w:rPr>
            <w:rStyle w:val="Hyperlink"/>
          </w:rPr>
          <w:t>Διάγραμμα 5.</w:t>
        </w:r>
        <w:r w:rsidR="00A011BD">
          <w:rPr>
            <w:rFonts w:asciiTheme="minorHAnsi" w:eastAsiaTheme="minorEastAsia" w:hAnsiTheme="minorHAnsi"/>
            <w:color w:val="auto"/>
            <w:sz w:val="22"/>
            <w:lang w:val="en-GB" w:eastAsia="en-GB"/>
          </w:rPr>
          <w:tab/>
        </w:r>
        <w:r w:rsidR="00A011BD" w:rsidRPr="00936D7B">
          <w:rPr>
            <w:rStyle w:val="Hyperlink"/>
          </w:rPr>
          <w:t>Απαιτήσεις υποβολής εκθέσεων σε σχέση με την καινοτομία</w:t>
        </w:r>
        <w:r w:rsidR="00A011BD">
          <w:rPr>
            <w:webHidden/>
          </w:rPr>
          <w:tab/>
        </w:r>
        <w:r w:rsidR="00A011BD">
          <w:rPr>
            <w:webHidden/>
          </w:rPr>
          <w:fldChar w:fldCharType="begin"/>
        </w:r>
        <w:r w:rsidR="00A011BD">
          <w:rPr>
            <w:webHidden/>
          </w:rPr>
          <w:instrText xml:space="preserve"> PAGEREF _Toc508964839 \h </w:instrText>
        </w:r>
        <w:r w:rsidR="00A011BD">
          <w:rPr>
            <w:webHidden/>
          </w:rPr>
        </w:r>
        <w:r w:rsidR="00A011BD">
          <w:rPr>
            <w:webHidden/>
          </w:rPr>
          <w:fldChar w:fldCharType="separate"/>
        </w:r>
        <w:r w:rsidR="00985669">
          <w:rPr>
            <w:webHidden/>
          </w:rPr>
          <w:t>22</w:t>
        </w:r>
        <w:r w:rsidR="00A011BD">
          <w:rPr>
            <w:webHidden/>
          </w:rPr>
          <w:fldChar w:fldCharType="end"/>
        </w:r>
      </w:hyperlink>
    </w:p>
    <w:p w:rsidR="00A011BD" w:rsidRDefault="00272EFF">
      <w:pPr>
        <w:pStyle w:val="TOC4"/>
        <w:tabs>
          <w:tab w:val="left" w:pos="1540"/>
          <w:tab w:val="right" w:leader="dot" w:pos="9040"/>
        </w:tabs>
        <w:rPr>
          <w:rFonts w:asciiTheme="minorHAnsi" w:eastAsiaTheme="minorEastAsia" w:hAnsiTheme="minorHAnsi"/>
          <w:color w:val="auto"/>
          <w:sz w:val="22"/>
          <w:lang w:val="en-GB" w:eastAsia="en-GB"/>
        </w:rPr>
      </w:pPr>
      <w:hyperlink w:anchor="_Toc508964840" w:history="1">
        <w:r w:rsidR="00A011BD" w:rsidRPr="00936D7B">
          <w:rPr>
            <w:rStyle w:val="Hyperlink"/>
          </w:rPr>
          <w:t>Διάγραμμα 6.</w:t>
        </w:r>
        <w:r w:rsidR="00A011BD">
          <w:rPr>
            <w:rFonts w:asciiTheme="minorHAnsi" w:eastAsiaTheme="minorEastAsia" w:hAnsiTheme="minorHAnsi"/>
            <w:color w:val="auto"/>
            <w:sz w:val="22"/>
            <w:lang w:val="en-GB" w:eastAsia="en-GB"/>
          </w:rPr>
          <w:tab/>
        </w:r>
        <w:r w:rsidR="00A011BD" w:rsidRPr="00936D7B">
          <w:rPr>
            <w:rStyle w:val="Hyperlink"/>
          </w:rPr>
          <w:t>Προσέγγιση της αξιολόγησης της καινοτομίας στα ΠΑΑ</w:t>
        </w:r>
        <w:r w:rsidR="00A011BD">
          <w:rPr>
            <w:webHidden/>
          </w:rPr>
          <w:tab/>
        </w:r>
        <w:r w:rsidR="00A011BD">
          <w:rPr>
            <w:webHidden/>
          </w:rPr>
          <w:fldChar w:fldCharType="begin"/>
        </w:r>
        <w:r w:rsidR="00A011BD">
          <w:rPr>
            <w:webHidden/>
          </w:rPr>
          <w:instrText xml:space="preserve"> PAGEREF _Toc508964840 \h </w:instrText>
        </w:r>
        <w:r w:rsidR="00A011BD">
          <w:rPr>
            <w:webHidden/>
          </w:rPr>
        </w:r>
        <w:r w:rsidR="00A011BD">
          <w:rPr>
            <w:webHidden/>
          </w:rPr>
          <w:fldChar w:fldCharType="separate"/>
        </w:r>
        <w:r w:rsidR="00985669">
          <w:rPr>
            <w:webHidden/>
          </w:rPr>
          <w:t>24</w:t>
        </w:r>
        <w:r w:rsidR="00A011BD">
          <w:rPr>
            <w:webHidden/>
          </w:rPr>
          <w:fldChar w:fldCharType="end"/>
        </w:r>
      </w:hyperlink>
    </w:p>
    <w:p w:rsidR="00A011BD" w:rsidRDefault="00272EFF">
      <w:pPr>
        <w:pStyle w:val="TOC4"/>
        <w:tabs>
          <w:tab w:val="left" w:pos="1540"/>
          <w:tab w:val="right" w:leader="dot" w:pos="9040"/>
        </w:tabs>
        <w:rPr>
          <w:rFonts w:asciiTheme="minorHAnsi" w:eastAsiaTheme="minorEastAsia" w:hAnsiTheme="minorHAnsi"/>
          <w:color w:val="auto"/>
          <w:sz w:val="22"/>
          <w:lang w:val="en-GB" w:eastAsia="en-GB"/>
        </w:rPr>
      </w:pPr>
      <w:hyperlink w:anchor="_Toc508964841" w:history="1">
        <w:r w:rsidR="00A011BD" w:rsidRPr="00936D7B">
          <w:rPr>
            <w:rStyle w:val="Hyperlink"/>
          </w:rPr>
          <w:t>Διάγραμμα 7.</w:t>
        </w:r>
        <w:r w:rsidR="00A011BD">
          <w:rPr>
            <w:rFonts w:asciiTheme="minorHAnsi" w:eastAsiaTheme="minorEastAsia" w:hAnsiTheme="minorHAnsi"/>
            <w:color w:val="auto"/>
            <w:sz w:val="22"/>
            <w:lang w:val="en-GB" w:eastAsia="en-GB"/>
          </w:rPr>
          <w:tab/>
        </w:r>
        <w:r w:rsidR="00A011BD" w:rsidRPr="00936D7B">
          <w:rPr>
            <w:rStyle w:val="Hyperlink"/>
          </w:rPr>
          <w:t>Στάδια της εξέτασης των μέτρων/επιμέρους μέτρων του ΠΑΑ όσον αφορά το δυναμικό καινοτομίας που διαθέτουν</w:t>
        </w:r>
        <w:r w:rsidR="00A011BD">
          <w:rPr>
            <w:webHidden/>
          </w:rPr>
          <w:tab/>
        </w:r>
        <w:r w:rsidR="00A011BD">
          <w:rPr>
            <w:webHidden/>
          </w:rPr>
          <w:fldChar w:fldCharType="begin"/>
        </w:r>
        <w:r w:rsidR="00A011BD">
          <w:rPr>
            <w:webHidden/>
          </w:rPr>
          <w:instrText xml:space="preserve"> PAGEREF _Toc508964841 \h </w:instrText>
        </w:r>
        <w:r w:rsidR="00A011BD">
          <w:rPr>
            <w:webHidden/>
          </w:rPr>
        </w:r>
        <w:r w:rsidR="00A011BD">
          <w:rPr>
            <w:webHidden/>
          </w:rPr>
          <w:fldChar w:fldCharType="separate"/>
        </w:r>
        <w:r w:rsidR="00985669">
          <w:rPr>
            <w:webHidden/>
          </w:rPr>
          <w:t>25</w:t>
        </w:r>
        <w:r w:rsidR="00A011BD">
          <w:rPr>
            <w:webHidden/>
          </w:rPr>
          <w:fldChar w:fldCharType="end"/>
        </w:r>
      </w:hyperlink>
    </w:p>
    <w:p w:rsidR="00A011BD" w:rsidRDefault="00272EFF">
      <w:pPr>
        <w:pStyle w:val="TOC4"/>
        <w:tabs>
          <w:tab w:val="left" w:pos="1540"/>
          <w:tab w:val="right" w:leader="dot" w:pos="9040"/>
        </w:tabs>
        <w:rPr>
          <w:rFonts w:asciiTheme="minorHAnsi" w:eastAsiaTheme="minorEastAsia" w:hAnsiTheme="minorHAnsi"/>
          <w:color w:val="auto"/>
          <w:sz w:val="22"/>
          <w:lang w:val="en-GB" w:eastAsia="en-GB"/>
        </w:rPr>
      </w:pPr>
      <w:hyperlink w:anchor="_Toc508964842" w:history="1">
        <w:r w:rsidR="00A011BD" w:rsidRPr="00936D7B">
          <w:rPr>
            <w:rStyle w:val="Hyperlink"/>
          </w:rPr>
          <w:t>Διάγραμμα 8.</w:t>
        </w:r>
        <w:r w:rsidR="00A011BD">
          <w:rPr>
            <w:rFonts w:asciiTheme="minorHAnsi" w:eastAsiaTheme="minorEastAsia" w:hAnsiTheme="minorHAnsi"/>
            <w:color w:val="auto"/>
            <w:sz w:val="22"/>
            <w:lang w:val="en-GB" w:eastAsia="en-GB"/>
          </w:rPr>
          <w:tab/>
        </w:r>
        <w:r w:rsidR="00A011BD" w:rsidRPr="00936D7B">
          <w:rPr>
            <w:rStyle w:val="Hyperlink"/>
          </w:rPr>
          <w:t>Παράδειγμα μιας λογικής παρέμβασης που συνδέεται με το ΚΕΑ αριθ. 1</w:t>
        </w:r>
        <w:r w:rsidR="00A011BD">
          <w:rPr>
            <w:webHidden/>
          </w:rPr>
          <w:tab/>
        </w:r>
        <w:r w:rsidR="00A011BD">
          <w:rPr>
            <w:webHidden/>
          </w:rPr>
          <w:fldChar w:fldCharType="begin"/>
        </w:r>
        <w:r w:rsidR="00A011BD">
          <w:rPr>
            <w:webHidden/>
          </w:rPr>
          <w:instrText xml:space="preserve"> PAGEREF _Toc508964842 \h </w:instrText>
        </w:r>
        <w:r w:rsidR="00A011BD">
          <w:rPr>
            <w:webHidden/>
          </w:rPr>
        </w:r>
        <w:r w:rsidR="00A011BD">
          <w:rPr>
            <w:webHidden/>
          </w:rPr>
          <w:fldChar w:fldCharType="separate"/>
        </w:r>
        <w:r w:rsidR="00985669">
          <w:rPr>
            <w:webHidden/>
          </w:rPr>
          <w:t>35</w:t>
        </w:r>
        <w:r w:rsidR="00A011BD">
          <w:rPr>
            <w:webHidden/>
          </w:rPr>
          <w:fldChar w:fldCharType="end"/>
        </w:r>
      </w:hyperlink>
    </w:p>
    <w:p w:rsidR="00A011BD" w:rsidRDefault="00272EFF">
      <w:pPr>
        <w:pStyle w:val="TOC4"/>
        <w:tabs>
          <w:tab w:val="left" w:pos="1540"/>
          <w:tab w:val="right" w:leader="dot" w:pos="9040"/>
        </w:tabs>
        <w:rPr>
          <w:rFonts w:asciiTheme="minorHAnsi" w:eastAsiaTheme="minorEastAsia" w:hAnsiTheme="minorHAnsi"/>
          <w:color w:val="auto"/>
          <w:sz w:val="22"/>
          <w:lang w:val="en-GB" w:eastAsia="en-GB"/>
        </w:rPr>
      </w:pPr>
      <w:hyperlink w:anchor="_Toc508964843" w:history="1">
        <w:r w:rsidR="00A011BD" w:rsidRPr="00936D7B">
          <w:rPr>
            <w:rStyle w:val="Hyperlink"/>
          </w:rPr>
          <w:t>Διάγραμμα 9.</w:t>
        </w:r>
        <w:r w:rsidR="00A011BD">
          <w:rPr>
            <w:rFonts w:asciiTheme="minorHAnsi" w:eastAsiaTheme="minorEastAsia" w:hAnsiTheme="minorHAnsi"/>
            <w:color w:val="auto"/>
            <w:sz w:val="22"/>
            <w:lang w:val="en-GB" w:eastAsia="en-GB"/>
          </w:rPr>
          <w:tab/>
        </w:r>
        <w:r w:rsidR="00A011BD" w:rsidRPr="00936D7B">
          <w:rPr>
            <w:rStyle w:val="Hyperlink"/>
          </w:rPr>
          <w:t>Παράδειγμα δυναμικού καινοτομίας κάθε επιμέρους μέτρου του μέτρου 16</w:t>
        </w:r>
        <w:r w:rsidR="00A011BD">
          <w:rPr>
            <w:webHidden/>
          </w:rPr>
          <w:tab/>
        </w:r>
        <w:r w:rsidR="00A011BD">
          <w:rPr>
            <w:webHidden/>
          </w:rPr>
          <w:fldChar w:fldCharType="begin"/>
        </w:r>
        <w:r w:rsidR="00A011BD">
          <w:rPr>
            <w:webHidden/>
          </w:rPr>
          <w:instrText xml:space="preserve"> PAGEREF _Toc508964843 \h </w:instrText>
        </w:r>
        <w:r w:rsidR="00A011BD">
          <w:rPr>
            <w:webHidden/>
          </w:rPr>
        </w:r>
        <w:r w:rsidR="00A011BD">
          <w:rPr>
            <w:webHidden/>
          </w:rPr>
          <w:fldChar w:fldCharType="separate"/>
        </w:r>
        <w:r w:rsidR="00985669">
          <w:rPr>
            <w:webHidden/>
          </w:rPr>
          <w:t>46</w:t>
        </w:r>
        <w:r w:rsidR="00A011BD">
          <w:rPr>
            <w:webHidden/>
          </w:rPr>
          <w:fldChar w:fldCharType="end"/>
        </w:r>
      </w:hyperlink>
    </w:p>
    <w:p w:rsidR="00A011BD" w:rsidRDefault="00272EFF">
      <w:pPr>
        <w:pStyle w:val="TOC4"/>
        <w:tabs>
          <w:tab w:val="left" w:pos="1540"/>
          <w:tab w:val="right" w:leader="dot" w:pos="9040"/>
        </w:tabs>
        <w:rPr>
          <w:rFonts w:asciiTheme="minorHAnsi" w:eastAsiaTheme="minorEastAsia" w:hAnsiTheme="minorHAnsi"/>
          <w:color w:val="auto"/>
          <w:sz w:val="22"/>
          <w:lang w:val="en-GB" w:eastAsia="en-GB"/>
        </w:rPr>
      </w:pPr>
      <w:hyperlink w:anchor="_Toc508964844" w:history="1">
        <w:r w:rsidR="00A011BD" w:rsidRPr="00936D7B">
          <w:rPr>
            <w:rStyle w:val="Hyperlink"/>
          </w:rPr>
          <w:t>Διάγραμμα 10.</w:t>
        </w:r>
        <w:r w:rsidR="00A011BD">
          <w:rPr>
            <w:rFonts w:asciiTheme="minorHAnsi" w:eastAsiaTheme="minorEastAsia" w:hAnsiTheme="minorHAnsi"/>
            <w:color w:val="auto"/>
            <w:sz w:val="22"/>
            <w:lang w:val="en-GB" w:eastAsia="en-GB"/>
          </w:rPr>
          <w:tab/>
        </w:r>
        <w:r w:rsidR="00A011BD" w:rsidRPr="00936D7B">
          <w:rPr>
            <w:rStyle w:val="Hyperlink"/>
          </w:rPr>
          <w:t>Λογική παρέμβασης του ΕΑΔ σε σχέση με την καινοτομία</w:t>
        </w:r>
        <w:r w:rsidR="00A011BD">
          <w:rPr>
            <w:webHidden/>
          </w:rPr>
          <w:tab/>
        </w:r>
        <w:r w:rsidR="00A011BD">
          <w:rPr>
            <w:webHidden/>
          </w:rPr>
          <w:fldChar w:fldCharType="begin"/>
        </w:r>
        <w:r w:rsidR="00A011BD">
          <w:rPr>
            <w:webHidden/>
          </w:rPr>
          <w:instrText xml:space="preserve"> PAGEREF _Toc508964844 \h </w:instrText>
        </w:r>
        <w:r w:rsidR="00A011BD">
          <w:rPr>
            <w:webHidden/>
          </w:rPr>
        </w:r>
        <w:r w:rsidR="00A011BD">
          <w:rPr>
            <w:webHidden/>
          </w:rPr>
          <w:fldChar w:fldCharType="separate"/>
        </w:r>
        <w:r w:rsidR="00985669">
          <w:rPr>
            <w:webHidden/>
          </w:rPr>
          <w:t>57</w:t>
        </w:r>
        <w:r w:rsidR="00A011BD">
          <w:rPr>
            <w:webHidden/>
          </w:rPr>
          <w:fldChar w:fldCharType="end"/>
        </w:r>
      </w:hyperlink>
    </w:p>
    <w:p w:rsidR="00A011BD" w:rsidRDefault="00272EFF">
      <w:pPr>
        <w:pStyle w:val="TOC4"/>
        <w:tabs>
          <w:tab w:val="left" w:pos="1540"/>
          <w:tab w:val="right" w:leader="dot" w:pos="9040"/>
        </w:tabs>
        <w:rPr>
          <w:rFonts w:asciiTheme="minorHAnsi" w:eastAsiaTheme="minorEastAsia" w:hAnsiTheme="minorHAnsi"/>
          <w:color w:val="auto"/>
          <w:sz w:val="22"/>
          <w:lang w:val="en-GB" w:eastAsia="en-GB"/>
        </w:rPr>
      </w:pPr>
      <w:hyperlink w:anchor="_Toc508964845" w:history="1">
        <w:r w:rsidR="00A011BD" w:rsidRPr="00936D7B">
          <w:rPr>
            <w:rStyle w:val="Hyperlink"/>
          </w:rPr>
          <w:t>Διάγραμμα 11.</w:t>
        </w:r>
        <w:r w:rsidR="00A011BD">
          <w:rPr>
            <w:rFonts w:asciiTheme="minorHAnsi" w:eastAsiaTheme="minorEastAsia" w:hAnsiTheme="minorHAnsi"/>
            <w:color w:val="auto"/>
            <w:sz w:val="22"/>
            <w:lang w:val="en-GB" w:eastAsia="en-GB"/>
          </w:rPr>
          <w:tab/>
        </w:r>
        <w:r w:rsidR="00A011BD" w:rsidRPr="00936D7B">
          <w:rPr>
            <w:rStyle w:val="Hyperlink"/>
          </w:rPr>
          <w:t>Παράδειγμα λογικής παρέμβασης για το ΚΕΑ αριθ. 30</w:t>
        </w:r>
        <w:r w:rsidR="00A011BD">
          <w:rPr>
            <w:webHidden/>
          </w:rPr>
          <w:tab/>
        </w:r>
        <w:r w:rsidR="00A011BD">
          <w:rPr>
            <w:webHidden/>
          </w:rPr>
          <w:fldChar w:fldCharType="begin"/>
        </w:r>
        <w:r w:rsidR="00A011BD">
          <w:rPr>
            <w:webHidden/>
          </w:rPr>
          <w:instrText xml:space="preserve"> PAGEREF _Toc508964845 \h </w:instrText>
        </w:r>
        <w:r w:rsidR="00A011BD">
          <w:rPr>
            <w:webHidden/>
          </w:rPr>
        </w:r>
        <w:r w:rsidR="00A011BD">
          <w:rPr>
            <w:webHidden/>
          </w:rPr>
          <w:fldChar w:fldCharType="separate"/>
        </w:r>
        <w:r w:rsidR="00985669">
          <w:rPr>
            <w:webHidden/>
          </w:rPr>
          <w:t>75</w:t>
        </w:r>
        <w:r w:rsidR="00A011BD">
          <w:rPr>
            <w:webHidden/>
          </w:rPr>
          <w:fldChar w:fldCharType="end"/>
        </w:r>
      </w:hyperlink>
    </w:p>
    <w:p w:rsidR="00E05D08" w:rsidRPr="00E05D08" w:rsidRDefault="002F11D9" w:rsidP="00530DA6">
      <w:pPr>
        <w:tabs>
          <w:tab w:val="left" w:pos="1540"/>
          <w:tab w:val="right" w:leader="dot" w:pos="9016"/>
        </w:tabs>
        <w:ind w:left="1560" w:hanging="1340"/>
        <w:rPr>
          <w:rFonts w:eastAsia="Times New Roman" w:cs="Times New Roman"/>
          <w:szCs w:val="20"/>
        </w:rPr>
      </w:pPr>
      <w:r>
        <w:rPr>
          <w:rStyle w:val="Hyperlink"/>
          <w14:scene3d>
            <w14:camera w14:prst="orthographicFront"/>
            <w14:lightRig w14:rig="threePt" w14:dir="t">
              <w14:rot w14:lat="0" w14:lon="0" w14:rev="0"/>
            </w14:lightRig>
          </w14:scene3d>
        </w:rPr>
        <w:fldChar w:fldCharType="end"/>
      </w:r>
    </w:p>
    <w:p w:rsidR="00E05D08" w:rsidRPr="00E05D08" w:rsidRDefault="00E05D08" w:rsidP="00E05D08">
      <w:pPr>
        <w:spacing w:after="120" w:line="280" w:lineRule="atLeast"/>
        <w:mirrorIndents/>
        <w:rPr>
          <w:rFonts w:eastAsia="Times New Roman" w:cs="Times New Roman"/>
          <w:szCs w:val="20"/>
          <w:lang w:eastAsia="de-DE"/>
        </w:rPr>
        <w:sectPr w:rsidR="00E05D08" w:rsidRPr="00E05D08" w:rsidSect="00400064">
          <w:headerReference w:type="even" r:id="rId13"/>
          <w:footerReference w:type="even" r:id="rId14"/>
          <w:footerReference w:type="default" r:id="rId15"/>
          <w:headerReference w:type="first" r:id="rId16"/>
          <w:footerReference w:type="first" r:id="rId17"/>
          <w:endnotePr>
            <w:numFmt w:val="decimal"/>
          </w:endnotePr>
          <w:pgSz w:w="11906" w:h="16838" w:code="9"/>
          <w:pgMar w:top="1440" w:right="1416" w:bottom="1134" w:left="1440" w:header="567" w:footer="1021" w:gutter="0"/>
          <w:pgNumType w:start="3"/>
          <w:cols w:space="708"/>
          <w:titlePg/>
          <w:docGrid w:linePitch="360"/>
        </w:sectPr>
      </w:pPr>
    </w:p>
    <w:p w:rsidR="006D209F" w:rsidRDefault="006D209F" w:rsidP="00E05D08">
      <w:pPr>
        <w:keepNext/>
        <w:spacing w:before="360" w:after="360" w:line="280" w:lineRule="atLeast"/>
        <w:outlineLvl w:val="0"/>
        <w:rPr>
          <w:rFonts w:ascii="Helvetica" w:eastAsia="Times New Roman" w:hAnsi="Helvetica" w:cs="Times New Roman"/>
          <w:b/>
          <w:bCs/>
          <w:caps/>
          <w:color w:val="F07E31"/>
          <w:kern w:val="32"/>
          <w:sz w:val="24"/>
          <w:szCs w:val="24"/>
        </w:rPr>
      </w:pPr>
      <w:r>
        <w:lastRenderedPageBreak/>
        <w:br w:type="page"/>
      </w:r>
    </w:p>
    <w:p w:rsidR="00E05D08" w:rsidRPr="00E05D08" w:rsidRDefault="00E05D08" w:rsidP="00E05D08">
      <w:pPr>
        <w:keepNext/>
        <w:spacing w:before="360" w:after="360" w:line="280" w:lineRule="atLeast"/>
        <w:outlineLvl w:val="0"/>
        <w:rPr>
          <w:rFonts w:ascii="Helvetica" w:eastAsia="Times New Roman" w:hAnsi="Helvetica" w:cs="Times New Roman"/>
          <w:b/>
          <w:bCs/>
          <w:caps/>
          <w:color w:val="F07E31"/>
          <w:kern w:val="32"/>
          <w:sz w:val="24"/>
          <w:szCs w:val="24"/>
        </w:rPr>
      </w:pPr>
      <w:r>
        <w:rPr>
          <w:rFonts w:ascii="Helvetica" w:hAnsi="Helvetica"/>
          <w:b/>
          <w:bCs/>
          <w:caps/>
          <w:color w:val="F07E31"/>
          <w:sz w:val="24"/>
          <w:szCs w:val="24"/>
        </w:rPr>
        <w:lastRenderedPageBreak/>
        <w:t>Ευχαριστίες</w:t>
      </w:r>
    </w:p>
    <w:p w:rsidR="00E05D08" w:rsidRPr="00E05D08" w:rsidRDefault="00E05D08" w:rsidP="00E05D08">
      <w:pPr>
        <w:spacing w:after="120" w:line="280" w:lineRule="atLeast"/>
        <w:mirrorIndents/>
        <w:rPr>
          <w:rFonts w:eastAsia="Times New Roman" w:cs="Times New Roman"/>
          <w:i/>
          <w:szCs w:val="20"/>
        </w:rPr>
      </w:pPr>
      <w:r>
        <w:rPr>
          <w:i/>
          <w:szCs w:val="20"/>
        </w:rPr>
        <w:t xml:space="preserve">Οι κατευθυντήριες γραμμές εκπονήθηκαν από ομάδα εμπειρογνωμόνων του ευρωπαϊκού Helpdesk αξιολόγησης για την αγροτική ανάπτυξη, μεταξύ των οποίων οι Boru Douthwaite, Marili Parissaki, Andreas Resch, Jela Tvrdonova, Valérie Dumont, Matteo Metta, Myles Stiffler, Hannes Wimmer. </w:t>
      </w:r>
    </w:p>
    <w:p w:rsidR="00E05D08" w:rsidRPr="00E05D08" w:rsidRDefault="00E05D08" w:rsidP="00E05D08">
      <w:pPr>
        <w:spacing w:after="120" w:line="280" w:lineRule="atLeast"/>
        <w:mirrorIndents/>
        <w:rPr>
          <w:rFonts w:eastAsia="Times New Roman" w:cs="Times New Roman"/>
          <w:i/>
          <w:szCs w:val="20"/>
        </w:rPr>
      </w:pPr>
      <w:r>
        <w:rPr>
          <w:i/>
          <w:szCs w:val="20"/>
        </w:rPr>
        <w:t xml:space="preserve">Διάφοροι εμπειρογνώμονες εργάστηκαν ως ομότιμοι αξιολογητές (Anna Maria Augustyn, Simona Cristiano, Anikó Juhász, Bill Slee) ή συνέβαλαν με τις γνώσεις τους στις πρακτικές αξιολόγησης (Bart Van Herck, Dimitris Skuras). </w:t>
      </w:r>
    </w:p>
    <w:p w:rsidR="00E05D08" w:rsidRPr="00E05D08" w:rsidRDefault="00E05D08" w:rsidP="00E05D08">
      <w:pPr>
        <w:spacing w:after="120" w:line="280" w:lineRule="atLeast"/>
        <w:mirrorIndents/>
        <w:rPr>
          <w:rFonts w:eastAsia="Times New Roman" w:cs="Times New Roman"/>
          <w:i/>
          <w:szCs w:val="20"/>
        </w:rPr>
      </w:pPr>
      <w:r>
        <w:rPr>
          <w:i/>
          <w:szCs w:val="20"/>
        </w:rPr>
        <w:t>Εκπρόσωποι της ΓΔ Γεωργίας και Αγροτικής Ανάπτυξης εργάστηκαν για τη διασφάλιση της συνοχής των κατευθυντηρίων γραμμών με το πλαίσιο πολιτικής της ΕΕ.</w:t>
      </w:r>
    </w:p>
    <w:p w:rsidR="00E05D08" w:rsidRPr="00E05D08" w:rsidRDefault="00E05D08" w:rsidP="00E05D08">
      <w:pPr>
        <w:spacing w:after="120" w:line="280" w:lineRule="atLeast"/>
        <w:mirrorIndents/>
        <w:rPr>
          <w:rFonts w:eastAsia="Times New Roman" w:cs="Times New Roman"/>
          <w:i/>
          <w:szCs w:val="20"/>
        </w:rPr>
      </w:pPr>
      <w:r>
        <w:rPr>
          <w:i/>
          <w:szCs w:val="20"/>
        </w:rPr>
        <w:t>Εκπρόσωποι των κρατών μελών διατύπωσαν παρατηρήσεις σχετικά με τα σχέδια των κατευθυντήριων γραμμών κατά τη διάρκεια της συνεδρίασης της ομάδας διαβούλευσης (Sounding Board) της 22ας Μαρτίου 2017 και κατά τη διάρκεια της 11</w:t>
      </w:r>
      <w:r>
        <w:rPr>
          <w:i/>
          <w:szCs w:val="20"/>
          <w:vertAlign w:val="superscript"/>
        </w:rPr>
        <w:t>ης</w:t>
      </w:r>
      <w:r>
        <w:rPr>
          <w:i/>
          <w:szCs w:val="20"/>
        </w:rPr>
        <w:t xml:space="preserve"> συνεδρίασης της ομάδας εμπειρογνωμόνων για την παρακολούθηση και αξιολόγηση της ΚΓΠ στις 10 Μαΐου 2017.  </w:t>
      </w:r>
    </w:p>
    <w:p w:rsidR="00E05D08" w:rsidRPr="00E05D08" w:rsidRDefault="00E05D08" w:rsidP="00E05D08">
      <w:pPr>
        <w:spacing w:after="120" w:line="280" w:lineRule="atLeast"/>
        <w:mirrorIndents/>
        <w:rPr>
          <w:rFonts w:eastAsia="Times New Roman" w:cs="Times New Roman"/>
          <w:i/>
          <w:szCs w:val="20"/>
        </w:rPr>
      </w:pPr>
      <w:r>
        <w:rPr>
          <w:i/>
          <w:szCs w:val="20"/>
        </w:rPr>
        <w:t>Το σημείο επαφής του ΕΔΑΑ και το σημείο εξυπηρέτησης της ΕΣΚ κλήθηκαν επίσης να διατυπώσουν σχόλια επί των κατευθυντηρίων γραμμών.</w:t>
      </w:r>
    </w:p>
    <w:p w:rsidR="00E05D08" w:rsidRPr="00E05D08" w:rsidRDefault="00E05D08" w:rsidP="00E05D08">
      <w:pPr>
        <w:spacing w:after="0" w:line="240" w:lineRule="auto"/>
        <w:rPr>
          <w:rFonts w:eastAsia="Times New Roman" w:cs="Times New Roman"/>
          <w:szCs w:val="20"/>
        </w:rPr>
      </w:pPr>
      <w:r>
        <w:br w:type="page"/>
      </w:r>
    </w:p>
    <w:p w:rsidR="00E05D08" w:rsidRPr="002F229A" w:rsidRDefault="00E05D08" w:rsidP="00E05D08">
      <w:pPr>
        <w:spacing w:after="120" w:line="280" w:lineRule="atLeast"/>
        <w:mirrorIndents/>
        <w:rPr>
          <w:rFonts w:eastAsia="Times New Roman" w:cs="Arial"/>
          <w:smallCaps/>
          <w:color w:val="F07E31"/>
          <w:sz w:val="36"/>
          <w:szCs w:val="60"/>
          <w:lang w:eastAsia="de-DE"/>
        </w:rPr>
        <w:sectPr w:rsidR="00E05D08" w:rsidRPr="002F229A" w:rsidSect="006D209F">
          <w:headerReference w:type="default" r:id="rId18"/>
          <w:footerReference w:type="default" r:id="rId19"/>
          <w:headerReference w:type="first" r:id="rId20"/>
          <w:footerReference w:type="first" r:id="rId21"/>
          <w:endnotePr>
            <w:numFmt w:val="decimal"/>
          </w:endnotePr>
          <w:pgSz w:w="11906" w:h="16838" w:code="9"/>
          <w:pgMar w:top="1440" w:right="1440" w:bottom="1134" w:left="1440" w:header="567" w:footer="1021" w:gutter="0"/>
          <w:cols w:space="708"/>
          <w:noEndnote/>
          <w:titlePg/>
          <w:docGrid w:linePitch="360"/>
        </w:sectPr>
      </w:pPr>
    </w:p>
    <w:p w:rsidR="00E05D08" w:rsidRPr="00E05D08" w:rsidRDefault="00E05D08" w:rsidP="00E05D08">
      <w:pPr>
        <w:spacing w:after="120" w:line="280" w:lineRule="atLeast"/>
        <w:mirrorIndents/>
        <w:rPr>
          <w:rFonts w:eastAsia="Times New Roman" w:cs="Arial"/>
          <w:smallCaps/>
          <w:color w:val="F07E31"/>
          <w:sz w:val="36"/>
          <w:szCs w:val="60"/>
        </w:rPr>
      </w:pPr>
      <w:r>
        <w:rPr>
          <w:smallCaps/>
          <w:color w:val="F07E31"/>
          <w:sz w:val="36"/>
          <w:szCs w:val="60"/>
        </w:rPr>
        <w:lastRenderedPageBreak/>
        <w:t xml:space="preserve">ΕΙΣΑΓΩΓΗ </w:t>
      </w:r>
    </w:p>
    <w:p w:rsidR="00E05D08" w:rsidRPr="00E05D08" w:rsidRDefault="00E05D08" w:rsidP="00E05D08">
      <w:pPr>
        <w:keepNext/>
        <w:spacing w:before="240" w:after="240" w:line="280" w:lineRule="atLeast"/>
        <w:outlineLvl w:val="3"/>
        <w:rPr>
          <w:rFonts w:eastAsia="Times New Roman" w:cs="Times New Roman"/>
          <w:b/>
          <w:bCs/>
          <w:color w:val="57825E"/>
          <w:kern w:val="32"/>
          <w:szCs w:val="24"/>
        </w:rPr>
      </w:pPr>
      <w:r>
        <w:rPr>
          <w:b/>
          <w:bCs/>
          <w:color w:val="57825E"/>
          <w:szCs w:val="24"/>
        </w:rPr>
        <w:t xml:space="preserve">Γιατί αξιολογείται η καινοτομία των ΠΑΑ; </w:t>
      </w:r>
    </w:p>
    <w:p w:rsidR="00A45935" w:rsidRPr="00E05D08" w:rsidRDefault="00E05D08" w:rsidP="00E05D08">
      <w:pPr>
        <w:spacing w:after="120" w:line="280" w:lineRule="atLeast"/>
        <w:mirrorIndents/>
        <w:rPr>
          <w:rFonts w:eastAsia="Times New Roman" w:cs="Times New Roman"/>
          <w:bCs/>
          <w:iCs/>
          <w:color w:val="000000"/>
          <w:szCs w:val="20"/>
        </w:rPr>
      </w:pPr>
      <w:r>
        <w:rPr>
          <w:b/>
          <w:bCs/>
          <w:i/>
          <w:iCs/>
          <w:szCs w:val="20"/>
        </w:rPr>
        <w:t>Η καινοτομία αποτελεί έναν από τους τρεις οριζόντιους στόχους της αγροτικής πολιτικής</w:t>
      </w:r>
      <w:r>
        <w:rPr>
          <w:rFonts w:eastAsia="Times New Roman" w:cs="Arial"/>
          <w:b/>
          <w:bCs/>
          <w:iCs/>
          <w:color w:val="000000"/>
          <w:szCs w:val="20"/>
          <w:vertAlign w:val="superscript"/>
          <w:lang w:eastAsia="de-DE"/>
        </w:rPr>
        <w:footnoteReference w:id="1"/>
      </w:r>
      <w:r>
        <w:rPr>
          <w:b/>
          <w:bCs/>
          <w:i/>
          <w:iCs/>
          <w:color w:val="000000"/>
          <w:szCs w:val="20"/>
        </w:rPr>
        <w:t xml:space="preserve"> </w:t>
      </w:r>
      <w:r>
        <w:rPr>
          <w:b/>
          <w:bCs/>
          <w:i/>
          <w:iCs/>
          <w:szCs w:val="20"/>
        </w:rPr>
        <w:t>και μπορεί να αντιμετωπιστεί με παρεμβάσεις που υλοποιούνται στο πλαίσιο μέτρων και τομέων επικέντρωσης (ΤΕ) των προγραμμάτων αγροτικής ανάπτυξης (ΠΑΑ) της περιόδου 2014-2020</w:t>
      </w:r>
      <w:r>
        <w:rPr>
          <w:rFonts w:eastAsia="Times New Roman" w:cs="Arial"/>
          <w:b/>
          <w:i/>
          <w:iCs/>
          <w:szCs w:val="20"/>
          <w:vertAlign w:val="superscript"/>
          <w:lang w:eastAsia="de-DE"/>
        </w:rPr>
        <w:footnoteReference w:id="2"/>
      </w:r>
      <w:r>
        <w:rPr>
          <w:b/>
          <w:bCs/>
          <w:i/>
          <w:iCs/>
          <w:szCs w:val="20"/>
        </w:rPr>
        <w:t>.</w:t>
      </w:r>
      <w:r>
        <w:rPr>
          <w:b/>
          <w:bCs/>
          <w:i/>
          <w:iCs/>
          <w:color w:val="000000"/>
          <w:szCs w:val="20"/>
        </w:rPr>
        <w:t xml:space="preserve"> </w:t>
      </w:r>
    </w:p>
    <w:p w:rsidR="00A45935" w:rsidRPr="00E05D08" w:rsidRDefault="00A45935" w:rsidP="00E05D08">
      <w:pPr>
        <w:spacing w:after="120" w:line="280" w:lineRule="atLeast"/>
        <w:mirrorIndents/>
        <w:rPr>
          <w:rFonts w:eastAsia="Times New Roman" w:cs="Times New Roman"/>
          <w:szCs w:val="20"/>
        </w:rPr>
      </w:pPr>
      <w:r>
        <w:rPr>
          <w:b/>
          <w:szCs w:val="20"/>
        </w:rPr>
        <w:t>Τα επιτεύγματα αυτού</w:t>
      </w:r>
      <w:r>
        <w:t xml:space="preserve"> </w:t>
      </w:r>
      <w:r>
        <w:rPr>
          <w:b/>
          <w:szCs w:val="20"/>
        </w:rPr>
        <w:t>του οριζόντιου στόχου αποτελούν το αντικείμενο της αξιολόγησης της καινοτομίας</w:t>
      </w:r>
      <w:r>
        <w:rPr>
          <w:rFonts w:eastAsia="Times New Roman" w:cs="Arial"/>
          <w:bCs/>
          <w:iCs/>
          <w:color w:val="000000"/>
          <w:szCs w:val="20"/>
          <w:vertAlign w:val="superscript"/>
          <w:lang w:eastAsia="de-DE"/>
        </w:rPr>
        <w:footnoteReference w:id="3"/>
      </w:r>
      <w:r>
        <w:t>. Στο πλαίσιο αυτό, οι συνεισφορές των καινοτομιών που στηρίζονται από το Ευρωπαϊκό Γεωργικό Ταμείο Αγροτικής Ανάπτυξης (ΕΓΤΑΑ) για την επίτευξη των στόχων των ΠΑΑ και της πολιτικής της ΕΕ αξιολογούνται προκειμένου να απαντηθούν τα κοινά ερωτήματα αξιολόγησης που σχετίζονται με την καινοτομία.</w:t>
      </w:r>
    </w:p>
    <w:p w:rsidR="00A45935" w:rsidRPr="00E05D08" w:rsidRDefault="00A45935" w:rsidP="00E05D08">
      <w:pPr>
        <w:spacing w:after="120" w:line="280" w:lineRule="atLeast"/>
        <w:mirrorIndents/>
        <w:rPr>
          <w:rFonts w:eastAsia="Times New Roman" w:cs="Times New Roman"/>
          <w:szCs w:val="20"/>
        </w:rPr>
      </w:pPr>
      <w:r>
        <w:t>Υπάρχουν πολλοί λόγοι για τους οποίους θα πρέπει να αξιολογείται η καινοτομία:</w:t>
      </w:r>
    </w:p>
    <w:p w:rsidR="00A45935" w:rsidRPr="00B05B45" w:rsidRDefault="00A45935" w:rsidP="00D77B96">
      <w:pPr>
        <w:pStyle w:val="Hlistbullet"/>
      </w:pPr>
      <w:r>
        <w:rPr>
          <w:b/>
        </w:rPr>
        <w:t>Για να υπάρχει λογοδοσία όσον αφορά τις παρεμβάσεις αγροτικής ανάπτυξης</w:t>
      </w:r>
      <w:r>
        <w:t xml:space="preserve"> και να καταδειχθεί ο τρόπος με τον οποίο αυτές προήγαγαν την καινοτομία στις αγροτικές περιοχές και συνεισέφεραν στα αποτελέσματα και τις επιπτώσεις του προγράμματος όσον αφορά την αγροτική πολιτική και τους στόχους της στρατηγικής «Ευρώπη 2020». </w:t>
      </w:r>
    </w:p>
    <w:p w:rsidR="00A45935" w:rsidRPr="00B05B45" w:rsidRDefault="00A45935" w:rsidP="00D77B96">
      <w:pPr>
        <w:pStyle w:val="Hlistbullet"/>
      </w:pPr>
      <w:r>
        <w:rPr>
          <w:b/>
        </w:rPr>
        <w:t>Για να υπάρχει καλύτερη εστίαση της στήριξης του ΕΓΤΑΑ στην καινοτομία</w:t>
      </w:r>
      <w:r>
        <w:t xml:space="preserve">, μέσα από την επιλογή των πιο σχετικών δικαιούχων και περιοχών του προγράμματος, καθώς και των πιο κατάλληλων και επιλέξιμων δράσεων. </w:t>
      </w:r>
    </w:p>
    <w:p w:rsidR="00A45935" w:rsidRPr="00B05B45" w:rsidRDefault="00A45935" w:rsidP="00D77B96">
      <w:pPr>
        <w:pStyle w:val="Hlistbullet"/>
      </w:pPr>
      <w:r>
        <w:rPr>
          <w:b/>
        </w:rPr>
        <w:t>Για να ενισχυθεί η κοινή μάθηση μεταξύ των ενδιαφερόμενων φορέων</w:t>
      </w:r>
      <w:r>
        <w:t xml:space="preserve"> σχετικά με τον βέλτιστο τρόπο στήριξης και υλοποίησης καινοτόμων έργων, μέσω της άντλησης διδαγμάτων από προηγούμενες εμπειρίες και της κατανόησης των προϋποθέσεων για επιτυχία. </w:t>
      </w:r>
    </w:p>
    <w:p w:rsidR="00A45935" w:rsidRPr="00E05D08" w:rsidRDefault="002F229A" w:rsidP="00E05D08">
      <w:pPr>
        <w:keepNext/>
        <w:keepLines/>
        <w:tabs>
          <w:tab w:val="left" w:pos="680"/>
        </w:tabs>
        <w:spacing w:before="240" w:after="240" w:line="280" w:lineRule="atLeast"/>
        <w:mirrorIndents/>
        <w:outlineLvl w:val="3"/>
        <w:rPr>
          <w:rFonts w:eastAsia="Times New Roman" w:cs="Arial"/>
          <w:b/>
          <w:color w:val="57825E"/>
          <w:szCs w:val="20"/>
          <w14:textFill>
            <w14:solidFill>
              <w14:srgbClr w14:val="57825E">
                <w14:lumMod w14:val="75000"/>
              </w14:srgbClr>
            </w14:solidFill>
          </w14:textFill>
        </w:rPr>
      </w:pPr>
      <w:r>
        <w:rPr>
          <w:b/>
          <w:noProof/>
          <w:lang w:val="en-GB" w:eastAsia="en-GB"/>
        </w:rPr>
        <mc:AlternateContent>
          <mc:Choice Requires="wps">
            <w:drawing>
              <wp:anchor distT="0" distB="0" distL="114300" distR="114300" simplePos="0" relativeHeight="251650560" behindDoc="0" locked="0" layoutInCell="1" allowOverlap="1" wp14:anchorId="267CB659" wp14:editId="196C3E70">
                <wp:simplePos x="0" y="0"/>
                <wp:positionH relativeFrom="column">
                  <wp:posOffset>2819400</wp:posOffset>
                </wp:positionH>
                <wp:positionV relativeFrom="paragraph">
                  <wp:posOffset>10160</wp:posOffset>
                </wp:positionV>
                <wp:extent cx="2941320" cy="3657600"/>
                <wp:effectExtent l="0" t="0" r="11430" b="19050"/>
                <wp:wrapSquare wrapText="bothSides"/>
                <wp:docPr id="90" name="Rectangle: Diagonal Corners Rounded 90"/>
                <wp:cNvGraphicFramePr/>
                <a:graphic xmlns:a="http://schemas.openxmlformats.org/drawingml/2006/main">
                  <a:graphicData uri="http://schemas.microsoft.com/office/word/2010/wordprocessingShape">
                    <wps:wsp>
                      <wps:cNvSpPr/>
                      <wps:spPr>
                        <a:xfrm>
                          <a:off x="0" y="0"/>
                          <a:ext cx="2941320" cy="3657600"/>
                        </a:xfrm>
                        <a:prstGeom prst="round2DiagRect">
                          <a:avLst>
                            <a:gd name="adj1" fmla="val 8733"/>
                            <a:gd name="adj2" fmla="val 0"/>
                          </a:avLst>
                        </a:prstGeom>
                        <a:noFill/>
                        <a:ln w="25400" cap="flat" cmpd="sng" algn="ctr">
                          <a:solidFill>
                            <a:srgbClr val="BE4A35"/>
                          </a:solidFill>
                          <a:prstDash val="solid"/>
                        </a:ln>
                        <a:effectLst/>
                      </wps:spPr>
                      <wps:txbx>
                        <w:txbxContent>
                          <w:p w:rsidR="00272EFF" w:rsidRPr="00D74B10" w:rsidRDefault="00272EFF" w:rsidP="00E05D08">
                            <w:pPr>
                              <w:pStyle w:val="HBox"/>
                            </w:pPr>
                            <w:r>
                              <w:rPr>
                                <w:noProof/>
                                <w:lang w:val="en-GB" w:eastAsia="en-GB"/>
                              </w:rPr>
                              <w:drawing>
                                <wp:inline distT="0" distB="0" distL="0" distR="0" wp14:anchorId="27B9929C" wp14:editId="153A3454">
                                  <wp:extent cx="664845" cy="487680"/>
                                  <wp:effectExtent l="0" t="0" r="0" b="7620"/>
                                  <wp:docPr id="72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Κύριος στόχος του παρόντος εγγράφου είναι να συμπληρώσει άλλες κατευθυντήριες γραμμές και να παρέχει συμβουλές στους ενδιαφερόμενους φορείς της αξιολόγησης του ΠΑΑ, όσον αφορά τον τρόπο διενέργειας των δραστηριοτήτων αξιολόγησης, προκειμένου να </w:t>
                            </w:r>
                            <w:r>
                              <w:rPr>
                                <w:b/>
                              </w:rPr>
                              <w:t xml:space="preserve">δοθούν απαντήσεις στα κοινά ερωτήματα αξιολόγησης που σχετίζονται με την καινοτομία. </w:t>
                            </w:r>
                            <w:r>
                              <w:t>Εφόσον τα αποτελέσματα του ΠΑΑ στον τομέα της καινοτομίας στις αγροτικές περιοχές αναμένεται να επέλθουν, κατά πάσα πιθανότητα,</w:t>
                            </w:r>
                            <w:r>
                              <w:rPr>
                                <w:b/>
                              </w:rPr>
                              <w:t xml:space="preserve"> </w:t>
                            </w:r>
                            <w:r>
                              <w:t xml:space="preserve"> </w:t>
                            </w:r>
                            <w:r>
                              <w:rPr>
                                <w:b/>
                              </w:rPr>
                              <w:t>μακροπρόθεσμα,</w:t>
                            </w:r>
                            <w:r>
                              <w:t xml:space="preserve"> οι κατευθυντήριες γραμμές επικεντρώνονται</w:t>
                            </w:r>
                            <w:r>
                              <w:rPr>
                                <w:b/>
                              </w:rPr>
                              <w:t xml:space="preserve"> </w:t>
                            </w:r>
                            <w:r>
                              <w:t>κυρίως στις συναφείς με την αξιολόγηση δραστηριότητες που θα συμπεριληφθούν στην ετήσια έκθεση υλοποίησης (ΕΕΥ) που θα υποβληθεί το 2019 και στην εκ των υστέρων αξιολόγηση.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CB659" id="Rectangle: Diagonal Corners Rounded 90" o:spid="_x0000_s1029" style="position:absolute;left:0;text-align:left;margin-left:222pt;margin-top:.8pt;width:231.6pt;height:4in;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41320,3657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" adj="-11796480,,5400" path="m256865,l2941320,r,l2941320,3400735v,141863,-115002,256865,-256865,256865l,3657600r,l,256865c,115002,115002,,256865,xe" filled="f" strokecolor="#be4a35" strokeweight="2pt">
                <v:stroke joinstyle="miter"/>
                <v:formulas/>
                <v:path arrowok="t" o:connecttype="custom" o:connectlocs="256865,0;2941320,0;2941320,0;2941320,3400735;2684455,3657600;0,3657600;0,3657600;0,256865;256865,0" o:connectangles="0,0,0,0,0,0,0,0,0" textboxrect="0,0,2941320,3657600"/>
                <v:textbox>
                  <w:txbxContent>
                    <w:p w:rsidR="00272EFF" w:rsidRPr="00D74B10" w:rsidRDefault="00272EFF" w:rsidP="00E05D08">
                      <w:pPr>
                        <w:pStyle w:val="HBox"/>
                      </w:pPr>
                      <w:r>
                        <w:rPr>
                          <w:noProof/>
                          <w:lang w:val="en-GB" w:eastAsia="en-GB"/>
                        </w:rPr>
                        <w:drawing>
                          <wp:inline distT="0" distB="0" distL="0" distR="0" wp14:anchorId="27B9929C" wp14:editId="153A3454">
                            <wp:extent cx="664845" cy="487680"/>
                            <wp:effectExtent l="0" t="0" r="0" b="7620"/>
                            <wp:docPr id="72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Κύριος στόχος του παρόντος εγγράφου είναι να συμπληρώσει άλλες κατευθυντήριες γραμμές και να παρέχει συμβουλές στους ενδιαφερόμενους φορείς της αξιολόγησης του ΠΑΑ, όσον αφορά τον τρόπο διενέργειας των δραστηριοτήτων αξιολόγησης, προκειμένου να </w:t>
                      </w:r>
                      <w:r>
                        <w:rPr>
                          <w:b/>
                        </w:rPr>
                        <w:t xml:space="preserve">δοθούν απαντήσεις στα κοινά ερωτήματα αξιολόγησης που σχετίζονται με την καινοτομία. </w:t>
                      </w:r>
                      <w:r>
                        <w:t>Εφόσον τα αποτελέσματα του ΠΑΑ στον τομέα της καινοτομίας στις αγροτικές περιοχές αναμένεται να επέλθουν, κατά πάσα πιθανότητα,</w:t>
                      </w:r>
                      <w:r>
                        <w:rPr>
                          <w:b/>
                        </w:rPr>
                        <w:t xml:space="preserve"> </w:t>
                      </w:r>
                      <w:r>
                        <w:t xml:space="preserve"> </w:t>
                      </w:r>
                      <w:r>
                        <w:rPr>
                          <w:b/>
                        </w:rPr>
                        <w:t>μακροπρόθεσμα,</w:t>
                      </w:r>
                      <w:r>
                        <w:t xml:space="preserve"> οι κατευθυντήριες γραμμές επικεντρώνονται</w:t>
                      </w:r>
                      <w:r>
                        <w:rPr>
                          <w:b/>
                        </w:rPr>
                        <w:t xml:space="preserve"> </w:t>
                      </w:r>
                      <w:r>
                        <w:t>κυρίως στις συναφείς με την αξιολόγηση δραστηριότητες που θα συμπεριληφθούν στην ετήσια έκθεση υλοποίησης (ΕΕΥ) που θα υποβληθεί το 2019 και στην εκ των υστέρων αξιολόγηση.</w:t>
                      </w:r>
                    </w:p>
                  </w:txbxContent>
                </v:textbox>
                <w10:wrap type="square"/>
              </v:shape>
            </w:pict>
          </mc:Fallback>
        </mc:AlternateContent>
      </w:r>
      <w:r w:rsidR="00D66182">
        <w:rPr>
          <w:b/>
          <w:color w:val="57825E"/>
          <w:szCs w:val="20"/>
        </w:rPr>
        <w:t>Γιατί είναι απαραίτητες αυτές οι κατευθυντήριες γραμμές;</w:t>
      </w:r>
    </w:p>
    <w:p w:rsidR="00A45935" w:rsidRPr="00E05D08" w:rsidRDefault="00A45935" w:rsidP="00E05D08">
      <w:pPr>
        <w:spacing w:after="120" w:line="280" w:lineRule="atLeast"/>
        <w:mirrorIndents/>
        <w:rPr>
          <w:rFonts w:eastAsia="Times New Roman" w:cs="Times New Roman"/>
          <w:szCs w:val="20"/>
        </w:rPr>
      </w:pPr>
      <w:r>
        <w:rPr>
          <w:b/>
          <w:szCs w:val="20"/>
        </w:rPr>
        <w:t>Η σημασία της αξιολόγησης της καινοτομίας ενισχύθηκε</w:t>
      </w:r>
      <w:r>
        <w:t xml:space="preserve"> κατά την περίοδο προγραμματισμού 2014-2020, λόγω της σπουδαιότητας που απέκτησε το ζήτημα αυτό στη γενική ατζέντα πολιτικής. Τα προγράμματα αγροτικής ανάπτυξης μπορούν να στηρίξουν τις διαδικασίες καινοτομίας και να παραγάγουν διάφορα απτά ή μη απτά αποτελέσματα στο πεδίο του προγράμματος και στο σύστημα καινοτομίας στο σύνολό του. </w:t>
      </w:r>
    </w:p>
    <w:p w:rsidR="00A45935" w:rsidRPr="00E05D08" w:rsidRDefault="00A45935" w:rsidP="00E05D08">
      <w:pPr>
        <w:spacing w:after="120" w:line="280" w:lineRule="atLeast"/>
        <w:mirrorIndents/>
        <w:rPr>
          <w:rFonts w:eastAsia="Times New Roman" w:cs="Times New Roman"/>
          <w:szCs w:val="20"/>
        </w:rPr>
      </w:pPr>
      <w:r>
        <w:rPr>
          <w:b/>
          <w:szCs w:val="20"/>
        </w:rPr>
        <w:t>Η αποτύπωση αυτών των αποτελεσμάτων συνεπάγεται διάφορες</w:t>
      </w:r>
      <w:r>
        <w:t xml:space="preserve"> </w:t>
      </w:r>
      <w:r>
        <w:rPr>
          <w:b/>
          <w:szCs w:val="20"/>
        </w:rPr>
        <w:t xml:space="preserve">μεθοδολογικές προκλήσεις </w:t>
      </w:r>
      <w:r>
        <w:t>κατά την αξιολόγηση:</w:t>
      </w:r>
      <w:r>
        <w:rPr>
          <w:b/>
          <w:szCs w:val="20"/>
        </w:rPr>
        <w:t xml:space="preserve"> </w:t>
      </w:r>
      <w:r>
        <w:t xml:space="preserve">Πώς προσδιορίζεται το αντικείμενο της αξιολόγησης; Ποια αποτελέσματα που συνεισφέρουν στις καινοτόμες διαδικασίες στις αγροτικές περιοχές </w:t>
      </w:r>
      <w:r>
        <w:lastRenderedPageBreak/>
        <w:t>μπορούν να αποδοθούν στο ΠΑΑ; Με ποιον τρόπο μπορούν να αξιολογηθούν οι συνεισφορές των καινοτομιών που δημιουργούνται από τη στήριξη του ΕΓΤΑΑ στα ευρύτερα αποτελέσματα και επιπτώσεις του ΠΑΑ; Με ποιο τρόπο μπορούν να μετρηθούν τα επιτεύγματα των περιφερειακών/εθνικών/ενωσιακών στόχων πολιτικής;</w:t>
      </w:r>
    </w:p>
    <w:p w:rsidR="00055039" w:rsidRDefault="00A45935" w:rsidP="00A6785E">
      <w:r>
        <w:t xml:space="preserve">Η </w:t>
      </w:r>
      <w:r>
        <w:rPr>
          <w:b/>
        </w:rPr>
        <w:t>4</w:t>
      </w:r>
      <w:r>
        <w:rPr>
          <w:b/>
          <w:vertAlign w:val="superscript"/>
        </w:rPr>
        <w:t>η</w:t>
      </w:r>
      <w:r>
        <w:t xml:space="preserve"> </w:t>
      </w:r>
      <w:r>
        <w:rPr>
          <w:b/>
        </w:rPr>
        <w:t xml:space="preserve">θεματική ομάδα εργασίας για την «Αξιολόγηση της καινοτομίας στο πλαίσιο των ΠΑΑ της περιόδου 2014-2020» </w:t>
      </w:r>
      <w:r>
        <w:t xml:space="preserve">του Helpdesk αξιολόγησης αποσκοπούσε 1) στην εξέταση και την αντιμετώπιση των κύριων προκλήσεων στην αξιολόγηση της καινοτομίας· 2) στην επανεξέταση των υφιστάμενων εμπειριών αξιολόγησης στον εν λόγω τομέα· 3) στον εντοπισμό και τον σχεδιασμό πρακτικών λύσεων για την αξιολόγηση της καινοτομίας στο πλαίσιο του ΠΑΑ· 4) στην εκπόνηση </w:t>
      </w:r>
      <w:r>
        <w:rPr>
          <w:b/>
        </w:rPr>
        <w:t>μη δεσμευτικών κατευθυντήριων γραμμών σχετικά με την παροχή απαντήσεων στα κοινά ερωτήματα αξιολόγησης που σχετίζονται με την καινοτομία</w:t>
      </w:r>
      <w:r>
        <w:t>, μέσω της συμπλήρωσης</w:t>
      </w:r>
      <w:r>
        <w:rPr>
          <w:b/>
        </w:rPr>
        <w:t xml:space="preserve"> </w:t>
      </w:r>
      <w:r>
        <w:t xml:space="preserve">της υπάρχουσας καθοδήγησης και του κοινού συστήματος παρακολούθησης και αξιολόγησης (ΚΣΠΑ). </w:t>
      </w:r>
    </w:p>
    <w:p w:rsidR="00A45935" w:rsidRPr="00E05D08" w:rsidRDefault="00A45935" w:rsidP="00055039">
      <w:pPr>
        <w:spacing w:after="120" w:line="280" w:lineRule="atLeast"/>
        <w:mirrorIndents/>
        <w:rPr>
          <w:rFonts w:eastAsia="Times New Roman" w:cs="Times New Roman"/>
          <w:b/>
          <w:color w:val="57825E"/>
          <w:szCs w:val="20"/>
        </w:rPr>
      </w:pPr>
      <w:r>
        <w:rPr>
          <w:b/>
          <w:color w:val="57825E"/>
          <w:szCs w:val="20"/>
        </w:rPr>
        <w:t>Ποιες είναι οι ομάδες-στόχοι των παρουσών κατευθυντηρίων γραμμών;</w:t>
      </w:r>
    </w:p>
    <w:p w:rsidR="00A45935" w:rsidRPr="00E05D08" w:rsidRDefault="00A45935" w:rsidP="00E05D08">
      <w:pPr>
        <w:spacing w:after="120" w:line="280" w:lineRule="atLeast"/>
        <w:mirrorIndents/>
        <w:rPr>
          <w:rFonts w:eastAsia="Times New Roman" w:cs="Times New Roman"/>
          <w:szCs w:val="20"/>
        </w:rPr>
      </w:pPr>
      <w:r>
        <w:t xml:space="preserve">Οι κατευθυντήριες γραμμές για την </w:t>
      </w:r>
      <w:r>
        <w:rPr>
          <w:i/>
          <w:szCs w:val="20"/>
        </w:rPr>
        <w:t>αξιολόγηση της καινοτομίας στο πλαίσιο των ΠΑΑ της περιόδου 2014-2020</w:t>
      </w:r>
      <w:r>
        <w:t xml:space="preserve"> εκπονήθηκαν για διάφορες ομάδες ενδιαφερόμενων φορέων του τομέα της αγροτικής ανάπτυξης:</w:t>
      </w:r>
    </w:p>
    <w:p w:rsidR="00A45935" w:rsidRPr="00E16522" w:rsidRDefault="00A45935" w:rsidP="00D77B96">
      <w:r>
        <w:t xml:space="preserve">Τις </w:t>
      </w:r>
      <w:r>
        <w:rPr>
          <w:b/>
        </w:rPr>
        <w:t>διαχειριστικές αρχές</w:t>
      </w:r>
      <w:r>
        <w:t xml:space="preserve">, οι οποίες θα αντλήσουν πληροφορίες σχετικά με την αξιολόγηση της καινοτομίας σε επίπεδο ΠΑΑ: την έννοια, το πλαίσιο πολιτικής και το επίκεντρο των κοινών ερωτημάτων αξιολόγησης που σχετίζονται με την καινοτομία. Παρέχεται πρακτική καθοδήγηση για τον τρόπο προετοιμασίας, διαχείρισης και συντονισμού της αξιολόγησης, καθώς και τον τρόπο εκτίμησης των συνεισφορών των καινοτομιών στους στόχους του ΠΑΑ. </w:t>
      </w:r>
    </w:p>
    <w:p w:rsidR="00A45935" w:rsidRPr="00C37C7A" w:rsidRDefault="00A45935" w:rsidP="00C37C7A">
      <w:r>
        <w:t xml:space="preserve">Τους </w:t>
      </w:r>
      <w:r>
        <w:rPr>
          <w:b/>
        </w:rPr>
        <w:t>εμπειρογνώμονες αξιολόγησης</w:t>
      </w:r>
      <w:r>
        <w:t xml:space="preserve">, οι οποίοι θα βρουν λύσεις σε διάφορες προκλήσεις που συνδέονται με την αξιολόγηση της καινοτομίας (π.χ. σχετικά με τον τρόπο εξέτασης του δυναμικού καινοτομίας του ΠΑΑ κατά τον προσδιορισμό της συναφούς με την καινοτομία λογικής παρέμβασης του ΠΑΑ, τον τρόπο ανάλυσης των συνεισφορών των καινοτομιών στην επίτευξη των στόχων του ΠΑΑ, καθώς και στα αποτελέσματα και τις επιπτώσεις του ΠΑΑ). Οι αξιολογητές θα βρουν επίσης υποστήριξη όσον αφορά την επιλογή της βέλτιστης προσέγγισης αξιολόγησης και τη συλλογή των στοιχείων για να απαντηθούν τα ερωτήματα αξιολόγησης. </w:t>
      </w:r>
    </w:p>
    <w:p w:rsidR="00A45935" w:rsidRPr="00E16522" w:rsidRDefault="00A45935" w:rsidP="00AA5817">
      <w:pPr>
        <w:pStyle w:val="HStandard"/>
      </w:pPr>
      <w:r>
        <w:rPr>
          <w:b/>
        </w:rPr>
        <w:t>Άλλους ενδιαφερόμενους φορείς</w:t>
      </w:r>
      <w:r>
        <w:t xml:space="preserve"> που μπορεί επίσης να αξιοποιήσουν τις κατευθυντήριες γραμμές ως έγγραφο αναφοράς: Τους </w:t>
      </w:r>
      <w:r>
        <w:rPr>
          <w:b/>
        </w:rPr>
        <w:t>μόνιμους υπαλλήλους</w:t>
      </w:r>
      <w:r>
        <w:t xml:space="preserve"> </w:t>
      </w:r>
      <w:r>
        <w:rPr>
          <w:b/>
        </w:rPr>
        <w:t xml:space="preserve">της Ευρωπαϊκής Επιτροπής </w:t>
      </w:r>
      <w:r>
        <w:t xml:space="preserve">(αναφορικά με ερωτήματα που προκύπτουν σχετικά με την αξιολόγηση της καινοτομίας)· τις </w:t>
      </w:r>
      <w:r>
        <w:rPr>
          <w:b/>
        </w:rPr>
        <w:t xml:space="preserve">επιχειρησιακές ομάδες της ευρωπαϊκής σύμπραξης καινοτομίας (ΕΣΚ) </w:t>
      </w:r>
      <w:r>
        <w:t xml:space="preserve">(ως βασικές πληροφορίες κατά τον σχεδιασμό των έργων και την κατανόηση του δυναμικού καινοτομίας τους)· τα </w:t>
      </w:r>
      <w:r>
        <w:rPr>
          <w:b/>
        </w:rPr>
        <w:t>μέλη των</w:t>
      </w:r>
      <w:r>
        <w:t xml:space="preserve"> </w:t>
      </w:r>
      <w:r>
        <w:rPr>
          <w:b/>
        </w:rPr>
        <w:t>ομάδων τοπικής δράσης (ΟΤΔ)</w:t>
      </w:r>
      <w:r>
        <w:t xml:space="preserve"> (κατά την αξιολόγηση/αυτοαξιολόγηση των καινοτόμων χαρακτηριστικών των στρατηγικών τοπικής ανάπτυξης με πρωτοβουλία τοπικών κοινοτήτων (CLLD) και των αποτελεσμάτων τους όσον αφορά την καινοτομία στις αγροτικές περιοχές)· τα </w:t>
      </w:r>
      <w:r>
        <w:rPr>
          <w:b/>
        </w:rPr>
        <w:t>εθνικά αγροτικά δίκτυα (ΕΑΔ)</w:t>
      </w:r>
      <w:r>
        <w:t xml:space="preserve"> κατά την προετοιμασία και στήριξη των ΟΤΔ και των επιχειρησιακών ομάδων της ΕΣΚ.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Πώς είναι διαρθρωμένες οι κατευθυντήριες γραμμές;</w:t>
      </w:r>
    </w:p>
    <w:p w:rsidR="00A45935" w:rsidRPr="00E05D08" w:rsidRDefault="00A45935" w:rsidP="00E05D08">
      <w:pPr>
        <w:spacing w:after="120" w:line="280" w:lineRule="atLeast"/>
        <w:mirrorIndents/>
        <w:rPr>
          <w:rFonts w:eastAsia="Times New Roman" w:cs="Times New Roman"/>
          <w:szCs w:val="20"/>
        </w:rPr>
      </w:pPr>
      <w:r>
        <w:t xml:space="preserve">Οι κατευθυντήριες γραμμές αποτελούνται από τρία τμήματα: </w:t>
      </w:r>
    </w:p>
    <w:p w:rsidR="00A45935" w:rsidRPr="00E05D08" w:rsidRDefault="00A45935" w:rsidP="00E05D08">
      <w:pPr>
        <w:spacing w:after="120" w:line="280" w:lineRule="atLeast"/>
        <w:mirrorIndents/>
        <w:rPr>
          <w:rFonts w:eastAsia="Times New Roman" w:cs="Times New Roman"/>
          <w:szCs w:val="20"/>
        </w:rPr>
      </w:pPr>
      <w:r>
        <w:t xml:space="preserve">Το </w:t>
      </w:r>
      <w:r>
        <w:rPr>
          <w:b/>
          <w:color w:val="F07E31"/>
          <w:szCs w:val="20"/>
        </w:rPr>
        <w:t xml:space="preserve">κεφάλαιο 1 </w:t>
      </w:r>
      <w:r>
        <w:t xml:space="preserve">εξηγεί το σύστημα καινοτομίας στις αγροτικές περιοχές και την έννοια της αξιολόγησης της καινοτομίας στην αγροτική ανάπτυξη. Η έννοια αυτή εισάγει το πλαίσιο πολιτικής της ΕΕ και του ΠΑΑ και τη μεταξύ τους διασύνδεση, καθώς και μια επισκόπηση των κοινών στοιχείων αξιολόγησης. Το κεφάλαιο 1.3 πραγματεύεται επίσης τις προκλήσεις που συνδέονται με την αξιολόγηση της καινοτομίας στο πλαίσιο της πολιτικής αγροτικής ανάπτυξης. </w:t>
      </w:r>
    </w:p>
    <w:p w:rsidR="00A45935" w:rsidRPr="00E05D08" w:rsidRDefault="00A45935" w:rsidP="00E05D08">
      <w:pPr>
        <w:spacing w:after="120" w:line="280" w:lineRule="atLeast"/>
        <w:mirrorIndents/>
        <w:rPr>
          <w:rFonts w:eastAsia="Times New Roman" w:cs="Times New Roman"/>
          <w:szCs w:val="20"/>
        </w:rPr>
      </w:pPr>
      <w:r>
        <w:t xml:space="preserve">Το </w:t>
      </w:r>
      <w:r>
        <w:rPr>
          <w:b/>
          <w:color w:val="F07E31"/>
          <w:szCs w:val="20"/>
        </w:rPr>
        <w:t>κεφάλαιο 2</w:t>
      </w:r>
      <w:r>
        <w:rPr>
          <w:color w:val="F07E31"/>
          <w:szCs w:val="20"/>
        </w:rPr>
        <w:t xml:space="preserve"> </w:t>
      </w:r>
      <w:r>
        <w:t xml:space="preserve">παρέχει πληροφορίες στις διαχειριστικές αρχές σχετικά με τις ιδιαιτερότητες που σχετίζονται με τη διαχείριση της αξιολόγησης της καινοτομίας και τις απαιτήσεις υποβολής εκθέσεων. </w:t>
      </w:r>
      <w:r>
        <w:lastRenderedPageBreak/>
        <w:t xml:space="preserve">Το κεφάλαιο 2.2 εξηγεί τις προσεγγίσεις που υιοθετούνται για την παροχή απαντήσεων στα ερωτήματα αξιολόγησης που σχετίζονται με την καινοτομία και παρέχει ειδική καθοδήγηση για καθένα από τα κοινά ερωτήματα αξιολόγησης: τα ερωτήματα 1, 2, 21, 23 και 30 αφορούν πτυχές που σχετίζονται με την καινοτομία. Σ’ αυτό περιλαμβάνεται η περιγραφή των κατάλληλων μεθόδων για την αξιολόγηση της καινοτομίας. </w:t>
      </w:r>
    </w:p>
    <w:p w:rsidR="00A45935" w:rsidRPr="00E05D08" w:rsidRDefault="00A45935" w:rsidP="00E05D08">
      <w:pPr>
        <w:spacing w:after="120" w:line="280" w:lineRule="atLeast"/>
        <w:mirrorIndents/>
        <w:rPr>
          <w:rFonts w:eastAsia="Times New Roman" w:cs="Times New Roman"/>
          <w:szCs w:val="20"/>
        </w:rPr>
      </w:pPr>
      <w:r>
        <w:t xml:space="preserve">Το </w:t>
      </w:r>
      <w:r>
        <w:rPr>
          <w:b/>
          <w:color w:val="F07E31"/>
          <w:szCs w:val="20"/>
        </w:rPr>
        <w:t xml:space="preserve">κεφάλαιο 3 </w:t>
      </w:r>
      <w:r>
        <w:t xml:space="preserve">(παραρτήματα) περιλαμβάνει το γλωσσάριο και τα βήματα για τον προσδιορισμό του δυναμικού καινοτομίας του ΠΑΑ. </w:t>
      </w:r>
    </w:p>
    <w:p w:rsidR="00A45935" w:rsidRPr="00E05D08" w:rsidRDefault="00A45935" w:rsidP="00E05D08">
      <w:pPr>
        <w:spacing w:after="0" w:line="240" w:lineRule="auto"/>
        <w:rPr>
          <w:rFonts w:eastAsia="Calibri" w:cs="Arial"/>
          <w:szCs w:val="18"/>
          <w14:textFill>
            <w14:solidFill>
              <w14:srgbClr w14:val="373737">
                <w14:lumMod w14:val="75000"/>
              </w14:srgbClr>
            </w14:solidFill>
          </w14:textFill>
        </w:rPr>
      </w:pPr>
      <w:r>
        <w:br w:type="page"/>
      </w:r>
    </w:p>
    <w:p w:rsidR="00A45935" w:rsidRPr="00E05D08" w:rsidRDefault="00A45935" w:rsidP="00E05D08">
      <w:pPr>
        <w:keepNext/>
        <w:keepLines/>
        <w:pageBreakBefore/>
        <w:tabs>
          <w:tab w:val="left" w:pos="567"/>
        </w:tabs>
        <w:spacing w:before="360" w:after="360" w:line="280" w:lineRule="atLeast"/>
        <w:ind w:left="567" w:hanging="567"/>
        <w:mirrorIndents/>
        <w:outlineLvl w:val="0"/>
        <w:rPr>
          <w:rFonts w:eastAsia="Times New Roman" w:cs="Times New Roman"/>
          <w:b/>
          <w:caps/>
          <w:color w:val="F07E31"/>
          <w:szCs w:val="20"/>
        </w:rPr>
        <w:sectPr w:rsidR="00A45935" w:rsidRPr="00E05D08" w:rsidSect="00055039">
          <w:footerReference w:type="default" r:id="rId23"/>
          <w:endnotePr>
            <w:numFmt w:val="decimal"/>
          </w:endnotePr>
          <w:type w:val="continuous"/>
          <w:pgSz w:w="11906" w:h="16838" w:code="9"/>
          <w:pgMar w:top="1440" w:right="1440" w:bottom="1134" w:left="1440" w:header="567" w:footer="1021" w:gutter="0"/>
          <w:pgNumType w:start="1"/>
          <w:cols w:space="708"/>
          <w:noEndnote/>
          <w:docGrid w:linePitch="360"/>
        </w:sectPr>
      </w:pPr>
      <w:bookmarkStart w:id="5" w:name="_Toc501382120"/>
    </w:p>
    <w:p w:rsidR="00A45935" w:rsidRPr="00967CFD" w:rsidRDefault="00A45935" w:rsidP="00582F60">
      <w:pPr>
        <w:pStyle w:val="HHeading1"/>
        <w:tabs>
          <w:tab w:val="clear" w:pos="567"/>
        </w:tabs>
      </w:pPr>
      <w:bookmarkStart w:id="6" w:name="_Toc508964807"/>
      <w:r>
        <w:lastRenderedPageBreak/>
        <w:t>ΕΝΝΟΙΟΛΟΓΙΚΟ ΠΛΑΙΣΙΟ</w:t>
      </w:r>
      <w:bookmarkEnd w:id="5"/>
      <w:bookmarkEnd w:id="6"/>
    </w:p>
    <w:p w:rsidR="00A45935" w:rsidRPr="00967CFD" w:rsidRDefault="00405B0B" w:rsidP="00C37C7A">
      <w:pPr>
        <w:pStyle w:val="HHeading2"/>
      </w:pPr>
      <w:bookmarkStart w:id="7" w:name="Innovation_RD"/>
      <w:bookmarkStart w:id="8" w:name="_Toc501382121"/>
      <w:bookmarkStart w:id="9" w:name="_Toc508964808"/>
      <w:bookmarkStart w:id="10" w:name="_Toc493151895"/>
      <w:bookmarkEnd w:id="7"/>
      <w:r>
        <w:rPr>
          <w:noProof/>
          <w:lang w:val="en-GB" w:eastAsia="en-GB"/>
        </w:rPr>
        <mc:AlternateContent>
          <mc:Choice Requires="wps">
            <w:drawing>
              <wp:anchor distT="0" distB="0" distL="114300" distR="114300" simplePos="0" relativeHeight="251651584" behindDoc="0" locked="0" layoutInCell="1" allowOverlap="1" wp14:anchorId="1BDC614C" wp14:editId="766A6DA5">
                <wp:simplePos x="0" y="0"/>
                <wp:positionH relativeFrom="column">
                  <wp:posOffset>3038475</wp:posOffset>
                </wp:positionH>
                <wp:positionV relativeFrom="paragraph">
                  <wp:posOffset>250825</wp:posOffset>
                </wp:positionV>
                <wp:extent cx="2642235" cy="3314700"/>
                <wp:effectExtent l="0" t="0" r="24765" b="19050"/>
                <wp:wrapSquare wrapText="bothSides"/>
                <wp:docPr id="32" name="Rectangle: Diagonal Corners Rounded 32"/>
                <wp:cNvGraphicFramePr/>
                <a:graphic xmlns:a="http://schemas.openxmlformats.org/drawingml/2006/main">
                  <a:graphicData uri="http://schemas.microsoft.com/office/word/2010/wordprocessingShape">
                    <wps:wsp>
                      <wps:cNvSpPr/>
                      <wps:spPr>
                        <a:xfrm>
                          <a:off x="0" y="0"/>
                          <a:ext cx="2642235" cy="3314700"/>
                        </a:xfrm>
                        <a:prstGeom prst="round2DiagRect">
                          <a:avLst>
                            <a:gd name="adj1" fmla="val 6695"/>
                            <a:gd name="adj2" fmla="val 0"/>
                          </a:avLst>
                        </a:prstGeom>
                        <a:noFill/>
                        <a:ln w="25400" cap="flat" cmpd="sng" algn="ctr">
                          <a:solidFill>
                            <a:srgbClr val="BE4A35"/>
                          </a:solidFill>
                          <a:prstDash val="solid"/>
                        </a:ln>
                        <a:effectLst/>
                      </wps:spPr>
                      <wps:txbx>
                        <w:txbxContent>
                          <w:p w:rsidR="00272EFF" w:rsidRDefault="00272EFF" w:rsidP="00E05D08">
                            <w:pPr>
                              <w:pStyle w:val="HStandard"/>
                            </w:pPr>
                            <w:r>
                              <w:rPr>
                                <w:noProof/>
                                <w:lang w:val="en-GB" w:eastAsia="en-GB"/>
                              </w:rPr>
                              <w:drawing>
                                <wp:inline distT="0" distB="0" distL="0" distR="0" wp14:anchorId="540EF8F6" wp14:editId="5D71E72F">
                                  <wp:extent cx="664845" cy="487680"/>
                                  <wp:effectExtent l="0" t="0" r="0" b="7620"/>
                                  <wp:docPr id="724"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sz w:val="18"/>
                              </w:rPr>
                              <w:t xml:space="preserve">«Ως καινοτομία περιγράφεται συχνά </w:t>
                            </w:r>
                            <w:r>
                              <w:rPr>
                                <w:b/>
                                <w:color w:val="BE4A35"/>
                                <w:sz w:val="18"/>
                              </w:rPr>
                              <w:t>μια νέα ιδέα που αποδεικνύεται επιτυχημένη στην πράξη.</w:t>
                            </w:r>
                            <w:r>
                              <w:rPr>
                                <w:sz w:val="18"/>
                              </w:rPr>
                              <w:t xml:space="preserve"> Η καινοτομία μπορεί να έχει τεχνολογικό ή μη χαρακτήρα και να αφορά οργανωτικά ή κοινωνικά θέματα. Η καινοτομία μπορεί να βασίζεται σε νέες αλλά και παραδοσιακές πρακτικές σε ένα νέο γεωγραφικό ή περιβαλλοντικό πλαίσιο. Η νέα ιδέα μπορεί να είναι ένα νέο προϊόν, πρακτική, υπηρεσία, παραγωγική διαδικασία ή νέος τρόπος οργάνωσης κ.λπ. Μια τέτοια νέα ιδέα μετατρέπεται σε καινοτομία μόνο εφόσον τυγχάνει ευρείας αποδοχής και αποδεικνύει τη χρησιμότητά της στην πράξη».</w:t>
                            </w:r>
                            <w:r>
                              <w:rPr>
                                <w:sz w:val="18"/>
                                <w:vertAlign w:val="superscript"/>
                              </w:rPr>
                              <w:t>4</w:t>
                            </w:r>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C614C" id="Rectangle: Diagonal Corners Rounded 32" o:spid="_x0000_s1030" style="position:absolute;left:0;text-align:left;margin-left:239.25pt;margin-top:19.75pt;width:208.05pt;height:26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2235,3314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" adj="-11796480,,5400" path="m176898,l2642235,r,l2642235,3137802v,97698,-79200,176898,-176898,176898l,3314700r,l,176898c,79200,79200,,176898,xe" filled="f" strokecolor="#be4a35" strokeweight="2pt">
                <v:stroke joinstyle="miter"/>
                <v:formulas/>
                <v:path arrowok="t" o:connecttype="custom" o:connectlocs="176898,0;2642235,0;2642235,0;2642235,3137802;2465337,3314700;0,3314700;0,3314700;0,176898;176898,0" o:connectangles="0,0,0,0,0,0,0,0,0" textboxrect="0,0,2642235,3314700"/>
                <v:textbox>
                  <w:txbxContent>
                    <w:p w:rsidR="00272EFF" w:rsidRDefault="00272EFF" w:rsidP="00E05D08">
                      <w:pPr>
                        <w:pStyle w:val="HStandard"/>
                      </w:pPr>
                      <w:r>
                        <w:rPr>
                          <w:noProof/>
                          <w:lang w:val="en-GB" w:eastAsia="en-GB"/>
                        </w:rPr>
                        <w:drawing>
                          <wp:inline distT="0" distB="0" distL="0" distR="0" wp14:anchorId="540EF8F6" wp14:editId="5D71E72F">
                            <wp:extent cx="664845" cy="487680"/>
                            <wp:effectExtent l="0" t="0" r="0" b="7620"/>
                            <wp:docPr id="724"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sz w:val="18"/>
                        </w:rPr>
                        <w:t xml:space="preserve">«Ως καινοτομία περιγράφεται συχνά </w:t>
                      </w:r>
                      <w:r>
                        <w:rPr>
                          <w:b/>
                          <w:color w:val="BE4A35"/>
                          <w:sz w:val="18"/>
                        </w:rPr>
                        <w:t>μια νέα ιδέα που αποδεικνύεται επιτυχημένη στην πράξη.</w:t>
                      </w:r>
                      <w:r>
                        <w:rPr>
                          <w:sz w:val="18"/>
                        </w:rPr>
                        <w:t xml:space="preserve"> Η καινοτομία μπορεί να έχει τεχνολογικό ή μη χαρακτήρα και να αφορά οργανωτικά ή κοινωνικά θέματα. Η καινοτομία μπορεί να βασίζεται σε νέες αλλά και παραδοσιακές πρακτικές σε ένα νέο γεωγραφικό ή περιβαλλοντικό πλαίσιο. Η νέα ιδέα μπορεί να είναι ένα νέο προϊόν, πρακτική, υπηρεσία, παραγωγική διαδικασία ή νέος τρόπος οργάνωσης κ.λπ. Μια τέτοια νέα ιδέα μετατρέπεται σε καινοτομία μόνο εφόσον τυγχάνει ευρείας αποδοχής και αποδεικνύει τη χρησιμότητά της στην πράξη».</w:t>
                      </w:r>
                      <w:r>
                        <w:rPr>
                          <w:sz w:val="18"/>
                          <w:vertAlign w:val="superscript"/>
                        </w:rPr>
                        <w:t>4</w:t>
                      </w:r>
                      <w:r>
                        <w:rPr>
                          <w:sz w:val="18"/>
                        </w:rPr>
                        <w:t xml:space="preserve"> </w:t>
                      </w:r>
                    </w:p>
                  </w:txbxContent>
                </v:textbox>
                <w10:wrap type="square"/>
              </v:shape>
            </w:pict>
          </mc:Fallback>
        </mc:AlternateContent>
      </w:r>
      <w:r>
        <w:t>Καινοτομία και Αγροτική Ανάπτυξη</w:t>
      </w:r>
      <w:bookmarkEnd w:id="8"/>
      <w:bookmarkEnd w:id="9"/>
      <w:r>
        <w:t xml:space="preserve"> </w:t>
      </w:r>
      <w:bookmarkEnd w:id="10"/>
    </w:p>
    <w:p w:rsidR="00A45935" w:rsidRPr="00E05D08" w:rsidRDefault="00A45935" w:rsidP="00230C31">
      <w:pPr>
        <w:pStyle w:val="HHeading4"/>
      </w:pPr>
      <w:r>
        <w:t>Πώς μπορούμε να κατανοήσουμε την καινοτομία;</w:t>
      </w:r>
    </w:p>
    <w:p w:rsidR="00A45935" w:rsidRPr="00E05D08" w:rsidRDefault="00A45935" w:rsidP="00E05D08">
      <w:pPr>
        <w:spacing w:after="120" w:line="280" w:lineRule="atLeast"/>
        <w:mirrorIndents/>
        <w:rPr>
          <w:rFonts w:eastAsia="Times New Roman" w:cs="Times New Roman"/>
          <w:szCs w:val="20"/>
        </w:rPr>
      </w:pPr>
      <w:r>
        <w:rPr>
          <w:b/>
          <w:szCs w:val="20"/>
        </w:rPr>
        <w:t xml:space="preserve">Στο πλαίσιο της αγροτικής ανάπτυξης της ΕΕ, </w:t>
      </w:r>
      <w:r>
        <w:t>υιοθετήθηκε αρκετά ευρεία αντίληψη της καινοτομίας:</w:t>
      </w:r>
      <w:bookmarkStart w:id="11" w:name="_Hlk501370282"/>
      <w:r w:rsidR="00611036" w:rsidRPr="00611036">
        <w:t xml:space="preserve"> </w:t>
      </w:r>
      <w:r>
        <w:t xml:space="preserve">Η αναφερόμενη </w:t>
      </w:r>
      <w:r>
        <w:rPr>
          <w:b/>
          <w:szCs w:val="20"/>
        </w:rPr>
        <w:t>ευρεία αντίληψη της καινοτομίας</w:t>
      </w:r>
      <w:r>
        <w:t xml:space="preserve"> την καθιστά ευπροσάρμοστη σε διαφορετικές κοινωνικοοικονομικές και περιβαλλοντικές καταστάσεις σε όλη την ΕΕ. Σχετίζεται με την αρχιτεκτονική του ΠΑΑ και την ικανότητά της να προσαρμόζεται στο υφιστάμενο πλαίσιο και να εξασφαλίζει νέες λύσεις στις προκλήσεις και τις ανάγκες του αγροτικού τομέα. Οι λύσεις αυτές δεν είναι κατ’ ανάγκη ριζικές και μείζονες, αλλά μπορεί να αφορούν μικρότερες μεταβολές που ορισμένες φορές προετοιμάζουν το έδαφος για κάτι μεγαλύτερο.</w:t>
      </w:r>
      <w:r w:rsidRPr="00E402BA">
        <w:rPr>
          <w:color w:val="FFFFFF" w:themeColor="background1"/>
        </w:rPr>
        <w:t xml:space="preserve"> </w:t>
      </w:r>
      <w:r w:rsidR="00E402BA" w:rsidRPr="00E402BA">
        <w:rPr>
          <w:rStyle w:val="FootnoteReference"/>
          <w:color w:val="FFFFFF" w:themeColor="background1"/>
        </w:rPr>
        <w:footnoteReference w:id="4"/>
      </w:r>
    </w:p>
    <w:p w:rsidR="00A45935" w:rsidRPr="00E05D08" w:rsidRDefault="00A45935" w:rsidP="00230C31">
      <w:pPr>
        <w:pStyle w:val="HHeading4"/>
      </w:pPr>
      <w:r>
        <w:t>Πώς συνεισφέρουν οι παρεμβάσεις του ΠΑΑ στην καινοτομία;</w:t>
      </w:r>
    </w:p>
    <w:p w:rsidR="00A45935" w:rsidRPr="00E05D08" w:rsidRDefault="002F229A" w:rsidP="00E05D08">
      <w:pPr>
        <w:spacing w:after="120" w:line="280" w:lineRule="atLeast"/>
        <w:mirrorIndents/>
        <w:rPr>
          <w:rFonts w:eastAsia="Times New Roman" w:cs="Times New Roman"/>
          <w:szCs w:val="20"/>
        </w:rPr>
      </w:pPr>
      <w:r>
        <w:rPr>
          <w:noProof/>
          <w:szCs w:val="20"/>
          <w:lang w:val="en-GB" w:eastAsia="en-GB"/>
        </w:rPr>
        <mc:AlternateContent>
          <mc:Choice Requires="wps">
            <w:drawing>
              <wp:anchor distT="0" distB="0" distL="114300" distR="114300" simplePos="0" relativeHeight="251668992" behindDoc="0" locked="0" layoutInCell="1" allowOverlap="1" wp14:anchorId="03D210C0" wp14:editId="2CD942A2">
                <wp:simplePos x="0" y="0"/>
                <wp:positionH relativeFrom="column">
                  <wp:posOffset>-76200</wp:posOffset>
                </wp:positionH>
                <wp:positionV relativeFrom="paragraph">
                  <wp:posOffset>935990</wp:posOffset>
                </wp:positionV>
                <wp:extent cx="5811520" cy="2771775"/>
                <wp:effectExtent l="0" t="0" r="17780" b="28575"/>
                <wp:wrapSquare wrapText="bothSides"/>
                <wp:docPr id="53" name="Rectangle: Diagonal Corners Rounded 53"/>
                <wp:cNvGraphicFramePr/>
                <a:graphic xmlns:a="http://schemas.openxmlformats.org/drawingml/2006/main">
                  <a:graphicData uri="http://schemas.microsoft.com/office/word/2010/wordprocessingShape">
                    <wps:wsp>
                      <wps:cNvSpPr/>
                      <wps:spPr>
                        <a:xfrm>
                          <a:off x="0" y="0"/>
                          <a:ext cx="5811520" cy="2771775"/>
                        </a:xfrm>
                        <a:prstGeom prst="round2DiagRect">
                          <a:avLst>
                            <a:gd name="adj1" fmla="val 7093"/>
                            <a:gd name="adj2" fmla="val 0"/>
                          </a:avLst>
                        </a:prstGeom>
                        <a:noFill/>
                        <a:ln w="25400" cap="flat" cmpd="sng" algn="ctr">
                          <a:solidFill>
                            <a:srgbClr val="BE4A35"/>
                          </a:solidFill>
                          <a:prstDash val="solid"/>
                        </a:ln>
                        <a:effectLst/>
                      </wps:spPr>
                      <wps:txbx>
                        <w:txbxContent>
                          <w:p w:rsidR="00272EFF" w:rsidRPr="00270814" w:rsidRDefault="00272EFF" w:rsidP="00674A4B">
                            <w:pPr>
                              <w:pStyle w:val="HBox"/>
                            </w:pPr>
                            <w:r>
                              <w:rPr>
                                <w:noProof/>
                                <w:lang w:val="en-GB" w:eastAsia="en-GB"/>
                              </w:rPr>
                              <w:drawing>
                                <wp:inline distT="0" distB="0" distL="0" distR="0" wp14:anchorId="444D112E" wp14:editId="5B98DB10">
                                  <wp:extent cx="664845" cy="487680"/>
                                  <wp:effectExtent l="0" t="0" r="0" b="7620"/>
                                  <wp:docPr id="725"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Πέρα από την πολιτική αγροτικής ανάπτυξης, το </w:t>
                            </w:r>
                            <w:r>
                              <w:rPr>
                                <w:b/>
                                <w:color w:val="BE4A35"/>
                              </w:rPr>
                              <w:t>σύστημα καινοτομίας μπορεί να επηρεαστεί από πολλούς άλλους παράγοντες</w:t>
                            </w:r>
                            <w:r>
                              <w:t>, με παρουσία στις αγροτικές περιοχές, όπως η έρευνα, η εκπαίδευση, οι δημοσιονομικές πολιτικές και άλλα, χρηματοδοτούμενα από ευρωπαϊκά ταμεία προγράμματα (Ορίζων 2020, επιχειρησιακά προγράμματα χρηματοδοτούμενα από τα ΕΔΕΤ) που στηρίζουν τις καινοτόμες δράσεις και διαδικασίες. Καθοριστικό ρόλο μπορεί επίσης να διαδραματίσει και η ζήτηση της αγοράς για καινοτομίες.</w:t>
                            </w:r>
                          </w:p>
                          <w:p w:rsidR="00272EFF" w:rsidRPr="00D74B10" w:rsidRDefault="00272EFF" w:rsidP="00674A4B">
                            <w:pPr>
                              <w:pStyle w:val="HBox"/>
                            </w:pPr>
                            <w:r>
                              <w:t>Η μετατροπή μιας καινοτομίας σε επικρατούσα τάση δεν εξαρτάται μόνο από τη δύναμη μιας δημιουργικής ιδέας, αλλά και από τις δυνατότητες της αγοράς, τη βούληση του τομέα να την υιοθετήσει, την οικονομική της αποδοτικότητα, τις γνώσεις και τις αντιλήψεις, τυχαίους εξωτερικούς παράγοντες κ.λπ. Είναι αδύνατο να προβλεφθεί με ποιον τρόπο αλληλεπιδρούν οι εν λόγω παράγοντες για να μετατρέψουν μια νέα ιδέα σε καινοτομία. Συνεπώς, μόνο εκ των υστέρων μπορεί να διαπιστωθεί κατά πόσο μια νέα ιδέα οδήγησε σε πραγματική καινοτομία.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210C0" id="Rectangle: Diagonal Corners Rounded 53" o:spid="_x0000_s1031" style="position:absolute;left:0;text-align:left;margin-left:-6pt;margin-top:73.7pt;width:457.6pt;height:218.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520,2771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" adj="-11796480,,5400" path="m196602,l5811520,r,l5811520,2575173v,108580,-88022,196602,-196602,196602l,2771775r,l,196602c,88022,88022,,196602,xe" filled="f" strokecolor="#be4a35" strokeweight="2pt">
                <v:stroke joinstyle="miter"/>
                <v:formulas/>
                <v:path arrowok="t" o:connecttype="custom" o:connectlocs="196602,0;5811520,0;5811520,0;5811520,2575173;5614918,2771775;0,2771775;0,2771775;0,196602;196602,0" o:connectangles="0,0,0,0,0,0,0,0,0" textboxrect="0,0,5811520,2771775"/>
                <v:textbox>
                  <w:txbxContent>
                    <w:p w:rsidR="00272EFF" w:rsidRPr="00270814" w:rsidRDefault="00272EFF" w:rsidP="00674A4B">
                      <w:pPr>
                        <w:pStyle w:val="HBox"/>
                      </w:pPr>
                      <w:r>
                        <w:rPr>
                          <w:noProof/>
                          <w:lang w:val="en-GB" w:eastAsia="en-GB"/>
                        </w:rPr>
                        <w:drawing>
                          <wp:inline distT="0" distB="0" distL="0" distR="0" wp14:anchorId="444D112E" wp14:editId="5B98DB10">
                            <wp:extent cx="664845" cy="487680"/>
                            <wp:effectExtent l="0" t="0" r="0" b="7620"/>
                            <wp:docPr id="725"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Πέρα από την πολιτική αγροτικής ανάπτυξης, το </w:t>
                      </w:r>
                      <w:r>
                        <w:rPr>
                          <w:b/>
                          <w:color w:val="BE4A35"/>
                        </w:rPr>
                        <w:t>σύστημα καινοτομίας μπορεί να επηρεαστεί από πολλούς άλλους παράγοντες</w:t>
                      </w:r>
                      <w:r>
                        <w:t>, με παρουσία στις αγροτικές περιοχές, όπως η έρευνα, η εκπαίδευση, οι δημοσιονομικές πολιτικές και άλλα, χρηματοδοτούμενα από ευρωπαϊκά ταμεία προγράμματα (Ορίζων 2020, επιχειρησιακά προγράμματα χρηματοδοτούμενα από τα ΕΔΕΤ) που στηρίζουν τις καινοτόμες δράσεις και διαδικασίες. Καθοριστικό ρόλο μπορεί επίσης να διαδραματίσει και η ζήτηση της αγοράς για καινοτομίες.</w:t>
                      </w:r>
                    </w:p>
                    <w:p w:rsidR="00272EFF" w:rsidRPr="00D74B10" w:rsidRDefault="00272EFF" w:rsidP="00674A4B">
                      <w:pPr>
                        <w:pStyle w:val="HBox"/>
                      </w:pPr>
                      <w:r>
                        <w:t>Η μετατροπή μιας καινοτομίας σε επικρατούσα τάση δεν εξαρτάται μόνο από τη δύναμη μιας δημιουργικής ιδέας, αλλά και από τις δυνατότητες της αγοράς, τη βούληση του τομέα να την υιοθετήσει, την οικονομική της αποδοτικότητα, τις γνώσεις και τις αντιλήψεις, τυχαίους εξωτερικούς παράγοντες κ.λπ. Είναι αδύνατο να προβλεφθεί με ποιον τρόπο αλληλεπιδρούν οι εν λόγω παράγοντες για να μετατρέψουν μια νέα ιδέα σε καινοτομία. Συνεπώς, μόνο εκ των υστέρων μπορεί να διαπιστωθεί κατά πόσο μια νέα ιδέα οδήγησε σε πραγματική καινοτομία.</w:t>
                      </w:r>
                    </w:p>
                  </w:txbxContent>
                </v:textbox>
                <w10:wrap type="square"/>
              </v:shape>
            </w:pict>
          </mc:Fallback>
        </mc:AlternateContent>
      </w:r>
      <w:r w:rsidR="00A45935">
        <w:rPr>
          <w:b/>
          <w:szCs w:val="20"/>
        </w:rPr>
        <w:t>Η πολιτική αγροτικής ανάπτυξης σχεδιάστηκε για να προωθεί την καινοτομία</w:t>
      </w:r>
      <w:r w:rsidR="00A45935">
        <w:t xml:space="preserve"> (τεχνολογική, θεσμική και κοινωνική) ως καθοριστικό παράγοντα για την επίτευξη των στόχων και προτεραιοτήτων της αγροτικής ανάπτυξης και για την αντιμετώπιση των προκλήσεων του αγροτικού τομέα. Τα μέτρα/επιμέρους μέτρα και οι δικαιούχοι του ΠΑΑ (π.χ. επιχειρησιακές ομάδες της ΕΣΚ, ΟΤΔ, γεωργοί κ.λπ.) παράγουν εκροές, αποτελέσματα και επιπτώσεις που συνεισφέρουν στην επίτευξη των στόχων </w:t>
      </w:r>
      <w:r w:rsidR="00A45935">
        <w:lastRenderedPageBreak/>
        <w:t xml:space="preserve">του ΠΑΑ, καθώς επηρεάζουν και επηρεάζονται από το σύστημα καινοτομίας του οποίου αποτελούν τμήμα. </w:t>
      </w:r>
    </w:p>
    <w:p w:rsidR="00A45935" w:rsidRPr="00E05D08" w:rsidRDefault="00674A4B" w:rsidP="00E05D08">
      <w:pPr>
        <w:spacing w:after="120" w:line="280" w:lineRule="atLeast"/>
        <w:mirrorIndents/>
        <w:rPr>
          <w:rFonts w:eastAsia="Times New Roman" w:cs="Times New Roman"/>
          <w:szCs w:val="20"/>
        </w:rPr>
      </w:pPr>
      <w:r>
        <w:rPr>
          <w:b/>
          <w:szCs w:val="20"/>
        </w:rPr>
        <w:t>Το σύστημα καινοτομίας</w:t>
      </w:r>
      <w:r>
        <w:t xml:space="preserve"> σε τοπικό, περιφερειακό, εθνικό ή υπερεθνικό επίπεδο αφορά μια αρκετά ανομοιογενή ομάδα φορέων καινοτομίας, μεταξύ των οποίων επιχειρηματίες του αγροτικού τομέα (π.χ. γεωργοί, δασοκόμοι), βιομηχανία εισροών και τουρισμού, μεταποιητές, έμποροι, ρυθμιστικοί φορείς, ερευνητές, συμβουλευτικές υπηρεσίες, δημόσιο και οργανώσεις της κοινωνίας των πολιτών. Η διαδραστική, πειραματική μάθηση μεταξύ αυτών των φορέων διαδραματίζει καθοριστικό ρόλο στο σύστημα καινοτομίας, καθώς αυτοί εισάγουν νέες ιδέες (νέες για το σύστημα) προς αξιοποίηση. Η ροή της τεχνολογίας και των πληροφοριών μεταξύ των φορέων είναι σημαντική για τη διαδικασία καινοτομίας εντός του συστήματος καινοτομίας. </w:t>
      </w:r>
    </w:p>
    <w:p w:rsidR="00405B0B" w:rsidRDefault="00405B0B">
      <w:pPr>
        <w:jc w:val="left"/>
        <w:rPr>
          <w:rFonts w:eastAsia="Times New Roman" w:cs="Times New Roman"/>
          <w:b/>
          <w:szCs w:val="20"/>
        </w:rPr>
      </w:pPr>
      <w:r>
        <w:br w:type="page"/>
      </w:r>
    </w:p>
    <w:p w:rsidR="00A45935" w:rsidRPr="00E05D08" w:rsidRDefault="00A45935" w:rsidP="00E05D08">
      <w:pPr>
        <w:spacing w:after="120" w:line="280" w:lineRule="atLeast"/>
        <w:mirrorIndents/>
        <w:rPr>
          <w:rFonts w:eastAsia="Times New Roman" w:cs="Times New Roman"/>
          <w:szCs w:val="20"/>
        </w:rPr>
      </w:pPr>
      <w:r>
        <w:rPr>
          <w:b/>
          <w:szCs w:val="20"/>
        </w:rPr>
        <w:lastRenderedPageBreak/>
        <w:t>Η</w:t>
      </w:r>
      <w:r>
        <w:t xml:space="preserve"> </w:t>
      </w:r>
      <w:r>
        <w:rPr>
          <w:b/>
          <w:szCs w:val="20"/>
        </w:rPr>
        <w:t>διαδικασία καινοτομίας περιλαμβάνει τρεις διαδρομές</w:t>
      </w:r>
      <w:r>
        <w:t xml:space="preserve">: </w:t>
      </w:r>
    </w:p>
    <w:p w:rsidR="00A45935" w:rsidRPr="00987055" w:rsidRDefault="00A45935" w:rsidP="008C0B17">
      <w:pPr>
        <w:numPr>
          <w:ilvl w:val="0"/>
          <w:numId w:val="66"/>
        </w:numPr>
        <w:mirrorIndents/>
        <w:rPr>
          <w:szCs w:val="20"/>
        </w:rPr>
      </w:pPr>
      <w:r>
        <w:rPr>
          <w:b/>
          <w:color w:val="F07E31"/>
          <w:szCs w:val="20"/>
        </w:rPr>
        <w:t>Διαδρομή 1:</w:t>
      </w:r>
      <w:r>
        <w:t xml:space="preserve"> περιλαμβάνει την αποτύπωση και ανάπτυξη νέων ιδεών (δηλ. νέων απόψεων, προσεγγίσεων,</w:t>
      </w:r>
      <w:r>
        <w:rPr>
          <w:rFonts w:ascii="Times New Roman" w:hAnsi="Times New Roman"/>
          <w:sz w:val="24"/>
          <w:szCs w:val="20"/>
        </w:rPr>
        <w:t xml:space="preserve"> </w:t>
      </w:r>
      <w:r>
        <w:t xml:space="preserve">προϊόντων, πρακτικών, υπηρεσιών, παραγωγικών διαδικασιών/τεχνολογίας, νέων τρόπων οργάνωσης ή νέων μορφών συνεργασίας και μάθησης)· </w:t>
      </w:r>
    </w:p>
    <w:p w:rsidR="00A45935" w:rsidRDefault="00A45935" w:rsidP="008C0B17">
      <w:pPr>
        <w:numPr>
          <w:ilvl w:val="0"/>
          <w:numId w:val="66"/>
        </w:numPr>
        <w:mirrorIndents/>
        <w:rPr>
          <w:szCs w:val="20"/>
        </w:rPr>
      </w:pPr>
      <w:r>
        <w:rPr>
          <w:b/>
          <w:color w:val="F07E31"/>
          <w:szCs w:val="20"/>
        </w:rPr>
        <w:t>Διαδρομή 2:</w:t>
      </w:r>
      <w:r>
        <w:rPr>
          <w:b/>
          <w:szCs w:val="20"/>
        </w:rPr>
        <w:t xml:space="preserve"> </w:t>
      </w:r>
      <w:r>
        <w:t xml:space="preserve">αφορά την ικανότητα των ατόμων και του ίδιου του συστήματος γνώσης και καινοτομίας να πειραματίζονται, να αυτοοργανώνονται και να αξιοποιούν νέες ιδέες και προσεγγίσεις· </w:t>
      </w:r>
    </w:p>
    <w:p w:rsidR="00A45935" w:rsidRPr="00987055" w:rsidRDefault="00A45935" w:rsidP="008C0B17">
      <w:pPr>
        <w:numPr>
          <w:ilvl w:val="0"/>
          <w:numId w:val="66"/>
        </w:numPr>
        <w:mirrorIndents/>
        <w:rPr>
          <w:szCs w:val="20"/>
        </w:rPr>
      </w:pPr>
      <w:r>
        <w:rPr>
          <w:b/>
          <w:color w:val="F07E31"/>
          <w:szCs w:val="20"/>
        </w:rPr>
        <w:t>Διαδρομή 3:</w:t>
      </w:r>
      <w:r>
        <w:t xml:space="preserve"> απαιτεί από το θεσμικό και πολιτικό περιβάλλον να παρέχουν ευνοϊκές συνθήκες για την ανάδυση καινοτόμων διαδικασιών. </w:t>
      </w:r>
      <w:bookmarkStart w:id="12" w:name="_Toc476660915"/>
      <w:bookmarkStart w:id="13" w:name="_Toc476661047"/>
    </w:p>
    <w:p w:rsidR="00A45935" w:rsidRPr="0095292E" w:rsidRDefault="00A45935" w:rsidP="0095292E">
      <w:pPr>
        <w:mirrorIndents/>
        <w:rPr>
          <w:szCs w:val="20"/>
        </w:rPr>
      </w:pPr>
      <w:r>
        <w:t>Οι τρεις διαδρομές δεν θα πρέπει να αντιμετωπίζονται ως μεμονωμένες περιπτώσεις, αλλά ως αλληλοεπικαλυπτόμενα και αμοιβαία αλληλένδετα σημεία εισόδου στην καινοτομία (σχήμα 1).</w:t>
      </w:r>
    </w:p>
    <w:p w:rsidR="00A45935" w:rsidRPr="00447906" w:rsidRDefault="00EB5F7A" w:rsidP="003A76D2">
      <w:pPr>
        <w:pStyle w:val="HHeadingfigures"/>
        <w:numPr>
          <w:ilvl w:val="0"/>
          <w:numId w:val="0"/>
        </w:numPr>
        <w:ind w:left="960" w:hanging="360"/>
      </w:pPr>
      <w:bookmarkStart w:id="14" w:name="Pathways"/>
      <w:bookmarkStart w:id="15" w:name="_Toc508964835"/>
      <w:bookmarkEnd w:id="14"/>
      <w:r>
        <w:t>Διάγραμμα 1.</w:t>
      </w:r>
      <w:r>
        <w:tab/>
      </w:r>
      <w:r w:rsidR="00674A4B">
        <w:t>Απλουστευμένη απεικόνιση του τρόπου με τον οποίο το ΠΑΑ προωθεί την καινοτομία</w:t>
      </w:r>
      <w:bookmarkEnd w:id="15"/>
      <w:r w:rsidR="00674A4B">
        <w:t xml:space="preserve"> </w:t>
      </w:r>
      <w:bookmarkEnd w:id="12"/>
      <w:bookmarkEnd w:id="13"/>
    </w:p>
    <w:p w:rsidR="00A45935" w:rsidRPr="00E05D08" w:rsidRDefault="00CD0DDD" w:rsidP="00E05D08">
      <w:pPr>
        <w:spacing w:after="0" w:line="280" w:lineRule="atLeast"/>
        <w:jc w:val="center"/>
        <w:rPr>
          <w:rFonts w:eastAsia="Times New Roman" w:cs="Arial"/>
          <w:szCs w:val="18"/>
          <w:lang w:eastAsia="de-DE"/>
        </w:rPr>
      </w:pPr>
      <w:r w:rsidRPr="00CD0DDD">
        <w:rPr>
          <w:noProof/>
          <w:lang w:val="en-GB" w:eastAsia="en-GB"/>
        </w:rPr>
        <w:drawing>
          <wp:inline distT="0" distB="0" distL="0" distR="0" wp14:anchorId="61D63491" wp14:editId="71AB931D">
            <wp:extent cx="5731510" cy="3218707"/>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218707"/>
                    </a:xfrm>
                    <a:prstGeom prst="rect">
                      <a:avLst/>
                    </a:prstGeom>
                    <a:noFill/>
                    <a:ln>
                      <a:noFill/>
                    </a:ln>
                  </pic:spPr>
                </pic:pic>
              </a:graphicData>
            </a:graphic>
          </wp:inline>
        </w:drawing>
      </w:r>
    </w:p>
    <w:p w:rsidR="00A45935" w:rsidRPr="00E05D08" w:rsidRDefault="00A45935" w:rsidP="00E05D08">
      <w:pPr>
        <w:suppressAutoHyphens/>
        <w:spacing w:before="60" w:after="140" w:line="240" w:lineRule="auto"/>
        <w:ind w:left="1134" w:right="1134"/>
        <w:mirrorIndents/>
        <w:jc w:val="center"/>
        <w:rPr>
          <w:rFonts w:eastAsia="Times New Roman" w:cs="Times New Roman"/>
          <w:i/>
          <w:sz w:val="16"/>
          <w:szCs w:val="20"/>
        </w:rPr>
      </w:pPr>
      <w:r>
        <w:rPr>
          <w:i/>
          <w:sz w:val="16"/>
          <w:szCs w:val="20"/>
        </w:rPr>
        <w:t>Πηγή: Ευρωπαϊκό Helpdesk αξιολόγησης για την αγροτική ανάπτυξη, 2017</w:t>
      </w:r>
    </w:p>
    <w:p w:rsidR="000E1D4B" w:rsidRDefault="00A45935" w:rsidP="00E05D08">
      <w:pPr>
        <w:spacing w:after="120" w:line="280" w:lineRule="atLeast"/>
        <w:mirrorIndents/>
        <w:rPr>
          <w:rFonts w:eastAsia="Times New Roman" w:cs="Times New Roman"/>
          <w:szCs w:val="20"/>
        </w:rPr>
      </w:pPr>
      <w:r>
        <w:t xml:space="preserve">Τα μέτρα/επιμέρους μέτρα του ΠΑΑ και ο συνδυασμός τους μπορούν να συνεισφέρουν σε μία, δύο ή και στις τρεις διαδρομές σε διαφορετικό βαθμό, ανάλογα με την ειδική προσέγγιση του ΠΑΑ όσον αφορά τη στήριξη της καινοτομίας (βλ. </w:t>
      </w:r>
      <w:hyperlink w:anchor="Policy_framework" w:history="1">
        <w:r>
          <w:rPr>
            <w:rStyle w:val="Hyperlink"/>
            <w:sz w:val="20"/>
            <w:szCs w:val="20"/>
          </w:rPr>
          <w:t>τμήμα 1.2.1</w:t>
        </w:r>
      </w:hyperlink>
      <w:r>
        <w:t xml:space="preserve">). </w:t>
      </w:r>
      <w:bookmarkStart w:id="16" w:name="_Hlk501621429"/>
    </w:p>
    <w:p w:rsidR="000E1D4B" w:rsidRDefault="000E1D4B">
      <w:pPr>
        <w:rPr>
          <w:rFonts w:eastAsia="Times New Roman" w:cs="Times New Roman"/>
          <w:b/>
          <w:color w:val="F07E31"/>
          <w:szCs w:val="20"/>
        </w:rPr>
      </w:pPr>
      <w:r>
        <w:br w:type="page"/>
      </w:r>
    </w:p>
    <w:p w:rsidR="00A45935" w:rsidRPr="00E05D08" w:rsidRDefault="00BC211C" w:rsidP="00E05D08">
      <w:pPr>
        <w:spacing w:after="120" w:line="280" w:lineRule="atLeast"/>
        <w:mirrorIndents/>
        <w:rPr>
          <w:rFonts w:eastAsia="Times New Roman" w:cs="Times New Roman"/>
          <w:szCs w:val="20"/>
        </w:rPr>
      </w:pPr>
      <w:r>
        <w:rPr>
          <w:rFonts w:eastAsia="Times New Roman" w:cs="Times New Roman"/>
          <w:noProof/>
          <w:szCs w:val="20"/>
          <w:lang w:val="en-GB" w:eastAsia="en-GB"/>
        </w:rPr>
        <w:lastRenderedPageBreak/>
        <mc:AlternateContent>
          <mc:Choice Requires="wps">
            <w:drawing>
              <wp:anchor distT="0" distB="0" distL="114300" distR="114300" simplePos="0" relativeHeight="251652608" behindDoc="0" locked="0" layoutInCell="1" allowOverlap="1" wp14:anchorId="1771AA66" wp14:editId="665AB1F5">
                <wp:simplePos x="0" y="0"/>
                <wp:positionH relativeFrom="column">
                  <wp:posOffset>-66675</wp:posOffset>
                </wp:positionH>
                <wp:positionV relativeFrom="paragraph">
                  <wp:posOffset>0</wp:posOffset>
                </wp:positionV>
                <wp:extent cx="2832735" cy="4343400"/>
                <wp:effectExtent l="0" t="0" r="24765" b="19050"/>
                <wp:wrapSquare wrapText="bothSides"/>
                <wp:docPr id="55" name="Rectangle: Diagonal Corners Rounded 55"/>
                <wp:cNvGraphicFramePr/>
                <a:graphic xmlns:a="http://schemas.openxmlformats.org/drawingml/2006/main">
                  <a:graphicData uri="http://schemas.microsoft.com/office/word/2010/wordprocessingShape">
                    <wps:wsp>
                      <wps:cNvSpPr/>
                      <wps:spPr>
                        <a:xfrm>
                          <a:off x="0" y="0"/>
                          <a:ext cx="2832735" cy="4343400"/>
                        </a:xfrm>
                        <a:prstGeom prst="round2DiagRect">
                          <a:avLst>
                            <a:gd name="adj1" fmla="val 6641"/>
                            <a:gd name="adj2" fmla="val 0"/>
                          </a:avLst>
                        </a:prstGeom>
                        <a:noFill/>
                        <a:ln w="25400" cap="flat" cmpd="sng" algn="ctr">
                          <a:solidFill>
                            <a:srgbClr val="F07E31"/>
                          </a:solidFill>
                          <a:prstDash val="solid"/>
                        </a:ln>
                        <a:effectLst/>
                      </wps:spPr>
                      <wps:txbx>
                        <w:txbxContent>
                          <w:p w:rsidR="00272EFF" w:rsidRPr="00E05D08" w:rsidRDefault="00272EFF" w:rsidP="00E05D08">
                            <w:pPr>
                              <w:pStyle w:val="Normal12PTcouleurgris"/>
                              <w:rPr>
                                <w:b/>
                                <w:color w:val="F07E31"/>
                              </w:rPr>
                            </w:pPr>
                            <w:r>
                              <w:rPr>
                                <w:noProof/>
                                <w:lang w:val="en-GB" w:eastAsia="en-GB"/>
                              </w:rPr>
                              <w:drawing>
                                <wp:inline distT="0" distB="0" distL="0" distR="0" wp14:anchorId="775AF098" wp14:editId="76CCE1EA">
                                  <wp:extent cx="353060" cy="359410"/>
                                  <wp:effectExtent l="0" t="0" r="8890" b="2540"/>
                                  <wp:docPr id="72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Παραδείγματα πιθανής στήριξης του ΠΑΑ στη διαδρομή 1</w:t>
                            </w:r>
                          </w:p>
                          <w:p w:rsidR="00272EFF" w:rsidRPr="00230C31" w:rsidRDefault="00272EFF" w:rsidP="00230C31">
                            <w:pPr>
                              <w:pStyle w:val="Hlistbullet"/>
                              <w:rPr>
                                <w:sz w:val="18"/>
                                <w:szCs w:val="18"/>
                              </w:rPr>
                            </w:pPr>
                            <w:r>
                              <w:rPr>
                                <w:sz w:val="18"/>
                                <w:szCs w:val="18"/>
                              </w:rPr>
                              <w:t xml:space="preserve">Ανάπτυξη, δοκιμή και προώθηση ενός μηχανήματος για τη μηχανική απομάκρυνση των ζιζανίων από τη γεωργική γη (π.χ. πράξεις που διενεργούνται βάσει των άρθρων 17 και 35 του κανονισμού (ΕΕ) αριθ. 1305/2013)· </w:t>
                            </w:r>
                          </w:p>
                          <w:p w:rsidR="00272EFF" w:rsidRPr="00230C31" w:rsidRDefault="00272EFF" w:rsidP="00230C31">
                            <w:pPr>
                              <w:pStyle w:val="Hlistbullet"/>
                              <w:rPr>
                                <w:sz w:val="18"/>
                                <w:szCs w:val="18"/>
                              </w:rPr>
                            </w:pPr>
                            <w:r>
                              <w:rPr>
                                <w:sz w:val="18"/>
                                <w:szCs w:val="18"/>
                              </w:rPr>
                              <w:t xml:space="preserve">Δοκιμή και παροχή νέων τύπων υπηρεσιών στις αγροτικές περιοχές (π.χ. πράξεις που διενεργούνται βάσει των άρθρων 20 και 35 του κανονισμού (ΕΕ) αριθ. 1305/2013)· </w:t>
                            </w:r>
                          </w:p>
                          <w:p w:rsidR="00272EFF" w:rsidRPr="00230C31" w:rsidRDefault="00272EFF" w:rsidP="00230C31">
                            <w:pPr>
                              <w:pStyle w:val="Hlistbullet"/>
                              <w:rPr>
                                <w:sz w:val="18"/>
                                <w:szCs w:val="18"/>
                              </w:rPr>
                            </w:pPr>
                            <w:r>
                              <w:rPr>
                                <w:sz w:val="18"/>
                                <w:szCs w:val="18"/>
                              </w:rPr>
                              <w:t>Εισαγωγή νέου τρόπου για την οργάνωση συνεδριάσεων, διασκέψεων και κατάρτισης (π.χ. με χρήση νέων τεχνικών συνεργασίας, διασκέψεων στρογγυλής τραπέζης) (π.χ. πράξεις που διενεργούνται βάσει του άρθρου 14 του κανονισμού (ΕΕ) αριθ.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71AA66" id="Rectangle: Diagonal Corners Rounded 55" o:spid="_x0000_s1032" style="position:absolute;left:0;text-align:left;margin-left:-5.25pt;margin-top:0;width:223.05pt;height:342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2735,434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" adj="-11796480,,5400" path="m188122,l2832735,r,l2832735,4155278v,103897,-84225,188122,-188122,188122l,4343400r,l,188122c,84225,84225,,188122,xe" filled="f" strokecolor="#f07e31" strokeweight="2pt">
                <v:stroke joinstyle="miter"/>
                <v:formulas/>
                <v:path arrowok="t" o:connecttype="custom" o:connectlocs="188122,0;2832735,0;2832735,0;2832735,4155278;2644613,4343400;0,4343400;0,4343400;0,188122;188122,0" o:connectangles="0,0,0,0,0,0,0,0,0" textboxrect="0,0,2832735,4343400"/>
                <v:textbox>
                  <w:txbxContent>
                    <w:p w:rsidR="00272EFF" w:rsidRPr="00E05D08" w:rsidRDefault="00272EFF" w:rsidP="00E05D08">
                      <w:pPr>
                        <w:pStyle w:val="Normal12PTcouleurgris"/>
                        <w:rPr>
                          <w:b/>
                          <w:color w:val="F07E31"/>
                        </w:rPr>
                      </w:pPr>
                      <w:r>
                        <w:rPr>
                          <w:noProof/>
                          <w:lang w:val="en-GB" w:eastAsia="en-GB"/>
                        </w:rPr>
                        <w:drawing>
                          <wp:inline distT="0" distB="0" distL="0" distR="0" wp14:anchorId="775AF098" wp14:editId="76CCE1EA">
                            <wp:extent cx="353060" cy="359410"/>
                            <wp:effectExtent l="0" t="0" r="8890" b="2540"/>
                            <wp:docPr id="72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Παραδείγματα πιθανής στήριξης του ΠΑΑ στη διαδρομή 1</w:t>
                      </w:r>
                    </w:p>
                    <w:p w:rsidR="00272EFF" w:rsidRPr="00230C31" w:rsidRDefault="00272EFF" w:rsidP="00230C31">
                      <w:pPr>
                        <w:pStyle w:val="Hlistbullet"/>
                        <w:rPr>
                          <w:sz w:val="18"/>
                          <w:szCs w:val="18"/>
                        </w:rPr>
                      </w:pPr>
                      <w:r>
                        <w:rPr>
                          <w:sz w:val="18"/>
                          <w:szCs w:val="18"/>
                        </w:rPr>
                        <w:t xml:space="preserve">Ανάπτυξη, δοκιμή και προώθηση ενός μηχανήματος για τη μηχανική απομάκρυνση των ζιζανίων από τη γεωργική γη (π.χ. πράξεις που διενεργούνται βάσει των άρθρων 17 και 35 του κανονισμού (ΕΕ) αριθ. 1305/2013)· </w:t>
                      </w:r>
                    </w:p>
                    <w:p w:rsidR="00272EFF" w:rsidRPr="00230C31" w:rsidRDefault="00272EFF" w:rsidP="00230C31">
                      <w:pPr>
                        <w:pStyle w:val="Hlistbullet"/>
                        <w:rPr>
                          <w:sz w:val="18"/>
                          <w:szCs w:val="18"/>
                        </w:rPr>
                      </w:pPr>
                      <w:r>
                        <w:rPr>
                          <w:sz w:val="18"/>
                          <w:szCs w:val="18"/>
                        </w:rPr>
                        <w:t xml:space="preserve">Δοκιμή και παροχή νέων τύπων υπηρεσιών στις αγροτικές περιοχές (π.χ. πράξεις που διενεργούνται βάσει των άρθρων 20 και 35 του κανονισμού (ΕΕ) αριθ. 1305/2013)· </w:t>
                      </w:r>
                    </w:p>
                    <w:p w:rsidR="00272EFF" w:rsidRPr="00230C31" w:rsidRDefault="00272EFF" w:rsidP="00230C31">
                      <w:pPr>
                        <w:pStyle w:val="Hlistbullet"/>
                        <w:rPr>
                          <w:sz w:val="18"/>
                          <w:szCs w:val="18"/>
                        </w:rPr>
                      </w:pPr>
                      <w:r>
                        <w:rPr>
                          <w:sz w:val="18"/>
                          <w:szCs w:val="18"/>
                        </w:rPr>
                        <w:t>Εισαγωγή νέου τρόπου για την οργάνωση συνεδριάσεων, διασκέψεων και κατάρτισης (π.χ. με χρήση νέων τεχνικών συνεργασίας, διασκέψεων στρογγυλής τραπέζης) (π.χ. πράξεις που διενεργούνται βάσει του άρθρου 14 του κανονισμού (ΕΕ) αριθ. 1305/2013).</w:t>
                      </w:r>
                    </w:p>
                  </w:txbxContent>
                </v:textbox>
                <w10:wrap type="square"/>
              </v:shape>
            </w:pict>
          </mc:Fallback>
        </mc:AlternateContent>
      </w:r>
      <w:r>
        <w:rPr>
          <w:b/>
          <w:color w:val="F07E31"/>
          <w:szCs w:val="20"/>
        </w:rPr>
        <w:t>Η</w:t>
      </w:r>
      <w:r>
        <w:rPr>
          <w:b/>
          <w:szCs w:val="20"/>
        </w:rPr>
        <w:t xml:space="preserve"> </w:t>
      </w:r>
      <w:r>
        <w:rPr>
          <w:b/>
          <w:color w:val="F07E31"/>
          <w:szCs w:val="20"/>
        </w:rPr>
        <w:t>πρώτη διαδρομή</w:t>
      </w:r>
      <w:r>
        <w:t xml:space="preserve"> μπορεί να περιγραφεί ως η ικανότητα αναγνώρισης και καλλιέργειας ελπιδοφόρων ιδεών που μπορούν να οδηγήσουν σε καινοτομία οποιουδήποτε είδους (τεχνολογική ή μη, κοινωνική, οργανωτική κ.λπ.). Για να μετατραπεί μια νέα ιδέα σε πραγματική καινοτομία πρέπει να έχει εύρος και, στην ιδανική περίπτωση, να ανταποκρίνεται σε μια συγκεκριμένη ανάγκη ή να παρέχει ευκαιρίες που μπορούν να αξιοποιηθούν από πολλούς. Οι δύο κύριοι τρόποι για την καλλιέργεια ιδεών με σκοπό την ανάπτυξη διαδικασιών καινοτομίας είναι: 1) μέσω της ατομικής προσέγγισης (αναγνώριση και ενίσχυση ενός ατόμου που διαθέτει μια ιδέα)· 2) μέσω διαφόρων ενδιαφερόμενων φορέων που εργάζονται ομαδικά για την ανακάλυψη και την καλλιέργεια νέων ιδεών (συγκεντρώνοντας τα καλύτερα μέλη για τη σύσταση μιας ομάδας η οποία συνδυάζει τις απαιτούμενες, συμπληρωματικές δεξιότητες για την ανάπτυξη ενός έργου καινοτομίας). </w:t>
      </w:r>
    </w:p>
    <w:bookmarkEnd w:id="16"/>
    <w:p w:rsidR="000E1D4B" w:rsidRDefault="00A45935" w:rsidP="00E05D08">
      <w:pPr>
        <w:spacing w:after="120" w:line="280" w:lineRule="atLeast"/>
        <w:mirrorIndents/>
        <w:rPr>
          <w:rFonts w:eastAsia="Times New Roman" w:cs="Times New Roman"/>
          <w:szCs w:val="20"/>
        </w:rPr>
      </w:pPr>
      <w:r>
        <w:t xml:space="preserve">Για να είναι καινοτόμος μια ιδέα, ή τουλάχιστον ορισμένες πτυχές της, θα πρέπει να είναι νέα για το εκάστοτε περιβάλλον ή περιοχή και να παρέχει πειστικά εχέγγυα ότι θα είναι χρήσιμη (δηλ. ότι θα βοηθήσει έναν ή περισσότερους ενδιαφερόμενους φορείς να υλοποιήσουν κάτι με διαφορετικό τρόπο, καλύτερο ή οικονομικότερο, ότι ανταποκρίνεται σε μια ανάγκη ή ότι αναπτύσσει μια ευκαιρία). </w:t>
      </w:r>
    </w:p>
    <w:p w:rsidR="005C0E65" w:rsidRDefault="005C0E65" w:rsidP="005C0E65">
      <w:pPr>
        <w:rPr>
          <w:b/>
          <w:color w:val="F07E31"/>
          <w:szCs w:val="20"/>
        </w:rPr>
      </w:pPr>
    </w:p>
    <w:p w:rsidR="00A45935" w:rsidRPr="00315AE0" w:rsidRDefault="00A45935" w:rsidP="005C0E65">
      <w:r>
        <w:rPr>
          <w:b/>
          <w:color w:val="F07E31"/>
          <w:szCs w:val="20"/>
        </w:rPr>
        <w:t>Η δεύτερη διαδρομή</w:t>
      </w:r>
      <w:r>
        <w:t xml:space="preserve"> αφορά την ανάπτυξη της ικανότητας για καινοτομία. Η διαδρομή αυτή είναι, σε ορισμένες περιπτώσεις, αποτέλεσμα της υλοποίησης της πρώτης διαδρομής. Το ΠΑΑ μπορεί να διευκολύνει τη διαδικασία αναγνώρισης των προκλήσεων ανάπτυξης και των δυνατοτήτων να έρθουν σε επαφή οι ενδιαφερόμενοι και σχετικοί φορείς καινοτομίας [π.χ. μέσω των επιχειρησιακών ομάδων της ΕΣΚ, οι οποίες δοκιμάζουν</w:t>
      </w:r>
      <w:r w:rsidR="001E50E6">
        <w:rPr>
          <w:rStyle w:val="FootnoteReference"/>
        </w:rPr>
        <w:footnoteReference w:id="5"/>
      </w:r>
      <w:r>
        <w:t xml:space="preserve"> καινοτόμες πρακτικές στο πλαίσιο της συνεργασίας μεταξύ των σχετικών φορέων που διαθέτουν συμπληρωματικές γνώσεις (π.χ. γεωργοί, επιχειρήσεις, συμβουλευτικές υπηρεσίες, ερευνητές και άλλοι) για την επίτευξη των στόχων ενός καινοτόμου έργου]. Αυτό βοηθά στη γεφύρωση του χάσματος μεταξύ επιστήμης και πρακτικής, μέσω της ανάπτυξης των απαραίτητων δεξιοτήτων και γνώσεων. Οφέλη μπορούν επίσης να προκύψουν από τις συνέργειες που δημιουργούνται στο πλαίσιο έργων πολλών παραγόντων που χρηματοδοτούνται από την πολιτική έρευνας και καινοτομίας του προγράμματος «Ορίζων 2020» της ΕΕ</w:t>
      </w:r>
      <w:r w:rsidR="003726B6">
        <w:rPr>
          <w:lang w:val="en-GB"/>
        </w:rPr>
        <w:t>.</w:t>
      </w:r>
      <w:r w:rsidR="00315AE0" w:rsidRPr="00315AE0">
        <w:rPr>
          <w:rFonts w:eastAsia="Times New Roman" w:cs="Times New Roman"/>
          <w:szCs w:val="20"/>
          <w:vertAlign w:val="superscript"/>
          <w:lang w:eastAsia="de-DE"/>
        </w:rPr>
        <w:t xml:space="preserve"> </w:t>
      </w:r>
      <w:r w:rsidR="00315AE0">
        <w:rPr>
          <w:rFonts w:eastAsia="Times New Roman" w:cs="Times New Roman"/>
          <w:szCs w:val="20"/>
          <w:vertAlign w:val="superscript"/>
          <w:lang w:eastAsia="de-DE"/>
        </w:rPr>
        <w:footnoteReference w:id="6"/>
      </w:r>
      <w:r w:rsidR="00315AE0">
        <w:rPr>
          <w:rFonts w:eastAsia="Times New Roman" w:cs="Times New Roman"/>
          <w:szCs w:val="20"/>
          <w:vertAlign w:val="superscript"/>
          <w:lang w:val="en-GB" w:eastAsia="de-DE"/>
        </w:rPr>
        <w:t xml:space="preserve"> </w:t>
      </w:r>
      <w:r>
        <w:rPr>
          <w:rFonts w:eastAsia="Times New Roman" w:cs="Times New Roman"/>
          <w:szCs w:val="20"/>
          <w:vertAlign w:val="superscript"/>
          <w:lang w:eastAsia="de-DE"/>
        </w:rPr>
        <w:footnoteReference w:id="7"/>
      </w:r>
      <w:r w:rsidR="003726B6">
        <w:rPr>
          <w:lang w:val="en-GB"/>
        </w:rPr>
        <w:t xml:space="preserve"> </w:t>
      </w:r>
      <w:r>
        <w:t xml:space="preserve"> Οι </w:t>
      </w:r>
      <w:r>
        <w:lastRenderedPageBreak/>
        <w:t>επιχειρησιακές ομάδες μπορούν να ενεργοποιήσουν κοινωνικοτεχνικές νησίδες. Η κοινωνικοτεχνική νησίδα είναι ένας προστατευόμενος χώρος, που επιτρέπει στα άτομα να διδαχθούν και να πειραματιστούν με καινοτόμες τεχνολογίες και/ή θεσμούς και/ή νέους τρόπους δράσης. Εφόσον διαρθρώνονται και διασυνδέονται σωστά, οι νησίδες μπορούν να λειτουργήσουν ως δομικά στοιχεία ευρύτερων κοινωνιακών μεταβολών με στόχο τη βιώσιμη ανάπτυξη</w:t>
      </w:r>
      <w:r w:rsidR="005C0E65">
        <w:rPr>
          <w:lang w:val="en-GB"/>
        </w:rPr>
        <w:t>.</w:t>
      </w:r>
      <w:r w:rsidR="00315AE0" w:rsidRPr="00315AE0">
        <w:rPr>
          <w:rFonts w:eastAsia="Times New Roman" w:cs="Arial"/>
          <w:szCs w:val="20"/>
          <w:vertAlign w:val="superscript"/>
          <w:lang w:eastAsia="de-DE"/>
        </w:rPr>
        <w:t xml:space="preserve"> </w:t>
      </w:r>
      <w:r w:rsidR="00315AE0">
        <w:rPr>
          <w:rFonts w:eastAsia="Times New Roman" w:cs="Arial"/>
          <w:szCs w:val="20"/>
          <w:vertAlign w:val="superscript"/>
          <w:lang w:eastAsia="de-DE"/>
        </w:rPr>
        <w:footnoteReference w:id="8"/>
      </w:r>
      <w:r w:rsidRPr="00315AE0">
        <w:rPr>
          <w:rStyle w:val="FootnoteReference"/>
          <w:rFonts w:eastAsia="Times New Roman" w:cs="Times New Roman"/>
          <w:color w:val="FFFFFF" w:themeColor="background1"/>
          <w:szCs w:val="20"/>
          <w:lang w:eastAsia="de-DE"/>
        </w:rPr>
        <w:footnoteReference w:id="9"/>
      </w:r>
      <w:r w:rsidRPr="003726B6">
        <w:rPr>
          <w:rStyle w:val="FootnoteReference"/>
          <w:rFonts w:eastAsia="Times New Roman" w:cs="Times New Roman"/>
          <w:color w:val="FFFFFF" w:themeColor="background1"/>
          <w:szCs w:val="20"/>
          <w:lang w:eastAsia="de-DE"/>
        </w:rPr>
        <w:footnoteReference w:id="10"/>
      </w:r>
      <w:r w:rsidRPr="003726B6">
        <w:rPr>
          <w:rStyle w:val="FootnoteReference"/>
          <w:rFonts w:eastAsia="Times New Roman" w:cs="Times New Roman"/>
          <w:color w:val="FFFFFF" w:themeColor="background1"/>
          <w:szCs w:val="20"/>
          <w:lang w:eastAsia="de-DE"/>
        </w:rPr>
        <w:footnoteReference w:id="11"/>
      </w:r>
      <w:r w:rsidRPr="003726B6">
        <w:t xml:space="preserve"> </w:t>
      </w:r>
    </w:p>
    <w:p w:rsidR="00A45935" w:rsidRPr="00E05D08" w:rsidRDefault="005C0E65" w:rsidP="002F0ABF">
      <w:pPr>
        <w:spacing w:after="120" w:line="280" w:lineRule="atLeast"/>
        <w:mirrorIndents/>
        <w:rPr>
          <w:rFonts w:eastAsia="Times New Roman" w:cs="Times New Roman"/>
          <w:szCs w:val="20"/>
        </w:rPr>
      </w:pPr>
      <w:r>
        <w:rPr>
          <w:rFonts w:eastAsia="Times New Roman" w:cs="Times New Roman"/>
          <w:noProof/>
          <w:szCs w:val="20"/>
          <w:lang w:val="en-GB" w:eastAsia="en-GB"/>
        </w:rPr>
        <mc:AlternateContent>
          <mc:Choice Requires="wps">
            <w:drawing>
              <wp:anchor distT="0" distB="0" distL="114300" distR="114300" simplePos="0" relativeHeight="251656192" behindDoc="0" locked="0" layoutInCell="1" allowOverlap="1" wp14:anchorId="0FA76BA1" wp14:editId="24D8B5F7">
                <wp:simplePos x="0" y="0"/>
                <wp:positionH relativeFrom="column">
                  <wp:posOffset>-171450</wp:posOffset>
                </wp:positionH>
                <wp:positionV relativeFrom="paragraph">
                  <wp:posOffset>41275</wp:posOffset>
                </wp:positionV>
                <wp:extent cx="6089650" cy="4095750"/>
                <wp:effectExtent l="0" t="0" r="25400" b="19050"/>
                <wp:wrapNone/>
                <wp:docPr id="57" name="Rectangle: Diagonal Corners Rounded 57"/>
                <wp:cNvGraphicFramePr/>
                <a:graphic xmlns:a="http://schemas.openxmlformats.org/drawingml/2006/main">
                  <a:graphicData uri="http://schemas.microsoft.com/office/word/2010/wordprocessingShape">
                    <wps:wsp>
                      <wps:cNvSpPr/>
                      <wps:spPr>
                        <a:xfrm>
                          <a:off x="0" y="0"/>
                          <a:ext cx="6089650" cy="4095750"/>
                        </a:xfrm>
                        <a:prstGeom prst="round2DiagRect">
                          <a:avLst>
                            <a:gd name="adj1" fmla="val 6633"/>
                            <a:gd name="adj2" fmla="val 0"/>
                          </a:avLst>
                        </a:prstGeom>
                        <a:noFill/>
                        <a:ln w="25400" cap="flat" cmpd="sng" algn="ctr">
                          <a:solidFill>
                            <a:srgbClr val="F07E31"/>
                          </a:solidFill>
                          <a:prstDash val="solid"/>
                        </a:ln>
                        <a:effectLst/>
                      </wps:spPr>
                      <wps:txbx>
                        <w:txbxContent>
                          <w:p w:rsidR="00272EFF" w:rsidRPr="00A51FE3" w:rsidRDefault="00272EFF" w:rsidP="00E05D08">
                            <w:pPr>
                              <w:pStyle w:val="Normal12PTcouleurgris"/>
                              <w:rPr>
                                <w:b/>
                                <w:color w:val="F07E31"/>
                                <w:sz w:val="14"/>
                                <w:szCs w:val="14"/>
                              </w:rPr>
                            </w:pPr>
                            <w:r>
                              <w:rPr>
                                <w:noProof/>
                                <w:lang w:val="en-GB" w:eastAsia="en-GB"/>
                              </w:rPr>
                              <w:drawing>
                                <wp:inline distT="0" distB="0" distL="0" distR="0" wp14:anchorId="609C0513" wp14:editId="5C7B9BCB">
                                  <wp:extent cx="353060" cy="359410"/>
                                  <wp:effectExtent l="0" t="0" r="8890" b="2540"/>
                                  <wp:docPr id="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A51FE3">
                              <w:rPr>
                                <w:b/>
                                <w:color w:val="F07E31"/>
                                <w:sz w:val="14"/>
                                <w:szCs w:val="14"/>
                              </w:rPr>
                              <w:t>Παραδείγματα πιθανής στήριξης του ΠΑΑ στη διαδρομή 2</w:t>
                            </w:r>
                          </w:p>
                          <w:p w:rsidR="00272EFF" w:rsidRPr="00A51FE3" w:rsidRDefault="00272EFF" w:rsidP="00E05D08">
                            <w:pPr>
                              <w:pStyle w:val="Normal12PTcouleurgris"/>
                              <w:rPr>
                                <w:sz w:val="14"/>
                                <w:szCs w:val="14"/>
                              </w:rPr>
                            </w:pPr>
                            <w:r w:rsidRPr="00A51FE3">
                              <w:rPr>
                                <w:sz w:val="14"/>
                                <w:szCs w:val="14"/>
                              </w:rPr>
                              <w:t>Οι ακόλουθες καθοριστικές δεξιότητες και ικανότητες των φορέων καινοτομίας</w:t>
                            </w:r>
                            <w:r w:rsidRPr="005C0E65">
                              <w:rPr>
                                <w:sz w:val="16"/>
                                <w:szCs w:val="14"/>
                                <w:vertAlign w:val="superscript"/>
                              </w:rPr>
                              <w:t>9</w:t>
                            </w:r>
                            <w:r w:rsidRPr="00A51FE3">
                              <w:rPr>
                                <w:sz w:val="14"/>
                                <w:szCs w:val="14"/>
                              </w:rPr>
                              <w:t xml:space="preserve"> μπορούν να υποστηριχθούν από το ΠΑΑ και να επηρεάσουν τις πράξεις «ικανότητας για καινοτομία»: </w:t>
                            </w:r>
                          </w:p>
                          <w:p w:rsidR="00272EFF" w:rsidRPr="00A51FE3" w:rsidRDefault="00272EFF" w:rsidP="00E05D08">
                            <w:pPr>
                              <w:pStyle w:val="Hlistbullet"/>
                              <w:rPr>
                                <w:sz w:val="14"/>
                                <w:szCs w:val="14"/>
                              </w:rPr>
                            </w:pPr>
                            <w:r w:rsidRPr="00A51FE3">
                              <w:rPr>
                                <w:sz w:val="14"/>
                                <w:szCs w:val="14"/>
                              </w:rPr>
                              <w:t>Τεχνικές και ειδικές ανά τομέα γνώσεις και δεξιότητες που απαιτούνται για να καταστούν οι νέες ιδέες λειτουργικές στην πράξη, συμπεριλαμβανομένης της ικανότητας αναγνώρισης και επιλογής μεταξύ εναλλακτικών δυνατοτήτων (π.χ. πράξεις που διενεργούνται βάσει των άρθρων 14, 15 και 35 του κανονισμού (ΕΕ) αριθ. 1305/2013)·</w:t>
                            </w:r>
                          </w:p>
                          <w:p w:rsidR="00272EFF" w:rsidRPr="00A51FE3" w:rsidRDefault="00272EFF" w:rsidP="00E05D08">
                            <w:pPr>
                              <w:pStyle w:val="Hlistbullet"/>
                              <w:rPr>
                                <w:sz w:val="14"/>
                                <w:szCs w:val="14"/>
                              </w:rPr>
                            </w:pPr>
                            <w:r w:rsidRPr="00A51FE3">
                              <w:rPr>
                                <w:sz w:val="14"/>
                                <w:szCs w:val="14"/>
                              </w:rPr>
                              <w:t>Οργανωτικές και προσωπικές δεξιότητες που απαιτούνται για τη διευκόλυνση και τη διαμεσολάβηση</w:t>
                            </w:r>
                            <w:r w:rsidRPr="00373E01">
                              <w:rPr>
                                <w:sz w:val="16"/>
                                <w:szCs w:val="14"/>
                                <w:vertAlign w:val="superscript"/>
                              </w:rPr>
                              <w:t>10</w:t>
                            </w:r>
                            <w:r w:rsidRPr="00A51FE3">
                              <w:rPr>
                                <w:sz w:val="14"/>
                                <w:szCs w:val="14"/>
                              </w:rPr>
                              <w:t xml:space="preserve"> των διαδικασιών καινοτομίας, συμπεριλαμβανομένης της ικανότητας διαμόρφωσης δεσμών και δικτύων μεταξύ των ενδιαφερόμενων φορέων, της ικανότητας για διαρκή οραματισμό, προγραμματισμό και κύκλους μαθησιακής αυτενέργειας, καθώς και της ικανότητας αναγνώρισης των κύριων δυναμικών και προκλήσεων του συστήματος (π.χ. πράξεις που διενεργούνται βάσει</w:t>
                            </w:r>
                            <w:r>
                              <w:rPr>
                                <w:sz w:val="16"/>
                                <w:szCs w:val="16"/>
                              </w:rPr>
                              <w:t xml:space="preserve"> </w:t>
                            </w:r>
                            <w:r w:rsidRPr="00A51FE3">
                              <w:rPr>
                                <w:sz w:val="14"/>
                                <w:szCs w:val="14"/>
                              </w:rPr>
                              <w:t>του άρθρου 35 του κανονισμού (ΕΕ) αριθ. 1305/2013)·</w:t>
                            </w:r>
                          </w:p>
                          <w:p w:rsidR="00272EFF" w:rsidRPr="002F0ABF" w:rsidRDefault="00272EFF" w:rsidP="00E05D08">
                            <w:pPr>
                              <w:pStyle w:val="Hlistbullet"/>
                              <w:rPr>
                                <w:sz w:val="16"/>
                                <w:szCs w:val="16"/>
                              </w:rPr>
                            </w:pPr>
                            <w:r>
                              <w:rPr>
                                <w:sz w:val="16"/>
                                <w:szCs w:val="16"/>
                              </w:rPr>
                              <w:t>Ενισχυμένη ικανότητα αποτελεσματικής συλλογικής δράσης</w:t>
                            </w:r>
                            <w:r>
                              <w:rPr>
                                <w:sz w:val="16"/>
                                <w:szCs w:val="16"/>
                                <w:vertAlign w:val="superscript"/>
                              </w:rPr>
                              <w:t>11</w:t>
                            </w:r>
                            <w:r>
                              <w:rPr>
                                <w:sz w:val="16"/>
                                <w:szCs w:val="16"/>
                              </w:rPr>
                              <w:t xml:space="preserve"> (π.χ. οργάνωση των δραστηριοτήτων επίδειξης και ενημέρωσης με συνεργατικό τρόπο, με στόχο τη μεταφορά εμπειριών και γνώσεων μεταξύ των φορέων, ή τη συνεργασία μεταξύ των φορέων της αλυσίδας εφοδιασμού όσον αφορά την προμήθεια βιομάζας για την παραγωγή τροφίμων και ενέργειας κ.λπ.) (πράξεις που διενεργούνται βάσει των άρθρων 14, 15 και 35 του κανονισμού (ΕΕ) αριθ. 1305/2013)·</w:t>
                            </w:r>
                          </w:p>
                          <w:p w:rsidR="00272EFF" w:rsidRPr="002F0ABF" w:rsidRDefault="00272EFF" w:rsidP="00E05D08">
                            <w:pPr>
                              <w:pStyle w:val="Hlistbullet"/>
                              <w:rPr>
                                <w:sz w:val="16"/>
                                <w:szCs w:val="16"/>
                              </w:rPr>
                            </w:pPr>
                            <w:r>
                              <w:rPr>
                                <w:sz w:val="16"/>
                                <w:szCs w:val="16"/>
                              </w:rPr>
                              <w:t>Παρεμβάσεις μέσω του ΠΑΑ που μπορούν να αναπτύξουν την ικανότητα για καινοτομία, μέσω της παροχής ευκαιριών για μεταφορά των γνώσεων (π.χ. υπηρεσίες, κατάρτιση, καθοδήγηση) (πράξεις που διενεργούνται βάσει του άρθρου 15 του κανονισμού (ΕΕ) αριθ. 1305/2013).</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76BA1" id="Rectangle: Diagonal Corners Rounded 57" o:spid="_x0000_s1033" style="position:absolute;left:0;text-align:left;margin-left:-13.5pt;margin-top:3.25pt;width:479.5pt;height:3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89650,409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" adj="-11796480,,5400" path="m271671,l6089650,r,l6089650,3824079v,150040,-121631,271671,-271671,271671l,4095750r,l,271671c,121631,121631,,271671,xe" filled="f" strokecolor="#f07e31" strokeweight="2pt">
                <v:stroke joinstyle="miter"/>
                <v:formulas/>
                <v:path arrowok="t" o:connecttype="custom" o:connectlocs="271671,0;6089650,0;6089650,0;6089650,3824079;5817979,4095750;0,4095750;0,4095750;0,271671;271671,0" o:connectangles="0,0,0,0,0,0,0,0,0" textboxrect="0,0,6089650,4095750"/>
                <v:textbox inset=",0,,0">
                  <w:txbxContent>
                    <w:p w:rsidR="00272EFF" w:rsidRPr="00A51FE3" w:rsidRDefault="00272EFF" w:rsidP="00E05D08">
                      <w:pPr>
                        <w:pStyle w:val="Normal12PTcouleurgris"/>
                        <w:rPr>
                          <w:b/>
                          <w:color w:val="F07E31"/>
                          <w:sz w:val="14"/>
                          <w:szCs w:val="14"/>
                        </w:rPr>
                      </w:pPr>
                      <w:r>
                        <w:rPr>
                          <w:noProof/>
                          <w:lang w:val="en-GB" w:eastAsia="en-GB"/>
                        </w:rPr>
                        <w:drawing>
                          <wp:inline distT="0" distB="0" distL="0" distR="0" wp14:anchorId="609C0513" wp14:editId="5C7B9BCB">
                            <wp:extent cx="353060" cy="359410"/>
                            <wp:effectExtent l="0" t="0" r="8890" b="2540"/>
                            <wp:docPr id="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A51FE3">
                        <w:rPr>
                          <w:b/>
                          <w:color w:val="F07E31"/>
                          <w:sz w:val="14"/>
                          <w:szCs w:val="14"/>
                        </w:rPr>
                        <w:t>Παραδείγματα πιθανής στήριξης του ΠΑΑ στη διαδρομή 2</w:t>
                      </w:r>
                    </w:p>
                    <w:p w:rsidR="00272EFF" w:rsidRPr="00A51FE3" w:rsidRDefault="00272EFF" w:rsidP="00E05D08">
                      <w:pPr>
                        <w:pStyle w:val="Normal12PTcouleurgris"/>
                        <w:rPr>
                          <w:sz w:val="14"/>
                          <w:szCs w:val="14"/>
                        </w:rPr>
                      </w:pPr>
                      <w:r w:rsidRPr="00A51FE3">
                        <w:rPr>
                          <w:sz w:val="14"/>
                          <w:szCs w:val="14"/>
                        </w:rPr>
                        <w:t>Οι ακόλουθες καθοριστικές δεξιότητες και ικανότητες των φορέων καινοτομίας</w:t>
                      </w:r>
                      <w:r w:rsidRPr="005C0E65">
                        <w:rPr>
                          <w:sz w:val="16"/>
                          <w:szCs w:val="14"/>
                          <w:vertAlign w:val="superscript"/>
                        </w:rPr>
                        <w:t>9</w:t>
                      </w:r>
                      <w:r w:rsidRPr="00A51FE3">
                        <w:rPr>
                          <w:sz w:val="14"/>
                          <w:szCs w:val="14"/>
                        </w:rPr>
                        <w:t xml:space="preserve"> μπορούν να υποστηριχθούν από το ΠΑΑ και να επηρεάσουν τις πράξεις «ικανότητας για καινοτομία»: </w:t>
                      </w:r>
                    </w:p>
                    <w:p w:rsidR="00272EFF" w:rsidRPr="00A51FE3" w:rsidRDefault="00272EFF" w:rsidP="00E05D08">
                      <w:pPr>
                        <w:pStyle w:val="Hlistbullet"/>
                        <w:rPr>
                          <w:sz w:val="14"/>
                          <w:szCs w:val="14"/>
                        </w:rPr>
                      </w:pPr>
                      <w:r w:rsidRPr="00A51FE3">
                        <w:rPr>
                          <w:sz w:val="14"/>
                          <w:szCs w:val="14"/>
                        </w:rPr>
                        <w:t>Τεχνικές και ειδικές ανά τομέα γνώσεις και δεξιότητες που απαιτούνται για να καταστούν οι νέες ιδέες λειτουργικές στην πράξη, συμπεριλαμβανομένης της ικανότητας αναγνώρισης και επιλογής μεταξύ εναλλακτικών δυνατοτήτων (π.χ. πράξεις που διενεργούνται βάσει των άρθρων 14, 15 και 35 του κανονισμού (ΕΕ) αριθ. 1305/2013)·</w:t>
                      </w:r>
                    </w:p>
                    <w:p w:rsidR="00272EFF" w:rsidRPr="00A51FE3" w:rsidRDefault="00272EFF" w:rsidP="00E05D08">
                      <w:pPr>
                        <w:pStyle w:val="Hlistbullet"/>
                        <w:rPr>
                          <w:sz w:val="14"/>
                          <w:szCs w:val="14"/>
                        </w:rPr>
                      </w:pPr>
                      <w:r w:rsidRPr="00A51FE3">
                        <w:rPr>
                          <w:sz w:val="14"/>
                          <w:szCs w:val="14"/>
                        </w:rPr>
                        <w:t>Οργανωτικές και προσωπικές δεξιότητες που απαιτούνται για τη διευκόλυνση και τη διαμεσολάβηση</w:t>
                      </w:r>
                      <w:r w:rsidRPr="00373E01">
                        <w:rPr>
                          <w:sz w:val="16"/>
                          <w:szCs w:val="14"/>
                          <w:vertAlign w:val="superscript"/>
                        </w:rPr>
                        <w:t>10</w:t>
                      </w:r>
                      <w:r w:rsidRPr="00A51FE3">
                        <w:rPr>
                          <w:sz w:val="14"/>
                          <w:szCs w:val="14"/>
                        </w:rPr>
                        <w:t xml:space="preserve"> των διαδικασιών καινοτομίας, συμπεριλαμβανομένης της ικανότητας διαμόρφωσης δεσμών και δικτύων μεταξύ των ενδιαφερόμενων φορέων, της ικανότητας για διαρκή οραματισμό, προγραμματισμό και κύκλους μαθησιακής αυτενέργειας, καθώς και της ικανότητας αναγνώρισης των κύριων δυναμικών και προκλήσεων του συστήματος (π.χ. πράξεις που διενεργούνται βάσει</w:t>
                      </w:r>
                      <w:r>
                        <w:rPr>
                          <w:sz w:val="16"/>
                          <w:szCs w:val="16"/>
                        </w:rPr>
                        <w:t xml:space="preserve"> </w:t>
                      </w:r>
                      <w:r w:rsidRPr="00A51FE3">
                        <w:rPr>
                          <w:sz w:val="14"/>
                          <w:szCs w:val="14"/>
                        </w:rPr>
                        <w:t>του άρθρου 35 του κανονισμού (ΕΕ) αριθ. 1305/2013)·</w:t>
                      </w:r>
                    </w:p>
                    <w:p w:rsidR="00272EFF" w:rsidRPr="002F0ABF" w:rsidRDefault="00272EFF" w:rsidP="00E05D08">
                      <w:pPr>
                        <w:pStyle w:val="Hlistbullet"/>
                        <w:rPr>
                          <w:sz w:val="16"/>
                          <w:szCs w:val="16"/>
                        </w:rPr>
                      </w:pPr>
                      <w:r>
                        <w:rPr>
                          <w:sz w:val="16"/>
                          <w:szCs w:val="16"/>
                        </w:rPr>
                        <w:t>Ενισχυμένη ικανότητα αποτελεσματικής συλλογικής δράσης</w:t>
                      </w:r>
                      <w:r>
                        <w:rPr>
                          <w:sz w:val="16"/>
                          <w:szCs w:val="16"/>
                          <w:vertAlign w:val="superscript"/>
                        </w:rPr>
                        <w:t>11</w:t>
                      </w:r>
                      <w:r>
                        <w:rPr>
                          <w:sz w:val="16"/>
                          <w:szCs w:val="16"/>
                        </w:rPr>
                        <w:t xml:space="preserve"> (π.χ. οργάνωση των δραστηριοτήτων επίδειξης και ενημέρωσης με συνεργατικό τρόπο, με στόχο τη μεταφορά εμπειριών και γνώσεων μεταξύ των φορέων, ή τη συνεργασία μεταξύ των φορέων της αλυσίδας εφοδιασμού όσον αφορά την προμήθεια βιομάζας για την παραγωγή τροφίμων και ενέργειας κ.λπ.) (πράξεις που διενεργούνται βάσει των άρθρων 14, 15 και 35 του κανονισμού (ΕΕ) αριθ. 1305/2013)·</w:t>
                      </w:r>
                    </w:p>
                    <w:p w:rsidR="00272EFF" w:rsidRPr="002F0ABF" w:rsidRDefault="00272EFF" w:rsidP="00E05D08">
                      <w:pPr>
                        <w:pStyle w:val="Hlistbullet"/>
                        <w:rPr>
                          <w:sz w:val="16"/>
                          <w:szCs w:val="16"/>
                        </w:rPr>
                      </w:pPr>
                      <w:r>
                        <w:rPr>
                          <w:sz w:val="16"/>
                          <w:szCs w:val="16"/>
                        </w:rPr>
                        <w:t>Παρεμβάσεις μέσω του ΠΑΑ που μπορούν να αναπτύξουν την ικανότητα για καινοτομία, μέσω της παροχής ευκαιριών για μεταφορά των γνώσεων (π.χ. υπηρεσίες, κατάρτιση, καθοδήγηση) (πράξεις που διενεργούνται βάσει του άρθρου 15 του κανονισμού (ΕΕ) αριθ. 1305/2013).</w:t>
                      </w:r>
                    </w:p>
                  </w:txbxContent>
                </v:textbox>
              </v:shape>
            </w:pict>
          </mc:Fallback>
        </mc:AlternateContent>
      </w:r>
      <w:r w:rsidR="00F74459">
        <w:br w:type="column"/>
      </w:r>
      <w:r w:rsidR="00CF2CF1">
        <w:rPr>
          <w:noProof/>
          <w:lang w:val="en-GB" w:eastAsia="en-GB"/>
        </w:rPr>
        <w:lastRenderedPageBreak/>
        <mc:AlternateContent>
          <mc:Choice Requires="wps">
            <w:drawing>
              <wp:anchor distT="0" distB="0" distL="114300" distR="114300" simplePos="0" relativeHeight="251659264" behindDoc="0" locked="0" layoutInCell="1" allowOverlap="1" wp14:anchorId="00A21790" wp14:editId="656E9021">
                <wp:simplePos x="0" y="0"/>
                <wp:positionH relativeFrom="column">
                  <wp:posOffset>2867025</wp:posOffset>
                </wp:positionH>
                <wp:positionV relativeFrom="paragraph">
                  <wp:posOffset>-161925</wp:posOffset>
                </wp:positionV>
                <wp:extent cx="3213100" cy="7800975"/>
                <wp:effectExtent l="0" t="0" r="25400" b="28575"/>
                <wp:wrapSquare wrapText="bothSides"/>
                <wp:docPr id="59" name="Rectangle: Diagonal Corners Rounded 59"/>
                <wp:cNvGraphicFramePr/>
                <a:graphic xmlns:a="http://schemas.openxmlformats.org/drawingml/2006/main">
                  <a:graphicData uri="http://schemas.microsoft.com/office/word/2010/wordprocessingShape">
                    <wps:wsp>
                      <wps:cNvSpPr/>
                      <wps:spPr>
                        <a:xfrm>
                          <a:off x="0" y="0"/>
                          <a:ext cx="3213100" cy="7800975"/>
                        </a:xfrm>
                        <a:prstGeom prst="round2DiagRect">
                          <a:avLst>
                            <a:gd name="adj1" fmla="val 5907"/>
                            <a:gd name="adj2" fmla="val 0"/>
                          </a:avLst>
                        </a:prstGeom>
                        <a:noFill/>
                        <a:ln w="25400" cap="flat" cmpd="sng" algn="ctr">
                          <a:solidFill>
                            <a:srgbClr val="F07E31"/>
                          </a:solidFill>
                          <a:prstDash val="solid"/>
                        </a:ln>
                        <a:effectLst/>
                      </wps:spPr>
                      <wps:txbx>
                        <w:txbxContent>
                          <w:p w:rsidR="00272EFF" w:rsidRPr="00E05D08" w:rsidRDefault="00272EFF" w:rsidP="004508D0">
                            <w:pPr>
                              <w:pStyle w:val="Normal12PTcouleurgris"/>
                              <w:rPr>
                                <w:b/>
                                <w:color w:val="F07E31"/>
                              </w:rPr>
                            </w:pPr>
                            <w:r>
                              <w:rPr>
                                <w:noProof/>
                                <w:lang w:val="en-GB" w:eastAsia="en-GB"/>
                              </w:rPr>
                              <w:drawing>
                                <wp:inline distT="0" distB="0" distL="0" distR="0" wp14:anchorId="5B72E13E" wp14:editId="6137EF4C">
                                  <wp:extent cx="353060" cy="359410"/>
                                  <wp:effectExtent l="0" t="0" r="8890" b="2540"/>
                                  <wp:docPr id="72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Παραδείγματα πιθανής στήριξης του ΠΑΑ στη διαδρομή 3</w:t>
                            </w:r>
                          </w:p>
                          <w:p w:rsidR="00272EFF" w:rsidRPr="002B58E1" w:rsidRDefault="00272EFF" w:rsidP="004508D0">
                            <w:pPr>
                              <w:pStyle w:val="Hlistbullet"/>
                              <w:rPr>
                                <w:sz w:val="18"/>
                                <w:szCs w:val="18"/>
                              </w:rPr>
                            </w:pPr>
                            <w:r>
                              <w:rPr>
                                <w:sz w:val="18"/>
                                <w:szCs w:val="18"/>
                              </w:rPr>
                              <w:t xml:space="preserve">ΠΑΑ που δίνουν προτεραιότητα σε δράσεις ενημέρωσης και κατάρτισης (άρθρο 14 του κανονισμού (ΕΕ) αριθ. 1305/2013) και συμβουλευτικές υπηρεσίες (άρθρο 15 του κανονισμού (ΕΕ) αριθ. 1305/2013), σύμφωνα με καινοτόμες πρακτικές οι οποίες αναπτύσσονται από τις επιχειρησιακές τους ομάδες (άρθρο 35 του κανονισμού (ΕΕ) αριθ. 1305/2013) ή σύμφωνα με καινοτόμες πρακτικές που αναπτύσσουν επιχειρησιακές ομάδες σε άλλες περιφέρειες ή χώρες (δραστηριότητες EAΔ, τεχνική βοήθεια). </w:t>
                            </w:r>
                          </w:p>
                          <w:p w:rsidR="00272EFF" w:rsidRPr="002B58E1" w:rsidRDefault="00272EFF" w:rsidP="004508D0">
                            <w:pPr>
                              <w:pStyle w:val="Hlistbullet"/>
                              <w:rPr>
                                <w:sz w:val="18"/>
                                <w:szCs w:val="18"/>
                              </w:rPr>
                            </w:pPr>
                            <w:r>
                              <w:rPr>
                                <w:sz w:val="18"/>
                                <w:szCs w:val="18"/>
                              </w:rPr>
                              <w:t>ΠΑΑ που βελτιώνουν την πρόσβαση στο διαδίκτυο στις αγροτικές περιοχές θα βοηθήσουν τις τοπικές επιχειρήσεις και τους γεωργούς να έχουν πρόσβαση στην ενημέρωση και στις αγορές, ενισχύοντας, συνεπώς την ικανότητα και τα κίνητρά τους για καινοτομία (π.χ. πράξεις που διενεργούνται βάσει του άρθρου 20 του κανονισμού (ΕΕ) αριθ. 1305/2013)·</w:t>
                            </w:r>
                          </w:p>
                          <w:p w:rsidR="00272EFF" w:rsidRPr="002B58E1" w:rsidRDefault="00272EFF" w:rsidP="004508D0">
                            <w:pPr>
                              <w:pStyle w:val="Hlistbullet"/>
                              <w:rPr>
                                <w:b/>
                                <w:sz w:val="18"/>
                                <w:szCs w:val="18"/>
                              </w:rPr>
                            </w:pPr>
                            <w:r>
                              <w:rPr>
                                <w:sz w:val="18"/>
                                <w:szCs w:val="18"/>
                              </w:rPr>
                              <w:t>ΠΑΑ στο πλαίσιο των οποίων μια επιχειρησιακή ομάδα αναπτύσσει καινοτόμα εργαλεία άροσης για την ενσωμάτωση των υπολειμμάτων της καλλιέργειας, μπορεί να ενθαρρύνουν τις καινοτόμες επενδύσεις και την αυστηρότερη επιβολή της νομοθεσίας για την απαγόρευση της καύσης των υπολειμμάτων καλλιεργειών (π.χ. πράξεις που διενεργούνται βάσει του άρθρου 17 του κανονισμού (ΕΕ) αριθ. 1305/2013)·</w:t>
                            </w:r>
                          </w:p>
                          <w:p w:rsidR="00272EFF" w:rsidRPr="002B58E1" w:rsidRDefault="00272EFF" w:rsidP="004508D0">
                            <w:pPr>
                              <w:pStyle w:val="Hlistbullet"/>
                              <w:rPr>
                                <w:sz w:val="18"/>
                                <w:szCs w:val="18"/>
                              </w:rPr>
                            </w:pPr>
                            <w:r>
                              <w:rPr>
                                <w:sz w:val="18"/>
                                <w:szCs w:val="18"/>
                              </w:rPr>
                              <w:t>Μέτρα ΠΑΑ που στηρίζουν την ανάπτυξη βραχειών αλυσίδων εφοδιασμού τροφίμων ή συνεταιρισμούς παραγωγών μπορούν να ενισχύσουν τους δεσμούς και τη συνεργασία μεταξύ καταναλωτών και παραγωγών για τη δημιουργία ενός πιο καινοτόμου συστήματος τροφίμων</w:t>
                            </w:r>
                            <w:r>
                              <w:rPr>
                                <w:sz w:val="18"/>
                                <w:szCs w:val="18"/>
                                <w:vertAlign w:val="superscript"/>
                              </w:rPr>
                              <w:t>13</w:t>
                            </w:r>
                            <w:r>
                              <w:rPr>
                                <w:sz w:val="18"/>
                                <w:szCs w:val="18"/>
                              </w:rPr>
                              <w:t xml:space="preserve"> (π.χ. πράξεις που διενεργούνται βάσει των άρθρων 16, 17 και 35 του κανονισμού (ΕΕ) αριθ.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21790" id="Rectangle: Diagonal Corners Rounded 59" o:spid="_x0000_s1034" style="position:absolute;left:0;text-align:left;margin-left:225.75pt;margin-top:-12.75pt;width:253pt;height:6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3100,780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" adj="-11796480,,5400" path="m189798,l3213100,r,l3213100,7611177v,104823,-84975,189798,-189798,189798l,7800975r,l,189798c,84975,84975,,189798,xe" filled="f" strokecolor="#f07e31" strokeweight="2pt">
                <v:stroke joinstyle="miter"/>
                <v:formulas/>
                <v:path arrowok="t" o:connecttype="custom" o:connectlocs="189798,0;3213100,0;3213100,0;3213100,7611177;3023302,7800975;0,7800975;0,7800975;0,189798;189798,0" o:connectangles="0,0,0,0,0,0,0,0,0" textboxrect="0,0,3213100,7800975"/>
                <v:textbox>
                  <w:txbxContent>
                    <w:p w:rsidR="00272EFF" w:rsidRPr="00E05D08" w:rsidRDefault="00272EFF" w:rsidP="004508D0">
                      <w:pPr>
                        <w:pStyle w:val="Normal12PTcouleurgris"/>
                        <w:rPr>
                          <w:b/>
                          <w:color w:val="F07E31"/>
                        </w:rPr>
                      </w:pPr>
                      <w:r>
                        <w:rPr>
                          <w:noProof/>
                          <w:lang w:val="en-GB" w:eastAsia="en-GB"/>
                        </w:rPr>
                        <w:drawing>
                          <wp:inline distT="0" distB="0" distL="0" distR="0" wp14:anchorId="5B72E13E" wp14:editId="6137EF4C">
                            <wp:extent cx="353060" cy="359410"/>
                            <wp:effectExtent l="0" t="0" r="8890" b="2540"/>
                            <wp:docPr id="72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Παραδείγματα πιθανής στήριξης του ΠΑΑ στη διαδρομή 3</w:t>
                      </w:r>
                    </w:p>
                    <w:p w:rsidR="00272EFF" w:rsidRPr="002B58E1" w:rsidRDefault="00272EFF" w:rsidP="004508D0">
                      <w:pPr>
                        <w:pStyle w:val="Hlistbullet"/>
                        <w:rPr>
                          <w:sz w:val="18"/>
                          <w:szCs w:val="18"/>
                        </w:rPr>
                      </w:pPr>
                      <w:r>
                        <w:rPr>
                          <w:sz w:val="18"/>
                          <w:szCs w:val="18"/>
                        </w:rPr>
                        <w:t xml:space="preserve">ΠΑΑ που δίνουν προτεραιότητα σε δράσεις ενημέρωσης και κατάρτισης (άρθρο 14 του κανονισμού (ΕΕ) αριθ. 1305/2013) και συμβουλευτικές υπηρεσίες (άρθρο 15 του κανονισμού (ΕΕ) αριθ. 1305/2013), σύμφωνα με καινοτόμες πρακτικές οι οποίες αναπτύσσονται από τις επιχειρησιακές τους ομάδες (άρθρο 35 του κανονισμού (ΕΕ) αριθ. 1305/2013) ή σύμφωνα με καινοτόμες πρακτικές που αναπτύσσουν επιχειρησιακές ομάδες σε άλλες περιφέρειες ή χώρες (δραστηριότητες EAΔ, τεχνική βοήθεια). </w:t>
                      </w:r>
                    </w:p>
                    <w:p w:rsidR="00272EFF" w:rsidRPr="002B58E1" w:rsidRDefault="00272EFF" w:rsidP="004508D0">
                      <w:pPr>
                        <w:pStyle w:val="Hlistbullet"/>
                        <w:rPr>
                          <w:sz w:val="18"/>
                          <w:szCs w:val="18"/>
                        </w:rPr>
                      </w:pPr>
                      <w:r>
                        <w:rPr>
                          <w:sz w:val="18"/>
                          <w:szCs w:val="18"/>
                        </w:rPr>
                        <w:t>ΠΑΑ που βελτιώνουν την πρόσβαση στο διαδίκτυο στις αγροτικές περιοχές θα βοηθήσουν τις τοπικές επιχειρήσεις και τους γεωργούς να έχουν πρόσβαση στην ενημέρωση και στις αγορές, ενισχύοντας, συνεπώς την ικανότητα και τα κίνητρά τους για καινοτομία (π.χ. πράξεις που διενεργούνται βάσει του άρθρου 20 του κανονισμού (ΕΕ) αριθ. 1305/2013)·</w:t>
                      </w:r>
                    </w:p>
                    <w:p w:rsidR="00272EFF" w:rsidRPr="002B58E1" w:rsidRDefault="00272EFF" w:rsidP="004508D0">
                      <w:pPr>
                        <w:pStyle w:val="Hlistbullet"/>
                        <w:rPr>
                          <w:b/>
                          <w:sz w:val="18"/>
                          <w:szCs w:val="18"/>
                        </w:rPr>
                      </w:pPr>
                      <w:r>
                        <w:rPr>
                          <w:sz w:val="18"/>
                          <w:szCs w:val="18"/>
                        </w:rPr>
                        <w:t>ΠΑΑ στο πλαίσιο των οποίων μια επιχειρησιακή ομάδα αναπτύσσει καινοτόμα εργαλεία άροσης για την ενσωμάτωση των υπολειμμάτων της καλλιέργειας, μπορεί να ενθαρρύνουν τις καινοτόμες επενδύσεις και την αυστηρότερη επιβολή της νομοθεσίας για την απαγόρευση της καύσης των υπολειμμάτων καλλιεργειών (π.χ. πράξεις που διενεργούνται βάσει του άρθρου 17 του κανονισμού (ΕΕ) αριθ. 1305/2013)·</w:t>
                      </w:r>
                    </w:p>
                    <w:p w:rsidR="00272EFF" w:rsidRPr="002B58E1" w:rsidRDefault="00272EFF" w:rsidP="004508D0">
                      <w:pPr>
                        <w:pStyle w:val="Hlistbullet"/>
                        <w:rPr>
                          <w:sz w:val="18"/>
                          <w:szCs w:val="18"/>
                        </w:rPr>
                      </w:pPr>
                      <w:r>
                        <w:rPr>
                          <w:sz w:val="18"/>
                          <w:szCs w:val="18"/>
                        </w:rPr>
                        <w:t>Μέτρα ΠΑΑ που στηρίζουν την ανάπτυξη βραχειών αλυσίδων εφοδιασμού τροφίμων ή συνεταιρισμούς παραγωγών μπορούν να ενισχύσουν τους δεσμούς και τη συνεργασία μεταξύ καταναλωτών και παραγωγών για τη δημιουργία ενός πιο καινοτόμου συστήματος τροφίμων</w:t>
                      </w:r>
                      <w:r>
                        <w:rPr>
                          <w:sz w:val="18"/>
                          <w:szCs w:val="18"/>
                          <w:vertAlign w:val="superscript"/>
                        </w:rPr>
                        <w:t>13</w:t>
                      </w:r>
                      <w:r>
                        <w:rPr>
                          <w:sz w:val="18"/>
                          <w:szCs w:val="18"/>
                        </w:rPr>
                        <w:t xml:space="preserve"> (π.χ. πράξεις που διενεργούνται βάσει των άρθρων 16, 17 και 35 του κανονισμού (ΕΕ) αριθ. 1305/2013).</w:t>
                      </w:r>
                    </w:p>
                  </w:txbxContent>
                </v:textbox>
                <w10:wrap type="square"/>
              </v:shape>
            </w:pict>
          </mc:Fallback>
        </mc:AlternateContent>
      </w:r>
      <w:r w:rsidR="00F74459">
        <w:rPr>
          <w:b/>
          <w:color w:val="F07E31"/>
          <w:szCs w:val="20"/>
        </w:rPr>
        <w:t>Η τρίτη διαδρομή</w:t>
      </w:r>
      <w:r w:rsidR="00F74459">
        <w:t xml:space="preserve"> αφορά την αλλαγή των συνθηκών και του περιβάλλοντος που πλαισιώνουν και επηρεάζουν τα συστήματα καινοτομίας. Αυτό περιλαμβάνει τη βελτίωση διαφόρων καθοριστικών συνθηκών</w:t>
      </w:r>
      <w:r w:rsidR="00F74459">
        <w:rPr>
          <w:rFonts w:eastAsia="Times New Roman" w:cs="Times New Roman"/>
          <w:szCs w:val="20"/>
          <w:vertAlign w:val="superscript"/>
          <w:lang w:eastAsia="de-DE"/>
        </w:rPr>
        <w:footnoteReference w:id="12"/>
      </w:r>
      <w:r w:rsidR="00F74459">
        <w:t>, όπως:</w:t>
      </w:r>
    </w:p>
    <w:p w:rsidR="00A45935" w:rsidRPr="0095292E" w:rsidRDefault="00A45935" w:rsidP="00230C31">
      <w:pPr>
        <w:pStyle w:val="Hlistbullet"/>
      </w:pPr>
      <w:r>
        <w:t xml:space="preserve">θεσμικές (π.χ. πρόβλεψη εντολών, κανόνων, πολιτικού/νομοθετικού περιβάλλοντος που στηρίζει τις καινοτομίες), </w:t>
      </w:r>
    </w:p>
    <w:p w:rsidR="00A45935" w:rsidRPr="0095292E" w:rsidRDefault="00A45935" w:rsidP="00230C31">
      <w:pPr>
        <w:pStyle w:val="Hlistbullet"/>
      </w:pPr>
      <w:r>
        <w:t xml:space="preserve">διαδικαστικές (π.χ. πηγές ευέλικτης χρηματοδότησης, που ανταποκρίνονται στις ανάγκες των ενδιαφερόμενων φορέων για καινοτομίες), </w:t>
      </w:r>
    </w:p>
    <w:p w:rsidR="00A45935" w:rsidRPr="0095292E" w:rsidRDefault="00A45935" w:rsidP="00230C31">
      <w:pPr>
        <w:pStyle w:val="Hlistbullet"/>
      </w:pPr>
      <w:r>
        <w:t xml:space="preserve">επαγγελματικές (π.χ. πρόσβαση σε κατάρτιση που παρέχει τις κατάλληλες δεξιότητες, γνώσεις και μέσα για την προώθηση των καινοτομιών), </w:t>
      </w:r>
    </w:p>
    <w:p w:rsidR="00A45935" w:rsidRPr="0095292E" w:rsidRDefault="00A45935" w:rsidP="00230C31">
      <w:pPr>
        <w:pStyle w:val="Hlistbullet"/>
      </w:pPr>
      <w:r>
        <w:t xml:space="preserve">οργανωτικές (π.χ. δυνατότητα αλληλεπίδρασης με άλλους εταίρους που αναζητούν καινοτόμες λύσεις), </w:t>
      </w:r>
    </w:p>
    <w:p w:rsidR="00A45935" w:rsidRPr="0095292E" w:rsidRDefault="00A45935" w:rsidP="00230C31">
      <w:pPr>
        <w:pStyle w:val="Hlistbullet"/>
      </w:pPr>
      <w:r>
        <w:t xml:space="preserve">επιχειρησιακές (π.χ. διευκόλυνση της διεθνικής ή διατομεακής καινοτομίας), </w:t>
      </w:r>
    </w:p>
    <w:p w:rsidR="00A45935" w:rsidRPr="0095292E" w:rsidRDefault="00A45935" w:rsidP="00230C31">
      <w:pPr>
        <w:pStyle w:val="Hlistbullet"/>
      </w:pPr>
      <w:r>
        <w:t xml:space="preserve">τεχνικές (π.χ. στήριξη νέων τεχνικών και τεχνολογιών που μπορούν να εφαρμοστούν σε αγροτικούς οικονομικούς τομείς και σε αγροτικές υποδομές). </w:t>
      </w:r>
    </w:p>
    <w:p w:rsidR="00A45935" w:rsidRPr="00E05D08" w:rsidRDefault="00A45935" w:rsidP="00E05D08">
      <w:pPr>
        <w:spacing w:after="120" w:line="280" w:lineRule="atLeast"/>
        <w:mirrorIndents/>
        <w:rPr>
          <w:rFonts w:eastAsia="Times New Roman" w:cs="Times New Roman"/>
          <w:szCs w:val="20"/>
        </w:rPr>
      </w:pPr>
      <w:r>
        <w:t>Το ΠΑΑ μπορεί να στηρίξει την τρίτη διαδρομή συνδυάζοντας διάφορα μέτρα/επιμέρους μέτρα (π.χ. τα επενδυτικά μέτρα παρέχουν ευνοϊκό περιβάλλον για κάθε είδους τεχνική ή τεχνολογική καινοτομία, τα μέτρα ποιότητας και εμπορίας στηρίζουν τις θεσμικές και διαδικαστικές προϋποθέσεις, τα μέτρα μεταφοράς γνώσεων και παροχής συμβουλών προσφέρουν ευνοϊκό επαγγελματικό περιβάλλον)</w:t>
      </w:r>
      <w:r w:rsidR="00F25867">
        <w:rPr>
          <w:lang w:val="en-GB"/>
        </w:rPr>
        <w:t>.</w:t>
      </w:r>
      <w:r w:rsidRPr="00F25867">
        <w:rPr>
          <w:rStyle w:val="FootnoteReference"/>
          <w:rFonts w:eastAsia="Times New Roman" w:cs="Times New Roman"/>
          <w:color w:val="FFFFFF" w:themeColor="background1"/>
          <w:szCs w:val="20"/>
          <w:lang w:eastAsia="de-DE"/>
        </w:rPr>
        <w:footnoteReference w:id="13"/>
      </w:r>
      <w:r w:rsidRPr="00F25867">
        <w:rPr>
          <w:color w:val="auto"/>
        </w:rPr>
        <w:t xml:space="preserve"> </w:t>
      </w:r>
    </w:p>
    <w:p w:rsidR="00A45935" w:rsidRPr="00E05D08" w:rsidRDefault="00A45935" w:rsidP="00E05D08">
      <w:pPr>
        <w:spacing w:after="120" w:line="280" w:lineRule="atLeast"/>
        <w:mirrorIndents/>
        <w:rPr>
          <w:rFonts w:eastAsia="Times New Roman" w:cs="Times New Roman"/>
          <w:szCs w:val="20"/>
        </w:rPr>
      </w:pPr>
      <w:r>
        <w:rPr>
          <w:b/>
          <w:szCs w:val="20"/>
        </w:rPr>
        <w:t>Η δυνατότητα ύπαρξης διαφόρων αυτοσυντηρούμενων βρόχων ανατροφοδότησης</w:t>
      </w:r>
      <w:r>
        <w:t xml:space="preserve"> παρουσιάζεται περαιτέρω στο </w:t>
      </w:r>
      <w:hyperlink w:anchor="Pathways" w:history="1">
        <w:r>
          <w:rPr>
            <w:rStyle w:val="Hyperlink"/>
            <w:sz w:val="20"/>
            <w:szCs w:val="20"/>
          </w:rPr>
          <w:t>σχήμα 1</w:t>
        </w:r>
      </w:hyperlink>
      <w:r>
        <w:t>. Για παράδειγμα:</w:t>
      </w:r>
    </w:p>
    <w:p w:rsidR="00A45935" w:rsidRPr="004508D0" w:rsidRDefault="00A45935" w:rsidP="00230C31">
      <w:pPr>
        <w:pStyle w:val="Hlistbullet"/>
      </w:pPr>
      <w:r>
        <w:lastRenderedPageBreak/>
        <w:t xml:space="preserve">Η διαδικασία τεχνολογικής και/ή θεσμικής καινοτομίας αναπτύσσει την ικανότητα του συστήματος για καινοτομία, η οποία παρέχει άμεση ανατροφοδότηση και εντείνει τον ρυθμό και την ποιότητα της καινοτομίας· </w:t>
      </w:r>
    </w:p>
    <w:p w:rsidR="00A45935" w:rsidRPr="000828C6" w:rsidRDefault="00A45935" w:rsidP="00230C31">
      <w:pPr>
        <w:pStyle w:val="Hlistbullet"/>
      </w:pPr>
      <w:r>
        <w:t xml:space="preserve">Οι παρεμβάσεις μέσω του ΠΑΑ για τη στήριξη της πολιτικής που ευνοεί την καινοτομία (διαδρομή 3) οδηγούν σε ταχύτερους ρυθμούς καινοτομίας, οι οποίοι αποφέρουν μεγαλύτερη ικανότητα για καινοτομία. </w:t>
      </w:r>
    </w:p>
    <w:p w:rsidR="00A45935" w:rsidRPr="00E05D08" w:rsidRDefault="00A45935" w:rsidP="00E05D08">
      <w:pPr>
        <w:spacing w:after="120" w:line="280" w:lineRule="atLeast"/>
        <w:mirrorIndents/>
        <w:rPr>
          <w:rFonts w:eastAsia="Times New Roman" w:cs="Times New Roman"/>
          <w:szCs w:val="20"/>
        </w:rPr>
      </w:pPr>
      <w:r>
        <w:t>Η ενίσχυση της ικανότητας για καινοτομία βοηθά τους φορείς καινοτομίας να δημιουργήσουν και να αξιοποιήσουν δεσμούς, προκειμένου να επηρεάσουν το καθοριστικό θεσμικό και πολιτικό περιβάλλον προς όφελος των καινοτομιών που προωθεί το ΠΑΑ. Οι αυτοσυντηρούμενοι βρόχοι ανατροφοδότησης είναι σημαντικοί διότι παρέχουν προοπτική μόχλευσης, γεγονός που σημαίνει ότι σχετικά μικρές παρεμβάσεις μέσω του ΠΑΑ μπορούν να έχουν καταλυτική δράση και να υποστηρίξουν αποτελέσματα σε μεγαλύτερη κλίμακα (π.χ. μια ενεργειακά αποδοτική καινοτόμος γεωργική πρακτική που αναπτύχθηκε στο πλαίσιο ενός έργου καινοτομίας του ΠΑΑ διαχέεται ως θετική ανατροφοδότηση σε άλλους που την υιοθετούν, στη συνέχεια επεκτείνεται και επηρεάζει τις αποφάσεις και άλλων να υιοθετήσουν τις ίδιες πρακτικές, οδηγώντας σε σημαντικά αποτελέσματα όσον αφορά την εξοικονόμηση ενέργειας στην περιοχή).</w:t>
      </w:r>
      <w:r w:rsidR="00F25867" w:rsidRPr="00F25867">
        <w:rPr>
          <w:rStyle w:val="FootnoteReference"/>
          <w:color w:val="auto"/>
        </w:rPr>
        <w:t xml:space="preserve"> </w:t>
      </w:r>
      <w:r w:rsidR="00F25867" w:rsidRPr="00F25867">
        <w:rPr>
          <w:rStyle w:val="FootnoteReference"/>
          <w:color w:val="auto"/>
        </w:rPr>
        <w:footnoteReference w:id="14"/>
      </w:r>
      <w:r>
        <w:t xml:space="preserve"> Επιπρόσθετα, τα καινοτόμα έργα μπορεί να οδηγήσουν σε βελτίωση των μέτρων στο πλαίσιο του ΠΑΑ. Για παράδειγμα, στο πλαίσιο ενός καινοτόμου έργου μπορεί να δοκιμαστεί η δυνατότητα εφαρμογής και η οικονομική αποδοτικότητα ενός μελλοντικού γεωργο-περιβαλλοντικο-κλιματικού μέτρου. </w:t>
      </w:r>
    </w:p>
    <w:p w:rsidR="00A45935" w:rsidRPr="00E05D08" w:rsidRDefault="00A45935" w:rsidP="00230C31">
      <w:pPr>
        <w:pStyle w:val="HHeading4"/>
      </w:pPr>
      <w:r>
        <w:t xml:space="preserve">Πώς αλληλεπιδρά το ΠΑΑ με το ευρύτερο σύστημα καινοτομίας; </w:t>
      </w:r>
    </w:p>
    <w:p w:rsidR="00A45935" w:rsidRPr="00E05D08" w:rsidRDefault="00A45935" w:rsidP="00E05D08">
      <w:pPr>
        <w:spacing w:after="120" w:line="280" w:lineRule="atLeast"/>
        <w:mirrorIndents/>
        <w:rPr>
          <w:rFonts w:eastAsia="Times New Roman" w:cs="Times New Roman"/>
          <w:szCs w:val="20"/>
        </w:rPr>
      </w:pPr>
      <w:r>
        <w:t xml:space="preserve">Το ΠΑΑ παράγει δύο είδη αποτελεσμάτων που συνδέονται με την καινοτομία: </w:t>
      </w:r>
    </w:p>
    <w:p w:rsidR="00A45935" w:rsidRPr="000828C6" w:rsidRDefault="00A45935" w:rsidP="001744D0">
      <w:pPr>
        <w:pStyle w:val="Hlistbullet"/>
      </w:pPr>
      <w:r>
        <w:rPr>
          <w:b/>
        </w:rPr>
        <w:t>Ευνοϊκά αποτελέσματα</w:t>
      </w:r>
      <w:r>
        <w:t xml:space="preserve"> που σχετίζονται με τις τρεις διαδρομές (π.χ. αλλαγές στον ρυθμό και την ποιότητα των αναδυόμενων καινοτόμων ιδεών· ικανότητα για καινοτομία· και ευνοϊκό περιβάλλον). </w:t>
      </w:r>
    </w:p>
    <w:p w:rsidR="00A45935" w:rsidRPr="000828C6" w:rsidRDefault="00A45935" w:rsidP="001744D0">
      <w:pPr>
        <w:pStyle w:val="Hlistbullet"/>
      </w:pPr>
      <w:r>
        <w:rPr>
          <w:b/>
        </w:rPr>
        <w:t>Καινοτόμα αποτελέσματα</w:t>
      </w:r>
      <w:r>
        <w:t xml:space="preserve"> που προκύπτουν χάρη στα ευνοϊκά αποτελέσματα (π.χ. νέες πρακτικές, αύξηση εισοδήματος, υιοθέτηση πιο βιώσιμων γεωργικών πρακτικών).</w:t>
      </w:r>
    </w:p>
    <w:p w:rsidR="00A45935" w:rsidRPr="00E05D08" w:rsidRDefault="00A45935" w:rsidP="00E05D08">
      <w:pPr>
        <w:spacing w:after="120" w:line="280" w:lineRule="atLeast"/>
        <w:mirrorIndents/>
        <w:rPr>
          <w:rFonts w:eastAsia="Times New Roman" w:cs="Times New Roman"/>
          <w:szCs w:val="20"/>
        </w:rPr>
      </w:pPr>
      <w:r>
        <w:t>Και τα δύο είδη αποτελεσμάτων συμβάλλουν στους στόχους του ΠΑΑ και μπορούν να αξιολογηθούν με τη χρήση των κατάλληλων δεικτών. Το κατά πόσο και πώς επηρεάζουν το υφιστάμενο σύστημα καινοτομίας εξαρτάται από τον τρόπο με τον οποίο οι δικαιούχοι του ΠΑΑ ερμηνεύουν και κατανοούν αυτά που προσφέρει το πρόγραμμα</w:t>
      </w:r>
      <w:r>
        <w:rPr>
          <w:rFonts w:eastAsia="Times New Roman" w:cs="Times New Roman"/>
          <w:szCs w:val="20"/>
          <w:vertAlign w:val="superscript"/>
          <w:lang w:eastAsia="de-DE"/>
        </w:rPr>
        <w:footnoteReference w:id="15"/>
      </w:r>
      <w:r>
        <w:t xml:space="preserve">. Η αντίδρασή τους επηρεάζεται επίσης από το παρελθόν και άλλες εν εξελίξει διαδικασίες, εκτός του ΠΑΑ, που μπορούν να αποτελέσουν το έναυσμα για καινοτομίες: </w:t>
      </w:r>
    </w:p>
    <w:p w:rsidR="00A45935" w:rsidRPr="00161D7E" w:rsidRDefault="00A45935" w:rsidP="001744D0">
      <w:pPr>
        <w:pStyle w:val="Hlistbullet"/>
      </w:pPr>
      <w:r>
        <w:t xml:space="preserve">ερευνητικές δραστηριότητες σχετικά με νέες τεχνολογίες και διαδικασίες, </w:t>
      </w:r>
    </w:p>
    <w:p w:rsidR="00A45935" w:rsidRPr="00161D7E" w:rsidRDefault="00A45935" w:rsidP="001744D0">
      <w:pPr>
        <w:pStyle w:val="Hlistbullet"/>
      </w:pPr>
      <w:r>
        <w:t xml:space="preserve">σχέδια εκλαΐκευσης και εκπαίδευσης για την προώθηση της καινοτομίας, </w:t>
      </w:r>
    </w:p>
    <w:p w:rsidR="00A45935" w:rsidRPr="00161D7E" w:rsidRDefault="00A45935" w:rsidP="001744D0">
      <w:pPr>
        <w:pStyle w:val="Hlistbullet"/>
      </w:pPr>
      <w:r>
        <w:t xml:space="preserve">δημοσιονομικά μέτρα, εγγυήσεις πιστώσεων, καινοτόμες δημόσιες συμβάσεις, </w:t>
      </w:r>
    </w:p>
    <w:p w:rsidR="00A45935" w:rsidRPr="00161D7E" w:rsidRDefault="00A45935" w:rsidP="001744D0">
      <w:pPr>
        <w:pStyle w:val="Hlistbullet"/>
      </w:pPr>
      <w:r>
        <w:t>πρόγραμμα «Ορίζων 2020» και άλλα εθνικά/περιφερειακά προγράμματα χρηματοδοτούμενα από τα ΕΔΕΤ, που παρεμβαίνουν με την ίδια καινοτόμο προσέγγιση όπως και το ΠΑΑ,</w:t>
      </w:r>
    </w:p>
    <w:p w:rsidR="00A45935" w:rsidRPr="00161D7E" w:rsidRDefault="00A45935" w:rsidP="001744D0">
      <w:pPr>
        <w:pStyle w:val="Hlistbullet"/>
      </w:pPr>
      <w:r>
        <w:t>ζήτηση της αγοράς.</w:t>
      </w:r>
    </w:p>
    <w:p w:rsidR="00A45935" w:rsidRPr="00E05D08" w:rsidRDefault="00A45935" w:rsidP="00E05D08">
      <w:pPr>
        <w:spacing w:after="120" w:line="280" w:lineRule="atLeast"/>
        <w:mirrorIndents/>
        <w:rPr>
          <w:rFonts w:eastAsia="Times New Roman" w:cs="Times New Roman"/>
          <w:szCs w:val="20"/>
        </w:rPr>
      </w:pPr>
      <w:r>
        <w:lastRenderedPageBreak/>
        <w:t xml:space="preserve">Αντίστοιχα, οι πράξεις του ΠΑΑ θα επηρεάσουν τον τρόπο με τον οποίο ερμηνεύονται και αξιοποιούνται άλλες εν εξελίξει διαδικασίες και παρεμβάσεις και θα επηρεαστούν επίσης από αυτές. </w:t>
      </w:r>
    </w:p>
    <w:p w:rsidR="00A45935" w:rsidRPr="00E05D08" w:rsidRDefault="00A45935" w:rsidP="00E05D08">
      <w:pPr>
        <w:spacing w:after="120" w:line="280" w:lineRule="atLeast"/>
        <w:mirrorIndents/>
        <w:rPr>
          <w:rFonts w:eastAsia="Times New Roman" w:cs="Times New Roman"/>
          <w:szCs w:val="20"/>
        </w:rPr>
      </w:pPr>
      <w:r>
        <w:t xml:space="preserve">Τα ΠΑΑ δεν υλοποιούνται εν κενώ, αλλά δρουν εντός ενός σύνθετου συστήματος καινοτομίας, σε ένα δεδομένο κοινωνικοοικονομικό πλαίσιο. Η βασική θέση αναφοράς του ΠΑΑ εξαρτάται από το υφιστάμενο πλαίσιο καινοτομίας (δηλ. τους φορείς καινοτομίας και τις μεταξύ τους αλληλεπιδράσεις, το υφιστάμενο ευνοϊκό περιβάλλον, τη ζήτηση της αγοράς, άλλες παρεμβάσεις). </w:t>
      </w:r>
    </w:p>
    <w:p w:rsidR="000E0FE4" w:rsidRDefault="00A45935" w:rsidP="00E05D08">
      <w:pPr>
        <w:spacing w:after="120" w:line="280" w:lineRule="atLeast"/>
        <w:mirrorIndents/>
        <w:rPr>
          <w:rFonts w:eastAsia="Times New Roman" w:cs="Times New Roman"/>
          <w:szCs w:val="20"/>
        </w:rPr>
      </w:pPr>
      <w:r>
        <w:t xml:space="preserve">Στόχος κάθε αξιολόγησης θα είναι να αποτυπώσει τη βασική θέση αναφοράς και να αποδώσει κάθε παρατηρούμενη αλλαγή στην υλοποίηση των μέτρων και των επιμέρους μέτρων του ΠΑΑ. </w:t>
      </w:r>
      <w:r>
        <w:br w:type="page"/>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967CFD" w:rsidRDefault="00A45935" w:rsidP="00230C31">
      <w:pPr>
        <w:pStyle w:val="HHeading2"/>
      </w:pPr>
      <w:bookmarkStart w:id="17" w:name="_Toc493151896"/>
      <w:bookmarkStart w:id="18" w:name="_Toc501382122"/>
      <w:bookmarkStart w:id="19" w:name="_Toc508964809"/>
      <w:r>
        <w:lastRenderedPageBreak/>
        <w:t>Το πλαίσιο πολιτικής της ΕΕ</w:t>
      </w:r>
      <w:bookmarkEnd w:id="17"/>
      <w:bookmarkEnd w:id="18"/>
      <w:bookmarkEnd w:id="19"/>
      <w:r>
        <w:t xml:space="preserve"> </w:t>
      </w:r>
    </w:p>
    <w:p w:rsidR="00A45935" w:rsidRPr="00967CFD" w:rsidRDefault="00A45935" w:rsidP="009B603C">
      <w:pPr>
        <w:pStyle w:val="HHeading3"/>
        <w:spacing w:line="280" w:lineRule="exact"/>
      </w:pPr>
      <w:bookmarkStart w:id="20" w:name="Policy_framework"/>
      <w:bookmarkStart w:id="21" w:name="_Toc501382123"/>
      <w:bookmarkStart w:id="22" w:name="_Toc508964810"/>
      <w:bookmarkEnd w:id="20"/>
      <w:r>
        <w:t>Το πλαίσιο πολιτικής για την καινοτομία στην ΕΕ και στην πολιτική αγροτικής ανάπτυξης</w:t>
      </w:r>
      <w:bookmarkEnd w:id="21"/>
      <w:bookmarkEnd w:id="22"/>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Υπάρχουν δύο χρηματοδοτικά μέσα στην ΕΕ ειδικά για τη στήριξη της καινοτομίας στη γεωργία και τη δασοκομία</w:t>
      </w:r>
      <w:r>
        <w:rPr>
          <w:szCs w:val="20"/>
          <w:shd w:val="clear" w:color="auto" w:fill="FFFFFF"/>
        </w:rPr>
        <w:t>. Το ένα είναι η πολιτική αγροτικής ανάπτυξης, η οποία αποτελεί τον έναν από τους δύο πυλώνες της κοινής γεωργικής πολιτικής (ΚΓΠ). Το άλλο είναι το πρόγραμμα «Ορίζων 2020»</w:t>
      </w:r>
      <w:r>
        <w:rPr>
          <w:rFonts w:eastAsia="Times New Roman" w:cs="Times New Roman"/>
          <w:szCs w:val="20"/>
          <w:shd w:val="clear" w:color="auto" w:fill="FFFFFF"/>
          <w:vertAlign w:val="superscript"/>
          <w:lang w:eastAsia="de-DE"/>
        </w:rPr>
        <w:footnoteReference w:id="16"/>
      </w:r>
      <w:r>
        <w:rPr>
          <w:szCs w:val="20"/>
          <w:shd w:val="clear" w:color="auto" w:fill="FFFFFF"/>
        </w:rPr>
        <w:t>, το πρόγραμμα-πλαίσιο της ΕΕ για την έρευνα και την καινοτομία, το οποίο υλοποιεί την εμβληματική πρωτοβουλία «Ένωση καινοτομίας»</w:t>
      </w:r>
      <w:r>
        <w:rPr>
          <w:rFonts w:eastAsia="Calibri" w:cs="Arial"/>
          <w:szCs w:val="20"/>
          <w:shd w:val="clear" w:color="auto" w:fill="FFFFFF"/>
          <w:vertAlign w:val="superscript"/>
          <w:lang w:eastAsia="de-DE"/>
        </w:rPr>
        <w:footnoteReference w:id="17"/>
      </w:r>
      <w:r>
        <w:rPr>
          <w:szCs w:val="20"/>
          <w:shd w:val="clear" w:color="auto" w:fill="FFFFFF"/>
        </w:rPr>
        <w:t xml:space="preserve">. </w:t>
      </w:r>
    </w:p>
    <w:p w:rsidR="00A45935" w:rsidRDefault="00A45935" w:rsidP="001744D0">
      <w:pPr>
        <w:spacing w:after="120" w:line="280" w:lineRule="atLeast"/>
        <w:mirrorIndents/>
        <w:rPr>
          <w:rFonts w:eastAsia="Times New Roman" w:cs="Times New Roman"/>
          <w:b/>
          <w:sz w:val="18"/>
          <w:szCs w:val="18"/>
        </w:rPr>
      </w:pPr>
      <w:r>
        <w:rPr>
          <w:b/>
          <w:szCs w:val="20"/>
          <w:shd w:val="clear" w:color="auto" w:fill="FFFFFF"/>
        </w:rPr>
        <w:t>Η πολιτική αγροτικής ανάπτυξης σχεδιάστηκε με σκοπό τη συνέργεια με το πρόγραμμα «Ορίζων 2020»</w:t>
      </w:r>
      <w:r>
        <w:rPr>
          <w:szCs w:val="20"/>
          <w:shd w:val="clear" w:color="auto" w:fill="FFFFFF"/>
        </w:rPr>
        <w:t>, προκειμένου να επιτευχθούν οι στόχοι καινοτομίας της ΕΕ, ιδίως οι στόχοι για έξυπνη ανάπτυξη. Μεταξύ των πρωταρχικών στόχων της ΕΕ για έξυπνη ανάπτυξη είναι η αύξηση των συνδυασμένων δημόσιων και ιδιωτικών επενδύσεων στην Ε&amp;A σε 3 % του ΑΕΠ της ΕΕ, καθώς και η επίτευξη καλύτερων συνθηκών για την Ε&amp;A και για την καινοτομία</w:t>
      </w:r>
      <w:r>
        <w:rPr>
          <w:rFonts w:eastAsia="Times New Roman" w:cs="Times New Roman"/>
          <w:szCs w:val="20"/>
          <w:shd w:val="clear" w:color="auto" w:fill="FFFFFF"/>
          <w:vertAlign w:val="superscript"/>
          <w:lang w:eastAsia="de-DE"/>
        </w:rPr>
        <w:footnoteReference w:id="18"/>
      </w:r>
      <w:r>
        <w:rPr>
          <w:szCs w:val="20"/>
          <w:shd w:val="clear" w:color="auto" w:fill="FFFFFF"/>
        </w:rPr>
        <w:t xml:space="preserve">. </w:t>
      </w:r>
    </w:p>
    <w:p w:rsidR="00A45935" w:rsidRPr="00967CFD" w:rsidRDefault="00EB5F7A" w:rsidP="00EB5F7A">
      <w:pPr>
        <w:pStyle w:val="HHeadingfigures"/>
        <w:numPr>
          <w:ilvl w:val="0"/>
          <w:numId w:val="0"/>
        </w:numPr>
        <w:ind w:left="604"/>
      </w:pPr>
      <w:bookmarkStart w:id="23" w:name="_Toc508964836"/>
      <w:r>
        <w:t>Διάγραμμα 2.</w:t>
      </w:r>
      <w:r>
        <w:tab/>
      </w:r>
      <w:r w:rsidR="00A45935">
        <w:t>Το πλαίσιο πολιτικής για την καινοτομία στην ΕΕ και στην πολιτική αγροτικής ανάπτυξης</w:t>
      </w:r>
      <w:bookmarkEnd w:id="23"/>
      <w:r w:rsidR="00A45935">
        <w:t xml:space="preserve"> </w:t>
      </w:r>
    </w:p>
    <w:p w:rsidR="00A45935" w:rsidRPr="00E05D08" w:rsidRDefault="00CD0DDD" w:rsidP="00E05D08">
      <w:pPr>
        <w:spacing w:before="60" w:after="200" w:line="276" w:lineRule="auto"/>
        <w:jc w:val="center"/>
        <w:rPr>
          <w:rFonts w:eastAsia="Calibri" w:cs="Arial"/>
          <w:szCs w:val="20"/>
        </w:rPr>
      </w:pPr>
      <w:r w:rsidRPr="00CD0DDD">
        <w:rPr>
          <w:noProof/>
          <w:lang w:val="en-GB" w:eastAsia="en-GB"/>
        </w:rPr>
        <w:drawing>
          <wp:inline distT="0" distB="0" distL="0" distR="0" wp14:anchorId="0E332CD1" wp14:editId="5C4B11E2">
            <wp:extent cx="5731510" cy="3218707"/>
            <wp:effectExtent l="0" t="0" r="254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218707"/>
                    </a:xfrm>
                    <a:prstGeom prst="rect">
                      <a:avLst/>
                    </a:prstGeom>
                    <a:noFill/>
                    <a:ln>
                      <a:noFill/>
                    </a:ln>
                  </pic:spPr>
                </pic:pic>
              </a:graphicData>
            </a:graphic>
          </wp:inline>
        </w:drawing>
      </w:r>
    </w:p>
    <w:p w:rsidR="00A45935" w:rsidRPr="00E05D08" w:rsidRDefault="00A45935" w:rsidP="00E05D08">
      <w:pPr>
        <w:suppressAutoHyphens/>
        <w:spacing w:before="60" w:after="140" w:line="240" w:lineRule="auto"/>
        <w:ind w:left="1134" w:right="1134"/>
        <w:mirrorIndents/>
        <w:jc w:val="center"/>
        <w:rPr>
          <w:rFonts w:eastAsia="Times New Roman" w:cs="Times New Roman"/>
          <w:i/>
          <w:sz w:val="16"/>
          <w:szCs w:val="16"/>
        </w:rPr>
      </w:pPr>
      <w:r>
        <w:rPr>
          <w:i/>
          <w:sz w:val="16"/>
          <w:szCs w:val="16"/>
        </w:rPr>
        <w:t>Πηγή: Ευρωπαϊκό Helpdesk αξιολόγησης για την αγροτική ανάπτυξη, 2017</w:t>
      </w:r>
    </w:p>
    <w:p w:rsidR="00A45935" w:rsidRPr="00E05D08" w:rsidRDefault="00A45935" w:rsidP="00E05D08">
      <w:pPr>
        <w:spacing w:after="120" w:line="280" w:lineRule="atLeast"/>
        <w:mirrorIndents/>
        <w:rPr>
          <w:rFonts w:eastAsia="Times New Roman" w:cs="Times New Roman"/>
          <w:szCs w:val="20"/>
        </w:rPr>
      </w:pPr>
      <w:r>
        <w:rPr>
          <w:b/>
          <w:szCs w:val="20"/>
        </w:rPr>
        <w:t>Η κοινή γεωργική πολιτική διαδραματίζει σημαντικό ρόλο στη συμβολή στην έξυπνη ανάπτυξη μέσω της καινοτομίας</w:t>
      </w:r>
      <w:r>
        <w:t xml:space="preserve">. Η επίτευξη των τριών στόχων της ΚΓΠ απαιτεί δημιουργία, ανταλλαγή και υλοποίηση νέων γνώσεων, νέων τεχνολογιών, νέων προϊόντων και νέων τρόπων οργάνωσης, εκμάθησης ή συνεργασίας. </w:t>
      </w:r>
    </w:p>
    <w:p w:rsidR="00A45935" w:rsidRPr="00E05D08" w:rsidRDefault="00A45935" w:rsidP="00E05D08">
      <w:pPr>
        <w:spacing w:after="120" w:line="280" w:lineRule="atLeast"/>
        <w:mirrorIndents/>
        <w:rPr>
          <w:rFonts w:eastAsia="Calibri" w:cs="Times New Roman"/>
          <w:szCs w:val="20"/>
        </w:rPr>
      </w:pPr>
      <w:r>
        <w:rPr>
          <w:b/>
          <w:szCs w:val="20"/>
        </w:rPr>
        <w:lastRenderedPageBreak/>
        <w:t>Η αρχιτεκτονική της πολιτικής αγροτικής ανάπτυξης για την περίοδο 2014-2020 τονίζει τη σπουδαιότητα της καινοτομίας</w:t>
      </w:r>
      <w:r>
        <w:t xml:space="preserve"> κατά τα στάδια του σχεδιασμού και της υλοποίησης των προγραμμάτων.</w:t>
      </w:r>
      <w:r>
        <w:rPr>
          <w:rFonts w:eastAsia="Times New Roman" w:cs="Times New Roman"/>
          <w:szCs w:val="20"/>
          <w:vertAlign w:val="superscript"/>
          <w:lang w:eastAsia="de-DE"/>
        </w:rPr>
        <w:footnoteReference w:id="19"/>
      </w:r>
      <w:r>
        <w:t xml:space="preserve"> Η καινοτομία στην αγροτική ανάπτυξη μπορεί να σχετίζεται με ευρύ φάσμα τομέων, συμπεριλαμβανομένων: της ανάπτυξης σε επίπεδο γεωργικής εκμετάλλευσης, της οργάνωσης της αλυσίδας τροφίμων και της διαχείρισης κινδύνου, της διατήρησης και της ενίσχυσης των οικοσυστημάτων, της προώθησης της κοινωνικής ένταξης, της μείωσης της φτώχειας, της οικονομικής ανάπτυξης των αγροτικών περιοχών κ.λπ.</w:t>
      </w:r>
    </w:p>
    <w:p w:rsidR="00A45935" w:rsidRPr="00E05D08" w:rsidRDefault="00A45935" w:rsidP="00230C31">
      <w:pPr>
        <w:pStyle w:val="HHeading4"/>
        <w:rPr>
          <w:rFonts w:eastAsia="Calibri"/>
        </w:rPr>
      </w:pPr>
      <w:r>
        <w:t>Πώς συνδέεται η καινοτομία με τα προγράμματα αγροτικής ανάπτυξης;</w:t>
      </w:r>
    </w:p>
    <w:p w:rsidR="00A45935" w:rsidRPr="00E05D08" w:rsidRDefault="00347A2C" w:rsidP="00E05D08">
      <w:pPr>
        <w:spacing w:after="120" w:line="280" w:lineRule="atLeast"/>
        <w:mirrorIndents/>
        <w:rPr>
          <w:rFonts w:eastAsia="Times New Roman" w:cs="Times New Roman"/>
          <w:szCs w:val="20"/>
        </w:rPr>
      </w:pPr>
      <w:r>
        <w:rPr>
          <w:b/>
          <w:szCs w:val="20"/>
        </w:rPr>
        <w:t>Η περιγραφή της «προσέγγισης όσον αφορά την καινοτομία, ώστε να επιτευχθούν οι προτεραιότητες της Ένωσης για την αγροτική ανάπτυξη» του ΠΑΑ</w:t>
      </w:r>
      <w:r>
        <w:t xml:space="preserve"> περιλαμβάνεται στη στρατηγική ΠΑΑ</w:t>
      </w:r>
      <w:r>
        <w:rPr>
          <w:rFonts w:eastAsia="Times New Roman" w:cs="Times New Roman"/>
          <w:szCs w:val="20"/>
          <w:vertAlign w:val="superscript"/>
          <w:lang w:eastAsia="de-DE"/>
        </w:rPr>
        <w:footnoteReference w:id="20"/>
      </w:r>
      <w:r>
        <w:t>. Η περιγραφή αυτή περιλαμβάνει επίσης την ΕΣΚ για την παραγωγικότητα και τη βιωσιμότητα της γεωργίας. Κάθε στρατηγική καλύπτει, σε επίπεδο προτεραιοτήτων της Ένωσης, συγκεκριμένες ανάγκες σχετικά με την καινοτομία, όπως προσδιορίζονται στην ανάλυση SWOT και στην αξιολόγηση αναγκών</w:t>
      </w:r>
      <w:r>
        <w:rPr>
          <w:rFonts w:eastAsia="Times New Roman" w:cs="Times New Roman"/>
          <w:szCs w:val="20"/>
          <w:vertAlign w:val="superscript"/>
          <w:lang w:eastAsia="de-DE"/>
        </w:rPr>
        <w:footnoteReference w:id="21"/>
      </w:r>
      <w:r>
        <w:t>. Επιπλέον, όλες οι προτεραιότητες της Ένωσης συνεισφέρουν στην επίτευξη του οριζόντιου στόχου σχετικά με την καινοτομία</w:t>
      </w:r>
      <w:r>
        <w:rPr>
          <w:rFonts w:eastAsia="Times New Roman" w:cs="Times New Roman"/>
          <w:szCs w:val="20"/>
          <w:vertAlign w:val="superscript"/>
          <w:lang w:eastAsia="de-DE"/>
        </w:rPr>
        <w:footnoteReference w:id="22"/>
      </w:r>
      <w:r>
        <w:t xml:space="preserve">. </w:t>
      </w:r>
    </w:p>
    <w:p w:rsidR="00A45935" w:rsidRPr="00E05D08" w:rsidRDefault="00A45935" w:rsidP="00E05D08">
      <w:pPr>
        <w:spacing w:after="120" w:line="280" w:lineRule="atLeast"/>
        <w:mirrorIndents/>
        <w:rPr>
          <w:rFonts w:eastAsia="Times New Roman" w:cs="Times New Roman"/>
          <w:szCs w:val="20"/>
        </w:rPr>
      </w:pPr>
      <w:r>
        <w:t xml:space="preserve">Πέραν του γεγονότος ότι η καινοτομία αποτελεί οριζόντιο στόχο, στο πλαίσιο των ΠΑΑ θεωρείται τμήμα των δύο ΤΕ της οριζόντιας προτεραιότητας 1 της Ένωσης «Προώθηση της μεταφοράς γνώσεων και της καινοτομίας στη γεωργία, τη δασοκομία και τις αγροτικές περιοχές»: </w:t>
      </w:r>
    </w:p>
    <w:p w:rsidR="00A45935" w:rsidRPr="00165BF1" w:rsidRDefault="00A45935" w:rsidP="008C0B17">
      <w:pPr>
        <w:numPr>
          <w:ilvl w:val="0"/>
          <w:numId w:val="70"/>
        </w:numPr>
        <w:mirrorIndents/>
        <w:rPr>
          <w:szCs w:val="20"/>
        </w:rPr>
      </w:pPr>
      <w:r>
        <w:t>ΤΕ 1Α: προώθηση της καινοτομίας, της συνεργασίας και της ανάπτυξης της βάσης γνώσεων στις αγροτικές περιοχές,</w:t>
      </w:r>
    </w:p>
    <w:p w:rsidR="00A45935" w:rsidRPr="00165BF1" w:rsidRDefault="00A45935" w:rsidP="008C0B17">
      <w:pPr>
        <w:numPr>
          <w:ilvl w:val="0"/>
          <w:numId w:val="70"/>
        </w:numPr>
        <w:mirrorIndents/>
        <w:rPr>
          <w:szCs w:val="20"/>
        </w:rPr>
      </w:pPr>
      <w:r>
        <w:t>ΤΕ 1Β: ενίσχυση των δεσμών μεταξύ γεωργίας, παραγωγής τροφίμων και δασοκομίας, καθώς και της έρευνας και καινοτομίας, μεταξύ άλλων και με στόχο τη βελτιωμένη περιβαλλοντική διαχείριση και αποδοτικότητα.</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rPr>
        <w:t>Τα ΠΑΑ διαθέτουν ιδιαίτερη ευελιξία</w:t>
      </w:r>
      <w:r>
        <w:t xml:space="preserve"> </w:t>
      </w:r>
      <w:r>
        <w:rPr>
          <w:b/>
          <w:szCs w:val="20"/>
        </w:rPr>
        <w:t>όσον αφορά την αξιοποίηση και τον συνδυασμό μέτρων</w:t>
      </w:r>
      <w:r>
        <w:t xml:space="preserve"> για την αντιμετώπιση τοπικών αναγκών και αναγκών που σχετίζονται με την καινοτομία, καθώς και την ικανότητά τους να επιτυγχάνουν συνέργειες. Τα μέτρα μπορούν να προγραμματιστούν στο πλαίσιο διαφόρων προτεραιοτήτων και ΤΕ, προκειμένου να μεγιστοποιηθούν οι συνεισφορές τους στους σχετικούς στόχους. </w:t>
      </w:r>
      <w:r>
        <w:rPr>
          <w:szCs w:val="20"/>
          <w:shd w:val="clear" w:color="auto" w:fill="FFFFFF"/>
        </w:rPr>
        <w:t>Ορισμένα μέτρα του ΠΑΑ μπορούν μάλιστα να έχουν άμεσα αποτελέσματα στον τομέα της καινοτομίας, ιδίως στο πλαίσιο των ΤΕ 1Α και 1Β:</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Μέτρο 1 Δράσεις μεταφοράς γνώσεων και ενημέρωσης</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Μέτρο 2 Συμβουλευτικές υπηρεσίες</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Μέτρο 16 Συνεργασία (στηρίζει την ίδρυση και λειτουργία των επιχειρησιακών ομάδων της ΕΣΚ-AGRI).</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Μέτρο 19 LEADER/CLLD το οποίο προάγει την καινοτομία ως μια από τις αρχές του LEADER και ενθαρρύνει τις καινοτόμες δράσεις μικρής κλίμακας σε όλους τους τομείς της αγροτικής ζωής (οικονομικό, κοινωνικό, περιβαλλοντικό)</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rPr>
        <w:t>Μέτρα προώθησης της καινοτομίας μπορούν επίσης να προγραμματιστούν στο πλαίσιο άλλων ΤΕ.</w:t>
      </w:r>
      <w:r>
        <w:t xml:space="preserve"> Το μέτρο 16, για παράδειγμα, μπορεί να συνδεθεί με τους περισσότερους ΤΕ και προτεραιότητες αγροτικής ανάπτυξης. Πρόκειται για το κύριο μέτρο αγροτικής ανάπτυξης για τη </w:t>
      </w:r>
      <w:r>
        <w:lastRenderedPageBreak/>
        <w:t xml:space="preserve">στήριξη της </w:t>
      </w:r>
      <w:r>
        <w:rPr>
          <w:b/>
          <w:szCs w:val="20"/>
          <w:shd w:val="clear" w:color="auto" w:fill="FFFFFF"/>
        </w:rPr>
        <w:t>ευρωπαϊκής σύμπραξης καινοτομίας για την παραγωγικότητα και τη βιωσιμότητα της γεωργίας</w:t>
      </w:r>
      <w:r>
        <w:rPr>
          <w:szCs w:val="20"/>
          <w:shd w:val="clear" w:color="auto" w:fill="FFFFFF"/>
        </w:rPr>
        <w:t xml:space="preserve"> (ΕΣΚ-AGRI). </w:t>
      </w:r>
    </w:p>
    <w:p w:rsidR="00D461AB" w:rsidRPr="00D461AB" w:rsidRDefault="00A45935" w:rsidP="002F229A">
      <w:pPr>
        <w:spacing w:after="120" w:line="280" w:lineRule="atLeast"/>
        <w:mirrorIndents/>
        <w:rPr>
          <w:rFonts w:eastAsia="Times New Roman" w:cs="Times New Roman"/>
          <w:color w:val="FFFFFF" w:themeColor="background1"/>
          <w:szCs w:val="20"/>
          <w:shd w:val="clear" w:color="auto" w:fill="FFFFFF"/>
        </w:rPr>
      </w:pPr>
      <w:r>
        <w:br w:type="page"/>
      </w:r>
      <w:r w:rsidR="00EA33B2">
        <w:rPr>
          <w:rFonts w:eastAsia="Times New Roman" w:cs="Times New Roman"/>
          <w:noProof/>
          <w:szCs w:val="20"/>
          <w:highlight w:val="yellow"/>
          <w:lang w:val="en-GB" w:eastAsia="en-GB"/>
        </w:rPr>
        <w:lastRenderedPageBreak/>
        <mc:AlternateContent>
          <mc:Choice Requires="wps">
            <w:drawing>
              <wp:anchor distT="0" distB="0" distL="114300" distR="114300" simplePos="0" relativeHeight="251652096" behindDoc="0" locked="0" layoutInCell="1" allowOverlap="1" wp14:anchorId="497CC760" wp14:editId="52F99341">
                <wp:simplePos x="0" y="0"/>
                <wp:positionH relativeFrom="page">
                  <wp:posOffset>923925</wp:posOffset>
                </wp:positionH>
                <wp:positionV relativeFrom="paragraph">
                  <wp:posOffset>-47625</wp:posOffset>
                </wp:positionV>
                <wp:extent cx="5671820" cy="5400675"/>
                <wp:effectExtent l="0" t="0" r="24130" b="28575"/>
                <wp:wrapSquare wrapText="bothSides"/>
                <wp:docPr id="58" name="Rectangle: Diagonal Corners Rounded 58"/>
                <wp:cNvGraphicFramePr/>
                <a:graphic xmlns:a="http://schemas.openxmlformats.org/drawingml/2006/main">
                  <a:graphicData uri="http://schemas.microsoft.com/office/word/2010/wordprocessingShape">
                    <wps:wsp>
                      <wps:cNvSpPr/>
                      <wps:spPr>
                        <a:xfrm>
                          <a:off x="0" y="0"/>
                          <a:ext cx="5671820" cy="5400675"/>
                        </a:xfrm>
                        <a:prstGeom prst="round2DiagRect">
                          <a:avLst>
                            <a:gd name="adj1" fmla="val 6224"/>
                            <a:gd name="adj2" fmla="val 197"/>
                          </a:avLst>
                        </a:prstGeom>
                        <a:noFill/>
                        <a:ln w="25400" cap="flat" cmpd="sng" algn="ctr">
                          <a:solidFill>
                            <a:srgbClr val="BE4A35"/>
                          </a:solidFill>
                          <a:prstDash val="solid"/>
                        </a:ln>
                        <a:effectLst/>
                      </wps:spPr>
                      <wps:txbx>
                        <w:txbxContent>
                          <w:p w:rsidR="00272EFF" w:rsidRPr="002F0ABF" w:rsidRDefault="00272EFF" w:rsidP="00E05D08">
                            <w:pPr>
                              <w:pStyle w:val="HStandard"/>
                              <w:rPr>
                                <w:sz w:val="18"/>
                                <w:szCs w:val="18"/>
                              </w:rPr>
                            </w:pPr>
                            <w:r>
                              <w:rPr>
                                <w:noProof/>
                                <w:lang w:val="en-GB" w:eastAsia="en-GB"/>
                              </w:rPr>
                              <w:drawing>
                                <wp:inline distT="0" distB="0" distL="0" distR="0" wp14:anchorId="7BF28313" wp14:editId="219B6637">
                                  <wp:extent cx="664845" cy="487680"/>
                                  <wp:effectExtent l="0" t="0" r="0" b="7620"/>
                                  <wp:docPr id="730"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Η ΕΣΚ-AGRI αποτελεί τμήμα της στρατηγικής «Ευρώπη 2020» για την επιτάχυνση της καινοτομίας στην ΕΕ, με την προώθηση ανταγωνιστικού και βιώσιμου τομέα γεωργίας και δασοκομίας που «επιτυγχάνουν καλύτερα αποτελέσματα με λιγότερους πόρους». Η ΕΣΚ-AGRI συμβάλλει στη διασφάλιση του σταθερού εφοδιασμού τροφίμων, ζωοτροφών και βιοϋλικών, λειτουργώντας σε συνθήκες αρμονίας με τους βασικούς φυσικούς πόρους από τους οποίους εξαρτάται η γεωργία. Η ΕΣΚ-AGRI φέρνει σε επαφή τους φορείς καινοτομίας (γεωργούς, συμβούλους, ερευνητές, επιχειρήσεις, ΜΚΟ κ.λπ.) σε επίπεδο ΕΕ και στο πλαίσιο των προγραμμάτων αγροτικής ανάπτυξης υπό τη μορφή των επιχειρησιακών ομάδων. Οι εν λόγω καινοτομίες μπορεί να έχουν τεχνολογικό ή μη χαρακτήρα και να αφορούν οργανωτικά ή κοινωνικά θέματα. Η καινοτομία μπορεί να βασίζεται σε νέες αλλά και παραδοσιακές πρακτικές σε ένα νέο γεωγραφικό ή περιβαλλοντικό πλαίσιο. Οι επιχειρησιακές ομάδες της ΕΣΚ βασίζονται σε μεμονωμένα έργα και αντιμετωπίζουν ένα συγκεκριμένο (πρακτικό) πρόβλημα ή ευκαιρία, που μπορεί να οδηγήσει σε καινοτομία και να συνεισφέρει στην επίτευξη των στόχων του προγράμματος. Κάθε επιχειρησιακή ομάδα αποτελείται από τους βασικούς φορείς (π.χ. γεωργούς, συμβούλους, ερευνητές, επιχειρήσεις, ΜΚΟ) που είναι οι καταλληλότεροι για την επίτευξη των στόχων του έργου, την ανταλλαγή εμπειριών υλοποίησης και την ευρεία διάδοση των αποτελεσμάτων. Η προσέγγιση των επιχειρησιακών ομάδων κάνει βέλτιστη χρήση των διαφόρων ειδών γνώσης (πρακτική, επιστημονική, τεχνική, οργανωτική κ.λπ.) με διαδραστικό τρόπο. Στην πράξη, η προσέγγιση για τη στήριξη αυτής της διαδικασίας είναι η «διαμεσολάβηση καινοτομίας». Ο κανονισμός παρέχει 4 δυνατότητες χρηματοδότησης της διαμεσολάβησης καινοτομίας </w:t>
                            </w:r>
                            <w:r>
                              <w:rPr>
                                <w:sz w:val="18"/>
                                <w:szCs w:val="18"/>
                                <w:vertAlign w:val="superscript"/>
                              </w:rPr>
                              <w:t>23</w:t>
                            </w:r>
                            <w:r>
                              <w:rPr>
                                <w:sz w:val="18"/>
                                <w:szCs w:val="18"/>
                              </w:rPr>
                              <w:t xml:space="preserve">. Η διαμεσολάβηση καινοτομίας μπορεί να διαδραματίσει σημαντικό ρόλο στην ανακάλυψη καινοτόμων ιδεών, στη διευκόλυνση της σύστασης επιχειρησιακών ομάδων, κυρίως λειτουργώντας ως μεσολαβητής, συνδέοντας τους φορείς καινοτομίας (γεωργούς, ερευνητές, σύμβουλους, ΜΚΟ κ.λπ.) στο πλαίσιο διαδραστικών, καινοτόμων έργων. Ο «διαμεσολαβητής καινοτομίας» αποσκοπεί να ανακαλύψει πρωτοβουλίες από τη βάση προς την κορυφή, βοηθά στη βελτιστοποίηση των καινοτόμων ιδεών και παρέχει στήριξη στην εύρεση εταίρων και χρηματοδότησης. Κύριο έργο του διαμεσολαβητή είναι να συνεισφέρει στην κατάρτιση μιας άρτιας πρότασης καινοτόμου έργου. </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CC760" id="Rectangle: Diagonal Corners Rounded 58" o:spid="_x0000_s1035" style="position:absolute;left:0;text-align:left;margin-left:72.75pt;margin-top:-3.75pt;width:446.6pt;height:425.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671820,5400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" adj="-11796480,,5400" path="m336138,l5661181,v5876,,10639,4763,10639,10639l5671820,5064537v,185644,-150494,336138,-336138,336138l10639,5400675c4763,5400675,,5395912,,5390036l,336138c,150494,150494,,336138,xe" filled="f" strokecolor="#be4a35" strokeweight="2pt">
                <v:stroke joinstyle="miter"/>
                <v:formulas/>
                <v:path arrowok="t" o:connecttype="custom" o:connectlocs="336138,0;5661181,0;5671820,10639;5671820,5064537;5335682,5400675;10639,5400675;0,5390036;0,336138;336138,0" o:connectangles="0,0,0,0,0,0,0,0,0" textboxrect="0,0,5671820,5400675"/>
                <v:textbox inset=",,,0">
                  <w:txbxContent>
                    <w:p w:rsidR="00272EFF" w:rsidRPr="002F0ABF" w:rsidRDefault="00272EFF" w:rsidP="00E05D08">
                      <w:pPr>
                        <w:pStyle w:val="HStandard"/>
                        <w:rPr>
                          <w:sz w:val="18"/>
                          <w:szCs w:val="18"/>
                        </w:rPr>
                      </w:pPr>
                      <w:r>
                        <w:rPr>
                          <w:noProof/>
                          <w:lang w:val="en-GB" w:eastAsia="en-GB"/>
                        </w:rPr>
                        <w:drawing>
                          <wp:inline distT="0" distB="0" distL="0" distR="0" wp14:anchorId="7BF28313" wp14:editId="219B6637">
                            <wp:extent cx="664845" cy="487680"/>
                            <wp:effectExtent l="0" t="0" r="0" b="7620"/>
                            <wp:docPr id="730"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Η ΕΣΚ-AGRI αποτελεί τμήμα της στρατηγικής «Ευρώπη 2020» για την επιτάχυνση της καινοτομίας στην ΕΕ, με την προώθηση ανταγωνιστικού και βιώσιμου τομέα γεωργίας και δασοκομίας που «επιτυγχάνουν καλύτερα αποτελέσματα με λιγότερους πόρους». Η ΕΣΚ-AGRI συμβάλλει στη διασφάλιση του σταθερού εφοδιασμού τροφίμων, ζωοτροφών και βιοϋλικών, λειτουργώντας σε συνθήκες αρμονίας με τους βασικούς φυσικούς πόρους από τους οποίους εξαρτάται η γεωργία. Η ΕΣΚ-AGRI φέρνει σε επαφή τους φορείς καινοτομίας (γεωργούς, συμβούλους, ερευνητές, επιχειρήσεις, ΜΚΟ κ.λπ.) σε επίπεδο ΕΕ και στο πλαίσιο των προγραμμάτων αγροτικής ανάπτυξης υπό τη μορφή των επιχειρησιακών ομάδων. Οι εν λόγω καινοτομίες μπορεί να έχουν τεχνολογικό ή μη χαρακτήρα και να αφορούν οργανωτικά ή κοινωνικά θέματα. Η καινοτομία μπορεί να βασίζεται σε νέες αλλά και παραδοσιακές πρακτικές σε ένα νέο γεωγραφικό ή περιβαλλοντικό πλαίσιο. Οι επιχειρησιακές ομάδες της ΕΣΚ βασίζονται σε μεμονωμένα έργα και αντιμετωπίζουν ένα συγκεκριμένο (πρακτικό) πρόβλημα ή ευκαιρία, που μπορεί να οδηγήσει σε καινοτομία και να συνεισφέρει στην επίτευξη των στόχων του προγράμματος. Κάθε επιχειρησιακή ομάδα αποτελείται από τους βασικούς φορείς (π.χ. γεωργούς, συμβούλους, ερευνητές, επιχειρήσεις, ΜΚΟ) που είναι οι καταλληλότεροι για την επίτευξη των στόχων του έργου, την ανταλλαγή εμπειριών υλοποίησης και την ευρεία διάδοση των αποτελεσμάτων. Η προσέγγιση των επιχειρησιακών ομάδων κάνει βέλτιστη χρήση των διαφόρων ειδών γνώσης (πρακτική, επιστημονική, τεχνική, οργανωτική κ.λπ.) με διαδραστικό τρόπο. Στην πράξη, η προσέγγιση για τη στήριξη αυτής της διαδικασίας είναι η «διαμεσολάβηση καινοτομίας». Ο κανονισμός παρέχει 4 δυνατότητες χρηματοδότησης της διαμεσολάβησης καινοτομίας </w:t>
                      </w:r>
                      <w:r>
                        <w:rPr>
                          <w:sz w:val="18"/>
                          <w:szCs w:val="18"/>
                          <w:vertAlign w:val="superscript"/>
                        </w:rPr>
                        <w:t>23</w:t>
                      </w:r>
                      <w:r>
                        <w:rPr>
                          <w:sz w:val="18"/>
                          <w:szCs w:val="18"/>
                        </w:rPr>
                        <w:t xml:space="preserve">. Η διαμεσολάβηση καινοτομίας μπορεί να διαδραματίσει σημαντικό ρόλο στην ανακάλυψη καινοτόμων ιδεών, στη διευκόλυνση της σύστασης επιχειρησιακών ομάδων, κυρίως λειτουργώντας ως μεσολαβητής, συνδέοντας τους φορείς καινοτομίας (γεωργούς, ερευνητές, σύμβουλους, ΜΚΟ κ.λπ.) στο πλαίσιο διαδραστικών, καινοτόμων έργων. Ο «διαμεσολαβητής καινοτομίας» αποσκοπεί να ανακαλύψει πρωτοβουλίες από τη βάση προς την κορυφή, βοηθά στη βελτιστοποίηση των καινοτόμων ιδεών και παρέχει στήριξη στην εύρεση εταίρων και χρηματοδότησης. Κύριο έργο του διαμεσολαβητή είναι να συνεισφέρει στην κατάρτιση μιας άρτιας πρότασης καινοτόμου έργου. </w:t>
                      </w:r>
                    </w:p>
                  </w:txbxContent>
                </v:textbox>
                <w10:wrap type="square" anchorx="page"/>
              </v:shape>
            </w:pict>
          </mc:Fallback>
        </mc:AlternateContent>
      </w:r>
      <w:r w:rsidR="00D461AB">
        <w:rPr>
          <w:rStyle w:val="FootnoteReference"/>
          <w:rFonts w:eastAsia="Times New Roman" w:cs="Times New Roman"/>
          <w:color w:val="FFFFFF" w:themeColor="background1"/>
          <w:szCs w:val="20"/>
          <w:shd w:val="clear" w:color="auto" w:fill="FFFFFF"/>
          <w:lang w:eastAsia="de-DE"/>
        </w:rPr>
        <w:footnoteReference w:id="23"/>
      </w:r>
    </w:p>
    <w:p w:rsidR="00A45935" w:rsidRPr="00E05D08" w:rsidRDefault="00A45935" w:rsidP="00EA0974">
      <w:pPr>
        <w:spacing w:before="240" w:after="120" w:line="280" w:lineRule="atLeast"/>
        <w:mirrorIndents/>
        <w:rPr>
          <w:rFonts w:eastAsia="Times New Roman" w:cs="Times New Roman"/>
          <w:szCs w:val="20"/>
          <w:shd w:val="clear" w:color="auto" w:fill="FFFFFF"/>
        </w:rPr>
      </w:pPr>
      <w:r>
        <w:rPr>
          <w:szCs w:val="20"/>
          <w:shd w:val="clear" w:color="auto" w:fill="FFFFFF"/>
        </w:rPr>
        <w:t>Άλλα μέτρα</w:t>
      </w:r>
      <w:r>
        <w:rPr>
          <w:rFonts w:eastAsia="Times New Roman" w:cs="Times New Roman"/>
          <w:szCs w:val="20"/>
          <w:shd w:val="clear" w:color="auto" w:fill="FFFFFF"/>
          <w:vertAlign w:val="superscript"/>
          <w:lang w:eastAsia="de-DE"/>
        </w:rPr>
        <w:footnoteReference w:id="24"/>
      </w:r>
      <w:r>
        <w:rPr>
          <w:szCs w:val="20"/>
          <w:shd w:val="clear" w:color="auto" w:fill="FFFFFF"/>
        </w:rPr>
        <w:t xml:space="preserve"> που αναφέρονται ειδικά στην καινοτομία είναι, για παράδειγμα:</w:t>
      </w:r>
    </w:p>
    <w:p w:rsidR="00A45935" w:rsidRPr="00E05D08"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Pr>
          <w:szCs w:val="20"/>
          <w:shd w:val="clear" w:color="auto" w:fill="FFFFFF"/>
        </w:rPr>
        <w:t>Η σύσταση ομάδων και οργανώσεων παραγωγών, στις δραστηριότητες των οποίων συγκαταλέγονται, μεταξύ άλλων, η «οργάνωση και διευκόλυνση διαδικασιών καινοτομίας»</w:t>
      </w:r>
      <w:r>
        <w:rPr>
          <w:rFonts w:eastAsia="Times New Roman" w:cs="Times New Roman"/>
          <w:szCs w:val="20"/>
          <w:shd w:val="clear" w:color="auto" w:fill="FFFFFF"/>
          <w:vertAlign w:val="superscript"/>
          <w:lang w:eastAsia="de-DE"/>
        </w:rPr>
        <w:footnoteReference w:id="25"/>
      </w:r>
      <w:r>
        <w:rPr>
          <w:szCs w:val="20"/>
          <w:shd w:val="clear" w:color="auto" w:fill="FFFFFF"/>
        </w:rPr>
        <w:t xml:space="preserve"> (μέτρο 9)·</w:t>
      </w:r>
    </w:p>
    <w:p w:rsidR="00A45935" w:rsidRPr="00E05D08"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Pr>
          <w:szCs w:val="20"/>
          <w:shd w:val="clear" w:color="auto" w:fill="FFFFFF"/>
        </w:rPr>
        <w:t>Η καινοτομία αποτελεί μία από τις επτά αρχές του LEADER/CLLD</w:t>
      </w:r>
      <w:r>
        <w:rPr>
          <w:rFonts w:eastAsia="Times New Roman" w:cs="Times New Roman"/>
          <w:szCs w:val="20"/>
          <w:shd w:val="clear" w:color="auto" w:fill="FFFFFF"/>
          <w:vertAlign w:val="superscript"/>
          <w:lang w:eastAsia="de-DE"/>
        </w:rPr>
        <w:footnoteReference w:id="26"/>
      </w:r>
      <w:r>
        <w:rPr>
          <w:szCs w:val="20"/>
          <w:shd w:val="clear" w:color="auto" w:fill="FFFFFF"/>
        </w:rPr>
        <w:t xml:space="preserve"> (μέτρο 19).</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 xml:space="preserve">Κάθε μέτρο/επιμέρους μέτρο του ΠΑΑ διαθέτει καταρχήν δυναμικό προώθησης της καινοτομίας. </w:t>
      </w:r>
      <w:r>
        <w:rPr>
          <w:szCs w:val="20"/>
          <w:shd w:val="clear" w:color="auto" w:fill="FFFFFF"/>
        </w:rPr>
        <w:t xml:space="preserve">Η ειδική προσέγγιση όσον αφορά την καινοτομία που υιοθετήθηκε από το ΠΑΑ εκφράζεται στα κριτήρια επιλεξιμότητας και επιλογής για τα έργα καινοτομίας και στον συνδυασμό των μέτρων στο πλαίσιο των ΤΕ για τη στήριξη της καινοτομίας (δράσεις διάδοσης της γνώσης, συμβουλευτικές υπηρεσίες, συνεργασία, επενδύσεις, δικτύωση κ.λπ.). </w:t>
      </w:r>
      <w:r>
        <w:t xml:space="preserve">Οι διαχειριστικές αρχές </w:t>
      </w:r>
      <w:r>
        <w:lastRenderedPageBreak/>
        <w:t xml:space="preserve">μπορούν να χρησιμοποιήσουν διάφορες προσεγγίσεις για την οργάνωση και τον συνδυασμό των εν λόγω ήπιων (π.χ. μέτρα 1, 2 και 16) και αυστηρών μέτρων </w:t>
      </w:r>
      <w:r>
        <w:rPr>
          <w:szCs w:val="20"/>
          <w:shd w:val="clear" w:color="auto" w:fill="FFFFFF"/>
        </w:rPr>
        <w:t>(στήριξη επενδύσεων, εδαφική ανάπτυξη, εμπορία, περιβάλλον, φύση κ.λπ.)</w:t>
      </w:r>
      <w:r>
        <w:rPr>
          <w:b/>
          <w:szCs w:val="20"/>
          <w:shd w:val="clear" w:color="auto" w:fill="FFFFFF"/>
        </w:rPr>
        <w:t xml:space="preserve"> </w:t>
      </w:r>
      <w:r>
        <w:t>για την προώθηση της καινοτομίας</w:t>
      </w:r>
      <w:r>
        <w:rPr>
          <w:szCs w:val="20"/>
          <w:shd w:val="clear" w:color="auto" w:fill="FFFFFF"/>
        </w:rPr>
        <w:t>.</w:t>
      </w:r>
    </w:p>
    <w:p w:rsidR="00A45935" w:rsidRPr="00E05D08" w:rsidRDefault="00A45935" w:rsidP="000E0FE4">
      <w:pPr>
        <w:spacing w:after="120" w:line="280" w:lineRule="atLeast"/>
        <w:mirrorIndents/>
        <w:rPr>
          <w:rFonts w:eastAsia="Times New Roman" w:cs="Times New Roman"/>
          <w:szCs w:val="20"/>
          <w:shd w:val="clear" w:color="auto" w:fill="FFFFFF"/>
        </w:rPr>
      </w:pPr>
      <w:r>
        <w:rPr>
          <w:b/>
          <w:szCs w:val="20"/>
          <w:shd w:val="clear" w:color="auto" w:fill="FFFFFF"/>
        </w:rPr>
        <w:t>Μπορεί να υπάρξουν δευτερογενείς συνεισφορές των καινοτομιών και σε άλλους ΤΕ.</w:t>
      </w:r>
      <w:r>
        <w:rPr>
          <w:szCs w:val="20"/>
          <w:shd w:val="clear" w:color="auto" w:fill="FFFFFF"/>
        </w:rPr>
        <w:t xml:space="preserve"> Για παράδειγμα, οι πράξεις συνεργασίας που σχεδιάζονται στο πλαίσιο του ΤΕ 2Α θα μπορούσαν να διαμορφώσουν μια καινοτόμο προσέγγιση για την ενίσχυση της βιοποικιλότητας και, συνεπώς, να εμφανίσουν δευτερογενείς συνεισφορές στον ΤΕ 4Α. Επίσης, οι καινοτόμες δράσεις μιας επιχειρησιακής ομάδας θα μπορούσαν να αναπτύξουν μια νέα τεχνική, η οποία βοηθά στη μείωση της διάβρωσης του εδάφους που προκαλεί η πρωτογενής γεωργική παραγωγή (σχεδιασμένες στο πλαίσιο του ΤΕ 4Γ). Κάτι τέτοιο, ωστόσο, αυξάνει παράλληλα την ανταγωνιστικότητα και τη δυνατότητα πρόσβασης στην αγορά (δευτερογενής συνεισφορά στον ΤΕ 2Α).</w:t>
      </w:r>
    </w:p>
    <w:p w:rsidR="00A45935" w:rsidRPr="00E05D08" w:rsidRDefault="00A45935" w:rsidP="00E05D08">
      <w:pPr>
        <w:spacing w:after="120" w:line="280" w:lineRule="atLeast"/>
        <w:mirrorIndents/>
        <w:rPr>
          <w:rFonts w:eastAsia="Times New Roman" w:cs="Times New Roman"/>
          <w:b/>
          <w:szCs w:val="20"/>
          <w:shd w:val="clear" w:color="auto" w:fill="FFFFFF"/>
        </w:rPr>
      </w:pPr>
      <w:r>
        <w:rPr>
          <w:b/>
          <w:szCs w:val="20"/>
          <w:shd w:val="clear" w:color="auto" w:fill="FFFFFF"/>
        </w:rPr>
        <w:t>Η δικτύωση στο πλαίσιο της πολιτικής αγροτικής ανάπτυξης διαδραματίζει σημαντικό ρόλο στην προώθηση της καινοτομίας:</w:t>
      </w:r>
    </w:p>
    <w:p w:rsidR="00A45935" w:rsidRPr="0081188E" w:rsidRDefault="00A45935" w:rsidP="001744D0">
      <w:pPr>
        <w:pStyle w:val="Hlistbullet"/>
      </w:pPr>
      <w:r>
        <w:rPr>
          <w:b/>
          <w:shd w:val="clear" w:color="auto" w:fill="FFFFFF"/>
        </w:rPr>
        <w:t>Το δίκτυο ΕΣΚ</w:t>
      </w:r>
      <w:r>
        <w:rPr>
          <w:shd w:val="clear" w:color="auto" w:fill="FFFFFF"/>
        </w:rPr>
        <w:t xml:space="preserve"> είναι μια νέα δομή δικτύου της περιόδου 2014-2020, η οποία τέθηκε σε εφαρμογή ειδικά για την υποστήριξη της ΕΣΚ-AGRI</w:t>
      </w:r>
      <w:r>
        <w:rPr>
          <w:rFonts w:cs="Arial"/>
          <w:vertAlign w:val="superscript"/>
        </w:rPr>
        <w:footnoteReference w:id="27"/>
      </w:r>
      <w:r>
        <w:rPr>
          <w:shd w:val="clear" w:color="auto" w:fill="FFFFFF"/>
        </w:rPr>
        <w:t xml:space="preserve"> – της ευρωπαϊκής σύμπραξης καινοτομίας για την παραγωγικότητα και τη βιωσιμότητα της γεωργίας. Κύριοι στόχοι του δικτύου ΕΣΚ είναι η σύνδεση των επιχειρησιακών ομάδων της ΕΣΚ, η διευκόλυνση της ανταλλαγής γνώσεων, εμπειρογνωσίας και ορθών πρακτικών και η καθιέρωση διαλόγου ανάμεσα στη γεωργική και την ερευνητική κοινότητα. Το δίκτυο ΕΣΚ-AGRI διευθύνει η Ευρωπαϊκή Επιτροπή (ΓΔ Γεωργίας και Αγροτικής Ανάπτυξης), συνεπικουρούμενη από το σημείο εξυπηρέτησης (ΣΕ). Η ομάδα του ΣΕ διευκολύνει τις δραστηριότητες δικτύωσης, ενισχύοντας την επικοινωνία και την ανταλλαγή γνώσεων μέσω συνεδρίων, ομάδων εστίασης, εργαστηρίων, σεμιναρίων και δημοσιεύσεων. Πρωταρχικός στόχος είναι η ενεργοποίηση των αλληλεπιδράσεων μεταξύ όλων των φορέων της ΕΣΚ-AGRI: γεωργών, ερευνητών, συμβούλων, ΜΚΟ, επιχειρήσεων, δημόσιων αρχών κ.λπ. Οι λειτουργίες δικτύωσης υποστηρίζονται από μια διαδραστική, διαδικτυακή πλατφόρμα της ΕΣΚ. Η πλατφόρμα επιτρέπει τη δικτύωση μεταξύ όλων των ενδιαφερόμενων φορέων που σχετίζονται με την καινοτομία, ιδίως των επιχειρησιακών ομάδων, των συμβουλευτικών υπηρεσιών, των ερευνητών, των γεωργών και άλλων ενδιαφερόμενων φορέων στο πλαίσιο της διαδικασίας ανταλλαγής γνώσεων</w:t>
      </w:r>
      <w:r>
        <w:t>.</w:t>
      </w:r>
    </w:p>
    <w:p w:rsidR="00EA0974" w:rsidRDefault="00A45935" w:rsidP="001744D0">
      <w:pPr>
        <w:pStyle w:val="Hlistbullet"/>
        <w:rPr>
          <w:shd w:val="clear" w:color="auto" w:fill="FFFFFF"/>
        </w:rPr>
      </w:pPr>
      <w:r>
        <w:rPr>
          <w:b/>
          <w:shd w:val="clear" w:color="auto" w:fill="FFFFFF"/>
        </w:rPr>
        <w:t>Τα εθνικά αγροτικά δίκτυα</w:t>
      </w:r>
      <w:r>
        <w:rPr>
          <w:shd w:val="clear" w:color="auto" w:fill="FFFFFF"/>
        </w:rPr>
        <w:t xml:space="preserve"> (ΕΑΔ) προωθούν την καινοτομία στη γεωργία, την παραγωγή τροφίμων, τη δασοκομία και τις αγροτικές περιοχές</w:t>
      </w:r>
      <w:r>
        <w:rPr>
          <w:rFonts w:cs="Arial"/>
          <w:vertAlign w:val="superscript"/>
        </w:rPr>
        <w:footnoteReference w:id="28"/>
      </w:r>
      <w:r>
        <w:rPr>
          <w:shd w:val="clear" w:color="auto" w:fill="FFFFFF"/>
        </w:rPr>
        <w:t>. Σε επίπεδο ΕΕ υποστηρίζονται από το Ευρωπαϊκό Δίκτυο Αγροτικής Ανάπτυξης (ΕΔΑΑ). Τα ΕΑΔ μπορούν να λειτουργήσουν ως «διαμεσολαβητές καινοτομίας»</w:t>
      </w:r>
      <w:r>
        <w:rPr>
          <w:rFonts w:cs="Arial"/>
          <w:shd w:val="clear" w:color="auto" w:fill="FFFFFF"/>
          <w:vertAlign w:val="superscript"/>
        </w:rPr>
        <w:footnoteReference w:id="29"/>
      </w:r>
      <w:r>
        <w:rPr>
          <w:shd w:val="clear" w:color="auto" w:fill="FFFFFF"/>
        </w:rPr>
        <w:t>, στοιχείο που απαιτεί ισχυρούς</w:t>
      </w:r>
      <w:r>
        <w:t xml:space="preserve"> δεσμούς με τον κόσμο της γεωργίας και βαθιά κατανόησή του, καθώς και ιδιαίτερα ανεπτυγμένες δεξιότητες επικοινωνίας. </w:t>
      </w:r>
      <w:r>
        <w:rPr>
          <w:shd w:val="clear" w:color="auto" w:fill="FFFFFF"/>
        </w:rPr>
        <w:t>Τα ΕΑΔ έχουν σχέση αλληλεπίδρασης με το δίκτυο ΕΣΚ προκειμένου να αντλείται έμπνευση και να ανταλλάσσονται πληροφορίες και προσεγγίσεις για την παροχή κινήτρων για καινοτομία. Πέρα από τη συλλογή ορθών πρακτικών και παραδειγμάτων και την διευκόλυνση θεματικών ανταλλαγών μεταξύ των ενδιαφερόμενων φορέων στον τομέα της αγροτικής ανάπτυξης, είναι επίσης επιφορτισμένα με το ειδικό έργο της δικτύωσης των υπηρεσιών υποστήριξης της καινοτομίας και των συμβουλευτικών υπηρεσιών</w:t>
      </w:r>
      <w:r>
        <w:rPr>
          <w:rFonts w:eastAsia="Calibri" w:cs="Arial"/>
          <w:shd w:val="clear" w:color="auto" w:fill="FFFFFF"/>
          <w:vertAlign w:val="superscript"/>
        </w:rPr>
        <w:footnoteReference w:id="30"/>
      </w:r>
      <w:r>
        <w:rPr>
          <w:shd w:val="clear" w:color="auto" w:fill="FFFFFF"/>
        </w:rPr>
        <w:t>. Αυτό βοηθά στην αποτύπωση των καινοτόμων ιδεών των συμμετεχόντων.</w:t>
      </w:r>
    </w:p>
    <w:p w:rsidR="00A45935" w:rsidRPr="00EA0974" w:rsidRDefault="00A45935" w:rsidP="009B603C">
      <w:pPr>
        <w:pStyle w:val="HHeading3"/>
        <w:spacing w:line="280" w:lineRule="exact"/>
        <w:rPr>
          <w:shd w:val="clear" w:color="auto" w:fill="FFFFFF"/>
        </w:rPr>
      </w:pPr>
      <w:bookmarkStart w:id="24" w:name="_Toc508964811"/>
      <w:r>
        <w:lastRenderedPageBreak/>
        <w:t>Τα κοινά στοιχεία αξιολόγησης της καινοτομίας</w:t>
      </w:r>
      <w:bookmarkEnd w:id="24"/>
      <w:r>
        <w:t xml:space="preserve"> </w:t>
      </w:r>
    </w:p>
    <w:p w:rsidR="00A45935" w:rsidRPr="00E05D08" w:rsidRDefault="00A45935" w:rsidP="00E05D08">
      <w:pPr>
        <w:spacing w:after="120" w:line="280" w:lineRule="atLeast"/>
        <w:mirrorIndents/>
        <w:rPr>
          <w:rFonts w:eastAsia="Times New Roman" w:cs="Times New Roman"/>
          <w:b/>
          <w:szCs w:val="20"/>
          <w:shd w:val="clear" w:color="auto" w:fill="FFFFFF"/>
        </w:rPr>
      </w:pPr>
      <w:r>
        <w:rPr>
          <w:b/>
          <w:szCs w:val="20"/>
          <w:shd w:val="clear" w:color="auto" w:fill="FFFFFF"/>
        </w:rPr>
        <w:t>Το</w:t>
      </w:r>
      <w:r>
        <w:rPr>
          <w:szCs w:val="20"/>
          <w:shd w:val="clear" w:color="auto" w:fill="FFFFFF"/>
        </w:rPr>
        <w:t xml:space="preserve"> </w:t>
      </w:r>
      <w:r>
        <w:rPr>
          <w:b/>
          <w:szCs w:val="20"/>
          <w:shd w:val="clear" w:color="auto" w:fill="FFFFFF"/>
        </w:rPr>
        <w:t>σχέδιο αξιολόγησης</w:t>
      </w:r>
      <w:r>
        <w:rPr>
          <w:rFonts w:eastAsia="Times New Roman" w:cs="Times New Roman"/>
          <w:szCs w:val="20"/>
          <w:shd w:val="clear" w:color="auto" w:fill="FFFFFF"/>
          <w:vertAlign w:val="superscript"/>
          <w:lang w:eastAsia="de-DE"/>
        </w:rPr>
        <w:footnoteReference w:id="31"/>
      </w:r>
      <w:r>
        <w:rPr>
          <w:b/>
          <w:szCs w:val="20"/>
          <w:shd w:val="clear" w:color="auto" w:fill="FFFFFF"/>
        </w:rPr>
        <w:t xml:space="preserve"> που περιλαμβάνεται στο ΠΑΑ είναι το σημείο εκκίνησης για τις αξιολογήσεις. </w:t>
      </w:r>
      <w:r>
        <w:rPr>
          <w:szCs w:val="20"/>
          <w:shd w:val="clear" w:color="auto" w:fill="FFFFFF"/>
        </w:rPr>
        <w:t>Το σχέδιο αξιολόγησης διακρίνει την αξιολόγηση της καινοτομίας σε σχέση με άλλα ζητήματα και δραστηριότητες αξιολόγησης</w:t>
      </w:r>
      <w:r>
        <w:rPr>
          <w:b/>
          <w:szCs w:val="20"/>
          <w:shd w:val="clear" w:color="auto" w:fill="FFFFFF"/>
        </w:rPr>
        <w:t xml:space="preserve"> </w:t>
      </w:r>
      <w:r>
        <w:rPr>
          <w:szCs w:val="20"/>
          <w:shd w:val="clear" w:color="auto" w:fill="FFFFFF"/>
        </w:rPr>
        <w:t>που σχετίζονται με οριζόντια θέματα. Αναφορές για τις εν λόγω σχετικές δραστηριότητες και πορίσματα περιλαμβάνονται στις ετήσιες εκθέσεις υλοποίησης</w:t>
      </w:r>
      <w:r>
        <w:rPr>
          <w:rFonts w:eastAsia="Times New Roman" w:cs="Times New Roman"/>
          <w:szCs w:val="20"/>
          <w:shd w:val="clear" w:color="auto" w:fill="FFFFFF"/>
          <w:vertAlign w:val="superscript"/>
          <w:lang w:eastAsia="de-DE"/>
        </w:rPr>
        <w:footnoteReference w:id="32"/>
      </w:r>
      <w:r>
        <w:rPr>
          <w:szCs w:val="20"/>
          <w:shd w:val="clear" w:color="auto" w:fill="FFFFFF"/>
        </w:rPr>
        <w:t xml:space="preserve">. </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Το κοινό σύστημα παρακολούθησης και αξιολόγησης (ΚΣΠΑ)</w:t>
      </w:r>
      <w:r>
        <w:rPr>
          <w:szCs w:val="20"/>
          <w:shd w:val="clear" w:color="auto" w:fill="FFFFFF"/>
        </w:rPr>
        <w:t xml:space="preserve"> περιλαμβάνει τα στοιχεία για την αξιολόγηση της καινοτομίας, ιδίως τα κοινά ερωτήματα αξιολόγησης (ΚΕΑ), κριτήρια απόφασης και δείκτες:</w:t>
      </w:r>
    </w:p>
    <w:p w:rsidR="00A45935" w:rsidRPr="002E1723" w:rsidRDefault="00A45935" w:rsidP="00624393">
      <w:pPr>
        <w:pStyle w:val="HStandard"/>
      </w:pPr>
      <w:r>
        <w:t xml:space="preserve">Σε </w:t>
      </w:r>
      <w:r>
        <w:rPr>
          <w:b/>
        </w:rPr>
        <w:t>επίπεδο τομέα επικέντρωσης</w:t>
      </w:r>
      <w:r>
        <w:t>, υπάρχουν δύο ΚΕΑ συναφή με την καινοτομία τα οποία συνδέονται με τους στόχους των ΤΕ 1Α και ΤΕ 1Β. Τα ερωτήματα αυτά αποτυπώνουν τις συνεισφορές των παρεμβάσεων όσον αφορά τις αναμενόμενες εκροές και αποτελέσματα:</w:t>
      </w:r>
    </w:p>
    <w:p w:rsidR="00A45935" w:rsidRPr="00EA0974" w:rsidRDefault="00A45935" w:rsidP="00624393">
      <w:pPr>
        <w:pStyle w:val="Hlistbullet"/>
      </w:pPr>
      <w:r>
        <w:t xml:space="preserve">ΚΕΑ αριθ. 1: «Σε ποιο βαθμό οι παρεμβάσεις του ΠΑΑ έχουν στηρίξει την καινοτομία, τη συνεργασία και την ανάπτυξη της βάσης γνώσεων στις αγροτικές περιοχές;» </w:t>
      </w:r>
    </w:p>
    <w:p w:rsidR="00A45935" w:rsidRPr="002E1723" w:rsidRDefault="00A45935" w:rsidP="00624393">
      <w:pPr>
        <w:pStyle w:val="Hlistbullet"/>
      </w:pPr>
      <w:r>
        <w:t xml:space="preserve">ΚΕΑ αριθ. 2: «Σε ποιο βαθμό οι παρεμβάσεις του ΠΑΑ έχουν στηρίξει την ενίσχυση των δεσμών μεταξύ της γεωργίας, της παραγωγής τροφίμων και της δασοκομίας, καθώς και της έρευνας και καινοτομίας, μεταξύ άλλων και με στόχο τη βελτιωμένη περιβαλλοντική διαχείριση και αποδοτικότητα;» </w:t>
      </w:r>
    </w:p>
    <w:p w:rsidR="00A45935" w:rsidRPr="002E1723" w:rsidRDefault="00A45935" w:rsidP="00624393">
      <w:pPr>
        <w:pStyle w:val="HStandard"/>
      </w:pPr>
      <w:r>
        <w:t xml:space="preserve">Το ΚΕΑ αριθ. 21: «Σε ποιο βαθμό το εθνικό αγροτικό δίκτυο έχει συμβάλει στην επίτευξη των στόχων που καθορίζονται στο άρθρο 54 παράγραφος 2 του κανονισμού (ΕΕ) αριθ. 1305/2013;», συνδέεται με </w:t>
      </w:r>
      <w:r>
        <w:rPr>
          <w:b/>
        </w:rPr>
        <w:t>άλλες πτυχές του ΠΑΑ</w:t>
      </w:r>
      <w:r>
        <w:t>, ιδίως για την αποτύπωση των αναμενόμενων εκροών και αποτελεσμάτων που επιτυγχάνονται από τα ΕΑΔ. Το συγκεκριμένο ΚΕΑ είναι σχετικό με την καινοτομία, καθώς αφορά τον στόχο του άρθρου 54 παράγραφος 2 στοιχείο δ) για «την προώθηση της καινοτομίας στη γεωργία, την παραγωγή τροφίμων, τη δασοκομία και τις αγροτικές περιοχές».</w:t>
      </w:r>
    </w:p>
    <w:p w:rsidR="00A45935" w:rsidRPr="001A2A93" w:rsidRDefault="00A45935" w:rsidP="00624393">
      <w:pPr>
        <w:pStyle w:val="HStandard"/>
      </w:pPr>
      <w:r>
        <w:t xml:space="preserve">Σε </w:t>
      </w:r>
      <w:r>
        <w:rPr>
          <w:b/>
        </w:rPr>
        <w:t>επίπεδο στόχων της ΕΕ</w:t>
      </w:r>
      <w:r>
        <w:t xml:space="preserve">, υπάρχουν δύο ΚΕΑ συναφή προς την καινοτομία για την αποτύπωση της συνεισφοράς των προγραμμάτων όσον αφορά τις αναμενόμενες επιπτώσεις. </w:t>
      </w:r>
    </w:p>
    <w:p w:rsidR="00A45935" w:rsidRPr="001A2A93" w:rsidRDefault="00A45935" w:rsidP="00624393">
      <w:pPr>
        <w:pStyle w:val="Hlistbullet"/>
      </w:pPr>
      <w:r>
        <w:t xml:space="preserve">Το ΚΕΑ αριθ. 23 σχετίζεται με την επίτευξη του πρωταρχικού στόχου της ΕΕ: «Σε ποιο βαθμό έχει συμβάλει το ΠΑΑ στην επίτευξη του πρωταρχικού στόχου της στρατηγικής «Ευρώπη 2020» όσον αφορά την επένδυση του 3 % του ΑΕΠ της ΕΕ στην έρευνα και ανάπτυξη και την καινοτομία;» </w:t>
      </w:r>
    </w:p>
    <w:p w:rsidR="00A45935" w:rsidRPr="001A2A93" w:rsidRDefault="00A45935" w:rsidP="00624393">
      <w:pPr>
        <w:pStyle w:val="Hlistbullet"/>
      </w:pPr>
      <w:r>
        <w:t xml:space="preserve">Το ΚΕΑ αριθ. 30 αξιολογεί την καινοτομία ως οριζόντιο στόχο: «Σε ποιο βαθμό έχει συμβάλει το ΠΑΑ στην προώθηση της καινοτομίας;» </w:t>
      </w:r>
    </w:p>
    <w:p w:rsidR="00EB5F7A" w:rsidRDefault="00A45935" w:rsidP="00E05D08">
      <w:pPr>
        <w:spacing w:after="120" w:line="280" w:lineRule="atLeast"/>
        <w:mirrorIndents/>
        <w:rPr>
          <w:szCs w:val="20"/>
          <w:shd w:val="clear" w:color="auto" w:fill="FFFFFF"/>
        </w:rPr>
      </w:pPr>
      <w:r>
        <w:rPr>
          <w:szCs w:val="20"/>
          <w:shd w:val="clear" w:color="auto" w:fill="FFFFFF"/>
        </w:rPr>
        <w:t xml:space="preserve">Το ακόλουθο σχήμα δείχνει πώς τα κοινά στοιχεία αξιολόγησης (ΚΕΑ, κριτήρια απόφασης και δείκτες) σχετίζονται με το πλαίσιο πολιτικής στα διάφορα επίπεδα. Υπάρχουν επτά </w:t>
      </w:r>
      <w:r>
        <w:rPr>
          <w:b/>
          <w:szCs w:val="20"/>
          <w:shd w:val="clear" w:color="auto" w:fill="FFFFFF"/>
        </w:rPr>
        <w:t>κοινοί δείκτες</w:t>
      </w:r>
      <w:r>
        <w:rPr>
          <w:szCs w:val="20"/>
          <w:shd w:val="clear" w:color="auto" w:fill="FFFFFF"/>
        </w:rPr>
        <w:t xml:space="preserve"> που σχετίζονται με τα κοινά ερωτήματα αξιολόγησης για την καινοτομία: 5 δείκτες εκροών και 2 δείκτες που αφορούν τους στόχους</w:t>
      </w:r>
      <w:r>
        <w:rPr>
          <w:rFonts w:eastAsia="Times New Roman" w:cs="Times New Roman"/>
          <w:szCs w:val="20"/>
          <w:shd w:val="clear" w:color="auto" w:fill="FFFFFF"/>
          <w:vertAlign w:val="superscript"/>
          <w:lang w:eastAsia="de-DE"/>
        </w:rPr>
        <w:footnoteReference w:id="33"/>
      </w:r>
      <w:r>
        <w:rPr>
          <w:szCs w:val="20"/>
          <w:shd w:val="clear" w:color="auto" w:fill="FFFFFF"/>
        </w:rPr>
        <w:t>.</w:t>
      </w:r>
    </w:p>
    <w:p w:rsidR="00EB5F7A" w:rsidRDefault="00EB5F7A">
      <w:pPr>
        <w:jc w:val="left"/>
        <w:rPr>
          <w:szCs w:val="20"/>
          <w:shd w:val="clear" w:color="auto" w:fill="FFFFFF"/>
        </w:rPr>
      </w:pPr>
      <w:r>
        <w:rPr>
          <w:szCs w:val="20"/>
          <w:shd w:val="clear" w:color="auto" w:fill="FFFFFF"/>
        </w:rPr>
        <w:br w:type="page"/>
      </w:r>
    </w:p>
    <w:p w:rsidR="00A45935" w:rsidRPr="00151D94" w:rsidRDefault="00EB5F7A" w:rsidP="00EB5F7A">
      <w:pPr>
        <w:pStyle w:val="HHeadingfigures"/>
        <w:numPr>
          <w:ilvl w:val="0"/>
          <w:numId w:val="0"/>
        </w:numPr>
        <w:ind w:left="604"/>
      </w:pPr>
      <w:bookmarkStart w:id="25" w:name="_Toc508964837"/>
      <w:r>
        <w:lastRenderedPageBreak/>
        <w:t>Διάγραμμα 3.</w:t>
      </w:r>
      <w:r>
        <w:tab/>
      </w:r>
      <w:r w:rsidR="00EA0974">
        <w:t>Τα κοινά στοιχεία αξιολόγησης για την αξιολόγηση της καινοτομίας</w:t>
      </w:r>
      <w:bookmarkEnd w:id="25"/>
      <w:r w:rsidR="00EA0974">
        <w:t xml:space="preserve"> </w:t>
      </w:r>
    </w:p>
    <w:p w:rsidR="00A45935" w:rsidRPr="00E05D08" w:rsidRDefault="00CD0DDD" w:rsidP="00E05D08">
      <w:pPr>
        <w:spacing w:before="60" w:after="140" w:line="220" w:lineRule="atLeast"/>
        <w:jc w:val="center"/>
        <w:rPr>
          <w:rFonts w:eastAsia="Times New Roman" w:cs="Arial"/>
          <w:szCs w:val="20"/>
          <w:shd w:val="clear" w:color="auto" w:fill="FFFFFF"/>
          <w:lang w:eastAsia="de-DE"/>
        </w:rPr>
      </w:pPr>
      <w:r w:rsidRPr="00CD0DDD">
        <w:rPr>
          <w:noProof/>
          <w:lang w:val="en-GB" w:eastAsia="en-GB"/>
        </w:rPr>
        <w:drawing>
          <wp:inline distT="0" distB="0" distL="0" distR="0" wp14:anchorId="56BBC5B5" wp14:editId="7C9C9B4D">
            <wp:extent cx="5731510" cy="3218707"/>
            <wp:effectExtent l="0" t="0" r="254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218707"/>
                    </a:xfrm>
                    <a:prstGeom prst="rect">
                      <a:avLst/>
                    </a:prstGeom>
                    <a:noFill/>
                    <a:ln>
                      <a:noFill/>
                    </a:ln>
                  </pic:spPr>
                </pic:pic>
              </a:graphicData>
            </a:graphic>
          </wp:inline>
        </w:drawing>
      </w:r>
    </w:p>
    <w:p w:rsidR="00A45935" w:rsidRDefault="00A45935" w:rsidP="00E05D08">
      <w:pPr>
        <w:suppressAutoHyphens/>
        <w:spacing w:before="60" w:after="140" w:line="240" w:lineRule="auto"/>
        <w:ind w:left="1134" w:right="1134"/>
        <w:mirrorIndents/>
        <w:jc w:val="center"/>
        <w:rPr>
          <w:rFonts w:eastAsia="Times New Roman" w:cs="Times New Roman"/>
          <w:i/>
          <w:sz w:val="16"/>
          <w:szCs w:val="16"/>
        </w:rPr>
      </w:pPr>
      <w:r>
        <w:rPr>
          <w:i/>
          <w:sz w:val="16"/>
          <w:szCs w:val="16"/>
        </w:rPr>
        <w:t>Πηγή: Ευρωπαϊκό Helpdesk αξιολόγησης για την αγροτική ανάπτυξη, 2017</w:t>
      </w:r>
    </w:p>
    <w:p w:rsidR="00690E70" w:rsidRDefault="00690E70">
      <w:pPr>
        <w:jc w:val="left"/>
        <w:rPr>
          <w:rFonts w:eastAsia="Times New Roman" w:cs="Times New Roman"/>
          <w:b/>
          <w:szCs w:val="20"/>
        </w:rPr>
      </w:pPr>
      <w:bookmarkStart w:id="26" w:name="_Toc493151897"/>
      <w:bookmarkStart w:id="27" w:name="_Toc501382124"/>
      <w:r>
        <w:br w:type="page"/>
      </w:r>
    </w:p>
    <w:p w:rsidR="00A45935" w:rsidRPr="003737FE" w:rsidRDefault="00A45935" w:rsidP="00230C31">
      <w:pPr>
        <w:pStyle w:val="HHeading2"/>
      </w:pPr>
      <w:bookmarkStart w:id="28" w:name="_Toc508964812"/>
      <w:r>
        <w:lastRenderedPageBreak/>
        <w:t>Προκλήσεις στην αξιολόγηση της καινοτομίας</w:t>
      </w:r>
      <w:bookmarkEnd w:id="26"/>
      <w:bookmarkEnd w:id="27"/>
      <w:bookmarkEnd w:id="28"/>
    </w:p>
    <w:p w:rsidR="00A45935" w:rsidRPr="00E05D08" w:rsidRDefault="00A45935" w:rsidP="00E05D08">
      <w:pPr>
        <w:spacing w:after="120" w:line="280" w:lineRule="atLeast"/>
        <w:mirrorIndents/>
        <w:rPr>
          <w:rFonts w:eastAsia="Times New Roman" w:cs="Times New Roman"/>
          <w:szCs w:val="20"/>
        </w:rPr>
      </w:pPr>
      <w:bookmarkStart w:id="29" w:name="_Toc476064466"/>
      <w:bookmarkStart w:id="30" w:name="_Toc476064526"/>
      <w:bookmarkStart w:id="31" w:name="_Toc476064467"/>
      <w:bookmarkStart w:id="32" w:name="_Toc476064527"/>
      <w:bookmarkStart w:id="33" w:name="_Toc476064468"/>
      <w:bookmarkStart w:id="34" w:name="_Toc476064528"/>
      <w:bookmarkStart w:id="35" w:name="_Toc476064469"/>
      <w:bookmarkStart w:id="36" w:name="_Toc476064529"/>
      <w:bookmarkStart w:id="37" w:name="_Toc476064470"/>
      <w:bookmarkStart w:id="38" w:name="_Toc476064530"/>
      <w:bookmarkStart w:id="39" w:name="_Toc476064471"/>
      <w:bookmarkStart w:id="40" w:name="_Toc476064531"/>
      <w:bookmarkStart w:id="41" w:name="_Toc476064472"/>
      <w:bookmarkStart w:id="42" w:name="_Toc476064532"/>
      <w:bookmarkStart w:id="43" w:name="_Toc476064473"/>
      <w:bookmarkStart w:id="44" w:name="_Toc476064533"/>
      <w:bookmarkStart w:id="45" w:name="_Toc476064474"/>
      <w:bookmarkStart w:id="46" w:name="_Toc476064534"/>
      <w:bookmarkStart w:id="47" w:name="_Toc476064475"/>
      <w:bookmarkStart w:id="48" w:name="_Toc476064535"/>
      <w:bookmarkStart w:id="49" w:name="_Toc476064476"/>
      <w:bookmarkStart w:id="50" w:name="_Toc476064536"/>
      <w:bookmarkStart w:id="51" w:name="_Toc476064477"/>
      <w:bookmarkStart w:id="52" w:name="_Toc476064537"/>
      <w:bookmarkStart w:id="53" w:name="_Toc476064478"/>
      <w:bookmarkStart w:id="54" w:name="_Toc476064538"/>
      <w:bookmarkStart w:id="55" w:name="_Toc476064479"/>
      <w:bookmarkStart w:id="56" w:name="_Toc476064539"/>
      <w:bookmarkStart w:id="57" w:name="_Toc476064481"/>
      <w:bookmarkStart w:id="58" w:name="_Toc476064541"/>
      <w:bookmarkStart w:id="59" w:name="_Toc476064482"/>
      <w:bookmarkStart w:id="60" w:name="_Toc476064542"/>
      <w:bookmarkStart w:id="61" w:name="_Toc476064483"/>
      <w:bookmarkStart w:id="62" w:name="_Toc476064543"/>
      <w:bookmarkStart w:id="63" w:name="_Toc476064484"/>
      <w:bookmarkStart w:id="64" w:name="_Toc476064544"/>
      <w:bookmarkStart w:id="65" w:name="_Toc476064485"/>
      <w:bookmarkStart w:id="66" w:name="_Toc476064545"/>
      <w:bookmarkStart w:id="67" w:name="_Toc476064486"/>
      <w:bookmarkStart w:id="68" w:name="_Toc476064546"/>
      <w:bookmarkStart w:id="69" w:name="_Toc476064487"/>
      <w:bookmarkStart w:id="70" w:name="_Toc476064547"/>
      <w:bookmarkStart w:id="71" w:name="_Toc476064488"/>
      <w:bookmarkStart w:id="72" w:name="_Toc476064548"/>
      <w:bookmarkStart w:id="73" w:name="_Toc476064489"/>
      <w:bookmarkStart w:id="74" w:name="_Toc476064549"/>
      <w:bookmarkStart w:id="75" w:name="_Toc476064490"/>
      <w:bookmarkStart w:id="76" w:name="_Toc476064550"/>
      <w:bookmarkStart w:id="77" w:name="_Toc476064491"/>
      <w:bookmarkStart w:id="78" w:name="_Toc476064551"/>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t>Υπάρχουν διάφορες προκλήσεις, οι οποίες θα πρέπει να ληφθούν υπόψη κατά την αξιολόγηση της καινοτομίας στα ΠΑΑ.</w:t>
      </w:r>
    </w:p>
    <w:p w:rsidR="00A45935" w:rsidRPr="00E05D08" w:rsidRDefault="00A45935" w:rsidP="00230C31">
      <w:pPr>
        <w:pStyle w:val="HHeading4"/>
        <w:rPr>
          <w:rFonts w:eastAsia="Calibri"/>
        </w:rPr>
      </w:pPr>
      <w:r>
        <w:t xml:space="preserve">Εννοιολογικές προκλήσεις </w:t>
      </w:r>
    </w:p>
    <w:p w:rsidR="00A45935" w:rsidRPr="00920CB9" w:rsidRDefault="00A45935" w:rsidP="00576A73">
      <w:pPr>
        <w:pStyle w:val="Hlistbullet"/>
      </w:pPr>
      <w:r>
        <w:rPr>
          <w:b/>
        </w:rPr>
        <w:t>Σαφής προσδιορισμός του αντικειμένου της αξιολόγησης:</w:t>
      </w:r>
      <w:r>
        <w:t xml:space="preserve"> πού επικεντρώνεται η αξιολόγηση της καινοτομίας; </w:t>
      </w:r>
    </w:p>
    <w:p w:rsidR="00A45935" w:rsidRPr="00920CB9" w:rsidRDefault="00A45935" w:rsidP="00576A73">
      <w:pPr>
        <w:pStyle w:val="Hlistbullet"/>
      </w:pPr>
      <w:r>
        <w:rPr>
          <w:b/>
        </w:rPr>
        <w:t>Χαρτογράφηση του συστήματος γνώσης και καινοτομίας</w:t>
      </w:r>
      <w:r>
        <w:t>: ποιες είναι οι συνιστώσες, οι μεταξύ τους σχέσεις και τα όρια ενός δεδομένου συστήματος γνώσης και καινοτομίας στην υπό αξιολόγηση αγροτική περιοχή; Ποιος είναι ο ρόλος των ΠΑΑ στο πλαίσιο αυτού του συστήματος;</w:t>
      </w:r>
      <w:r>
        <w:rPr>
          <w:rFonts w:cs="Arial"/>
          <w:vertAlign w:val="superscript"/>
        </w:rPr>
        <w:footnoteReference w:id="34"/>
      </w:r>
    </w:p>
    <w:p w:rsidR="00A45935" w:rsidRPr="00920CB9" w:rsidRDefault="00A45935" w:rsidP="00576A73">
      <w:pPr>
        <w:pStyle w:val="Hlistbullet"/>
      </w:pPr>
      <w:r>
        <w:rPr>
          <w:b/>
        </w:rPr>
        <w:t>Επισκόπηση της προσέγγισης του ΠΑΑ όσον αφορά την καινοτομία</w:t>
      </w:r>
      <w:r>
        <w:t>: Ποιο είναι το ειδικό δυναμικό καινοτομίας ενός δεδομένου ΠΑΑ; Ποιοι είναι οι στόχοι; Τα κριτήρια επιλογής έχουν σχεδιαστεί ειδικά ώστε να αποσκοπούν στην καινοτομία;</w:t>
      </w:r>
    </w:p>
    <w:p w:rsidR="00A45935" w:rsidRPr="00B76BA4" w:rsidRDefault="00A45935" w:rsidP="00230C31">
      <w:pPr>
        <w:pStyle w:val="HHeading4"/>
        <w:rPr>
          <w:rFonts w:eastAsia="Calibri"/>
          <w:shd w:val="clear" w:color="auto" w:fill="FFFFFF"/>
        </w:rPr>
      </w:pPr>
      <w:r>
        <w:rPr>
          <w:shd w:val="clear" w:color="auto" w:fill="FFFFFF"/>
        </w:rPr>
        <w:t xml:space="preserve">Προκλήσεις που συνδέονται με το κοινό σύστημα παρακολούθησης και αξιολόγησης </w:t>
      </w:r>
    </w:p>
    <w:p w:rsidR="00A45935" w:rsidRPr="000324A5" w:rsidRDefault="00A45935" w:rsidP="00576A73">
      <w:pPr>
        <w:pStyle w:val="Hlistbullet"/>
      </w:pPr>
      <w:r>
        <w:rPr>
          <w:b/>
        </w:rPr>
        <w:t xml:space="preserve">Ανάπτυξη πρόσθετων και ειδικών ανά πρόγραμμα στοιχείων αξιολόγησης: </w:t>
      </w:r>
      <w:r>
        <w:t xml:space="preserve">πώς σχεδιάζονται τα πρόσθετα και ειδικά ανά πρόγραμμα στοιχεία αξιολόγησης που σχετίζονται με την αξιολόγηση της καινοτομίας; </w:t>
      </w:r>
    </w:p>
    <w:p w:rsidR="00A45935" w:rsidRPr="000324A5" w:rsidRDefault="00A45935" w:rsidP="00576A73">
      <w:pPr>
        <w:pStyle w:val="Hlistbullet"/>
        <w:rPr>
          <w:b/>
        </w:rPr>
      </w:pPr>
      <w:r>
        <w:rPr>
          <w:b/>
        </w:rPr>
        <w:t xml:space="preserve">Αναφορά αποτελεσμάτων: </w:t>
      </w:r>
      <w:r>
        <w:t>πώς εναρμονίζονται οι διαδικασίες αξιολόγησης με το χρονοδιάγραμμα της ετήσιας έκθεσης υλοποίησης του 2019, καθώς και με την εκ των υστέρων αξιολόγηση του 2024;</w:t>
      </w:r>
    </w:p>
    <w:p w:rsidR="00A45935" w:rsidRPr="00E05D08" w:rsidRDefault="00A45935" w:rsidP="00230C31">
      <w:pPr>
        <w:pStyle w:val="HHeading4"/>
        <w:rPr>
          <w:rFonts w:eastAsia="Calibri"/>
          <w:shd w:val="clear" w:color="auto" w:fill="FFFFFF"/>
        </w:rPr>
      </w:pPr>
      <w:r>
        <w:rPr>
          <w:shd w:val="clear" w:color="auto" w:fill="FFFFFF"/>
        </w:rPr>
        <w:t xml:space="preserve">Μεθοδολογικές προκλήσεις </w:t>
      </w:r>
    </w:p>
    <w:p w:rsidR="00A45935" w:rsidRPr="00F8743F" w:rsidRDefault="00A45935" w:rsidP="00576A73">
      <w:pPr>
        <w:pStyle w:val="Hlistbullet"/>
        <w:rPr>
          <w:shd w:val="clear" w:color="auto" w:fill="FFFFFF"/>
        </w:rPr>
      </w:pPr>
      <w:r>
        <w:rPr>
          <w:b/>
        </w:rPr>
        <w:t>Απόδοση</w:t>
      </w:r>
      <w:r>
        <w:rPr>
          <w:b/>
          <w:shd w:val="clear" w:color="auto" w:fill="FFFFFF"/>
        </w:rPr>
        <w:t xml:space="preserve"> των διαδικασιών καινοτομίας στις παρεμβάσεις στο πλαίσιο του ΠΑΑ</w:t>
      </w:r>
      <w:r>
        <w:rPr>
          <w:shd w:val="clear" w:color="auto" w:fill="FFFFFF"/>
        </w:rPr>
        <w:t xml:space="preserve">: πώς υπολογίζεται ο βαθμός στον οποίο οι διαδικασίες καινοτομίας που αναπτύσσονται στις αγροτικές περιοχές μπορούν να αποδοθούν, άμεσα ή έμμεσα, στις παρεμβάσεις στο πλαίσιο του ΠΑΑ; </w:t>
      </w:r>
    </w:p>
    <w:p w:rsidR="00A45935" w:rsidRPr="00F8743F" w:rsidRDefault="00A45935" w:rsidP="00576A73">
      <w:pPr>
        <w:pStyle w:val="Hlistbullet"/>
        <w:rPr>
          <w:shd w:val="clear" w:color="auto" w:fill="FFFFFF"/>
        </w:rPr>
      </w:pPr>
      <w:r>
        <w:rPr>
          <w:b/>
        </w:rPr>
        <w:t>Απόδοση των επιπτώσεων της καινοτομίας στα αποτελέσματα και τις επιπτώσεις του ΠΑΑ</w:t>
      </w:r>
      <w:r>
        <w:rPr>
          <w:shd w:val="clear" w:color="auto" w:fill="FFFFFF"/>
        </w:rPr>
        <w:t xml:space="preserve">. </w:t>
      </w:r>
    </w:p>
    <w:p w:rsidR="00A45935" w:rsidRPr="00F8743F" w:rsidRDefault="00A45935" w:rsidP="00576A73">
      <w:pPr>
        <w:pStyle w:val="Hlistbullet"/>
        <w:rPr>
          <w:shd w:val="clear" w:color="auto" w:fill="FFFFFF"/>
        </w:rPr>
      </w:pPr>
      <w:r>
        <w:rPr>
          <w:b/>
          <w:shd w:val="clear" w:color="auto" w:fill="FFFFFF"/>
          <w14:textFill>
            <w14:solidFill>
              <w14:srgbClr w14:val="373737">
                <w14:lumMod w14:val="75000"/>
                <w14:lumMod w14:val="75000"/>
                <w14:lumMod w14:val="75000"/>
              </w14:srgbClr>
            </w14:solidFill>
          </w14:textFill>
        </w:rPr>
        <w:t>Σχεδιασμός κατάλληλων</w:t>
      </w:r>
      <w:r>
        <w:rPr>
          <w:shd w:val="clear" w:color="auto" w:fill="FFFFFF"/>
          <w14:textFill>
            <w14:solidFill>
              <w14:srgbClr w14:val="373737">
                <w14:lumMod w14:val="75000"/>
                <w14:lumMod w14:val="75000"/>
                <w14:lumMod w14:val="75000"/>
              </w14:srgbClr>
            </w14:solidFill>
          </w14:textFill>
        </w:rPr>
        <w:t xml:space="preserve"> </w:t>
      </w:r>
      <w:r>
        <w:rPr>
          <w:b/>
          <w:shd w:val="clear" w:color="auto" w:fill="FFFFFF"/>
          <w14:textFill>
            <w14:solidFill>
              <w14:srgbClr w14:val="373737">
                <w14:lumMod w14:val="75000"/>
                <w14:lumMod w14:val="75000"/>
                <w14:lumMod w14:val="75000"/>
              </w14:srgbClr>
            </w14:solidFill>
          </w14:textFill>
        </w:rPr>
        <w:t>προσεγγίσεων αξιολόγησης:</w:t>
      </w:r>
      <w:r>
        <w:rPr>
          <w:shd w:val="clear" w:color="auto" w:fill="FFFFFF"/>
          <w14:textFill>
            <w14:solidFill>
              <w14:srgbClr w14:val="373737">
                <w14:lumMod w14:val="75000"/>
                <w14:lumMod w14:val="75000"/>
                <w14:lumMod w14:val="75000"/>
              </w14:srgbClr>
            </w14:solidFill>
          </w14:textFill>
        </w:rPr>
        <w:t xml:space="preserve"> Πώς διενεργείται ο τριγωνισμός και ο συνδυασμός ποσοτικών και ποιοτικών μεθόδων για την ερμηνεία των πορισμάτων της αξιολόγησης και τη στήριξη των συμπερασμάτων και των συστάσεων; </w:t>
      </w:r>
    </w:p>
    <w:p w:rsidR="00A45935" w:rsidRPr="00E05D08" w:rsidRDefault="00A45935" w:rsidP="00230C31">
      <w:pPr>
        <w:pStyle w:val="HHeading4"/>
        <w:rPr>
          <w:rFonts w:eastAsia="Calibri"/>
          <w:shd w:val="clear" w:color="auto" w:fill="FFFFFF"/>
        </w:rPr>
      </w:pPr>
      <w:r>
        <w:rPr>
          <w:shd w:val="clear" w:color="auto" w:fill="FFFFFF"/>
        </w:rPr>
        <w:t>Οργανωτικές προκλήσεις</w:t>
      </w:r>
    </w:p>
    <w:p w:rsidR="00A45935" w:rsidRPr="00D55226" w:rsidRDefault="00A45935" w:rsidP="00576A73">
      <w:pPr>
        <w:pStyle w:val="Hlistbullet"/>
        <w:rPr>
          <w:rFonts w:eastAsia="Calibri"/>
        </w:rPr>
      </w:pPr>
      <w:r>
        <w:rPr>
          <w:b/>
        </w:rPr>
        <w:t>Διασφάλιση αποτελεσματικής και αποδοτικής διαχείρισης δεδομένων</w:t>
      </w:r>
      <w:r>
        <w:t xml:space="preserve">: πώς διενεργείται η διαχείριση, συλλογή και ανάλυση των δεδομένων που σχετίζονται με κοινούς και πρόσθετους δείκτες, ιδιαίτερα όταν στη διαχείριση των μέτρων στήριξης της καινοτομίας εμπλέκονται διάφοροι αρμόδιοι φορείς; </w:t>
      </w:r>
    </w:p>
    <w:p w:rsidR="00A45935" w:rsidRPr="00D55226" w:rsidRDefault="00A45935" w:rsidP="00576A73">
      <w:pPr>
        <w:pStyle w:val="Hlistbullet"/>
        <w:rPr>
          <w:rFonts w:eastAsia="Calibri"/>
        </w:rPr>
      </w:pPr>
      <w:r>
        <w:rPr>
          <w:b/>
        </w:rPr>
        <w:t>Συντονισμός των εμπλεκόμενων ενδιαφερόμενων φορέων</w:t>
      </w:r>
      <w:r>
        <w:t xml:space="preserve">: πώς καθιερώνεται κοινή διαδικασία και επιτυγχάνεται κοινή αντίληψη μεταξύ των διαχειριστικών αρχών και των </w:t>
      </w:r>
      <w:r>
        <w:lastRenderedPageBreak/>
        <w:t>διαφόρων ενδιαφερόμενων φορέων που εμπλέκονται στην αξιολόγηση της καινοτομίας (π.χ. ΟΤΔ, επιχειρησιακές ομάδες της ΕΣΚ, σύμβουλοι γεωργίας/δασοκομίας, ερευνητές);</w:t>
      </w:r>
    </w:p>
    <w:p w:rsidR="00A45935" w:rsidRDefault="00A45935" w:rsidP="00576A73">
      <w:pPr>
        <w:pStyle w:val="Hlistbullet"/>
        <w:rPr>
          <w:rFonts w:eastAsia="Calibri"/>
        </w:rPr>
      </w:pPr>
      <w:r>
        <w:rPr>
          <w:b/>
        </w:rPr>
        <w:t>Χρήση των πορισμάτων της αξιολόγησης για τη βελτίωση του σχεδιασμού και της υλοποίησης της πολιτικής</w:t>
      </w:r>
      <w:r>
        <w:t>: πώς εξάγονται τα συμπεράσματα και οι συστάσεις σε συνέχεια των πορισμάτων της αξιολόγησης προκειμένου να βελτιωθεί το ΠΑΑ, η διαφάνειά του, η λογοδοσία και η κοινή εκμάθηση μεταξύ των ενδιαφερόμενων φορέων του ΠΑΑ;</w:t>
      </w:r>
    </w:p>
    <w:p w:rsidR="00230C31" w:rsidRDefault="00230C31" w:rsidP="00626C0C">
      <w:pPr>
        <w:pStyle w:val="HHeading1"/>
        <w:tabs>
          <w:tab w:val="clear" w:pos="567"/>
        </w:tabs>
      </w:pPr>
      <w:bookmarkStart w:id="79" w:name="_Toc508964813"/>
      <w:r>
        <w:lastRenderedPageBreak/>
        <w:t>Πώς αξιολογείται η καινοτομία των ΠΑΑ</w:t>
      </w:r>
      <w:bookmarkEnd w:id="79"/>
    </w:p>
    <w:p w:rsidR="00A45935" w:rsidRPr="00C84B5B" w:rsidRDefault="00A45935" w:rsidP="00B421B9">
      <w:pPr>
        <w:pStyle w:val="HHeading2"/>
        <w:numPr>
          <w:ilvl w:val="1"/>
          <w:numId w:val="119"/>
        </w:numPr>
        <w:ind w:left="567" w:hanging="567"/>
      </w:pPr>
      <w:bookmarkStart w:id="80" w:name="_Toc476063931"/>
      <w:bookmarkStart w:id="81" w:name="_Toc476064198"/>
      <w:bookmarkStart w:id="82" w:name="_Toc476064493"/>
      <w:bookmarkStart w:id="83" w:name="_Toc476064553"/>
      <w:bookmarkStart w:id="84" w:name="_Toc508964814"/>
      <w:bookmarkStart w:id="85" w:name="_Toc493151899"/>
      <w:bookmarkStart w:id="86" w:name="_Toc501382126"/>
      <w:bookmarkEnd w:id="80"/>
      <w:bookmarkEnd w:id="81"/>
      <w:bookmarkEnd w:id="82"/>
      <w:bookmarkEnd w:id="83"/>
      <w:r>
        <w:t>Προτεινόμενη προσέγγιση για την αξιολόγηση της καινοτομίας στο πλαίσιο των ΠΑΑ της περιόδου 2014-2020 (επισκόπηση)</w:t>
      </w:r>
      <w:bookmarkEnd w:id="84"/>
    </w:p>
    <w:bookmarkEnd w:id="85"/>
    <w:bookmarkEnd w:id="86"/>
    <w:p w:rsidR="00A45935" w:rsidRDefault="00A45935" w:rsidP="00946806">
      <w:pPr>
        <w:pStyle w:val="HHeading4"/>
      </w:pPr>
      <w:r>
        <w:t>Διαχείριση της αξιολόγησης της καινοτομίας</w:t>
      </w:r>
    </w:p>
    <w:p w:rsidR="00A45935" w:rsidRPr="00E05D08" w:rsidRDefault="00A45935" w:rsidP="00E05D08">
      <w:pPr>
        <w:spacing w:after="120" w:line="280" w:lineRule="atLeast"/>
        <w:mirrorIndents/>
        <w:rPr>
          <w:rFonts w:eastAsia="Times New Roman" w:cs="Times New Roman"/>
          <w:szCs w:val="20"/>
        </w:rPr>
      </w:pPr>
      <w:r>
        <w:rPr>
          <w:b/>
          <w:szCs w:val="20"/>
        </w:rPr>
        <w:t>Η αξιολόγηση της καινοτομίας και η παροχή απαντήσεων στα ερωτήματα αξιολόγησης που σχετίζονται με την καινοτομία αποτελούν τμήμα της αξιολόγησης του ΠΑΑ.</w:t>
      </w:r>
      <w:r>
        <w:t xml:space="preserve"> </w:t>
      </w:r>
      <w:r>
        <w:rPr>
          <w:szCs w:val="20"/>
          <w:shd w:val="clear" w:color="auto" w:fill="FFFFFF"/>
        </w:rPr>
        <w:t>Συνεπώς, η διαχείρισή τους γίνεται συνήθως από κοινού με τις λοιπές δραστηριότητες αξιολόγησης του ΠΑΑ</w:t>
      </w:r>
      <w:r>
        <w:rPr>
          <w:rFonts w:eastAsia="Calibri" w:cs="Times New Roman"/>
          <w:szCs w:val="20"/>
          <w:shd w:val="clear" w:color="auto" w:fill="FFFFFF"/>
          <w:vertAlign w:val="superscript"/>
          <w:lang w:eastAsia="de-DE"/>
        </w:rPr>
        <w:footnoteReference w:id="35"/>
      </w:r>
      <w:r>
        <w:rPr>
          <w:szCs w:val="20"/>
          <w:shd w:val="clear" w:color="auto" w:fill="FFFFFF"/>
        </w:rPr>
        <w:t>. Το παρακάτω σχήμα παρέχει επισκόπηση της εν λόγω διαδικασίας.</w:t>
      </w:r>
      <w:r>
        <w:t xml:space="preserve"> </w:t>
      </w:r>
    </w:p>
    <w:p w:rsidR="00A45935" w:rsidRPr="00E05D08" w:rsidRDefault="00A45935" w:rsidP="00E05D08">
      <w:pPr>
        <w:spacing w:after="120" w:line="280" w:lineRule="atLeast"/>
        <w:mirrorIndents/>
        <w:rPr>
          <w:rFonts w:eastAsia="Times New Roman" w:cs="Times New Roman"/>
          <w:szCs w:val="20"/>
        </w:rPr>
      </w:pPr>
      <w:r>
        <w:t xml:space="preserve">Η προετοιμασία, η διάρθρωση και η διεξαγωγή της αξιολόγησης της καινοτομίας περιγράφονται λεπτομερώς στα κεφάλαια 2.2 έως 2.4. </w:t>
      </w:r>
    </w:p>
    <w:p w:rsidR="00A45935" w:rsidRPr="0018705F" w:rsidRDefault="00EB5F7A" w:rsidP="00EB5F7A">
      <w:pPr>
        <w:pStyle w:val="HHeadingfigures"/>
        <w:numPr>
          <w:ilvl w:val="0"/>
          <w:numId w:val="0"/>
        </w:numPr>
        <w:ind w:left="604"/>
      </w:pPr>
      <w:bookmarkStart w:id="87" w:name="_Toc508964838"/>
      <w:r>
        <w:t>Διάγραμμα 4.</w:t>
      </w:r>
      <w:r>
        <w:tab/>
      </w:r>
      <w:r w:rsidR="00A45935">
        <w:t>Διαχείριση της αξιολόγησης της καινοτομίας στα ΠΑΑ της περιόδου 2014-2020</w:t>
      </w:r>
      <w:bookmarkEnd w:id="87"/>
    </w:p>
    <w:p w:rsidR="00A45935" w:rsidRPr="00E05D08" w:rsidRDefault="00CD0DDD" w:rsidP="00E05D08">
      <w:pPr>
        <w:spacing w:after="120" w:line="280" w:lineRule="atLeast"/>
        <w:mirrorIndents/>
        <w:jc w:val="center"/>
        <w:rPr>
          <w:rFonts w:eastAsia="Times New Roman" w:cs="Times New Roman"/>
          <w:szCs w:val="20"/>
        </w:rPr>
      </w:pPr>
      <w:r w:rsidRPr="00CD0DDD">
        <w:rPr>
          <w:noProof/>
          <w:lang w:val="en-GB" w:eastAsia="en-GB"/>
        </w:rPr>
        <w:drawing>
          <wp:inline distT="0" distB="0" distL="0" distR="0" wp14:anchorId="192CEFE8" wp14:editId="6BFC51F3">
            <wp:extent cx="5731510" cy="3218707"/>
            <wp:effectExtent l="0" t="0" r="254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218707"/>
                    </a:xfrm>
                    <a:prstGeom prst="rect">
                      <a:avLst/>
                    </a:prstGeom>
                    <a:noFill/>
                    <a:ln>
                      <a:noFill/>
                    </a:ln>
                  </pic:spPr>
                </pic:pic>
              </a:graphicData>
            </a:graphic>
          </wp:inline>
        </w:drawing>
      </w:r>
    </w:p>
    <w:p w:rsidR="00A45935" w:rsidRPr="00E05D08" w:rsidRDefault="00A45935" w:rsidP="00E05D08">
      <w:pPr>
        <w:spacing w:after="120" w:line="280" w:lineRule="atLeast"/>
        <w:jc w:val="center"/>
        <w:rPr>
          <w:rFonts w:eastAsia="Calibri" w:cs="Arial"/>
          <w:bCs/>
          <w:i/>
          <w:sz w:val="16"/>
          <w:szCs w:val="16"/>
        </w:rPr>
      </w:pPr>
      <w:r>
        <w:rPr>
          <w:bCs/>
          <w:i/>
          <w:sz w:val="16"/>
          <w:szCs w:val="16"/>
        </w:rPr>
        <w:t>Πηγή: Ευρωπαϊκό Helpdesk αξιολόγησης για την αγροτική ανάπτυξη, 2017</w:t>
      </w:r>
    </w:p>
    <w:p w:rsidR="00A45935" w:rsidRPr="00E05D08" w:rsidRDefault="00A45935" w:rsidP="00E05D08">
      <w:pPr>
        <w:spacing w:after="120" w:line="280" w:lineRule="atLeast"/>
        <w:mirrorIndents/>
        <w:rPr>
          <w:rFonts w:eastAsia="Times New Roman" w:cs="Times New Roman"/>
          <w:szCs w:val="20"/>
        </w:rPr>
      </w:pPr>
      <w:r>
        <w:br w:type="page"/>
      </w:r>
    </w:p>
    <w:p w:rsidR="00A45935" w:rsidRDefault="00A45935" w:rsidP="00946806">
      <w:pPr>
        <w:pStyle w:val="HHeading4"/>
      </w:pPr>
      <w:r>
        <w:lastRenderedPageBreak/>
        <w:t>Υποβολή εκθέσεων σχετικά με την αξιολόγηση της καινοτομίας</w:t>
      </w:r>
    </w:p>
    <w:p w:rsidR="00A45935" w:rsidRPr="00E05D08" w:rsidRDefault="00A45935" w:rsidP="00E05D08">
      <w:pPr>
        <w:spacing w:after="120" w:line="280" w:lineRule="atLeast"/>
        <w:mirrorIndents/>
        <w:rPr>
          <w:rFonts w:eastAsia="Times New Roman" w:cs="Times New Roman"/>
          <w:szCs w:val="20"/>
        </w:rPr>
      </w:pPr>
      <w:r>
        <w:t xml:space="preserve">Η </w:t>
      </w:r>
      <w:r>
        <w:rPr>
          <w:b/>
          <w:szCs w:val="20"/>
        </w:rPr>
        <w:t>υποβολή εκθέσεων σχετικά με τα πορίσματα της αξιολόγησης στην Ευρωπαϊκή Επιτροπή είναι αρμοδιότητα των</w:t>
      </w:r>
      <w:r>
        <w:rPr>
          <w:b/>
          <w:szCs w:val="20"/>
          <w:shd w:val="clear" w:color="auto" w:fill="FFFFFF"/>
        </w:rPr>
        <w:t xml:space="preserve"> </w:t>
      </w:r>
      <w:r>
        <w:rPr>
          <w:b/>
          <w:szCs w:val="20"/>
        </w:rPr>
        <w:t>διαχειριστικών αρχών</w:t>
      </w:r>
      <w:r>
        <w:rPr>
          <w:rFonts w:eastAsia="Times New Roman" w:cs="Times New Roman"/>
          <w:szCs w:val="20"/>
          <w:vertAlign w:val="superscript"/>
          <w:lang w:eastAsia="de-DE"/>
        </w:rPr>
        <w:footnoteReference w:id="36"/>
      </w:r>
      <w:r>
        <w:t xml:space="preserve">. Το σχήμα 5 δείχνει υπό ποια ΚΕΑ τα πορίσματα της αξιολόγησης της καινοτομίας μπορούν να συμπεριληφθούν στις ετήσιες εκθέσεις υλοποίησης (EEY) του 2017, του 2019 και στην εκ των υστέρων αξιολόγηση. </w:t>
      </w:r>
    </w:p>
    <w:p w:rsidR="00A45935" w:rsidRPr="00E05D08" w:rsidRDefault="00A45935" w:rsidP="00E05D08">
      <w:pPr>
        <w:spacing w:after="120" w:line="280" w:lineRule="atLeast"/>
        <w:mirrorIndents/>
        <w:rPr>
          <w:rFonts w:eastAsia="Times New Roman" w:cs="Times New Roman"/>
          <w:szCs w:val="20"/>
        </w:rPr>
      </w:pPr>
      <w:r>
        <w:rPr>
          <w:b/>
          <w:szCs w:val="20"/>
        </w:rPr>
        <w:t>Σημαντικά πορίσματα της αξιολόγησης σχετικά με την καινοτομία αναμένονται στην ΕΕΥ του 2019 και στην εκ των υστέρων αξιολόγηση</w:t>
      </w:r>
      <w:r>
        <w:t>. Εφόσον η προώθηση της καινοτομίας νοείται ως μια διαδικασία, τα αποτελέσματά της είναι δύσκολο να παρατηρηθούν στα πρώιμα στάδια εφαρμογής του προγράμματος.</w:t>
      </w:r>
    </w:p>
    <w:p w:rsidR="00A45935" w:rsidRPr="006B72BF" w:rsidRDefault="00EB5F7A" w:rsidP="00EB5F7A">
      <w:pPr>
        <w:pStyle w:val="HHeadingfigures"/>
        <w:numPr>
          <w:ilvl w:val="0"/>
          <w:numId w:val="0"/>
        </w:numPr>
        <w:ind w:left="604"/>
      </w:pPr>
      <w:bookmarkStart w:id="88" w:name="_Toc508964839"/>
      <w:r>
        <w:t>Διάγραμμα 5.</w:t>
      </w:r>
      <w:r>
        <w:tab/>
      </w:r>
      <w:r w:rsidR="00533971">
        <w:t>Απαιτήσεις υποβολής εκθέσεων σε σχέση με την καινοτομία</w:t>
      </w:r>
      <w:bookmarkEnd w:id="88"/>
    </w:p>
    <w:p w:rsidR="00A45935" w:rsidRPr="00E05D08" w:rsidRDefault="00EB5F7A" w:rsidP="00E05D08">
      <w:pPr>
        <w:spacing w:after="120" w:line="280" w:lineRule="atLeast"/>
        <w:mirrorIndents/>
        <w:jc w:val="center"/>
        <w:rPr>
          <w:rFonts w:eastAsia="Times New Roman" w:cs="Times New Roman"/>
          <w:szCs w:val="20"/>
          <w:lang w:eastAsia="de-DE"/>
        </w:rPr>
      </w:pPr>
      <w:r w:rsidRPr="00EB5F7A">
        <w:rPr>
          <w:noProof/>
          <w:lang w:val="en-GB" w:eastAsia="en-GB"/>
        </w:rPr>
        <w:drawing>
          <wp:inline distT="0" distB="0" distL="0" distR="0" wp14:anchorId="491DF7B8" wp14:editId="1DB525AA">
            <wp:extent cx="5731510" cy="3218707"/>
            <wp:effectExtent l="0" t="0" r="254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218707"/>
                    </a:xfrm>
                    <a:prstGeom prst="rect">
                      <a:avLst/>
                    </a:prstGeom>
                    <a:noFill/>
                    <a:ln>
                      <a:noFill/>
                    </a:ln>
                  </pic:spPr>
                </pic:pic>
              </a:graphicData>
            </a:graphic>
          </wp:inline>
        </w:drawing>
      </w:r>
    </w:p>
    <w:p w:rsidR="001744D0" w:rsidRDefault="00A45935" w:rsidP="001744D0">
      <w:pPr>
        <w:suppressAutoHyphens/>
        <w:spacing w:before="60" w:after="140" w:line="240" w:lineRule="auto"/>
        <w:ind w:right="1134"/>
        <w:mirrorIndents/>
        <w:jc w:val="center"/>
        <w:rPr>
          <w:rFonts w:eastAsia="Times New Roman" w:cs="Times New Roman"/>
          <w:i/>
          <w:sz w:val="16"/>
          <w:szCs w:val="20"/>
        </w:rPr>
      </w:pPr>
      <w:r>
        <w:rPr>
          <w:i/>
          <w:sz w:val="16"/>
          <w:szCs w:val="20"/>
        </w:rPr>
        <w:t>Πηγή: Ευρωπαϊκό Helpdesk αξιολόγησης για την αγροτική ανάπτυξη, 2017</w:t>
      </w:r>
    </w:p>
    <w:p w:rsidR="00A45935" w:rsidRPr="00E05D08" w:rsidRDefault="00A45935" w:rsidP="001744D0">
      <w:r>
        <w:t>Κατά συνέπεια, οι παρούσες κατευθυντήριες γραμμές επικεντρώνονται στον τρόπο προσέγγισης της αξιολόγησης της καινοτομίας από το 2019 και εξής.</w:t>
      </w:r>
    </w:p>
    <w:p w:rsidR="00A45935" w:rsidRDefault="00A45935" w:rsidP="00804433">
      <w:pPr>
        <w:spacing w:after="120" w:line="280" w:lineRule="atLeast"/>
        <w:mirrorIndents/>
        <w:rPr>
          <w:rFonts w:eastAsia="Times New Roman" w:cs="Times New Roman"/>
          <w:szCs w:val="20"/>
        </w:rPr>
      </w:pPr>
      <w:r>
        <w:rPr>
          <w:b/>
          <w:szCs w:val="20"/>
        </w:rPr>
        <w:t xml:space="preserve">Άλλοι μορφότυποι υποβολής εκθέσεων, </w:t>
      </w:r>
      <w:r>
        <w:t>πέρα από αυτούς που σχεδιάστηκαν για τις εκθέσεις σε επίπεδο ΕΕ, θα μπορούσαν να χρησιμοποιηθούν από τη διαχειριστική αρχή για την ενημέρωση των φορέων καινοτομίας, των ενδιαφερόμενων φορέων στον τομέα της αγροτικής ανάπτυξης και του ευρύτερου κοινού σχετικά με τα πορίσματα της αξιολόγησης του ΠΑΑ (βλ. επίσης άλλες κατευθυντήριες γραμμές</w:t>
      </w:r>
      <w:r>
        <w:rPr>
          <w:rFonts w:eastAsia="Times New Roman" w:cs="Times New Roman"/>
          <w:szCs w:val="20"/>
          <w:vertAlign w:val="superscript"/>
          <w:lang w:eastAsia="de-DE"/>
        </w:rPr>
        <w:footnoteReference w:id="37"/>
      </w:r>
      <w:r>
        <w:t xml:space="preserve">). Προαιρετικά, ορισμένα κράτη μέλη μπορούν επίσης να αποφασίσουν τη διεξαγωγή αυτόνομης αξιολόγησης της καινοτομίας και να εκπονήσουν ειδικές εκθέσεις αξιολόγησης.  </w:t>
      </w:r>
    </w:p>
    <w:p w:rsidR="00583AC8" w:rsidRDefault="00D93360" w:rsidP="00804433">
      <w:pPr>
        <w:spacing w:after="120" w:line="280" w:lineRule="atLeast"/>
        <w:mirrorIndents/>
        <w:rPr>
          <w:rFonts w:eastAsia="Times New Roman" w:cs="Times New Roman"/>
          <w:b/>
          <w:szCs w:val="20"/>
        </w:rPr>
      </w:pPr>
      <w:r>
        <w:rPr>
          <w:noProof/>
          <w:lang w:val="en-GB" w:eastAsia="en-GB"/>
        </w:rPr>
        <w:lastRenderedPageBreak/>
        <mc:AlternateContent>
          <mc:Choice Requires="wps">
            <w:drawing>
              <wp:anchor distT="180340" distB="0" distL="114300" distR="114300" simplePos="0" relativeHeight="251655680" behindDoc="0" locked="0" layoutInCell="1" allowOverlap="1" wp14:anchorId="6F1A54E9" wp14:editId="60385CB6">
                <wp:simplePos x="0" y="0"/>
                <wp:positionH relativeFrom="page">
                  <wp:posOffset>866775</wp:posOffset>
                </wp:positionH>
                <wp:positionV relativeFrom="page">
                  <wp:posOffset>600075</wp:posOffset>
                </wp:positionV>
                <wp:extent cx="5826760" cy="2809875"/>
                <wp:effectExtent l="0" t="0" r="21590" b="28575"/>
                <wp:wrapTopAndBottom/>
                <wp:docPr id="61" name="Rectangle: Diagonal Corners Rounded 61"/>
                <wp:cNvGraphicFramePr/>
                <a:graphic xmlns:a="http://schemas.openxmlformats.org/drawingml/2006/main">
                  <a:graphicData uri="http://schemas.microsoft.com/office/word/2010/wordprocessingShape">
                    <wps:wsp>
                      <wps:cNvSpPr/>
                      <wps:spPr>
                        <a:xfrm>
                          <a:off x="0" y="0"/>
                          <a:ext cx="5826760" cy="2809875"/>
                        </a:xfrm>
                        <a:prstGeom prst="round2DiagRect">
                          <a:avLst>
                            <a:gd name="adj1" fmla="val 8810"/>
                            <a:gd name="adj2" fmla="val 0"/>
                          </a:avLst>
                        </a:prstGeom>
                        <a:noFill/>
                        <a:ln w="25400" cap="flat" cmpd="sng" algn="ctr">
                          <a:solidFill>
                            <a:srgbClr val="F07E31"/>
                          </a:solidFill>
                          <a:prstDash val="solid"/>
                        </a:ln>
                        <a:effectLst/>
                      </wps:spPr>
                      <wps:txbx>
                        <w:txbxContent>
                          <w:p w:rsidR="00272EFF" w:rsidRPr="00D93360" w:rsidRDefault="00272EFF" w:rsidP="00E05D08">
                            <w:pPr>
                              <w:pStyle w:val="HStandard"/>
                              <w:rPr>
                                <w:b/>
                                <w:color w:val="F07E31"/>
                                <w:sz w:val="16"/>
                                <w:szCs w:val="16"/>
                              </w:rPr>
                            </w:pPr>
                            <w:r>
                              <w:rPr>
                                <w:noProof/>
                                <w:lang w:val="en-GB" w:eastAsia="en-GB"/>
                              </w:rPr>
                              <w:drawing>
                                <wp:inline distT="0" distB="0" distL="0" distR="0" wp14:anchorId="01BC2ACD" wp14:editId="2AC29898">
                                  <wp:extent cx="353060" cy="359410"/>
                                  <wp:effectExtent l="0" t="0" r="8890" b="2540"/>
                                  <wp:docPr id="1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sidRPr="00D93360">
                              <w:rPr>
                                <w:b/>
                                <w:color w:val="F07E31"/>
                                <w:sz w:val="16"/>
                                <w:szCs w:val="16"/>
                              </w:rPr>
                              <w:t>Παράδειγμα: Η συνεχής αξιολόγηση της ΕΣΚ-AGRI στη Σουηδία</w:t>
                            </w:r>
                          </w:p>
                          <w:p w:rsidR="00272EFF" w:rsidRPr="00D93360" w:rsidRDefault="00272EFF" w:rsidP="00E05D08">
                            <w:pPr>
                              <w:pStyle w:val="HBox"/>
                              <w:rPr>
                                <w:sz w:val="16"/>
                                <w:szCs w:val="16"/>
                              </w:rPr>
                            </w:pPr>
                            <w:r w:rsidRPr="00D93360">
                              <w:rPr>
                                <w:bCs/>
                                <w:sz w:val="16"/>
                                <w:szCs w:val="16"/>
                                <w14:textFill>
                                  <w14:solidFill>
                                    <w14:srgbClr w14:val="373737">
                                      <w14:lumMod w14:val="75000"/>
                                    </w14:srgbClr>
                                  </w14:solidFill>
                                </w14:textFill>
                              </w:rPr>
                              <w:t>Στη Σουηδία, η αξιολόγηση της καινοτομίας διενεργείται στο πλαίσιο της αξιολόγησης του ΠΑΑ και συνίσταται σε μια συνιστώσα ποσοτικής και μια συνιστώσα ποιοτικής αξιολόγησης. Για τη διαχείριση αμφότερων των συνιστωσών αρμόδια είναι η γραμματεία αξιολόγησης</w:t>
                            </w:r>
                            <w:r w:rsidRPr="00D93360">
                              <w:rPr>
                                <w:bCs/>
                                <w:sz w:val="16"/>
                                <w:szCs w:val="16"/>
                                <w:vertAlign w:val="superscript"/>
                                <w14:textFill>
                                  <w14:solidFill>
                                    <w14:srgbClr w14:val="373737">
                                      <w14:lumMod w14:val="75000"/>
                                    </w14:srgbClr>
                                  </w14:solidFill>
                                </w14:textFill>
                              </w:rPr>
                              <w:t>38</w:t>
                            </w:r>
                            <w:r w:rsidRPr="00D93360">
                              <w:rPr>
                                <w:bCs/>
                                <w:sz w:val="16"/>
                                <w:szCs w:val="16"/>
                                <w14:textFill>
                                  <w14:solidFill>
                                    <w14:srgbClr w14:val="373737">
                                      <w14:lumMod w14:val="75000"/>
                                    </w14:srgbClr>
                                  </w14:solidFill>
                                </w14:textFill>
                              </w:rPr>
                              <w:t xml:space="preserve">. Η ποσοτική αξιολόγηση αναμένεται να αποδώσει πορίσματα μόνο όσον αφορά την ΕΕΥ που πρόκειται να υποβληθεί το 2019 </w:t>
                            </w:r>
                            <w:r w:rsidRPr="00D93360">
                              <w:rPr>
                                <w:color w:val="292929"/>
                                <w:sz w:val="16"/>
                                <w:szCs w:val="16"/>
                              </w:rPr>
                              <w:t>και την εκ των υστέρων αξιολόγηση</w:t>
                            </w:r>
                            <w:r w:rsidRPr="00D93360">
                              <w:rPr>
                                <w:bCs/>
                                <w:sz w:val="16"/>
                                <w:szCs w:val="16"/>
                                <w14:textFill>
                                  <w14:solidFill>
                                    <w14:srgbClr w14:val="373737">
                                      <w14:lumMod w14:val="75000"/>
                                    </w14:srgbClr>
                                  </w14:solidFill>
                                </w14:textFill>
                              </w:rPr>
                              <w:t xml:space="preserve">. Η υιοθέτηση μέτρων σχετικά με την καινοτομία ήταν αρκετά περιορισμένη ώστε να μπορεί να διενεργηθεί ποσοτική αξιολόγηση το 2017. Η ποιοτική αξιολόγηση έχει σχεδιαστεί ως συνεχής διαμορφωτική αξιολόγηση και επικεντρώνεται στην υλοποίηση του ΕΣΚ-AGRI. Διεξάγεται από ερευνητική ομάδα δράσης του πανεπιστημίου της Umeå. Αυτή η συνεχής αξιολόγηση αποσκοπεί στην παροχή συνεχούς ανατροφοδότησης και συστάσεων για τη διαχείριση και την υλοποίηση της ΕΣΚ-AGRI (ΠΑΑ μέτρο 16). Τα πορίσματα της αξιολόγησης αναμένονται κατά τη διάρκεια της περιόδου προγραμματισμού, </w:t>
                            </w:r>
                            <w:r w:rsidRPr="00D93360">
                              <w:rPr>
                                <w:color w:val="292929"/>
                                <w:sz w:val="16"/>
                                <w:szCs w:val="16"/>
                              </w:rPr>
                              <w:t>τόσο στο πλαίσιο των ΕΕΥ του 2017 και του 2019 όσο και της εκ των υστέρων αξιολόγησης</w:t>
                            </w:r>
                            <w:r w:rsidRPr="00D93360">
                              <w:rPr>
                                <w:bCs/>
                                <w:sz w:val="16"/>
                                <w:szCs w:val="16"/>
                                <w14:textFill>
                                  <w14:solidFill>
                                    <w14:srgbClr w14:val="373737">
                                      <w14:lumMod w14:val="75000"/>
                                    </w14:srgbClr>
                                  </w14:solidFill>
                                </w14:textFill>
                              </w:rPr>
                              <w:t>. Και οι δύο συνιστώσες αξιολόγησης υλοποιούνται από ανεξάρτητους αξιολογητές, οι οποίοι επελέγησαν μέσω διαδικασίας σύναψης συμβάσεων, σύμφωνα με τη νομοθεσία περί δημοσίων συμβάσεων.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A54E9" id="Rectangle: Diagonal Corners Rounded 61" o:spid="_x0000_s1036" style="position:absolute;left:0;text-align:left;margin-left:68.25pt;margin-top:47.25pt;width:458.8pt;height:221.25pt;z-index:251655680;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margin;mso-height-relative:margin;v-text-anchor:middle" coordsize="5826760,280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" adj="-11796480,,5400" path="m247550,l5826760,r,l5826760,2562325v,136718,-110832,247550,-247550,247550l,2809875r,l,247550c,110832,110832,,247550,xe" filled="f" strokecolor="#f07e31" strokeweight="2pt">
                <v:stroke joinstyle="miter"/>
                <v:formulas/>
                <v:path arrowok="t" o:connecttype="custom" o:connectlocs="247550,0;5826760,0;5826760,0;5826760,2562325;5579210,2809875;0,2809875;0,2809875;0,247550;247550,0" o:connectangles="0,0,0,0,0,0,0,0,0" textboxrect="0,0,5826760,2809875"/>
                <v:textbox>
                  <w:txbxContent>
                    <w:p w:rsidR="00272EFF" w:rsidRPr="00D93360" w:rsidRDefault="00272EFF" w:rsidP="00E05D08">
                      <w:pPr>
                        <w:pStyle w:val="HStandard"/>
                        <w:rPr>
                          <w:b/>
                          <w:color w:val="F07E31"/>
                          <w:sz w:val="16"/>
                          <w:szCs w:val="16"/>
                        </w:rPr>
                      </w:pPr>
                      <w:r>
                        <w:rPr>
                          <w:noProof/>
                          <w:lang w:val="en-GB" w:eastAsia="en-GB"/>
                        </w:rPr>
                        <w:drawing>
                          <wp:inline distT="0" distB="0" distL="0" distR="0" wp14:anchorId="01BC2ACD" wp14:editId="2AC29898">
                            <wp:extent cx="353060" cy="359410"/>
                            <wp:effectExtent l="0" t="0" r="8890" b="2540"/>
                            <wp:docPr id="1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sidRPr="00D93360">
                        <w:rPr>
                          <w:b/>
                          <w:color w:val="F07E31"/>
                          <w:sz w:val="16"/>
                          <w:szCs w:val="16"/>
                        </w:rPr>
                        <w:t>Παράδειγμα: Η συνεχής αξιολόγηση της ΕΣΚ-AGRI στη Σουηδία</w:t>
                      </w:r>
                    </w:p>
                    <w:p w:rsidR="00272EFF" w:rsidRPr="00D93360" w:rsidRDefault="00272EFF" w:rsidP="00E05D08">
                      <w:pPr>
                        <w:pStyle w:val="HBox"/>
                        <w:rPr>
                          <w:sz w:val="16"/>
                          <w:szCs w:val="16"/>
                        </w:rPr>
                      </w:pPr>
                      <w:r w:rsidRPr="00D93360">
                        <w:rPr>
                          <w:bCs/>
                          <w:sz w:val="16"/>
                          <w:szCs w:val="16"/>
                          <w14:textFill>
                            <w14:solidFill>
                              <w14:srgbClr w14:val="373737">
                                <w14:lumMod w14:val="75000"/>
                              </w14:srgbClr>
                            </w14:solidFill>
                          </w14:textFill>
                        </w:rPr>
                        <w:t>Στη Σουηδία, η αξιολόγηση της καινοτομίας διενεργείται στο πλαίσιο της αξιολόγησης του ΠΑΑ και συνίσταται σε μια συνιστώσα ποσοτικής και μια συνιστώσα ποιοτικής αξιολόγησης. Για τη διαχείριση αμφότερων των συνιστωσών αρμόδια είναι η γραμματεία αξιολόγησης</w:t>
                      </w:r>
                      <w:r w:rsidRPr="00D93360">
                        <w:rPr>
                          <w:bCs/>
                          <w:sz w:val="16"/>
                          <w:szCs w:val="16"/>
                          <w:vertAlign w:val="superscript"/>
                          <w14:textFill>
                            <w14:solidFill>
                              <w14:srgbClr w14:val="373737">
                                <w14:lumMod w14:val="75000"/>
                              </w14:srgbClr>
                            </w14:solidFill>
                          </w14:textFill>
                        </w:rPr>
                        <w:t>38</w:t>
                      </w:r>
                      <w:r w:rsidRPr="00D93360">
                        <w:rPr>
                          <w:bCs/>
                          <w:sz w:val="16"/>
                          <w:szCs w:val="16"/>
                          <w14:textFill>
                            <w14:solidFill>
                              <w14:srgbClr w14:val="373737">
                                <w14:lumMod w14:val="75000"/>
                              </w14:srgbClr>
                            </w14:solidFill>
                          </w14:textFill>
                        </w:rPr>
                        <w:t xml:space="preserve">. Η ποσοτική αξιολόγηση αναμένεται να αποδώσει πορίσματα μόνο όσον αφορά την ΕΕΥ που πρόκειται να υποβληθεί το 2019 </w:t>
                      </w:r>
                      <w:r w:rsidRPr="00D93360">
                        <w:rPr>
                          <w:color w:val="292929"/>
                          <w:sz w:val="16"/>
                          <w:szCs w:val="16"/>
                        </w:rPr>
                        <w:t>και την εκ των υστέρων αξιολόγηση</w:t>
                      </w:r>
                      <w:r w:rsidRPr="00D93360">
                        <w:rPr>
                          <w:bCs/>
                          <w:sz w:val="16"/>
                          <w:szCs w:val="16"/>
                          <w14:textFill>
                            <w14:solidFill>
                              <w14:srgbClr w14:val="373737">
                                <w14:lumMod w14:val="75000"/>
                              </w14:srgbClr>
                            </w14:solidFill>
                          </w14:textFill>
                        </w:rPr>
                        <w:t xml:space="preserve">. Η υιοθέτηση μέτρων σχετικά με την καινοτομία ήταν αρκετά περιορισμένη ώστε να μπορεί να διενεργηθεί ποσοτική αξιολόγηση το 2017. Η ποιοτική αξιολόγηση έχει σχεδιαστεί ως συνεχής διαμορφωτική αξιολόγηση και επικεντρώνεται στην υλοποίηση του ΕΣΚ-AGRI. Διεξάγεται από ερευνητική ομάδα δράσης του πανεπιστημίου της Umeå. Αυτή η συνεχής αξιολόγηση αποσκοπεί στην παροχή συνεχούς ανατροφοδότησης και συστάσεων για τη διαχείριση και την υλοποίηση της ΕΣΚ-AGRI (ΠΑΑ μέτρο 16). Τα πορίσματα της αξιολόγησης αναμένονται κατά τη διάρκεια της περιόδου προγραμματισμού, </w:t>
                      </w:r>
                      <w:r w:rsidRPr="00D93360">
                        <w:rPr>
                          <w:color w:val="292929"/>
                          <w:sz w:val="16"/>
                          <w:szCs w:val="16"/>
                        </w:rPr>
                        <w:t>τόσο στο πλαίσιο των ΕΕΥ του 2017 και του 2019 όσο και της εκ των υστέρων αξιολόγησης</w:t>
                      </w:r>
                      <w:r w:rsidRPr="00D93360">
                        <w:rPr>
                          <w:bCs/>
                          <w:sz w:val="16"/>
                          <w:szCs w:val="16"/>
                          <w14:textFill>
                            <w14:solidFill>
                              <w14:srgbClr w14:val="373737">
                                <w14:lumMod w14:val="75000"/>
                              </w14:srgbClr>
                            </w14:solidFill>
                          </w14:textFill>
                        </w:rPr>
                        <w:t>. Και οι δύο συνιστώσες αξιολόγησης υλοποιούνται από ανεξάρτητους αξιολογητές, οι οποίοι επελέγησαν μέσω διαδικασίας σύναψης συμβάσεων, σύμφωνα με τη νομοθεσία περί δημοσίων συμβάσεων.</w:t>
                      </w:r>
                    </w:p>
                  </w:txbxContent>
                </v:textbox>
                <w10:wrap type="topAndBottom" anchorx="page" anchory="page"/>
              </v:shape>
            </w:pict>
          </mc:Fallback>
        </mc:AlternateContent>
      </w:r>
      <w:r w:rsidR="00583AC8">
        <w:rPr>
          <w:rStyle w:val="FootnoteReference"/>
          <w:rFonts w:eastAsia="Times New Roman" w:cs="Times New Roman"/>
          <w:color w:val="FFFFFF" w:themeColor="background1"/>
          <w:szCs w:val="20"/>
          <w:lang w:eastAsia="de-DE"/>
        </w:rPr>
        <w:footnoteReference w:id="38"/>
      </w:r>
    </w:p>
    <w:p w:rsidR="00A45935" w:rsidRPr="00E05D08" w:rsidRDefault="00626C0C" w:rsidP="00804433">
      <w:pPr>
        <w:spacing w:after="120" w:line="280" w:lineRule="atLeast"/>
        <w:mirrorIndents/>
        <w:rPr>
          <w:rFonts w:eastAsia="Times New Roman" w:cs="Times New Roman"/>
          <w:szCs w:val="20"/>
        </w:rPr>
      </w:pPr>
      <w:r>
        <w:rPr>
          <w:b/>
          <w:szCs w:val="20"/>
        </w:rPr>
        <w:t>Το νομικό πλαίσιο</w:t>
      </w:r>
      <w:r>
        <w:t xml:space="preserve"> </w:t>
      </w:r>
      <w:r>
        <w:rPr>
          <w:b/>
          <w:szCs w:val="20"/>
        </w:rPr>
        <w:t>απαιτεί την παροχή απαντήσεων σε όλα τα ερωτήματα αξιολόγησης που σχετίζονται με την καινοτομία</w:t>
      </w:r>
      <w:r>
        <w:rPr>
          <w:rFonts w:eastAsia="Times New Roman" w:cs="Times New Roman"/>
          <w:szCs w:val="20"/>
          <w:vertAlign w:val="superscript"/>
          <w:lang w:eastAsia="de-DE"/>
        </w:rPr>
        <w:footnoteReference w:id="39"/>
      </w:r>
      <w:r>
        <w:t xml:space="preserve"> μέσω της αξιολόγησης των σχετικών κοινών δεικτών</w:t>
      </w:r>
      <w:r>
        <w:rPr>
          <w:rFonts w:eastAsia="Times New Roman" w:cs="Times New Roman"/>
          <w:szCs w:val="20"/>
          <w:vertAlign w:val="superscript"/>
          <w:lang w:eastAsia="de-DE"/>
        </w:rPr>
        <w:footnoteReference w:id="40"/>
      </w:r>
      <w:r>
        <w:t xml:space="preserve"> και της αποτύπωσης των επιτευγμάτων της αγροτικής πολιτικής της ΕΕ όσον αφορά την προώθηση της καινοτομίας. </w:t>
      </w:r>
    </w:p>
    <w:p w:rsidR="00576A73" w:rsidRDefault="00A45935" w:rsidP="00576A73">
      <w:pPr>
        <w:spacing w:after="120" w:line="280" w:lineRule="atLeast"/>
        <w:mirrorIndents/>
        <w:rPr>
          <w:rFonts w:eastAsia="Times New Roman" w:cs="Times New Roman"/>
          <w:szCs w:val="20"/>
        </w:rPr>
      </w:pPr>
      <w:r>
        <w:t>Προτείνονται τα ακόλουθα μη δεσμευτικά στάδια εργασίας:</w:t>
      </w:r>
    </w:p>
    <w:p w:rsidR="00A45935" w:rsidRPr="00E05D08" w:rsidRDefault="00A45935" w:rsidP="00B421B9">
      <w:pPr>
        <w:pStyle w:val="HHeading4"/>
        <w:rPr>
          <w:rFonts w:eastAsia="Calibri"/>
          <w:shd w:val="clear" w:color="auto" w:fill="FFFFFF"/>
        </w:rPr>
      </w:pPr>
      <w:r>
        <w:rPr>
          <w:shd w:val="clear" w:color="auto" w:fill="FFFFFF"/>
        </w:rPr>
        <w:t>Εξέταση του δυναμικού καινοτομίας των μέτρων/επιμέρους μέτρων του ΠΑΑ (συνιστώμενο)</w:t>
      </w:r>
    </w:p>
    <w:p w:rsidR="00A45935" w:rsidRPr="00E05D08" w:rsidRDefault="00A45935" w:rsidP="00E05D08">
      <w:pPr>
        <w:spacing w:after="120" w:line="280" w:lineRule="atLeast"/>
        <w:mirrorIndents/>
        <w:rPr>
          <w:rFonts w:eastAsia="Times New Roman" w:cs="Times New Roman"/>
          <w:szCs w:val="20"/>
        </w:rPr>
      </w:pPr>
      <w:r>
        <w:t xml:space="preserve">Πριν από την έναρξη των δραστηριοτήτων αξιολόγησης για την παροχή απαντήσεων στο πλαίσιο της αξιολόγησης σχετικά με την καινοτομία, οι διαχειριστικές αρχές και/ή οι εμπειρογνώμονες αξιολόγησης μπορεί να επιθυμούν να εξετάσουν το δυναμικό καινοτομίας των μέτρων/επιμέρους μέτρων του ΠΑΑ (με μπλε χρώμα στο σχήμα 6). Το στάδιο αυτό θα βοηθήσει τον αξιολογητή και τη διαχειριστική αρχή να κατανοήσουν με ποιο τρόπο κάθε μέτρο/επιμέρους μέτρο μπορεί να συνεισφέρει στην επίτευξη των στόχων του ΠΑΑ που σχετίζονται με την καινοτομία (βλ. </w:t>
      </w:r>
      <w:hyperlink w:anchor="Screening_Potential" w:history="1">
        <w:r>
          <w:rPr>
            <w:rStyle w:val="Hyperlink"/>
            <w:sz w:val="20"/>
            <w:szCs w:val="20"/>
          </w:rPr>
          <w:t>κεφάλαιο 2.2</w:t>
        </w:r>
      </w:hyperlink>
      <w:r>
        <w:t>).</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Συμπλήρωση των κοινών στοιχείων αξιολόγησης για την καινοτομία (συνιστώμενο)</w:t>
      </w:r>
    </w:p>
    <w:p w:rsidR="00A45935" w:rsidRPr="00E05D08" w:rsidRDefault="00A45935" w:rsidP="00E05D08">
      <w:pPr>
        <w:spacing w:after="120" w:line="280" w:lineRule="atLeast"/>
        <w:mirrorIndents/>
        <w:rPr>
          <w:rFonts w:eastAsia="Times New Roman" w:cs="Times New Roman"/>
          <w:szCs w:val="20"/>
        </w:rPr>
      </w:pPr>
      <w:r>
        <w:t>Το ΚΣΠΑ παρέχει τα βασικά στοιχεία αξιολόγησης για τις απαντήσεις στα κοινά ερωτήματα αξιολόγησης που σχετίζονται με την καινοτομία. Εάν τα κοινά στοιχεία αξιολόγησης (κριτήρια απόφασης</w:t>
      </w:r>
      <w:r>
        <w:rPr>
          <w:rFonts w:eastAsia="Times New Roman" w:cs="Times New Roman"/>
          <w:szCs w:val="20"/>
          <w:vertAlign w:val="superscript"/>
          <w:lang w:eastAsia="de-DE"/>
        </w:rPr>
        <w:footnoteReference w:id="41"/>
      </w:r>
      <w:r>
        <w:t xml:space="preserve"> και κοινοί δείκτες</w:t>
      </w:r>
      <w:r>
        <w:rPr>
          <w:rFonts w:eastAsia="Times New Roman" w:cs="Times New Roman"/>
          <w:szCs w:val="20"/>
          <w:vertAlign w:val="superscript"/>
          <w:lang w:eastAsia="de-DE"/>
        </w:rPr>
        <w:footnoteReference w:id="42"/>
      </w:r>
      <w:r>
        <w:t>) δεν επαρκούν για την αποτύπωση όλων των αναμενόμενων αποτελεσμάτων, τα στοιχεία που απουσιάζουν (π.χ. υποερωτήματα αξιολόγησης, πρόσθετα κριτήρια απόφασης</w:t>
      </w:r>
      <w:r>
        <w:rPr>
          <w:rFonts w:eastAsia="Times New Roman" w:cs="Times New Roman"/>
          <w:szCs w:val="20"/>
          <w:vertAlign w:val="superscript"/>
          <w:lang w:eastAsia="de-DE"/>
        </w:rPr>
        <w:footnoteReference w:id="43"/>
      </w:r>
      <w:r>
        <w:t xml:space="preserve"> και πρόσθετοι ποσοτικοί και ποιοτικοί δείκτες</w:t>
      </w:r>
      <w:r>
        <w:rPr>
          <w:rFonts w:eastAsia="Times New Roman" w:cs="Times New Roman"/>
          <w:szCs w:val="20"/>
          <w:vertAlign w:val="superscript"/>
          <w:lang w:eastAsia="de-DE"/>
        </w:rPr>
        <w:footnoteReference w:id="44"/>
      </w:r>
      <w:r>
        <w:t xml:space="preserve">) μπορούν να αναπτυχθούν από τις </w:t>
      </w:r>
      <w:r>
        <w:lastRenderedPageBreak/>
        <w:t xml:space="preserve">διαχειριστικές αρχές, ιδανικά σε συνεργασία με τους εμπειρογνώμονες αξιολόγησης (πράσινα τμήματα στο σχήμα 6), (βλ. </w:t>
      </w:r>
      <w:hyperlink w:anchor="Complementing" w:history="1">
        <w:r>
          <w:rPr>
            <w:rStyle w:val="Hyperlink"/>
            <w:sz w:val="20"/>
            <w:szCs w:val="20"/>
          </w:rPr>
          <w:t>κεφάλαιο 2.3</w:t>
        </w:r>
      </w:hyperlink>
      <w:r>
        <w:t>).</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Απαντήσεις στα σχετικά κοινά ερωτήματα αξιολόγησης (υποχρεωτικό)</w:t>
      </w:r>
    </w:p>
    <w:p w:rsidR="00A45935" w:rsidRPr="00E05D08" w:rsidRDefault="00A45935" w:rsidP="00E05D08">
      <w:pPr>
        <w:spacing w:after="120" w:line="280" w:lineRule="atLeast"/>
        <w:mirrorIndents/>
        <w:rPr>
          <w:rFonts w:eastAsia="Times New Roman" w:cs="Times New Roman"/>
          <w:szCs w:val="20"/>
        </w:rPr>
      </w:pPr>
      <w:r>
        <w:t xml:space="preserve">Οι αξιολογητές του ΠΑΑ θα εκτιμήσουν τα επιτεύγματα του ΠΑΑ όσον αφορά την προώθηση της καινοτομίας και τις συνεισφορές του στους ενωσιακούς και εθνικούς/περιφερειακούς στόχους της πολιτικής αγροτικής ανάπτυξης. Θα αξιοποιήσουν τα πορίσματα της αξιολόγησης για τη διαμόρφωση των απαντήσεων στα κοινά, πρόσθετα και ειδικά ανά πρόγραμμα ερωτήματα αξιολόγησης (πορτοκαλί τμήματα του σχήματος 6). Για τις απαντήσεις στα ερωτήματα αξιολόγησης που σχετίζονται με την καινοτομία θα απαιτηθεί ειδική προσέγγιση (βλ. </w:t>
      </w:r>
      <w:hyperlink w:anchor="Answering" w:history="1">
        <w:r>
          <w:rPr>
            <w:rStyle w:val="Hyperlink"/>
            <w:sz w:val="20"/>
            <w:szCs w:val="20"/>
          </w:rPr>
          <w:t>κεφάλαιο 2.4</w:t>
        </w:r>
      </w:hyperlink>
      <w:r>
        <w:t>).</w:t>
      </w:r>
    </w:p>
    <w:p w:rsidR="00A45935" w:rsidRPr="00EC5172" w:rsidRDefault="00BF424C" w:rsidP="00BF424C">
      <w:pPr>
        <w:pStyle w:val="HHeadingfigures"/>
        <w:numPr>
          <w:ilvl w:val="0"/>
          <w:numId w:val="0"/>
        </w:numPr>
        <w:ind w:left="604"/>
      </w:pPr>
      <w:bookmarkStart w:id="89" w:name="_Toc508964840"/>
      <w:r>
        <w:t>Διάγραμμα 6.</w:t>
      </w:r>
      <w:r>
        <w:tab/>
      </w:r>
      <w:r w:rsidR="00626C0C">
        <w:t>Προσέγγιση της αξιολόγησης της καινοτομίας στα ΠΑΑ</w:t>
      </w:r>
      <w:bookmarkEnd w:id="89"/>
    </w:p>
    <w:p w:rsidR="00A45935" w:rsidRPr="00E05D08" w:rsidRDefault="00125A5B" w:rsidP="00E05D08">
      <w:pPr>
        <w:spacing w:after="120" w:line="280" w:lineRule="atLeast"/>
        <w:mirrorIndents/>
        <w:jc w:val="center"/>
        <w:rPr>
          <w:rFonts w:eastAsia="Times New Roman" w:cs="Times New Roman"/>
          <w:szCs w:val="20"/>
          <w:lang w:eastAsia="de-DE"/>
        </w:rPr>
      </w:pPr>
      <w:r w:rsidRPr="00125A5B">
        <w:rPr>
          <w:noProof/>
          <w:lang w:val="en-GB" w:eastAsia="en-GB"/>
        </w:rPr>
        <w:drawing>
          <wp:inline distT="0" distB="0" distL="0" distR="0" wp14:anchorId="474CE81E" wp14:editId="6C7199C4">
            <wp:extent cx="5731510" cy="3218707"/>
            <wp:effectExtent l="0" t="0" r="2540" b="127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218707"/>
                    </a:xfrm>
                    <a:prstGeom prst="rect">
                      <a:avLst/>
                    </a:prstGeom>
                    <a:noFill/>
                    <a:ln>
                      <a:noFill/>
                    </a:ln>
                  </pic:spPr>
                </pic:pic>
              </a:graphicData>
            </a:graphic>
          </wp:inline>
        </w:drawing>
      </w:r>
    </w:p>
    <w:p w:rsidR="00A45935" w:rsidRPr="00B421B9" w:rsidRDefault="00A45935" w:rsidP="00B421B9">
      <w:pPr>
        <w:suppressAutoHyphens/>
        <w:spacing w:before="60" w:after="140" w:line="240" w:lineRule="auto"/>
        <w:ind w:left="1134" w:right="1134"/>
        <w:mirrorIndents/>
        <w:jc w:val="center"/>
        <w:rPr>
          <w:rFonts w:eastAsia="Times New Roman" w:cs="Times New Roman"/>
          <w:i/>
          <w:sz w:val="16"/>
          <w:szCs w:val="20"/>
        </w:rPr>
        <w:sectPr w:rsidR="00A45935" w:rsidRPr="00B421B9" w:rsidSect="00055039">
          <w:endnotePr>
            <w:numFmt w:val="decimal"/>
          </w:endnotePr>
          <w:type w:val="continuous"/>
          <w:pgSz w:w="11906" w:h="16838" w:code="9"/>
          <w:pgMar w:top="1440" w:right="1440" w:bottom="1134" w:left="1440" w:header="567" w:footer="1021" w:gutter="0"/>
          <w:cols w:space="708"/>
          <w:noEndnote/>
          <w:docGrid w:linePitch="360"/>
        </w:sectPr>
      </w:pPr>
      <w:r>
        <w:rPr>
          <w:i/>
          <w:sz w:val="16"/>
          <w:szCs w:val="20"/>
        </w:rPr>
        <w:t>Πηγή: Ευρωπαϊκό Helpdesk αξιολόγησης για την αγροτική ανάπτυξη, 2017</w:t>
      </w:r>
      <w:bookmarkStart w:id="90" w:name="_Toc493151902"/>
      <w:bookmarkStart w:id="91" w:name="_Toc501382128"/>
    </w:p>
    <w:p w:rsidR="00A45935" w:rsidRPr="002271D9" w:rsidRDefault="00A45935" w:rsidP="00B421B9">
      <w:pPr>
        <w:pStyle w:val="HHeading2"/>
        <w:numPr>
          <w:ilvl w:val="1"/>
          <w:numId w:val="119"/>
        </w:numPr>
        <w:ind w:left="567" w:hanging="567"/>
      </w:pPr>
      <w:bookmarkStart w:id="92" w:name="Screening_Potential"/>
      <w:bookmarkStart w:id="93" w:name="_Toc508964815"/>
      <w:bookmarkEnd w:id="92"/>
      <w:r>
        <w:lastRenderedPageBreak/>
        <w:t>Εξέταση του δυναμικού καινοτομίας των μέτρων/επιμέρους μέτρων του ΠΑΑ (συνιστώμενο)</w:t>
      </w:r>
      <w:bookmarkEnd w:id="90"/>
      <w:bookmarkEnd w:id="91"/>
      <w:bookmarkEnd w:id="93"/>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Γιατί θα πρέπει να εξεταστεί το δυναμικό καινοτομίας των μέτρων του ΠΑΑ; </w:t>
      </w:r>
    </w:p>
    <w:p w:rsidR="00C64B64" w:rsidRPr="00E05D08" w:rsidRDefault="00A45935" w:rsidP="00E05D08">
      <w:pPr>
        <w:spacing w:after="120" w:line="280" w:lineRule="atLeast"/>
        <w:mirrorIndents/>
        <w:rPr>
          <w:rFonts w:eastAsia="Times New Roman" w:cs="Times New Roman"/>
          <w:szCs w:val="20"/>
        </w:rPr>
      </w:pPr>
      <w:r>
        <w:t xml:space="preserve">Οι διαχειριστικές αρχές διαθέτουν αξιοσημείωτη ευελιξία στον συνδυασμό και τον σχεδιασμό διαφόρων μέτρων αγροτικής ανάπτυξης στο πλαίσιο των ΤΕ, με αποτέλεσμα να προκύπτουν πολύ διαφορετικές προσεγγίσεις του ΠΑΑ όσον αφορά την καινοτομία. Η εξέταση της επιλογής και του συνδυασμού των μέτρων/επιμέρους μέτρων στο πλαίσιο του ΠΑΑ βοηθά στην καλύτερη κατανόηση της ειδικής προσέγγισης όσον αφορά την καινοτομία, καθώς και του δυναμικού καινοτομίας του ΠΑΑ. Αυτό αποτελεί μια χρήσιμη βάση για την παροχή απαντήσεων στα κοινά ερωτήματα αξιολόγησης που σχετίζονται με την καινοτομία, ιδίως κατά τα μεταγενέστερα στάδια της αξιολόγησης (π.χ. ΕΕΥ του 2019 ή εκ των υστέρων αξιολόγηση), όταν θα καταστεί εφικτή η αποτύπωση των αποτελεσμάτων λόγω των επιπτώσεων του ΠΑΑ στις διαδικασίες καινοτομίας. </w:t>
      </w:r>
    </w:p>
    <w:p w:rsidR="00A45935" w:rsidRPr="00E05D08" w:rsidRDefault="00A45935" w:rsidP="00B421B9">
      <w:pPr>
        <w:pStyle w:val="HHeading4"/>
        <w:rPr>
          <w:rFonts w:eastAsia="Calibri"/>
          <w:shd w:val="clear" w:color="auto" w:fill="FFFFFF"/>
        </w:rPr>
      </w:pPr>
      <w:r>
        <w:rPr>
          <w:shd w:val="clear" w:color="auto" w:fill="FFFFFF"/>
        </w:rPr>
        <w:t xml:space="preserve">Ποιο είναι το δυναμικό καινοτομίας των μέτρων/επιμέρους μέτρων του ΠΑΑ; </w:t>
      </w:r>
    </w:p>
    <w:p w:rsidR="00A45935" w:rsidRPr="00E05D08" w:rsidRDefault="00A45935" w:rsidP="00E05D08">
      <w:pPr>
        <w:spacing w:after="120" w:line="280" w:lineRule="atLeast"/>
        <w:mirrorIndents/>
        <w:rPr>
          <w:rFonts w:eastAsia="Times New Roman" w:cs="Times New Roman"/>
          <w:szCs w:val="20"/>
        </w:rPr>
      </w:pPr>
      <w:r>
        <w:rPr>
          <w:b/>
          <w:szCs w:val="20"/>
        </w:rPr>
        <w:t>Το δυναμικό καινοτομίας των μέτρων/επιμέρους μέτρων του ΠΑΑ</w:t>
      </w:r>
      <w:r>
        <w:t>, μεμονωμένων ή σε συνδυασμό με άλλα μέτρα/επιμέρους μέτρα στο πλαίσιο των ΤΕ, νοείται ως η ικανότητά τους να προωθούν την καινοτομία στο πλαίσιο ενός συστήματος καινοτομίας στις αγροτικές περιοχές μέσω α) της καλλιέργειας καινοτόμων ιδεών, β) της ανάπτυξης ικανοτήτων για καινοτομία με συνεργατικό τρόπο και γ) της δημιουργίας ευνοϊκού περιβάλλοντος για καινοτομία.</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Ποια είναι τα στάδια εργασίας για τον προσδιορισμό του δυναμικού καινοτομίας του ΠΑΑ; </w:t>
      </w:r>
    </w:p>
    <w:p w:rsidR="00A45935" w:rsidRPr="00E05D08" w:rsidRDefault="00A45935" w:rsidP="00E05D08">
      <w:pPr>
        <w:spacing w:after="120" w:line="280" w:lineRule="atLeast"/>
        <w:mirrorIndents/>
        <w:rPr>
          <w:rFonts w:eastAsia="Times New Roman" w:cs="Times New Roman"/>
          <w:szCs w:val="20"/>
        </w:rPr>
      </w:pPr>
      <w:r>
        <w:rPr>
          <w:b/>
          <w:szCs w:val="20"/>
        </w:rPr>
        <w:t xml:space="preserve">Η εξέταση των μέτρων και των επιμέρους μέτρων του ΠΑΑ </w:t>
      </w:r>
      <w:r>
        <w:t>εστιάζει</w:t>
      </w:r>
      <w:r>
        <w:rPr>
          <w:b/>
          <w:szCs w:val="20"/>
        </w:rPr>
        <w:t xml:space="preserve"> </w:t>
      </w:r>
      <w:r>
        <w:t xml:space="preserve">στον τρόπο σχεδιασμού των μέτρων προκειμένου να ευνοούν την καλλιέργεια νέων ιδεών, την ανάπτυξη της ικανότητας για καινοτομία ή τη δημιουργία ευνοϊκού περιβάλλοντος για καινοτομία. Η μέθοδος εργασίας μπορεί να συνίσταται σε αξιολόγηση από ειδικούς ή σε συμμετοχική μέθοδο, με τη συμμετοχή περισσότερων βασικών ενδιαφερόμενων φορέων του ΠΑΑ. Αυτή η εξέταση θα μπορούσε να διενεργηθεί με την παροχή απαντήσεων στα προτεινόμενα βασικά ερωτήματα (βλ. </w:t>
      </w:r>
      <w:hyperlink w:anchor="Steps_of_the_screenig" w:history="1">
        <w:r>
          <w:rPr>
            <w:rStyle w:val="Hyperlink"/>
            <w:sz w:val="20"/>
            <w:szCs w:val="20"/>
          </w:rPr>
          <w:t>σχήμα 7</w:t>
        </w:r>
      </w:hyperlink>
      <w:r>
        <w:t>).</w:t>
      </w:r>
    </w:p>
    <w:p w:rsidR="00A45935" w:rsidRPr="00F117CA" w:rsidRDefault="00BF424C" w:rsidP="00BF424C">
      <w:pPr>
        <w:pStyle w:val="HHeadingfigures"/>
        <w:numPr>
          <w:ilvl w:val="0"/>
          <w:numId w:val="0"/>
        </w:numPr>
        <w:ind w:left="604"/>
      </w:pPr>
      <w:bookmarkStart w:id="94" w:name="_Toc508964841"/>
      <w:r>
        <w:t>Διάγραμμα 7.</w:t>
      </w:r>
      <w:r>
        <w:tab/>
      </w:r>
      <w:r w:rsidR="00626C0C">
        <w:t>Στάδια της εξέτασης των μέτρων/επιμέρους μέτρων του ΠΑΑ όσον αφορά το δυναμικό καινοτομίας που διαθέτουν</w:t>
      </w:r>
      <w:bookmarkEnd w:id="94"/>
    </w:p>
    <w:p w:rsidR="00A45935" w:rsidRDefault="00125A5B" w:rsidP="00125A5B">
      <w:pPr>
        <w:suppressAutoHyphens/>
        <w:spacing w:before="60" w:after="0" w:line="240" w:lineRule="auto"/>
        <w:ind w:right="1134"/>
        <w:mirrorIndents/>
        <w:jc w:val="center"/>
        <w:rPr>
          <w:rFonts w:eastAsia="Times New Roman" w:cs="Times New Roman"/>
          <w:i/>
          <w:sz w:val="16"/>
          <w:szCs w:val="20"/>
        </w:rPr>
      </w:pPr>
      <w:r w:rsidRPr="00125A5B">
        <w:rPr>
          <w:noProof/>
          <w:lang w:val="en-GB" w:eastAsia="en-GB"/>
        </w:rPr>
        <w:drawing>
          <wp:inline distT="0" distB="0" distL="0" distR="0" wp14:anchorId="3E29F78B" wp14:editId="6B0A70FA">
            <wp:extent cx="5963234" cy="2372953"/>
            <wp:effectExtent l="0" t="0" r="0" b="889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2867" cy="2376786"/>
                    </a:xfrm>
                    <a:prstGeom prst="rect">
                      <a:avLst/>
                    </a:prstGeom>
                    <a:noFill/>
                    <a:ln>
                      <a:noFill/>
                    </a:ln>
                  </pic:spPr>
                </pic:pic>
              </a:graphicData>
            </a:graphic>
          </wp:inline>
        </w:drawing>
      </w:r>
      <w:r w:rsidR="00A45935">
        <w:rPr>
          <w:i/>
          <w:sz w:val="16"/>
          <w:szCs w:val="20"/>
        </w:rPr>
        <w:t>Πηγή: Ευρωπαϊκό Helpdesk αξιολόγησης για την αγροτική ανάπτυξη, 2017</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lastRenderedPageBreak/>
        <w:t>Τι θα πρέπει να εξεταστεί στο ΠΑΑ;</w:t>
      </w:r>
    </w:p>
    <w:p w:rsidR="00A45935" w:rsidRPr="00E05D08" w:rsidRDefault="007A450E" w:rsidP="00E05D08">
      <w:pPr>
        <w:spacing w:after="120" w:line="280" w:lineRule="atLeast"/>
        <w:mirrorIndents/>
        <w:rPr>
          <w:rFonts w:eastAsia="Times New Roman" w:cs="Times New Roman"/>
          <w:szCs w:val="20"/>
        </w:rPr>
      </w:pPr>
      <w:r>
        <w:rPr>
          <w:b/>
          <w:szCs w:val="20"/>
        </w:rPr>
        <w:t>Η εξέταση</w:t>
      </w:r>
      <w:r>
        <w:t xml:space="preserve"> </w:t>
      </w:r>
      <w:r>
        <w:rPr>
          <w:b/>
          <w:szCs w:val="20"/>
        </w:rPr>
        <w:t>θα πρέπει να επικεντρωθεί στην ικανότητα τόσο μεμονωμένων μέτρων όσο και ομάδων μέτρων στο πλαίσιο των ΤΕ</w:t>
      </w:r>
      <w:r>
        <w:t xml:space="preserve"> να προωθούν την καινοτομία (π.χ. στην ικανότητά τους να συνεισφέρουν στις τρεις διαδρομές καινοτομίας που αναλύονται στο </w:t>
      </w:r>
      <w:hyperlink w:anchor="Innovation_RD" w:history="1">
        <w:r>
          <w:rPr>
            <w:rStyle w:val="Hyperlink"/>
            <w:sz w:val="20"/>
            <w:szCs w:val="20"/>
          </w:rPr>
          <w:t>κεφάλαιο 1.1</w:t>
        </w:r>
      </w:hyperlink>
      <w:r>
        <w:t>)</w:t>
      </w:r>
      <w:r>
        <w:rPr>
          <w:rStyle w:val="FootnoteReference"/>
          <w:rFonts w:eastAsia="Times New Roman" w:cs="Times New Roman"/>
          <w:color w:val="FFFFFF" w:themeColor="background1"/>
          <w:szCs w:val="20"/>
          <w:lang w:eastAsia="de-DE"/>
        </w:rPr>
        <w:footnoteReference w:id="45"/>
      </w:r>
      <w:r>
        <w:t xml:space="preserve">. Ομοίως, η </w:t>
      </w:r>
      <w:r>
        <w:rPr>
          <w:b/>
          <w:szCs w:val="20"/>
        </w:rPr>
        <w:t xml:space="preserve">δυνατότητα των ΕΑΔ να προωθούν την καινοτομία </w:t>
      </w:r>
      <w:r>
        <w:t xml:space="preserve">μπορεί επίσης να προσδιοριστεί μέσω της εξέτασης των δράσεων στο πλαίσιο των ΕΑΔ (βλ. </w:t>
      </w:r>
      <w:hyperlink w:anchor="CEQ_NRN" w:history="1">
        <w:r>
          <w:rPr>
            <w:rStyle w:val="Hyperlink"/>
            <w:sz w:val="20"/>
            <w:szCs w:val="20"/>
          </w:rPr>
          <w:t>τμήμα 2.4.3</w:t>
        </w:r>
      </w:hyperlink>
      <w:r>
        <w:t xml:space="preserve">). </w:t>
      </w:r>
    </w:p>
    <w:p w:rsidR="00A45935" w:rsidRPr="00E05D08" w:rsidRDefault="00A45935" w:rsidP="00E05D08">
      <w:pPr>
        <w:spacing w:after="120" w:line="280" w:lineRule="atLeast"/>
        <w:mirrorIndents/>
        <w:rPr>
          <w:rFonts w:eastAsia="Times New Roman" w:cs="Times New Roman"/>
          <w:szCs w:val="20"/>
        </w:rPr>
      </w:pPr>
      <w:r>
        <w:t xml:space="preserve">Γενικά, η εξέταση του δυναμικού καινοτομίας θα πρέπει να αφορά τουλάχιστον τα μέτρα που συνδέονται με τα ακόλουθα ΚΕΑ: </w:t>
      </w:r>
    </w:p>
    <w:p w:rsidR="00A45935" w:rsidRPr="00E05D08" w:rsidRDefault="00EA33B2" w:rsidP="00B421B9">
      <w:pPr>
        <w:numPr>
          <w:ilvl w:val="0"/>
          <w:numId w:val="3"/>
        </w:numPr>
        <w:tabs>
          <w:tab w:val="clear" w:pos="644"/>
        </w:tabs>
        <w:spacing w:before="60" w:after="120" w:line="280" w:lineRule="atLeast"/>
        <w:ind w:hanging="567"/>
        <w:mirrorIndents/>
        <w:rPr>
          <w:rFonts w:eastAsia="Times New Roman" w:cs="Times New Roman"/>
          <w:szCs w:val="20"/>
        </w:rPr>
      </w:pPr>
      <w:r>
        <w:rPr>
          <w:rFonts w:eastAsia="Times New Roman" w:cs="Times New Roman"/>
          <w:noProof/>
          <w:szCs w:val="20"/>
          <w:lang w:val="en-GB" w:eastAsia="en-GB"/>
        </w:rPr>
        <mc:AlternateContent>
          <mc:Choice Requires="wps">
            <w:drawing>
              <wp:anchor distT="0" distB="0" distL="114300" distR="114300" simplePos="0" relativeHeight="251661312" behindDoc="0" locked="0" layoutInCell="1" allowOverlap="1" wp14:anchorId="377AFE41" wp14:editId="0478D032">
                <wp:simplePos x="0" y="0"/>
                <wp:positionH relativeFrom="column">
                  <wp:posOffset>2686050</wp:posOffset>
                </wp:positionH>
                <wp:positionV relativeFrom="paragraph">
                  <wp:posOffset>15875</wp:posOffset>
                </wp:positionV>
                <wp:extent cx="3185795" cy="2990850"/>
                <wp:effectExtent l="0" t="0" r="14605" b="19050"/>
                <wp:wrapSquare wrapText="bothSides"/>
                <wp:docPr id="64" name="Rectangle: Diagonal Corners Rounded 64"/>
                <wp:cNvGraphicFramePr/>
                <a:graphic xmlns:a="http://schemas.openxmlformats.org/drawingml/2006/main">
                  <a:graphicData uri="http://schemas.microsoft.com/office/word/2010/wordprocessingShape">
                    <wps:wsp>
                      <wps:cNvSpPr/>
                      <wps:spPr>
                        <a:xfrm>
                          <a:off x="0" y="0"/>
                          <a:ext cx="3185795" cy="2990850"/>
                        </a:xfrm>
                        <a:prstGeom prst="round2DiagRect">
                          <a:avLst>
                            <a:gd name="adj1" fmla="val 6437"/>
                            <a:gd name="adj2" fmla="val 0"/>
                          </a:avLst>
                        </a:prstGeom>
                        <a:noFill/>
                        <a:ln w="25400" cap="flat" cmpd="sng" algn="ctr">
                          <a:solidFill>
                            <a:srgbClr val="BE4A35"/>
                          </a:solidFill>
                          <a:prstDash val="solid"/>
                        </a:ln>
                        <a:effectLst/>
                      </wps:spPr>
                      <wps:txbx>
                        <w:txbxContent>
                          <w:p w:rsidR="00272EFF" w:rsidRPr="004F2E97" w:rsidRDefault="00272EFF" w:rsidP="00626C0C">
                            <w:pPr>
                              <w:pStyle w:val="Normal12PTcouleurgris"/>
                              <w:rPr>
                                <w:sz w:val="16"/>
                                <w:szCs w:val="16"/>
                              </w:rPr>
                            </w:pPr>
                            <w:r>
                              <w:rPr>
                                <w:noProof/>
                                <w:lang w:val="en-GB" w:eastAsia="en-GB"/>
                              </w:rPr>
                              <w:drawing>
                                <wp:inline distT="0" distB="0" distL="0" distR="0" wp14:anchorId="2CA19573" wp14:editId="4DEF2575">
                                  <wp:extent cx="664845" cy="487680"/>
                                  <wp:effectExtent l="0" t="0" r="0" b="7620"/>
                                  <wp:docPr id="63"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4F2E97">
                              <w:rPr>
                                <w:sz w:val="16"/>
                                <w:szCs w:val="16"/>
                              </w:rPr>
                              <w:t>Το περιεχόμενο του άρθρου 15 του κανονισμού (ΕΕ) αριθ. 1305/2013 ορίζει επτά στοιχεία που θα πρέπει να καλυφθούν από</w:t>
                            </w:r>
                            <w:r w:rsidRPr="004F2E97">
                              <w:rPr>
                                <w:color w:val="BE4A35"/>
                                <w:sz w:val="16"/>
                                <w:szCs w:val="16"/>
                              </w:rPr>
                              <w:t xml:space="preserve"> </w:t>
                            </w:r>
                            <w:r w:rsidRPr="004F2E97">
                              <w:rPr>
                                <w:b/>
                                <w:color w:val="BE4A35"/>
                                <w:sz w:val="16"/>
                                <w:szCs w:val="16"/>
                              </w:rPr>
                              <w:t>τις συμβουλές και συμβουλευτικές υπηρεσίες</w:t>
                            </w:r>
                            <w:r w:rsidRPr="004F2E97">
                              <w:rPr>
                                <w:sz w:val="16"/>
                                <w:szCs w:val="16"/>
                                <w:vertAlign w:val="superscript"/>
                              </w:rPr>
                              <w:t>45</w:t>
                            </w:r>
                            <w:r w:rsidRPr="004F2E97">
                              <w:rPr>
                                <w:sz w:val="16"/>
                                <w:szCs w:val="16"/>
                              </w:rPr>
                              <w:t>. Από αυτά, μόνο σε ένα στοιχείο (παράγραφος 4 στοιχείο γ)) υπάρχει ρητή αναφορά στην καινοτομία. Δεν είναι απαραίτητο ή βέβαιο ότι άλλα είδη συμβουλών (π.χ. παράγραφος 4 στοιχείο ζ) – εξειδικευμένες συμβουλές για γεωργούς που αναλαμβάνουν για πρώτη φορά δραστηριότητα) θα προωθήσουν την καινοτομία. Συνεπώς, η ανάλυση του σχεδιασμού των μέτρων στο πλαίσιο ενός συγκεκριμένου ΠΑΑ μπορεί να καταδείξει εάν το μέτρο (ή το επιμέρους μέτρο, κατά περίπτωση) θα μπορούσε να σχετίζεται με την προώθηση της καινοτομίας.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AFE41" id="Rectangle: Diagonal Corners Rounded 64" o:spid="_x0000_s1037" style="position:absolute;left:0;text-align:left;margin-left:211.5pt;margin-top:1.25pt;width:250.85pt;height:2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85795,2990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" adj="-11796480,,5400" path="m192521,l3185795,r,l3185795,2798329v,106326,-86195,192521,-192521,192521l,2990850r,l,192521c,86195,86195,,192521,xe" filled="f" strokecolor="#be4a35" strokeweight="2pt">
                <v:stroke joinstyle="miter"/>
                <v:formulas/>
                <v:path arrowok="t" o:connecttype="custom" o:connectlocs="192521,0;3185795,0;3185795,0;3185795,2798329;2993274,2990850;0,2990850;0,2990850;0,192521;192521,0" o:connectangles="0,0,0,0,0,0,0,0,0" textboxrect="0,0,3185795,2990850"/>
                <v:textbox>
                  <w:txbxContent>
                    <w:p w:rsidR="00272EFF" w:rsidRPr="004F2E97" w:rsidRDefault="00272EFF" w:rsidP="00626C0C">
                      <w:pPr>
                        <w:pStyle w:val="Normal12PTcouleurgris"/>
                        <w:rPr>
                          <w:sz w:val="16"/>
                          <w:szCs w:val="16"/>
                        </w:rPr>
                      </w:pPr>
                      <w:r>
                        <w:rPr>
                          <w:noProof/>
                          <w:lang w:val="en-GB" w:eastAsia="en-GB"/>
                        </w:rPr>
                        <w:drawing>
                          <wp:inline distT="0" distB="0" distL="0" distR="0" wp14:anchorId="2CA19573" wp14:editId="4DEF2575">
                            <wp:extent cx="664845" cy="487680"/>
                            <wp:effectExtent l="0" t="0" r="0" b="7620"/>
                            <wp:docPr id="63"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4F2E97">
                        <w:rPr>
                          <w:sz w:val="16"/>
                          <w:szCs w:val="16"/>
                        </w:rPr>
                        <w:t>Το περιεχόμενο του άρθρου 15 του κανονισμού (ΕΕ) αριθ. 1305/2013 ορίζει επτά στοιχεία που θα πρέπει να καλυφθούν από</w:t>
                      </w:r>
                      <w:r w:rsidRPr="004F2E97">
                        <w:rPr>
                          <w:color w:val="BE4A35"/>
                          <w:sz w:val="16"/>
                          <w:szCs w:val="16"/>
                        </w:rPr>
                        <w:t xml:space="preserve"> </w:t>
                      </w:r>
                      <w:r w:rsidRPr="004F2E97">
                        <w:rPr>
                          <w:b/>
                          <w:color w:val="BE4A35"/>
                          <w:sz w:val="16"/>
                          <w:szCs w:val="16"/>
                        </w:rPr>
                        <w:t>τις συμβουλές και συμβουλευτικές υπηρεσίες</w:t>
                      </w:r>
                      <w:r w:rsidRPr="004F2E97">
                        <w:rPr>
                          <w:sz w:val="16"/>
                          <w:szCs w:val="16"/>
                          <w:vertAlign w:val="superscript"/>
                        </w:rPr>
                        <w:t>45</w:t>
                      </w:r>
                      <w:r w:rsidRPr="004F2E97">
                        <w:rPr>
                          <w:sz w:val="16"/>
                          <w:szCs w:val="16"/>
                        </w:rPr>
                        <w:t>. Από αυτά, μόνο σε ένα στοιχείο (παράγραφος 4 στοιχείο γ)) υπάρχει ρητή αναφορά στην καινοτομία. Δεν είναι απαραίτητο ή βέβαιο ότι άλλα είδη συμβουλών (π.χ. παράγραφος 4 στοιχείο ζ) – εξειδικευμένες συμβουλές για γεωργούς που αναλαμβάνουν για πρώτη φορά δραστηριότητα) θα προωθήσουν την καινοτομία. Συνεπώς, η ανάλυση του σχεδιασμού των μέτρων στο πλαίσιο ενός συγκεκριμένου ΠΑΑ μπορεί να καταδείξει εάν το μέτρο (ή το επιμέρους μέτρο, κατά περίπτωση) θα μπορούσε να σχετίζεται με την προώθηση της καινοτομίας.</w:t>
                      </w:r>
                    </w:p>
                  </w:txbxContent>
                </v:textbox>
                <w10:wrap type="square"/>
              </v:shape>
            </w:pict>
          </mc:Fallback>
        </mc:AlternateContent>
      </w:r>
      <w:r w:rsidR="00A45935">
        <w:t>Το ΚΕΑ αριθ. 1 συνδέεται με τα μέτρα 1, 2 και 16 (άρθρα 14, 15 και 35 του κανονισμού (ΕΕ) αριθ. 1305/2013, αντίστοιχα). Η εξέταση θα επικεντρωθεί στο δυναμικό καινοτομίας των εν λόγω μέτρων και θα βοηθήσει να δοθούν απαντήσεις στο τμήμα του ΚΕΑ που αφορά την καινοτομία.</w:t>
      </w:r>
    </w:p>
    <w:p w:rsidR="00A45935" w:rsidRPr="00E05D08" w:rsidRDefault="00A45935" w:rsidP="00B421B9">
      <w:pPr>
        <w:numPr>
          <w:ilvl w:val="0"/>
          <w:numId w:val="3"/>
        </w:numPr>
        <w:tabs>
          <w:tab w:val="clear" w:pos="644"/>
        </w:tabs>
        <w:spacing w:before="60" w:after="120" w:line="280" w:lineRule="atLeast"/>
        <w:ind w:hanging="567"/>
        <w:mirrorIndents/>
        <w:rPr>
          <w:rFonts w:eastAsia="Times New Roman" w:cs="Times New Roman"/>
          <w:szCs w:val="20"/>
        </w:rPr>
      </w:pPr>
      <w:r>
        <w:t>Το ΚΕΑ αριθ. 2 συνδέεται με το μέτρο 16 (συνεργασία). Τα επιμέρους μέτρα του μέτρου 16 θα εξεταστούν κυρίως όσον αφορά τη δυνατότητά τους να συνεισφέρουν στις τρεις διαδρομές. Τα αποτελέσματα θα συμβάλουν στο να δοθούν απαντήσεις στο τμήμα του ΚΕΑ που αφορά την καινοτομία.</w:t>
      </w:r>
    </w:p>
    <w:p w:rsidR="00A45935" w:rsidRPr="00E05D08" w:rsidRDefault="00A45935" w:rsidP="007A450E">
      <w:pPr>
        <w:numPr>
          <w:ilvl w:val="0"/>
          <w:numId w:val="3"/>
        </w:numPr>
        <w:tabs>
          <w:tab w:val="clear" w:pos="644"/>
        </w:tabs>
        <w:spacing w:before="60" w:after="120" w:line="280" w:lineRule="atLeast"/>
        <w:ind w:hanging="567"/>
        <w:mirrorIndents/>
        <w:rPr>
          <w:rFonts w:eastAsia="Times New Roman" w:cs="Times New Roman"/>
          <w:szCs w:val="20"/>
        </w:rPr>
      </w:pPr>
      <w:r>
        <w:t>Το ΚΕΑ αριθ. 21 καλύπτει τους τέσσερις στόχους του ΕΑΔ. Η εξέταση του δυναμικού καινοτομίας του ΕΑΔ θα επικεντρωθεί στις δράσεις του ΕΑΔ που συνεισφέρουν στον κοινό στόχο του ΕΑΔ «Προώθηση της καινοτομίας στη γεωργία, την παραγωγή τροφίμων, τη δασοκομία και τις αγροτικές περιοχές». Η εξέταση αυτή θα βοηθήσει να δοθούν απαντήσεις στο τμήμα του ΚΕΑ που αφορά την καινοτομία.</w:t>
      </w:r>
    </w:p>
    <w:p w:rsidR="00A45935" w:rsidRPr="00E05D08" w:rsidRDefault="00A45935" w:rsidP="00E05D08">
      <w:pPr>
        <w:numPr>
          <w:ilvl w:val="0"/>
          <w:numId w:val="3"/>
        </w:numPr>
        <w:spacing w:before="60" w:after="120" w:line="280" w:lineRule="atLeast"/>
        <w:ind w:hanging="567"/>
        <w:mirrorIndents/>
        <w:rPr>
          <w:rFonts w:eastAsia="Times New Roman" w:cs="Times New Roman"/>
          <w:szCs w:val="20"/>
        </w:rPr>
      </w:pPr>
      <w:r>
        <w:t>Το ΚΕΑ αριθ. 23 θα απαντηθεί μέσω της αξιολόγησης των συνεισφορών του ΠΑΑ στην επίτευξη του πρωταρχικού στόχου στον τομέα της Ε&amp;Α/καινοτομίας για επενδύσεις ύψους 3 % του ΑΕΠ της ΕΕ (συνδυασμός δημόσιων και ιδιωτικών)</w:t>
      </w:r>
      <w:r>
        <w:rPr>
          <w:rFonts w:eastAsia="Times New Roman" w:cs="Times New Roman"/>
          <w:szCs w:val="20"/>
          <w:vertAlign w:val="superscript"/>
          <w:lang w:eastAsia="de-DE"/>
        </w:rPr>
        <w:footnoteReference w:id="46"/>
      </w:r>
      <w:r>
        <w:t>, με χρήση δεικτών που σχετίζονται με τον εν λόγω στόχο. Η εξέταση όλων των μέτρων του ΠΑΑ όσον αφορά το δυναμικό καινοτομίας είναι σημαντική για: α) να προσδιοριστούν τα μέτρα που συνεισφέρουν στην προώθηση της καινοτομίας και β) να ληφθούν υπόψη οι δαπάνες που συνδέονται με τα εν λόγω μέτρα κατά τον υπολογισμό των δεικτών που χρησιμοποιούνται για να απαντηθεί το ΚΕΑ αριθ. 23.</w:t>
      </w:r>
    </w:p>
    <w:p w:rsidR="00A45935" w:rsidRPr="00E05D08" w:rsidRDefault="00A45935" w:rsidP="00E05D08">
      <w:pPr>
        <w:numPr>
          <w:ilvl w:val="0"/>
          <w:numId w:val="3"/>
        </w:numPr>
        <w:spacing w:before="60" w:after="120" w:line="280" w:lineRule="atLeast"/>
        <w:ind w:hanging="567"/>
        <w:mirrorIndents/>
        <w:rPr>
          <w:rFonts w:eastAsia="Times New Roman" w:cs="Times New Roman"/>
          <w:szCs w:val="20"/>
        </w:rPr>
      </w:pPr>
      <w:r>
        <w:t xml:space="preserve">Το ΚΕΑ αριθ. 30 συνδέεται με τον οριζόντιο στόχο για την καινοτομία. Εν προκειμένω, όλα τα μέτρα/επιμέρους μέτρα και ο συνδυασμός τους στο πλαίσιο κάθε ΤΕ θα εξεταστούν με στόχο να προσδιοριστούν αυτά που έχουν τη δυνατότητα να προωθήσουν την καινοτομία μέσω των τριών διαδρομών. Αυτή η ανάλυση θα διευκολύνει τον αξιολογητή να διαμορφώσει μια αξιολόγηση βάσει μελέτης περίπτωσης, σύμφωνα με τη θεωρία της αλλαγής που προτείνεται για την απάντηση του ΚΕΑ αριθ. 30.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 xml:space="preserve">Ποιο είναι το αποτέλεσμα; </w:t>
      </w:r>
    </w:p>
    <w:p w:rsidR="00A45935" w:rsidRDefault="00A45935" w:rsidP="00E05D08">
      <w:pPr>
        <w:spacing w:after="120" w:line="280" w:lineRule="atLeast"/>
        <w:mirrorIndents/>
        <w:rPr>
          <w:rFonts w:eastAsia="Times New Roman" w:cs="Times New Roman"/>
          <w:szCs w:val="20"/>
        </w:rPr>
      </w:pPr>
      <w:r>
        <w:rPr>
          <w:b/>
          <w:szCs w:val="20"/>
        </w:rPr>
        <w:t>Η εξέταση βοηθά στην αποσαφήνιση της συναφούς με την καινοτομία λογικής παρέμβασης του ΠΑΑ.</w:t>
      </w:r>
      <w:r>
        <w:t xml:space="preserve"> Προσδιορίζει τα μέτρα του ΠΑΑ με το υψηλότερο δυναμικό προώθησης της καινοτομίας και διευκρινίζει επίσης με ποιους τομείς (διαδρομές) σχετίζονται. Τα αποτελέσματα αυτής της εξέτασης θα ληφθούν υπόψη κατά τη διάρκεια της μεταγενέστερης αξιολόγησης των επιπτώσεων, προκειμένου να γίνει σύγκριση μεταξύ του δυναμικού και των πραγματικών επιτευγμάτων του ΠΑΑ στην προώθηση της καινοτομίας. Αυτό βοηθά να επικεντρωθεί το έργο του αξιολογητή σε εκείνα τα μέτρα και επιμέρους μέτρα που θεωρούνται ιδιαίτερα συναφή με την προώθηση της καινοτομίας. </w:t>
      </w:r>
    </w:p>
    <w:p w:rsidR="007A450E" w:rsidRPr="00E05D08" w:rsidRDefault="007A450E" w:rsidP="00E05D08">
      <w:pPr>
        <w:spacing w:after="120" w:line="280" w:lineRule="atLeast"/>
        <w:mirrorIndents/>
        <w:rPr>
          <w:rFonts w:eastAsia="Times New Roman" w:cs="Times New Roman"/>
          <w:szCs w:val="20"/>
          <w:lang w:eastAsia="de-DE"/>
        </w:rPr>
      </w:pPr>
    </w:p>
    <w:p w:rsidR="00A45935" w:rsidRPr="00E05D08" w:rsidRDefault="00A45935" w:rsidP="009F5AB5">
      <w:pPr>
        <w:pStyle w:val="HStandard"/>
      </w:pPr>
    </w:p>
    <w:p w:rsidR="00A45935" w:rsidRPr="00E05D08" w:rsidRDefault="00B270D7" w:rsidP="009F5AB5">
      <w:pPr>
        <w:pStyle w:val="HStandard"/>
      </w:pPr>
      <w:r>
        <w:rPr>
          <w:b/>
          <w:noProof/>
          <w:lang w:val="en-GB" w:eastAsia="en-GB"/>
        </w:rPr>
        <mc:AlternateContent>
          <mc:Choice Requires="wps">
            <w:drawing>
              <wp:anchor distT="0" distB="0" distL="114300" distR="114300" simplePos="0" relativeHeight="251664384" behindDoc="0" locked="0" layoutInCell="1" allowOverlap="1" wp14:anchorId="054567C0" wp14:editId="52A9ED37">
                <wp:simplePos x="0" y="0"/>
                <wp:positionH relativeFrom="page">
                  <wp:posOffset>1800225</wp:posOffset>
                </wp:positionH>
                <wp:positionV relativeFrom="page">
                  <wp:posOffset>3143249</wp:posOffset>
                </wp:positionV>
                <wp:extent cx="3409180" cy="3000375"/>
                <wp:effectExtent l="0" t="0" r="20320" b="28575"/>
                <wp:wrapSquare wrapText="bothSides"/>
                <wp:docPr id="67" name="Rectangle: Diagonal Corners Rounded 67"/>
                <wp:cNvGraphicFramePr/>
                <a:graphic xmlns:a="http://schemas.openxmlformats.org/drawingml/2006/main">
                  <a:graphicData uri="http://schemas.microsoft.com/office/word/2010/wordprocessingShape">
                    <wps:wsp>
                      <wps:cNvSpPr/>
                      <wps:spPr>
                        <a:xfrm>
                          <a:off x="0" y="0"/>
                          <a:ext cx="3409180" cy="3000375"/>
                        </a:xfrm>
                        <a:prstGeom prst="round2DiagRect">
                          <a:avLst>
                            <a:gd name="adj1" fmla="val 9754"/>
                            <a:gd name="adj2" fmla="val 0"/>
                          </a:avLst>
                        </a:prstGeom>
                        <a:noFill/>
                        <a:ln w="25400" cap="flat" cmpd="sng" algn="ctr">
                          <a:solidFill>
                            <a:srgbClr val="8BAB80"/>
                          </a:solidFill>
                          <a:prstDash val="solid"/>
                        </a:ln>
                        <a:effectLst/>
                      </wps:spPr>
                      <wps:txbx>
                        <w:txbxContent>
                          <w:p w:rsidR="00272EFF" w:rsidRPr="00275EE5" w:rsidRDefault="00272EFF" w:rsidP="007A450E">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490"/>
                              <w:gridCol w:w="2495"/>
                            </w:tblGrid>
                            <w:tr w:rsidR="00272EFF" w:rsidRPr="0079762F" w:rsidTr="00E05D08">
                              <w:tc>
                                <w:tcPr>
                                  <w:tcW w:w="3402" w:type="dxa"/>
                                  <w:shd w:val="clear" w:color="auto" w:fill="FFFFFF"/>
                                </w:tcPr>
                                <w:p w:rsidR="00272EFF" w:rsidRPr="00B63DE8" w:rsidRDefault="00272EFF" w:rsidP="007A450E">
                                  <w:pPr>
                                    <w:suppressOverlap/>
                                    <w:jc w:val="left"/>
                                    <w:rPr>
                                      <w:rFonts w:cs="Arial"/>
                                      <w:b/>
                                      <w:color w:val="404040"/>
                                      <w:szCs w:val="18"/>
                                    </w:rPr>
                                  </w:pPr>
                                  <w:r>
                                    <w:rPr>
                                      <w:b/>
                                      <w:color w:val="404040"/>
                                      <w:szCs w:val="18"/>
                                    </w:rPr>
                                    <w:t>Ενδεδειγμένες πρακτικές</w:t>
                                  </w:r>
                                </w:p>
                                <w:p w:rsidR="00272EFF" w:rsidRPr="00B63DE8" w:rsidRDefault="00272EFF" w:rsidP="007A450E">
                                  <w:pPr>
                                    <w:pStyle w:val="Hlistbullet"/>
                                    <w:spacing w:line="160" w:lineRule="atLeast"/>
                                    <w:jc w:val="left"/>
                                    <w:rPr>
                                      <w:sz w:val="18"/>
                                      <w:szCs w:val="18"/>
                                    </w:rPr>
                                  </w:pPr>
                                  <w:r>
                                    <w:rPr>
                                      <w:sz w:val="18"/>
                                      <w:szCs w:val="18"/>
                                    </w:rPr>
                                    <w:t xml:space="preserve">Αξιολόγηση του σχεδιασμού του μέτρου (σύνδεση με ανάγκες, στόχοι, κριτήρια επιλογής, δικαιούχοι) όσον αφορά το δυναμικό προώθησης της καινοτομίας και την έντασή του. </w:t>
                                  </w:r>
                                </w:p>
                                <w:p w:rsidR="00272EFF" w:rsidRPr="00B63DE8" w:rsidRDefault="00272EFF" w:rsidP="007A450E">
                                  <w:pPr>
                                    <w:pStyle w:val="Hlistbullet"/>
                                    <w:spacing w:line="160" w:lineRule="atLeast"/>
                                    <w:jc w:val="left"/>
                                  </w:pPr>
                                  <w:r>
                                    <w:rPr>
                                      <w:sz w:val="18"/>
                                      <w:szCs w:val="18"/>
                                    </w:rPr>
                                    <w:t>Αναγνώριση της βασικής, συναφούς με την καινοτομία, λογικής παρέμβασης του ΠΑΑ.</w:t>
                                  </w:r>
                                  <w:r>
                                    <w:t xml:space="preserve"> </w:t>
                                  </w:r>
                                </w:p>
                              </w:tc>
                              <w:tc>
                                <w:tcPr>
                                  <w:tcW w:w="3402" w:type="dxa"/>
                                  <w:shd w:val="clear" w:color="auto" w:fill="auto"/>
                                </w:tcPr>
                                <w:p w:rsidR="00272EFF" w:rsidRPr="00B63DE8" w:rsidRDefault="00272EFF" w:rsidP="007A450E">
                                  <w:pPr>
                                    <w:suppressOverlap/>
                                    <w:jc w:val="left"/>
                                    <w:rPr>
                                      <w:rFonts w:cs="Arial"/>
                                      <w:b/>
                                      <w:color w:val="404040"/>
                                      <w:szCs w:val="18"/>
                                    </w:rPr>
                                  </w:pPr>
                                  <w:r>
                                    <w:rPr>
                                      <w:b/>
                                      <w:color w:val="404040"/>
                                      <w:szCs w:val="18"/>
                                    </w:rPr>
                                    <w:t>Μη ενδεδειγμένες πρακτικές</w:t>
                                  </w:r>
                                </w:p>
                                <w:p w:rsidR="00272EFF" w:rsidRPr="00B63DE8" w:rsidRDefault="00272EFF" w:rsidP="007A450E">
                                  <w:pPr>
                                    <w:pStyle w:val="Hlistbullet"/>
                                    <w:spacing w:line="160" w:lineRule="atLeast"/>
                                    <w:jc w:val="left"/>
                                    <w:rPr>
                                      <w:sz w:val="18"/>
                                      <w:szCs w:val="18"/>
                                    </w:rPr>
                                  </w:pPr>
                                  <w:r>
                                    <w:rPr>
                                      <w:sz w:val="18"/>
                                      <w:szCs w:val="18"/>
                                    </w:rPr>
                                    <w:t xml:space="preserve">Περιορισμός της εξέτασης του δυναμικού καινοτομίας του ΠΑΑ στη μνεία και μόνο της λέξης «καινοτόμο» στα κριτήρια επιλογής και στα μέτρα. </w:t>
                                  </w:r>
                                </w:p>
                                <w:p w:rsidR="00272EFF" w:rsidRPr="00B63DE8" w:rsidRDefault="00272EFF" w:rsidP="007A450E">
                                  <w:pPr>
                                    <w:suppressOverlap/>
                                    <w:jc w:val="left"/>
                                    <w:rPr>
                                      <w:rFonts w:cs="Arial"/>
                                      <w:color w:val="1A1A1A"/>
                                      <w:szCs w:val="18"/>
                                    </w:rPr>
                                  </w:pPr>
                                </w:p>
                              </w:tc>
                            </w:tr>
                          </w:tbl>
                          <w:p w:rsidR="00272EFF" w:rsidRPr="00275EE5" w:rsidRDefault="00272EFF" w:rsidP="007A450E">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567C0" id="Rectangle: Diagonal Corners Rounded 67" o:spid="_x0000_s1038" style="position:absolute;left:0;text-align:left;margin-left:141.75pt;margin-top:247.5pt;width:268.45pt;height:236.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409180,3000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" adj="-11796480,,5400" path="m292657,l3409180,r,l3409180,2707718v,161630,-131027,292657,-292657,292657l,3000375r,l,292657c,131027,131027,,292657,xe" filled="f" strokecolor="#8bab80" strokeweight="2pt">
                <v:stroke joinstyle="miter"/>
                <v:formulas/>
                <v:path arrowok="t" o:connecttype="custom" o:connectlocs="292657,0;3409180,0;3409180,0;3409180,2707718;3116523,3000375;0,3000375;0,3000375;0,292657;292657,0" o:connectangles="0,0,0,0,0,0,0,0,0" textboxrect="0,0,3409180,3000375"/>
                <v:textbox>
                  <w:txbxContent>
                    <w:p w:rsidR="00272EFF" w:rsidRPr="00275EE5" w:rsidRDefault="00272EFF" w:rsidP="007A450E">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490"/>
                        <w:gridCol w:w="2495"/>
                      </w:tblGrid>
                      <w:tr w:rsidR="00272EFF" w:rsidRPr="0079762F" w:rsidTr="00E05D08">
                        <w:tc>
                          <w:tcPr>
                            <w:tcW w:w="3402" w:type="dxa"/>
                            <w:shd w:val="clear" w:color="auto" w:fill="FFFFFF"/>
                          </w:tcPr>
                          <w:p w:rsidR="00272EFF" w:rsidRPr="00B63DE8" w:rsidRDefault="00272EFF" w:rsidP="007A450E">
                            <w:pPr>
                              <w:suppressOverlap/>
                              <w:jc w:val="left"/>
                              <w:rPr>
                                <w:rFonts w:cs="Arial"/>
                                <w:b/>
                                <w:color w:val="404040"/>
                                <w:szCs w:val="18"/>
                              </w:rPr>
                            </w:pPr>
                            <w:r>
                              <w:rPr>
                                <w:b/>
                                <w:color w:val="404040"/>
                                <w:szCs w:val="18"/>
                              </w:rPr>
                              <w:t>Ενδεδειγμένες πρακτικές</w:t>
                            </w:r>
                          </w:p>
                          <w:p w:rsidR="00272EFF" w:rsidRPr="00B63DE8" w:rsidRDefault="00272EFF" w:rsidP="007A450E">
                            <w:pPr>
                              <w:pStyle w:val="Hlistbullet"/>
                              <w:spacing w:line="160" w:lineRule="atLeast"/>
                              <w:jc w:val="left"/>
                              <w:rPr>
                                <w:sz w:val="18"/>
                                <w:szCs w:val="18"/>
                              </w:rPr>
                            </w:pPr>
                            <w:r>
                              <w:rPr>
                                <w:sz w:val="18"/>
                                <w:szCs w:val="18"/>
                              </w:rPr>
                              <w:t xml:space="preserve">Αξιολόγηση του σχεδιασμού του μέτρου (σύνδεση με ανάγκες, στόχοι, κριτήρια επιλογής, δικαιούχοι) όσον αφορά το δυναμικό προώθησης της καινοτομίας και την έντασή του. </w:t>
                            </w:r>
                          </w:p>
                          <w:p w:rsidR="00272EFF" w:rsidRPr="00B63DE8" w:rsidRDefault="00272EFF" w:rsidP="007A450E">
                            <w:pPr>
                              <w:pStyle w:val="Hlistbullet"/>
                              <w:spacing w:line="160" w:lineRule="atLeast"/>
                              <w:jc w:val="left"/>
                            </w:pPr>
                            <w:r>
                              <w:rPr>
                                <w:sz w:val="18"/>
                                <w:szCs w:val="18"/>
                              </w:rPr>
                              <w:t>Αναγνώριση της βασικής, συναφούς με την καινοτομία, λογικής παρέμβασης του ΠΑΑ.</w:t>
                            </w:r>
                            <w:r>
                              <w:t xml:space="preserve"> </w:t>
                            </w:r>
                          </w:p>
                        </w:tc>
                        <w:tc>
                          <w:tcPr>
                            <w:tcW w:w="3402" w:type="dxa"/>
                            <w:shd w:val="clear" w:color="auto" w:fill="auto"/>
                          </w:tcPr>
                          <w:p w:rsidR="00272EFF" w:rsidRPr="00B63DE8" w:rsidRDefault="00272EFF" w:rsidP="007A450E">
                            <w:pPr>
                              <w:suppressOverlap/>
                              <w:jc w:val="left"/>
                              <w:rPr>
                                <w:rFonts w:cs="Arial"/>
                                <w:b/>
                                <w:color w:val="404040"/>
                                <w:szCs w:val="18"/>
                              </w:rPr>
                            </w:pPr>
                            <w:r>
                              <w:rPr>
                                <w:b/>
                                <w:color w:val="404040"/>
                                <w:szCs w:val="18"/>
                              </w:rPr>
                              <w:t>Μη ενδεδειγμένες πρακτικές</w:t>
                            </w:r>
                          </w:p>
                          <w:p w:rsidR="00272EFF" w:rsidRPr="00B63DE8" w:rsidRDefault="00272EFF" w:rsidP="007A450E">
                            <w:pPr>
                              <w:pStyle w:val="Hlistbullet"/>
                              <w:spacing w:line="160" w:lineRule="atLeast"/>
                              <w:jc w:val="left"/>
                              <w:rPr>
                                <w:sz w:val="18"/>
                                <w:szCs w:val="18"/>
                              </w:rPr>
                            </w:pPr>
                            <w:r>
                              <w:rPr>
                                <w:sz w:val="18"/>
                                <w:szCs w:val="18"/>
                              </w:rPr>
                              <w:t xml:space="preserve">Περιορισμός της εξέτασης του δυναμικού καινοτομίας του ΠΑΑ στη μνεία και μόνο της λέξης «καινοτόμο» στα κριτήρια επιλογής και στα μέτρα. </w:t>
                            </w:r>
                          </w:p>
                          <w:p w:rsidR="00272EFF" w:rsidRPr="00B63DE8" w:rsidRDefault="00272EFF" w:rsidP="007A450E">
                            <w:pPr>
                              <w:suppressOverlap/>
                              <w:jc w:val="left"/>
                              <w:rPr>
                                <w:rFonts w:cs="Arial"/>
                                <w:color w:val="1A1A1A"/>
                                <w:szCs w:val="18"/>
                              </w:rPr>
                            </w:pPr>
                          </w:p>
                        </w:tc>
                      </w:tr>
                    </w:tbl>
                    <w:p w:rsidR="00272EFF" w:rsidRPr="00275EE5" w:rsidRDefault="00272EFF" w:rsidP="007A450E">
                      <w:pPr>
                        <w:pStyle w:val="Normal12PTcouleurgris"/>
                      </w:pPr>
                    </w:p>
                  </w:txbxContent>
                </v:textbox>
                <w10:wrap type="square" anchorx="page" anchory="page"/>
              </v:shape>
            </w:pict>
          </mc:Fallback>
        </mc:AlternateContent>
      </w:r>
    </w:p>
    <w:p w:rsidR="00A45935" w:rsidRDefault="00A45935" w:rsidP="009F5AB5">
      <w:pPr>
        <w:pStyle w:val="HStandard"/>
      </w:pPr>
    </w:p>
    <w:p w:rsidR="000A43B7" w:rsidRDefault="000A43B7" w:rsidP="009F5AB5">
      <w:pPr>
        <w:pStyle w:val="HStandard"/>
      </w:pPr>
    </w:p>
    <w:p w:rsidR="000A43B7" w:rsidRDefault="000A43B7" w:rsidP="009F5AB5">
      <w:pPr>
        <w:pStyle w:val="HStandard"/>
      </w:pPr>
    </w:p>
    <w:p w:rsidR="007A450E" w:rsidRDefault="007A450E">
      <w:pPr>
        <w:jc w:val="left"/>
        <w:rPr>
          <w:rFonts w:eastAsia="Times New Roman" w:cs="Times New Roman"/>
          <w:b/>
          <w:szCs w:val="20"/>
        </w:rPr>
      </w:pPr>
      <w:bookmarkStart w:id="95" w:name="_Toc493151903"/>
      <w:bookmarkStart w:id="96" w:name="_Toc501382129"/>
      <w:r>
        <w:br w:type="page"/>
      </w:r>
    </w:p>
    <w:p w:rsidR="00A45935" w:rsidRPr="00FC7364" w:rsidRDefault="00A45935" w:rsidP="00B421B9">
      <w:pPr>
        <w:pStyle w:val="HHeading2"/>
        <w:numPr>
          <w:ilvl w:val="1"/>
          <w:numId w:val="119"/>
        </w:numPr>
        <w:ind w:left="567" w:hanging="567"/>
      </w:pPr>
      <w:bookmarkStart w:id="97" w:name="Complementing"/>
      <w:bookmarkStart w:id="98" w:name="_Toc508964816"/>
      <w:bookmarkEnd w:id="97"/>
      <w:r>
        <w:lastRenderedPageBreak/>
        <w:t>Συμπλήρωση των κοινών στοιχείων αξιολόγησης για την καινοτομία (συνιστώμενο)</w:t>
      </w:r>
      <w:bookmarkEnd w:id="95"/>
      <w:bookmarkEnd w:id="96"/>
      <w:bookmarkEnd w:id="98"/>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Γιατί και πότε πρέπει να συμπληρωθεί το ΚΣΠΑ; </w:t>
      </w:r>
    </w:p>
    <w:p w:rsidR="00A45935" w:rsidRPr="00E05D08" w:rsidRDefault="00A45935" w:rsidP="00E05D08">
      <w:pPr>
        <w:spacing w:after="120" w:line="280" w:lineRule="atLeast"/>
        <w:mirrorIndents/>
        <w:rPr>
          <w:rFonts w:eastAsia="Times New Roman" w:cs="Times New Roman"/>
          <w:szCs w:val="20"/>
        </w:rPr>
      </w:pPr>
      <w:r>
        <w:rPr>
          <w:b/>
          <w:szCs w:val="20"/>
        </w:rPr>
        <w:t>Το ΚΣΠΑ παρέχει μια βασική δέσμη στοιχείων αξιολόγησης</w:t>
      </w:r>
      <w:r>
        <w:t xml:space="preserve"> (κοινοί δείκτες εκροών) προκειμένου να απαντηθούν τα σχετικά κοινά ερωτήματα αξιολόγησης αριθ. 1, 2 και 21 (βλ. </w:t>
      </w:r>
      <w:hyperlink w:anchor="Policy_framework" w:history="1">
        <w:r>
          <w:rPr>
            <w:rStyle w:val="Hyperlink"/>
            <w:sz w:val="20"/>
            <w:szCs w:val="20"/>
          </w:rPr>
          <w:t>τμήμα 1.2.1</w:t>
        </w:r>
      </w:hyperlink>
      <w:r>
        <w:t xml:space="preserve">). Επιπλέον, τα κριτήρια απόφασης για όλα τα ΚΕΑ που συνδέονται με την καινοτομία, καθώς και κάποιοι πρόσθετοι δείκτες, προτείνονται στο έγγραφο εργασίας </w:t>
      </w:r>
      <w:hyperlink r:id="rId32" w:history="1">
        <w:r>
          <w:rPr>
            <w:rStyle w:val="Hyperlink"/>
            <w:sz w:val="20"/>
            <w:szCs w:val="20"/>
          </w:rPr>
          <w:t>Common Evaluation Questions for RDPs 2014-2020</w:t>
        </w:r>
      </w:hyperlink>
      <w:r>
        <w:t xml:space="preserve"> (Κοινά ερωτήματα αξιολόγησης για τα προγράμματα αγροτικής ανάπτυξης της περιόδου 2014-2020). Για παράδειγμα, το ΚΕΑ αριθ. 23 συνδέεται με τον πρωταρχικό στόχο της στρατηγικής «Ευρώπη 2020», ο οποίος μπορεί να χρησιμοποιηθεί ως βάση για την απάντηση του εν λόγω ερωτήματος. Το ΚΕΑ αριθ. 30 είναι το μόνο ερώτημα που συνοδεύεται από πρόσθετους δείκτες</w:t>
      </w:r>
      <w:r>
        <w:rPr>
          <w:rFonts w:eastAsia="Times New Roman" w:cs="Times New Roman"/>
          <w:szCs w:val="20"/>
          <w:vertAlign w:val="superscript"/>
          <w:lang w:eastAsia="de-DE"/>
        </w:rPr>
        <w:footnoteReference w:id="47"/>
      </w:r>
      <w:r>
        <w:t xml:space="preserve">. </w:t>
      </w:r>
    </w:p>
    <w:p w:rsidR="00A45935" w:rsidRPr="00E05D08" w:rsidRDefault="00A45935" w:rsidP="00E05D08">
      <w:pPr>
        <w:spacing w:after="120" w:line="280" w:lineRule="atLeast"/>
        <w:mirrorIndents/>
        <w:rPr>
          <w:rFonts w:eastAsia="Times New Roman" w:cs="Times New Roman"/>
          <w:szCs w:val="20"/>
        </w:rPr>
      </w:pPr>
      <w:r>
        <w:rPr>
          <w:b/>
          <w:szCs w:val="20"/>
        </w:rPr>
        <w:t>Τα κοινά στοιχεία αξιολόγησης επανεξετάζονται</w:t>
      </w:r>
      <w:r>
        <w:t xml:space="preserve"> </w:t>
      </w:r>
      <w:r>
        <w:rPr>
          <w:b/>
          <w:szCs w:val="20"/>
        </w:rPr>
        <w:t>πριν από την έναρξη της αξιολόγησης</w:t>
      </w:r>
      <w:r>
        <w:t xml:space="preserve"> και συμπληρώνονται εάν απαιτείται. Κατά τον έλεγχο αυτό, μπορεί να ληφθούν υπόψη τα πορίσματα της εξέτασης του δυναμικού καινοτομίας του ΠΑΑ όσον αφορά την προώθηση της καινοτομίας (βλ. </w:t>
      </w:r>
      <w:hyperlink w:anchor="Screening_Potential" w:history="1">
        <w:r>
          <w:rPr>
            <w:rStyle w:val="Hyperlink"/>
            <w:sz w:val="20"/>
            <w:szCs w:val="20"/>
          </w:rPr>
          <w:t>κεφάλαιο 2.2</w:t>
        </w:r>
      </w:hyperlink>
      <w:r>
        <w:t xml:space="preserve">).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Ποια είναι τα στάδια για την ανάπτυξη πρόσθετων και ειδικών ανά πρόγραμμα στοιχείων αξιολόγησης;</w:t>
      </w:r>
    </w:p>
    <w:p w:rsidR="00A45935" w:rsidRPr="00E05D08" w:rsidRDefault="00A45935" w:rsidP="00E05D08">
      <w:pPr>
        <w:spacing w:after="120" w:line="280" w:lineRule="atLeast"/>
        <w:mirrorIndents/>
        <w:rPr>
          <w:rFonts w:eastAsia="Calibri" w:cs="Times New Roman"/>
          <w:szCs w:val="20"/>
        </w:rPr>
      </w:pPr>
      <w:r>
        <w:t xml:space="preserve">Η ανάπτυξη πρόσθετων στοιχείων αξιολόγησης [που περιγράφεται με λεπτομέρεια στις κατευθυντήριες γραμμές </w:t>
      </w:r>
      <w:hyperlink r:id="rId33" w:history="1">
        <w:r>
          <w:rPr>
            <w:rStyle w:val="Hyperlink"/>
            <w:sz w:val="20"/>
            <w:szCs w:val="20"/>
          </w:rPr>
          <w:t>Assessment of RDP results: how to prepare for reporting on evaluation in 2017</w:t>
        </w:r>
      </w:hyperlink>
      <w:r>
        <w:t xml:space="preserve"> (Αξιολόγηση των αποτελεσμάτων του ΠΑΑ: Τρόπος προετοιμασίας για την υποβολή εκθέσεων σχετικά με την αξιολόγηση το 2017)] μπορεί να συνοψιστεί ως εξής: </w:t>
      </w:r>
    </w:p>
    <w:p w:rsidR="00A45935" w:rsidRPr="00B10B3C" w:rsidRDefault="00576A73" w:rsidP="00B421B9">
      <w:pPr>
        <w:pStyle w:val="Hlistbullet"/>
        <w:rPr>
          <w:rFonts w:eastAsia="Calibri"/>
        </w:rPr>
      </w:pPr>
      <w:r>
        <w:rPr>
          <w:noProof/>
          <w:highlight w:val="yellow"/>
          <w:lang w:val="en-GB" w:eastAsia="en-GB"/>
        </w:rPr>
        <mc:AlternateContent>
          <mc:Choice Requires="wps">
            <w:drawing>
              <wp:anchor distT="0" distB="0" distL="114300" distR="114300" simplePos="0" relativeHeight="251657728" behindDoc="0" locked="0" layoutInCell="1" allowOverlap="1" wp14:anchorId="60B30216" wp14:editId="4E6400B9">
                <wp:simplePos x="0" y="0"/>
                <wp:positionH relativeFrom="column">
                  <wp:posOffset>2828925</wp:posOffset>
                </wp:positionH>
                <wp:positionV relativeFrom="paragraph">
                  <wp:posOffset>69215</wp:posOffset>
                </wp:positionV>
                <wp:extent cx="2883535" cy="2276475"/>
                <wp:effectExtent l="0" t="0" r="12065" b="28575"/>
                <wp:wrapSquare wrapText="bothSides"/>
                <wp:docPr id="34" name="Rectangle: Diagonal Corners Rounded 34"/>
                <wp:cNvGraphicFramePr/>
                <a:graphic xmlns:a="http://schemas.openxmlformats.org/drawingml/2006/main">
                  <a:graphicData uri="http://schemas.microsoft.com/office/word/2010/wordprocessingShape">
                    <wps:wsp>
                      <wps:cNvSpPr/>
                      <wps:spPr>
                        <a:xfrm>
                          <a:off x="0" y="0"/>
                          <a:ext cx="2883535" cy="2276475"/>
                        </a:xfrm>
                        <a:prstGeom prst="round2DiagRect">
                          <a:avLst>
                            <a:gd name="adj1" fmla="val 7843"/>
                            <a:gd name="adj2" fmla="val 0"/>
                          </a:avLst>
                        </a:prstGeom>
                        <a:noFill/>
                        <a:ln w="25400" cap="flat" cmpd="sng" algn="ctr">
                          <a:solidFill>
                            <a:srgbClr val="BE4A35"/>
                          </a:solidFill>
                          <a:prstDash val="solid"/>
                        </a:ln>
                        <a:effectLst/>
                      </wps:spPr>
                      <wps:txbx>
                        <w:txbxContent>
                          <w:p w:rsidR="00272EFF" w:rsidRPr="00615BDD" w:rsidRDefault="00272EFF" w:rsidP="00E05D08">
                            <w:pPr>
                              <w:pStyle w:val="HStandard"/>
                              <w:rPr>
                                <w:sz w:val="18"/>
                                <w:szCs w:val="18"/>
                              </w:rPr>
                            </w:pPr>
                            <w:r>
                              <w:rPr>
                                <w:noProof/>
                                <w:lang w:val="en-GB" w:eastAsia="en-GB"/>
                              </w:rPr>
                              <w:drawing>
                                <wp:inline distT="0" distB="0" distL="0" distR="0" wp14:anchorId="0BCFA11C" wp14:editId="3764602D">
                                  <wp:extent cx="664845" cy="487680"/>
                                  <wp:effectExtent l="0" t="0" r="0" b="7620"/>
                                  <wp:docPr id="40"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615BDD">
                              <w:rPr>
                                <w:sz w:val="18"/>
                                <w:szCs w:val="18"/>
                              </w:rPr>
                              <w:t xml:space="preserve">Τα πρόσθετα στοιχεία αξιολόγησης (πρόσθετα ερωτήματα αξιολόγησης, πρόσθετα κριτήρια απόφασης και πρόσθετοι δείκτες) που προτείνονται στις παρούσες κατευθυντήριες γραμμές στο κεφάλαιο 2.4 είναι </w:t>
                            </w:r>
                            <w:r w:rsidRPr="00615BDD">
                              <w:rPr>
                                <w:b/>
                                <w:sz w:val="18"/>
                                <w:szCs w:val="18"/>
                              </w:rPr>
                              <w:t xml:space="preserve">ΜΗ ΔΕΣΜΕΥΤΙΚΑ! </w:t>
                            </w:r>
                            <w:r w:rsidRPr="00615BDD">
                              <w:rPr>
                                <w:sz w:val="18"/>
                                <w:szCs w:val="18"/>
                              </w:rPr>
                              <w:t xml:space="preserve">Κάθε διαχειριστική αρχή μπορεί να αποφασίσει να αναπτύξει και να χρησιμοποιήσει τα δικά της πρόσθετα και ειδικά ανά πρόγραμμα στοιχεία αξιολόγησης.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30216" id="Rectangle: Diagonal Corners Rounded 34" o:spid="_x0000_s1039" style="position:absolute;left:0;text-align:left;margin-left:222.75pt;margin-top:5.45pt;width:227.05pt;height:17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3535,2276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" adj="-11796480,,5400" path="m178544,l2883535,r,l2883535,2097931v,98607,-79937,178544,-178544,178544l,2276475r,l,178544c,79937,79937,,178544,xe" filled="f" strokecolor="#be4a35" strokeweight="2pt">
                <v:stroke joinstyle="miter"/>
                <v:formulas/>
                <v:path arrowok="t" o:connecttype="custom" o:connectlocs="178544,0;2883535,0;2883535,0;2883535,2097931;2704991,2276475;0,2276475;0,2276475;0,178544;178544,0" o:connectangles="0,0,0,0,0,0,0,0,0" textboxrect="0,0,2883535,2276475"/>
                <v:textbox>
                  <w:txbxContent>
                    <w:p w:rsidR="00272EFF" w:rsidRPr="00615BDD" w:rsidRDefault="00272EFF" w:rsidP="00E05D08">
                      <w:pPr>
                        <w:pStyle w:val="HStandard"/>
                        <w:rPr>
                          <w:sz w:val="18"/>
                          <w:szCs w:val="18"/>
                        </w:rPr>
                      </w:pPr>
                      <w:r>
                        <w:rPr>
                          <w:noProof/>
                          <w:lang w:val="en-GB" w:eastAsia="en-GB"/>
                        </w:rPr>
                        <w:drawing>
                          <wp:inline distT="0" distB="0" distL="0" distR="0" wp14:anchorId="0BCFA11C" wp14:editId="3764602D">
                            <wp:extent cx="664845" cy="487680"/>
                            <wp:effectExtent l="0" t="0" r="0" b="7620"/>
                            <wp:docPr id="40"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615BDD">
                        <w:rPr>
                          <w:sz w:val="18"/>
                          <w:szCs w:val="18"/>
                        </w:rPr>
                        <w:t xml:space="preserve">Τα πρόσθετα στοιχεία αξιολόγησης (πρόσθετα ερωτήματα αξιολόγησης, πρόσθετα κριτήρια απόφασης και πρόσθετοι δείκτες) που προτείνονται στις παρούσες κατευθυντήριες γραμμές στο κεφάλαιο 2.4 είναι </w:t>
                      </w:r>
                      <w:r w:rsidRPr="00615BDD">
                        <w:rPr>
                          <w:b/>
                          <w:sz w:val="18"/>
                          <w:szCs w:val="18"/>
                        </w:rPr>
                        <w:t xml:space="preserve">ΜΗ ΔΕΣΜΕΥΤΙΚΑ! </w:t>
                      </w:r>
                      <w:r w:rsidRPr="00615BDD">
                        <w:rPr>
                          <w:sz w:val="18"/>
                          <w:szCs w:val="18"/>
                        </w:rPr>
                        <w:t xml:space="preserve">Κάθε διαχειριστική αρχή μπορεί να αποφασίσει να αναπτύξει και να χρησιμοποιήσει τα δικά της πρόσθετα και ειδικά ανά πρόγραμμα στοιχεία αξιολόγησης. </w:t>
                      </w:r>
                    </w:p>
                  </w:txbxContent>
                </v:textbox>
                <w10:wrap type="square"/>
              </v:shape>
            </w:pict>
          </mc:Fallback>
        </mc:AlternateContent>
      </w:r>
      <w:r>
        <w:t xml:space="preserve">ανασκόπηση της βασικής, συναφούς με την καινοτομία, λογικής παρέμβασης του ΠΑΑ (βλ. </w:t>
      </w:r>
      <w:hyperlink w:anchor="Screening_Potential" w:history="1">
        <w:r>
          <w:rPr>
            <w:rStyle w:val="Hyperlink"/>
            <w:sz w:val="20"/>
          </w:rPr>
          <w:t>κεφάλαιο 2.2</w:t>
        </w:r>
      </w:hyperlink>
      <w:r>
        <w:t>)·</w:t>
      </w:r>
    </w:p>
    <w:p w:rsidR="00A45935" w:rsidRPr="00B10B3C" w:rsidRDefault="00A45935" w:rsidP="00B421B9">
      <w:pPr>
        <w:pStyle w:val="Hlistbullet"/>
        <w:rPr>
          <w:rFonts w:eastAsia="Calibri"/>
        </w:rPr>
      </w:pPr>
      <w:r>
        <w:t xml:space="preserve">επανεξέταση των κοινών ερωτημάτων αξιολόγησης, των κριτηρίων απόφασης και των δεικτών που συνδέονται με την καινοτομία, και έλεγχος του κατά πόσο είναι επαρκή προκειμένου να απαντηθούν τα ΚΕΑ που σχετίζονται με την καινοτομία· </w:t>
      </w:r>
    </w:p>
    <w:p w:rsidR="00576A73" w:rsidRPr="00576A73" w:rsidRDefault="00A45935" w:rsidP="00B421B9">
      <w:pPr>
        <w:pStyle w:val="Hlistbullet"/>
        <w:rPr>
          <w:rFonts w:eastAsia="Calibri"/>
        </w:rPr>
      </w:pPr>
      <w:r>
        <w:t>συμπλήρωση του ΚΣΠΑ με πρόσθετα, συναφή με την καινοτομία στοιχεία αξιολόγησης, στην περίπτωση που τα κοινά στοιχεία δεν επαρκούν για να δοθούν απαντήσεις στα ΚΕΑ που σχετίζονται με την καινοτομία·</w:t>
      </w:r>
    </w:p>
    <w:p w:rsidR="00576A73" w:rsidRPr="00576A73" w:rsidRDefault="00A45935" w:rsidP="00B421B9">
      <w:pPr>
        <w:pStyle w:val="Hlistbullet"/>
        <w:rPr>
          <w:rFonts w:eastAsia="Calibri"/>
        </w:rPr>
      </w:pPr>
      <w:r>
        <w:t>ανάπτυξη ειδικών ανά πρόγραμμα στοιχείων αξιολόγησης για την αξιολόγηση της καινοτομίας, που σχετίζονται με ειδικούς ανά πρόγραμμα ΤΕ και ερωτήματα αξιολόγησης ειδικού ενδιαφέροντος για τις διαχειριστικές αρχές.</w:t>
      </w:r>
      <w:r>
        <w:rPr>
          <w:highlight w:val="yellow"/>
        </w:rPr>
        <w:t xml:space="preserve"> </w:t>
      </w:r>
    </w:p>
    <w:p w:rsidR="000A43B7" w:rsidRDefault="000A43B7" w:rsidP="000A43B7">
      <w:pPr>
        <w:rPr>
          <w:noProof/>
          <w:szCs w:val="20"/>
          <w:highlight w:val="yellow"/>
        </w:rPr>
      </w:pPr>
      <w:r>
        <w:rPr>
          <w:rFonts w:cs="Arial"/>
          <w:b/>
          <w:noProof/>
          <w:color w:val="F07E31"/>
          <w:szCs w:val="20"/>
          <w:lang w:val="en-GB" w:eastAsia="en-GB"/>
        </w:rPr>
        <w:lastRenderedPageBreak/>
        <mc:AlternateContent>
          <mc:Choice Requires="wps">
            <w:drawing>
              <wp:anchor distT="0" distB="0" distL="114300" distR="114300" simplePos="0" relativeHeight="251667968" behindDoc="0" locked="0" layoutInCell="1" allowOverlap="1" wp14:anchorId="447C667D" wp14:editId="1C4B5F1E">
                <wp:simplePos x="0" y="0"/>
                <wp:positionH relativeFrom="column">
                  <wp:posOffset>742950</wp:posOffset>
                </wp:positionH>
                <wp:positionV relativeFrom="paragraph">
                  <wp:posOffset>66675</wp:posOffset>
                </wp:positionV>
                <wp:extent cx="4280535" cy="2857500"/>
                <wp:effectExtent l="0" t="0" r="24765" b="19050"/>
                <wp:wrapSquare wrapText="bothSides"/>
                <wp:docPr id="70" name="Rectangle: Diagonal Corners Rounded 70"/>
                <wp:cNvGraphicFramePr/>
                <a:graphic xmlns:a="http://schemas.openxmlformats.org/drawingml/2006/main">
                  <a:graphicData uri="http://schemas.microsoft.com/office/word/2010/wordprocessingShape">
                    <wps:wsp>
                      <wps:cNvSpPr/>
                      <wps:spPr>
                        <a:xfrm>
                          <a:off x="0" y="0"/>
                          <a:ext cx="4280535" cy="2857500"/>
                        </a:xfrm>
                        <a:prstGeom prst="round2DiagRect">
                          <a:avLst>
                            <a:gd name="adj1" fmla="val 7630"/>
                            <a:gd name="adj2" fmla="val 0"/>
                          </a:avLst>
                        </a:prstGeom>
                        <a:noFill/>
                        <a:ln w="25400" cap="flat" cmpd="sng" algn="ctr">
                          <a:solidFill>
                            <a:srgbClr val="8BAB80"/>
                          </a:solidFill>
                          <a:prstDash val="solid"/>
                        </a:ln>
                        <a:effectLst/>
                      </wps:spPr>
                      <wps:txbx>
                        <w:txbxContent>
                          <w:p w:rsidR="00272EFF" w:rsidRPr="00275EE5" w:rsidRDefault="00272EFF" w:rsidP="001744D0">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272EFF" w:rsidRPr="0079762F" w:rsidTr="00E05D08">
                              <w:tc>
                                <w:tcPr>
                                  <w:tcW w:w="2991" w:type="dxa"/>
                                  <w:shd w:val="clear" w:color="auto" w:fill="FFFFFF"/>
                                </w:tcPr>
                                <w:p w:rsidR="00272EFF" w:rsidRPr="00654F10" w:rsidRDefault="00272EFF" w:rsidP="001744D0">
                                  <w:pPr>
                                    <w:pStyle w:val="Normal12PTcouleurgris"/>
                                    <w:rPr>
                                      <w:b/>
                                      <w:color w:val="404040"/>
                                      <w:sz w:val="18"/>
                                    </w:rPr>
                                  </w:pPr>
                                  <w:r>
                                    <w:rPr>
                                      <w:b/>
                                      <w:color w:val="404040"/>
                                      <w:sz w:val="18"/>
                                    </w:rPr>
                                    <w:t>Ενδεδειγμένες πρακτικές</w:t>
                                  </w:r>
                                </w:p>
                                <w:p w:rsidR="00272EFF" w:rsidRPr="00654F10" w:rsidRDefault="00272EFF" w:rsidP="007A450E">
                                  <w:pPr>
                                    <w:pStyle w:val="Hlistbullet"/>
                                    <w:spacing w:line="160" w:lineRule="atLeast"/>
                                    <w:jc w:val="left"/>
                                    <w:rPr>
                                      <w:sz w:val="18"/>
                                      <w:szCs w:val="18"/>
                                    </w:rPr>
                                  </w:pPr>
                                  <w:r>
                                    <w:rPr>
                                      <w:sz w:val="18"/>
                                      <w:szCs w:val="18"/>
                                    </w:rPr>
                                    <w:t>Εξέταση των κριτηρίων απόφασης και των δεικτών του ΚΣΠΑ για να διασφαλιστεί ότι μπορούν να απαντήσουν επαρκώς στα ΚΕΑ.</w:t>
                                  </w:r>
                                </w:p>
                                <w:p w:rsidR="00272EFF" w:rsidRPr="00654F10" w:rsidRDefault="00272EFF" w:rsidP="007A450E">
                                  <w:pPr>
                                    <w:pStyle w:val="Hlistbullet"/>
                                    <w:spacing w:line="160" w:lineRule="atLeast"/>
                                    <w:jc w:val="left"/>
                                    <w:rPr>
                                      <w:sz w:val="18"/>
                                      <w:szCs w:val="18"/>
                                    </w:rPr>
                                  </w:pPr>
                                  <w:r>
                                    <w:rPr>
                                      <w:sz w:val="18"/>
                                      <w:szCs w:val="18"/>
                                    </w:rPr>
                                    <w:t>Ανάπτυξη πρόσθετων κριτηρίων απόφασης και δεικτών εάν τα κοινά κριτήρια απόφασης και οι κοινοί δείκτες δεν επαρκούν για τη συλλογή στοιχείων προκειμένου να απαντηθούν τα ΚΕΑ.</w:t>
                                  </w:r>
                                </w:p>
                              </w:tc>
                              <w:tc>
                                <w:tcPr>
                                  <w:tcW w:w="2960" w:type="dxa"/>
                                  <w:shd w:val="clear" w:color="auto" w:fill="auto"/>
                                </w:tcPr>
                                <w:p w:rsidR="00272EFF" w:rsidRPr="00654F10" w:rsidRDefault="00272EFF" w:rsidP="001744D0">
                                  <w:pPr>
                                    <w:pStyle w:val="Normal12PTcouleurgris"/>
                                    <w:rPr>
                                      <w:b/>
                                      <w:color w:val="404040"/>
                                      <w:sz w:val="18"/>
                                    </w:rPr>
                                  </w:pPr>
                                  <w:r>
                                    <w:rPr>
                                      <w:b/>
                                      <w:color w:val="404040"/>
                                      <w:sz w:val="18"/>
                                    </w:rPr>
                                    <w:t>Μη ενδεδειγμένες πρακτικές</w:t>
                                  </w:r>
                                </w:p>
                                <w:p w:rsidR="00272EFF" w:rsidRPr="00654F10" w:rsidRDefault="00272EFF" w:rsidP="007A450E">
                                  <w:pPr>
                                    <w:pStyle w:val="Hlistbullet"/>
                                    <w:spacing w:line="160" w:lineRule="atLeast"/>
                                    <w:jc w:val="left"/>
                                    <w:rPr>
                                      <w:sz w:val="18"/>
                                      <w:szCs w:val="18"/>
                                    </w:rPr>
                                  </w:pPr>
                                  <w:r>
                                    <w:rPr>
                                      <w:sz w:val="18"/>
                                      <w:szCs w:val="18"/>
                                    </w:rPr>
                                    <w:t>Χρήση αποκλειστικά δεικτών εκροών για να απαντηθούν τα ΚΕΑ (οι οποίοι δεν μπορούν να καταδείξουν πλήρως εάν η πολιτική έχει επιτύχει τον σκοπό της).</w:t>
                                  </w:r>
                                </w:p>
                                <w:p w:rsidR="00272EFF" w:rsidRPr="00654F10" w:rsidRDefault="00272EFF" w:rsidP="001744D0">
                                  <w:pPr>
                                    <w:pStyle w:val="Normal12PTcouleurgris"/>
                                    <w:rPr>
                                      <w:color w:val="1A1A1A"/>
                                      <w:sz w:val="18"/>
                                    </w:rPr>
                                  </w:pPr>
                                </w:p>
                              </w:tc>
                            </w:tr>
                          </w:tbl>
                          <w:p w:rsidR="00272EFF" w:rsidRPr="00275EE5" w:rsidRDefault="00272EFF" w:rsidP="007A450E">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C667D" id="Rectangle: Diagonal Corners Rounded 70" o:spid="_x0000_s1040" style="position:absolute;left:0;text-align:left;margin-left:58.5pt;margin-top:5.25pt;width:337.05pt;height: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0535,285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" adj="-11796480,,5400" path="m218027,l4280535,r,l4280535,2639473v,120413,-97614,218027,-218027,218027l,2857500r,l,218027c,97614,97614,,218027,xe" filled="f" strokecolor="#8bab80" strokeweight="2pt">
                <v:stroke joinstyle="miter"/>
                <v:formulas/>
                <v:path arrowok="t" o:connecttype="custom" o:connectlocs="218027,0;4280535,0;4280535,0;4280535,2639473;4062508,2857500;0,2857500;0,2857500;0,218027;218027,0" o:connectangles="0,0,0,0,0,0,0,0,0" textboxrect="0,0,4280535,2857500"/>
                <v:textbox>
                  <w:txbxContent>
                    <w:p w:rsidR="00272EFF" w:rsidRPr="00275EE5" w:rsidRDefault="00272EFF" w:rsidP="001744D0">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272EFF" w:rsidRPr="0079762F" w:rsidTr="00E05D08">
                        <w:tc>
                          <w:tcPr>
                            <w:tcW w:w="2991" w:type="dxa"/>
                            <w:shd w:val="clear" w:color="auto" w:fill="FFFFFF"/>
                          </w:tcPr>
                          <w:p w:rsidR="00272EFF" w:rsidRPr="00654F10" w:rsidRDefault="00272EFF" w:rsidP="001744D0">
                            <w:pPr>
                              <w:pStyle w:val="Normal12PTcouleurgris"/>
                              <w:rPr>
                                <w:b/>
                                <w:color w:val="404040"/>
                                <w:sz w:val="18"/>
                              </w:rPr>
                            </w:pPr>
                            <w:r>
                              <w:rPr>
                                <w:b/>
                                <w:color w:val="404040"/>
                                <w:sz w:val="18"/>
                              </w:rPr>
                              <w:t>Ενδεδειγμένες πρακτικές</w:t>
                            </w:r>
                          </w:p>
                          <w:p w:rsidR="00272EFF" w:rsidRPr="00654F10" w:rsidRDefault="00272EFF" w:rsidP="007A450E">
                            <w:pPr>
                              <w:pStyle w:val="Hlistbullet"/>
                              <w:spacing w:line="160" w:lineRule="atLeast"/>
                              <w:jc w:val="left"/>
                              <w:rPr>
                                <w:sz w:val="18"/>
                                <w:szCs w:val="18"/>
                              </w:rPr>
                            </w:pPr>
                            <w:r>
                              <w:rPr>
                                <w:sz w:val="18"/>
                                <w:szCs w:val="18"/>
                              </w:rPr>
                              <w:t>Εξέταση των κριτηρίων απόφασης και των δεικτών του ΚΣΠΑ για να διασφαλιστεί ότι μπορούν να απαντήσουν επαρκώς στα ΚΕΑ.</w:t>
                            </w:r>
                          </w:p>
                          <w:p w:rsidR="00272EFF" w:rsidRPr="00654F10" w:rsidRDefault="00272EFF" w:rsidP="007A450E">
                            <w:pPr>
                              <w:pStyle w:val="Hlistbullet"/>
                              <w:spacing w:line="160" w:lineRule="atLeast"/>
                              <w:jc w:val="left"/>
                              <w:rPr>
                                <w:sz w:val="18"/>
                                <w:szCs w:val="18"/>
                              </w:rPr>
                            </w:pPr>
                            <w:r>
                              <w:rPr>
                                <w:sz w:val="18"/>
                                <w:szCs w:val="18"/>
                              </w:rPr>
                              <w:t>Ανάπτυξη πρόσθετων κριτηρίων απόφασης και δεικτών εάν τα κοινά κριτήρια απόφασης και οι κοινοί δείκτες δεν επαρκούν για τη συλλογή στοιχείων προκειμένου να απαντηθούν τα ΚΕΑ.</w:t>
                            </w:r>
                          </w:p>
                        </w:tc>
                        <w:tc>
                          <w:tcPr>
                            <w:tcW w:w="2960" w:type="dxa"/>
                            <w:shd w:val="clear" w:color="auto" w:fill="auto"/>
                          </w:tcPr>
                          <w:p w:rsidR="00272EFF" w:rsidRPr="00654F10" w:rsidRDefault="00272EFF" w:rsidP="001744D0">
                            <w:pPr>
                              <w:pStyle w:val="Normal12PTcouleurgris"/>
                              <w:rPr>
                                <w:b/>
                                <w:color w:val="404040"/>
                                <w:sz w:val="18"/>
                              </w:rPr>
                            </w:pPr>
                            <w:r>
                              <w:rPr>
                                <w:b/>
                                <w:color w:val="404040"/>
                                <w:sz w:val="18"/>
                              </w:rPr>
                              <w:t>Μη ενδεδειγμένες πρακτικές</w:t>
                            </w:r>
                          </w:p>
                          <w:p w:rsidR="00272EFF" w:rsidRPr="00654F10" w:rsidRDefault="00272EFF" w:rsidP="007A450E">
                            <w:pPr>
                              <w:pStyle w:val="Hlistbullet"/>
                              <w:spacing w:line="160" w:lineRule="atLeast"/>
                              <w:jc w:val="left"/>
                              <w:rPr>
                                <w:sz w:val="18"/>
                                <w:szCs w:val="18"/>
                              </w:rPr>
                            </w:pPr>
                            <w:r>
                              <w:rPr>
                                <w:sz w:val="18"/>
                                <w:szCs w:val="18"/>
                              </w:rPr>
                              <w:t>Χρήση αποκλειστικά δεικτών εκροών για να απαντηθούν τα ΚΕΑ (οι οποίοι δεν μπορούν να καταδείξουν πλήρως εάν η πολιτική έχει επιτύχει τον σκοπό της).</w:t>
                            </w:r>
                          </w:p>
                          <w:p w:rsidR="00272EFF" w:rsidRPr="00654F10" w:rsidRDefault="00272EFF" w:rsidP="001744D0">
                            <w:pPr>
                              <w:pStyle w:val="Normal12PTcouleurgris"/>
                              <w:rPr>
                                <w:color w:val="1A1A1A"/>
                                <w:sz w:val="18"/>
                              </w:rPr>
                            </w:pPr>
                          </w:p>
                        </w:tc>
                      </w:tr>
                    </w:tbl>
                    <w:p w:rsidR="00272EFF" w:rsidRPr="00275EE5" w:rsidRDefault="00272EFF" w:rsidP="007A450E">
                      <w:pPr>
                        <w:pStyle w:val="Normal12PTcouleurgris"/>
                      </w:pPr>
                    </w:p>
                  </w:txbxContent>
                </v:textbox>
                <w10:wrap type="square"/>
              </v:shape>
            </w:pict>
          </mc:Fallback>
        </mc:AlternateContent>
      </w:r>
    </w:p>
    <w:p w:rsidR="00BF424C" w:rsidRDefault="00BF424C">
      <w:pPr>
        <w:jc w:val="left"/>
        <w:rPr>
          <w:rFonts w:eastAsia="Times New Roman" w:cs="Times New Roman"/>
          <w:b/>
          <w:szCs w:val="20"/>
          <w:lang w:eastAsia="de-DE"/>
        </w:rPr>
      </w:pPr>
      <w:bookmarkStart w:id="99" w:name="Answering"/>
      <w:bookmarkStart w:id="100" w:name="_Toc493151904"/>
      <w:bookmarkStart w:id="101" w:name="_Toc501382130"/>
      <w:bookmarkEnd w:id="11"/>
      <w:bookmarkEnd w:id="99"/>
      <w:r>
        <w:br w:type="page"/>
      </w:r>
    </w:p>
    <w:p w:rsidR="00A92E91" w:rsidRPr="00A92E91" w:rsidRDefault="00A45935" w:rsidP="00B421B9">
      <w:pPr>
        <w:pStyle w:val="HHeading2"/>
        <w:numPr>
          <w:ilvl w:val="1"/>
          <w:numId w:val="119"/>
        </w:numPr>
        <w:ind w:left="567" w:hanging="567"/>
        <w:rPr>
          <w:noProof/>
          <w:snapToGrid w:val="0"/>
        </w:rPr>
      </w:pPr>
      <w:bookmarkStart w:id="102" w:name="_Toc508964817"/>
      <w:r>
        <w:lastRenderedPageBreak/>
        <w:t>Απαντήσεις στα σχετικά κοινά ερωτήματα αξιολόγησης (υποχρεωτικό)</w:t>
      </w:r>
      <w:bookmarkEnd w:id="100"/>
      <w:bookmarkEnd w:id="101"/>
      <w:bookmarkEnd w:id="102"/>
    </w:p>
    <w:p w:rsidR="007A450E" w:rsidRDefault="007A450E" w:rsidP="00725801">
      <w:pPr>
        <w:spacing w:after="120" w:line="280" w:lineRule="atLeast"/>
        <w:mirrorIndents/>
        <w:rPr>
          <w:rFonts w:eastAsia="Times New Roman" w:cs="Times New Roman"/>
          <w:szCs w:val="20"/>
          <w:shd w:val="clear" w:color="auto" w:fill="FFFFFF"/>
        </w:rPr>
      </w:pPr>
      <w:r>
        <w:rPr>
          <w:noProof/>
          <w:color w:val="F07E31"/>
          <w:highlight w:val="yellow"/>
          <w:lang w:val="en-GB" w:eastAsia="en-GB"/>
        </w:rPr>
        <mc:AlternateContent>
          <mc:Choice Requires="wps">
            <w:drawing>
              <wp:anchor distT="0" distB="0" distL="114300" distR="114300" simplePos="0" relativeHeight="251659776" behindDoc="0" locked="0" layoutInCell="1" allowOverlap="1" wp14:anchorId="65412A78" wp14:editId="10072DD7">
                <wp:simplePos x="0" y="0"/>
                <wp:positionH relativeFrom="page">
                  <wp:posOffset>1181100</wp:posOffset>
                </wp:positionH>
                <wp:positionV relativeFrom="paragraph">
                  <wp:posOffset>1021715</wp:posOffset>
                </wp:positionV>
                <wp:extent cx="5591810" cy="3305175"/>
                <wp:effectExtent l="0" t="0" r="27940" b="28575"/>
                <wp:wrapSquare wrapText="bothSides"/>
                <wp:docPr id="19" name="Rectangle: Diagonal Corners Rounded 19"/>
                <wp:cNvGraphicFramePr/>
                <a:graphic xmlns:a="http://schemas.openxmlformats.org/drawingml/2006/main">
                  <a:graphicData uri="http://schemas.microsoft.com/office/word/2010/wordprocessingShape">
                    <wps:wsp>
                      <wps:cNvSpPr/>
                      <wps:spPr>
                        <a:xfrm>
                          <a:off x="0" y="0"/>
                          <a:ext cx="5591810" cy="3305175"/>
                        </a:xfrm>
                        <a:prstGeom prst="round2DiagRect">
                          <a:avLst>
                            <a:gd name="adj1" fmla="val 7843"/>
                            <a:gd name="adj2" fmla="val 0"/>
                          </a:avLst>
                        </a:prstGeom>
                        <a:noFill/>
                        <a:ln w="25400" cap="flat" cmpd="sng" algn="ctr">
                          <a:solidFill>
                            <a:srgbClr val="BE4A35"/>
                          </a:solidFill>
                          <a:prstDash val="solid"/>
                        </a:ln>
                        <a:effectLst/>
                      </wps:spPr>
                      <wps:txbx>
                        <w:txbxContent>
                          <w:p w:rsidR="00272EFF" w:rsidRPr="00AC3522" w:rsidRDefault="00272EFF" w:rsidP="00E05D08">
                            <w:pPr>
                              <w:pStyle w:val="Normal12PTcouleurgris"/>
                              <w:rPr>
                                <w:shd w:val="clear" w:color="auto" w:fill="FFFFFF"/>
                              </w:rPr>
                            </w:pPr>
                            <w:r>
                              <w:rPr>
                                <w:noProof/>
                                <w:lang w:val="en-GB" w:eastAsia="en-GB"/>
                              </w:rPr>
                              <w:drawing>
                                <wp:inline distT="0" distB="0" distL="0" distR="0" wp14:anchorId="65810702" wp14:editId="21F6CAE5">
                                  <wp:extent cx="664845" cy="487680"/>
                                  <wp:effectExtent l="0" t="0" r="0" b="7620"/>
                                  <wp:docPr id="44"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rPr>
                              <w:t xml:space="preserve">Για κάθε ΚΕΑ τηρείται η ακόλουθη δομή: </w:t>
                            </w:r>
                          </w:p>
                          <w:p w:rsidR="00272EFF" w:rsidRPr="00A92E91" w:rsidRDefault="00272EFF" w:rsidP="008C0B17">
                            <w:pPr>
                              <w:pStyle w:val="Normal12PTcouleurgris"/>
                              <w:numPr>
                                <w:ilvl w:val="0"/>
                                <w:numId w:val="78"/>
                              </w:numPr>
                              <w:ind w:left="284" w:hanging="284"/>
                              <w:jc w:val="left"/>
                              <w:rPr>
                                <w:b/>
                                <w:shd w:val="clear" w:color="auto" w:fill="FFFFFF"/>
                              </w:rPr>
                            </w:pPr>
                            <w:r>
                              <w:rPr>
                                <w:b/>
                                <w:shd w:val="clear" w:color="auto" w:fill="FFFFFF"/>
                              </w:rPr>
                              <w:t>Κατανόηση του ΚΕΑ</w:t>
                            </w:r>
                          </w:p>
                          <w:p w:rsidR="00272EFF" w:rsidRPr="00A92E91" w:rsidRDefault="00272EFF" w:rsidP="008C0B17">
                            <w:pPr>
                              <w:pStyle w:val="Normal12PTcouleurgris"/>
                              <w:numPr>
                                <w:ilvl w:val="0"/>
                                <w:numId w:val="78"/>
                              </w:numPr>
                              <w:ind w:left="284" w:hanging="284"/>
                              <w:jc w:val="left"/>
                              <w:rPr>
                                <w:b/>
                                <w:shd w:val="clear" w:color="auto" w:fill="FFFFFF"/>
                              </w:rPr>
                            </w:pPr>
                            <w:r>
                              <w:rPr>
                                <w:b/>
                                <w:shd w:val="clear" w:color="auto" w:fill="FFFFFF"/>
                              </w:rPr>
                              <w:t xml:space="preserve">Ειδικές προκλήσεις </w:t>
                            </w:r>
                          </w:p>
                          <w:p w:rsidR="00272EFF" w:rsidRPr="00A92E91" w:rsidRDefault="00272EFF" w:rsidP="008C0B17">
                            <w:pPr>
                              <w:pStyle w:val="Normal12PTcouleurgris"/>
                              <w:numPr>
                                <w:ilvl w:val="0"/>
                                <w:numId w:val="78"/>
                              </w:numPr>
                              <w:ind w:left="284" w:hanging="284"/>
                              <w:jc w:val="left"/>
                              <w:rPr>
                                <w:shd w:val="clear" w:color="auto" w:fill="FFFFFF"/>
                              </w:rPr>
                            </w:pPr>
                            <w:r>
                              <w:rPr>
                                <w:b/>
                                <w:shd w:val="clear" w:color="auto" w:fill="FFFFFF"/>
                              </w:rPr>
                              <w:t>Προτεινόμενη προσέγγιση για την παροχή απάντησης στο ΚΕΑ</w:t>
                            </w:r>
                            <w:r>
                              <w:rPr>
                                <w:shd w:val="clear" w:color="auto" w:fill="FFFFFF"/>
                              </w:rPr>
                              <w:t xml:space="preserve">: </w:t>
                            </w:r>
                            <w:r>
                              <w:rPr>
                                <w:i/>
                                <w:shd w:val="clear" w:color="auto" w:fill="FFFFFF"/>
                              </w:rPr>
                              <w:t xml:space="preserve">Το παρόν κεφάλαιο προτείνει βήματα, μεθόδους και συμβουλές σχετικά με τον τρόπο χρήσης των κοινών και πρόσθετων δεικτών για να δοθεί απάντηση στο ΚΕΑ. </w:t>
                            </w:r>
                          </w:p>
                          <w:p w:rsidR="00272EFF" w:rsidRPr="00A92E91" w:rsidRDefault="00272EFF" w:rsidP="00615BDD">
                            <w:pPr>
                              <w:pStyle w:val="Hlistabc2"/>
                              <w:spacing w:before="120" w:after="120"/>
                              <w:ind w:left="360"/>
                              <w:rPr>
                                <w:sz w:val="18"/>
                                <w:szCs w:val="18"/>
                              </w:rPr>
                            </w:pPr>
                            <w:r>
                              <w:rPr>
                                <w:sz w:val="18"/>
                                <w:szCs w:val="18"/>
                              </w:rPr>
                              <w:t>α.</w:t>
                            </w:r>
                            <w:r>
                              <w:rPr>
                                <w:sz w:val="18"/>
                                <w:szCs w:val="18"/>
                              </w:rPr>
                              <w:tab/>
                              <w:t xml:space="preserve">Λογική παρέμβασης </w:t>
                            </w:r>
                          </w:p>
                          <w:p w:rsidR="00272EFF" w:rsidRPr="00A92E91" w:rsidRDefault="00272EFF" w:rsidP="00615BDD">
                            <w:pPr>
                              <w:pStyle w:val="Hlistabc2"/>
                              <w:spacing w:before="120" w:after="120"/>
                              <w:ind w:left="360"/>
                              <w:rPr>
                                <w:sz w:val="18"/>
                                <w:szCs w:val="18"/>
                              </w:rPr>
                            </w:pPr>
                            <w:r>
                              <w:rPr>
                                <w:sz w:val="18"/>
                                <w:szCs w:val="18"/>
                              </w:rPr>
                              <w:t>β.</w:t>
                            </w:r>
                            <w:r>
                              <w:rPr>
                                <w:sz w:val="18"/>
                                <w:szCs w:val="18"/>
                              </w:rPr>
                              <w:tab/>
                              <w:t xml:space="preserve">Στοιχεία αξιολόγησης </w:t>
                            </w:r>
                          </w:p>
                          <w:p w:rsidR="00272EFF" w:rsidRPr="00A92E91" w:rsidRDefault="00272EFF" w:rsidP="00615BDD">
                            <w:pPr>
                              <w:pStyle w:val="Hlistabc2"/>
                              <w:spacing w:before="120" w:after="120"/>
                              <w:ind w:left="360"/>
                              <w:rPr>
                                <w:sz w:val="18"/>
                                <w:szCs w:val="18"/>
                              </w:rPr>
                            </w:pPr>
                            <w:r>
                              <w:rPr>
                                <w:sz w:val="18"/>
                                <w:szCs w:val="18"/>
                              </w:rPr>
                              <w:t>γ.</w:t>
                            </w:r>
                            <w:r>
                              <w:rPr>
                                <w:sz w:val="18"/>
                                <w:szCs w:val="18"/>
                              </w:rPr>
                              <w:tab/>
                              <w:t xml:space="preserve">Προτεινόμενη μεθοδολογία αξιολόγησης </w:t>
                            </w:r>
                          </w:p>
                          <w:p w:rsidR="00272EFF" w:rsidRPr="00A92E91" w:rsidRDefault="00272EFF" w:rsidP="00615BDD">
                            <w:pPr>
                              <w:pStyle w:val="Hlistabc2"/>
                              <w:spacing w:before="120" w:after="120"/>
                              <w:ind w:left="360"/>
                              <w:rPr>
                                <w:sz w:val="18"/>
                                <w:szCs w:val="18"/>
                              </w:rPr>
                            </w:pPr>
                            <w:r>
                              <w:rPr>
                                <w:sz w:val="18"/>
                                <w:szCs w:val="18"/>
                              </w:rPr>
                              <w:t>δ.</w:t>
                            </w:r>
                            <w:r>
                              <w:rPr>
                                <w:sz w:val="18"/>
                                <w:szCs w:val="18"/>
                              </w:rPr>
                              <w:tab/>
                              <w:t xml:space="preserve">Κίνδυνοι και λύσεις </w:t>
                            </w:r>
                          </w:p>
                          <w:p w:rsidR="00272EFF" w:rsidRPr="00A92E91" w:rsidRDefault="00272EFF" w:rsidP="00615BDD">
                            <w:pPr>
                              <w:pStyle w:val="Hlistabc2"/>
                              <w:spacing w:before="120" w:after="120"/>
                              <w:ind w:left="360"/>
                              <w:rPr>
                                <w:sz w:val="18"/>
                                <w:szCs w:val="18"/>
                              </w:rPr>
                            </w:pPr>
                            <w:r>
                              <w:rPr>
                                <w:sz w:val="18"/>
                                <w:szCs w:val="18"/>
                              </w:rPr>
                              <w:t>ε.</w:t>
                            </w:r>
                            <w:r>
                              <w:rPr>
                                <w:sz w:val="18"/>
                                <w:szCs w:val="18"/>
                              </w:rPr>
                              <w:tab/>
                              <w:t>Συμπεράσματα και συστάσεις</w:t>
                            </w:r>
                          </w:p>
                          <w:p w:rsidR="00272EFF" w:rsidRPr="00A92E91" w:rsidRDefault="00272EFF" w:rsidP="007372CD">
                            <w:pPr>
                              <w:pStyle w:val="Normal12PTcouleurgris"/>
                              <w:numPr>
                                <w:ilvl w:val="0"/>
                                <w:numId w:val="78"/>
                              </w:numPr>
                              <w:ind w:left="284" w:hanging="284"/>
                              <w:jc w:val="left"/>
                              <w:rPr>
                                <w:b/>
                                <w:shd w:val="clear" w:color="auto" w:fill="FFFFFF"/>
                              </w:rPr>
                            </w:pPr>
                            <w:r>
                              <w:rPr>
                                <w:b/>
                                <w:shd w:val="clear" w:color="auto" w:fill="FFFFFF"/>
                              </w:rPr>
                              <w:t>Περαιτέρω βιβλιογραφία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12A78" id="Rectangle: Diagonal Corners Rounded 19" o:spid="_x0000_s1041" style="position:absolute;left:0;text-align:left;margin-left:93pt;margin-top:80.45pt;width:440.3pt;height:260.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591810,3305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" adj="-11796480,,5400" path="m259225,l5591810,r,l5591810,3045950v,143166,-116059,259225,-259225,259225l,3305175r,l,259225c,116059,116059,,259225,xe" filled="f" strokecolor="#be4a35" strokeweight="2pt">
                <v:stroke joinstyle="miter"/>
                <v:formulas/>
                <v:path arrowok="t" o:connecttype="custom" o:connectlocs="259225,0;5591810,0;5591810,0;5591810,3045950;5332585,3305175;0,3305175;0,3305175;0,259225;259225,0" o:connectangles="0,0,0,0,0,0,0,0,0" textboxrect="0,0,5591810,3305175"/>
                <v:textbox>
                  <w:txbxContent>
                    <w:p w:rsidR="00272EFF" w:rsidRPr="00AC3522" w:rsidRDefault="00272EFF" w:rsidP="00E05D08">
                      <w:pPr>
                        <w:pStyle w:val="Normal12PTcouleurgris"/>
                        <w:rPr>
                          <w:shd w:val="clear" w:color="auto" w:fill="FFFFFF"/>
                        </w:rPr>
                      </w:pPr>
                      <w:r>
                        <w:rPr>
                          <w:noProof/>
                          <w:lang w:val="en-GB" w:eastAsia="en-GB"/>
                        </w:rPr>
                        <w:drawing>
                          <wp:inline distT="0" distB="0" distL="0" distR="0" wp14:anchorId="65810702" wp14:editId="21F6CAE5">
                            <wp:extent cx="664845" cy="487680"/>
                            <wp:effectExtent l="0" t="0" r="0" b="7620"/>
                            <wp:docPr id="44"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rPr>
                        <w:t xml:space="preserve">Για κάθε ΚΕΑ τηρείται η ακόλουθη δομή: </w:t>
                      </w:r>
                    </w:p>
                    <w:p w:rsidR="00272EFF" w:rsidRPr="00A92E91" w:rsidRDefault="00272EFF" w:rsidP="008C0B17">
                      <w:pPr>
                        <w:pStyle w:val="Normal12PTcouleurgris"/>
                        <w:numPr>
                          <w:ilvl w:val="0"/>
                          <w:numId w:val="78"/>
                        </w:numPr>
                        <w:ind w:left="284" w:hanging="284"/>
                        <w:jc w:val="left"/>
                        <w:rPr>
                          <w:b/>
                          <w:shd w:val="clear" w:color="auto" w:fill="FFFFFF"/>
                        </w:rPr>
                      </w:pPr>
                      <w:r>
                        <w:rPr>
                          <w:b/>
                          <w:shd w:val="clear" w:color="auto" w:fill="FFFFFF"/>
                        </w:rPr>
                        <w:t>Κατανόηση του ΚΕΑ</w:t>
                      </w:r>
                    </w:p>
                    <w:p w:rsidR="00272EFF" w:rsidRPr="00A92E91" w:rsidRDefault="00272EFF" w:rsidP="008C0B17">
                      <w:pPr>
                        <w:pStyle w:val="Normal12PTcouleurgris"/>
                        <w:numPr>
                          <w:ilvl w:val="0"/>
                          <w:numId w:val="78"/>
                        </w:numPr>
                        <w:ind w:left="284" w:hanging="284"/>
                        <w:jc w:val="left"/>
                        <w:rPr>
                          <w:b/>
                          <w:shd w:val="clear" w:color="auto" w:fill="FFFFFF"/>
                        </w:rPr>
                      </w:pPr>
                      <w:r>
                        <w:rPr>
                          <w:b/>
                          <w:shd w:val="clear" w:color="auto" w:fill="FFFFFF"/>
                        </w:rPr>
                        <w:t xml:space="preserve">Ειδικές προκλήσεις </w:t>
                      </w:r>
                    </w:p>
                    <w:p w:rsidR="00272EFF" w:rsidRPr="00A92E91" w:rsidRDefault="00272EFF" w:rsidP="008C0B17">
                      <w:pPr>
                        <w:pStyle w:val="Normal12PTcouleurgris"/>
                        <w:numPr>
                          <w:ilvl w:val="0"/>
                          <w:numId w:val="78"/>
                        </w:numPr>
                        <w:ind w:left="284" w:hanging="284"/>
                        <w:jc w:val="left"/>
                        <w:rPr>
                          <w:shd w:val="clear" w:color="auto" w:fill="FFFFFF"/>
                        </w:rPr>
                      </w:pPr>
                      <w:r>
                        <w:rPr>
                          <w:b/>
                          <w:shd w:val="clear" w:color="auto" w:fill="FFFFFF"/>
                        </w:rPr>
                        <w:t>Προτεινόμενη προσέγγιση για την παροχή απάντησης στο ΚΕΑ</w:t>
                      </w:r>
                      <w:r>
                        <w:rPr>
                          <w:shd w:val="clear" w:color="auto" w:fill="FFFFFF"/>
                        </w:rPr>
                        <w:t xml:space="preserve">: </w:t>
                      </w:r>
                      <w:r>
                        <w:rPr>
                          <w:i/>
                          <w:shd w:val="clear" w:color="auto" w:fill="FFFFFF"/>
                        </w:rPr>
                        <w:t xml:space="preserve">Το παρόν κεφάλαιο προτείνει βήματα, μεθόδους και συμβουλές σχετικά με τον τρόπο χρήσης των κοινών και πρόσθετων δεικτών για να δοθεί απάντηση στο ΚΕΑ. </w:t>
                      </w:r>
                    </w:p>
                    <w:p w:rsidR="00272EFF" w:rsidRPr="00A92E91" w:rsidRDefault="00272EFF" w:rsidP="00615BDD">
                      <w:pPr>
                        <w:pStyle w:val="Hlistabc2"/>
                        <w:spacing w:before="120" w:after="120"/>
                        <w:ind w:left="360"/>
                        <w:rPr>
                          <w:sz w:val="18"/>
                          <w:szCs w:val="18"/>
                        </w:rPr>
                      </w:pPr>
                      <w:r>
                        <w:rPr>
                          <w:sz w:val="18"/>
                          <w:szCs w:val="18"/>
                        </w:rPr>
                        <w:t>α.</w:t>
                      </w:r>
                      <w:r>
                        <w:rPr>
                          <w:sz w:val="18"/>
                          <w:szCs w:val="18"/>
                        </w:rPr>
                        <w:tab/>
                        <w:t xml:space="preserve">Λογική παρέμβασης </w:t>
                      </w:r>
                    </w:p>
                    <w:p w:rsidR="00272EFF" w:rsidRPr="00A92E91" w:rsidRDefault="00272EFF" w:rsidP="00615BDD">
                      <w:pPr>
                        <w:pStyle w:val="Hlistabc2"/>
                        <w:spacing w:before="120" w:after="120"/>
                        <w:ind w:left="360"/>
                        <w:rPr>
                          <w:sz w:val="18"/>
                          <w:szCs w:val="18"/>
                        </w:rPr>
                      </w:pPr>
                      <w:r>
                        <w:rPr>
                          <w:sz w:val="18"/>
                          <w:szCs w:val="18"/>
                        </w:rPr>
                        <w:t>β.</w:t>
                      </w:r>
                      <w:r>
                        <w:rPr>
                          <w:sz w:val="18"/>
                          <w:szCs w:val="18"/>
                        </w:rPr>
                        <w:tab/>
                        <w:t xml:space="preserve">Στοιχεία αξιολόγησης </w:t>
                      </w:r>
                    </w:p>
                    <w:p w:rsidR="00272EFF" w:rsidRPr="00A92E91" w:rsidRDefault="00272EFF" w:rsidP="00615BDD">
                      <w:pPr>
                        <w:pStyle w:val="Hlistabc2"/>
                        <w:spacing w:before="120" w:after="120"/>
                        <w:ind w:left="360"/>
                        <w:rPr>
                          <w:sz w:val="18"/>
                          <w:szCs w:val="18"/>
                        </w:rPr>
                      </w:pPr>
                      <w:r>
                        <w:rPr>
                          <w:sz w:val="18"/>
                          <w:szCs w:val="18"/>
                        </w:rPr>
                        <w:t>γ.</w:t>
                      </w:r>
                      <w:r>
                        <w:rPr>
                          <w:sz w:val="18"/>
                          <w:szCs w:val="18"/>
                        </w:rPr>
                        <w:tab/>
                        <w:t xml:space="preserve">Προτεινόμενη μεθοδολογία αξιολόγησης </w:t>
                      </w:r>
                    </w:p>
                    <w:p w:rsidR="00272EFF" w:rsidRPr="00A92E91" w:rsidRDefault="00272EFF" w:rsidP="00615BDD">
                      <w:pPr>
                        <w:pStyle w:val="Hlistabc2"/>
                        <w:spacing w:before="120" w:after="120"/>
                        <w:ind w:left="360"/>
                        <w:rPr>
                          <w:sz w:val="18"/>
                          <w:szCs w:val="18"/>
                        </w:rPr>
                      </w:pPr>
                      <w:r>
                        <w:rPr>
                          <w:sz w:val="18"/>
                          <w:szCs w:val="18"/>
                        </w:rPr>
                        <w:t>δ.</w:t>
                      </w:r>
                      <w:r>
                        <w:rPr>
                          <w:sz w:val="18"/>
                          <w:szCs w:val="18"/>
                        </w:rPr>
                        <w:tab/>
                        <w:t xml:space="preserve">Κίνδυνοι και λύσεις </w:t>
                      </w:r>
                    </w:p>
                    <w:p w:rsidR="00272EFF" w:rsidRPr="00A92E91" w:rsidRDefault="00272EFF" w:rsidP="00615BDD">
                      <w:pPr>
                        <w:pStyle w:val="Hlistabc2"/>
                        <w:spacing w:before="120" w:after="120"/>
                        <w:ind w:left="360"/>
                        <w:rPr>
                          <w:sz w:val="18"/>
                          <w:szCs w:val="18"/>
                        </w:rPr>
                      </w:pPr>
                      <w:r>
                        <w:rPr>
                          <w:sz w:val="18"/>
                          <w:szCs w:val="18"/>
                        </w:rPr>
                        <w:t>ε.</w:t>
                      </w:r>
                      <w:r>
                        <w:rPr>
                          <w:sz w:val="18"/>
                          <w:szCs w:val="18"/>
                        </w:rPr>
                        <w:tab/>
                        <w:t>Συμπεράσματα και συστάσεις</w:t>
                      </w:r>
                    </w:p>
                    <w:p w:rsidR="00272EFF" w:rsidRPr="00A92E91" w:rsidRDefault="00272EFF" w:rsidP="007372CD">
                      <w:pPr>
                        <w:pStyle w:val="Normal12PTcouleurgris"/>
                        <w:numPr>
                          <w:ilvl w:val="0"/>
                          <w:numId w:val="78"/>
                        </w:numPr>
                        <w:ind w:left="284" w:hanging="284"/>
                        <w:jc w:val="left"/>
                        <w:rPr>
                          <w:b/>
                          <w:shd w:val="clear" w:color="auto" w:fill="FFFFFF"/>
                        </w:rPr>
                      </w:pPr>
                      <w:r>
                        <w:rPr>
                          <w:b/>
                          <w:shd w:val="clear" w:color="auto" w:fill="FFFFFF"/>
                        </w:rPr>
                        <w:t>Περαιτέρω βιβλιογραφία</w:t>
                      </w:r>
                    </w:p>
                  </w:txbxContent>
                </v:textbox>
                <w10:wrap type="square" anchorx="page"/>
              </v:shape>
            </w:pict>
          </mc:Fallback>
        </mc:AlternateContent>
      </w:r>
      <w:r>
        <w:rPr>
          <w:szCs w:val="20"/>
          <w:shd w:val="clear" w:color="auto" w:fill="FFFFFF"/>
        </w:rPr>
        <w:t>Παρότι η απάντηση των ΚΕΑ είναι υποχρεωτική, το παρόν κεφάλαιο παρέχει μη δεσμευτικές οδηγίες σχετικά με τον τρόπο απάντησης των σχετικών με την καινοτομία ΚΕΑ αριθ. 1, 2, 21, 23 και 30. Τα ερωτήματα αυτά θα πρέπει να απαντηθούν στο πλαίσιο της ενισχυμένης ετήσιας έκθεσης υλοποίησης που πρόκειται να υποβληθεί το 2019 και στην εκ των υστέρων αξιολόγηση.</w:t>
      </w:r>
    </w:p>
    <w:p w:rsidR="00A45935" w:rsidRPr="00E05D08" w:rsidRDefault="00A45935" w:rsidP="00582F60">
      <w:pPr>
        <w:spacing w:after="120" w:line="280" w:lineRule="atLeast"/>
        <w:mirrorIndents/>
        <w:rPr>
          <w:rFonts w:eastAsia="Times New Roman" w:cs="Times New Roman"/>
          <w:color w:val="F07E31"/>
          <w:szCs w:val="20"/>
        </w:rPr>
        <w:sectPr w:rsidR="00A45935" w:rsidRPr="00E05D08" w:rsidSect="00055039">
          <w:headerReference w:type="even" r:id="rId34"/>
          <w:footerReference w:type="even" r:id="rId35"/>
          <w:footerReference w:type="default" r:id="rId36"/>
          <w:footerReference w:type="first" r:id="rId37"/>
          <w:endnotePr>
            <w:numFmt w:val="decimal"/>
          </w:endnotePr>
          <w:type w:val="continuous"/>
          <w:pgSz w:w="11906" w:h="16838" w:code="9"/>
          <w:pgMar w:top="1440" w:right="1440" w:bottom="1134" w:left="1440" w:header="567" w:footer="1021" w:gutter="0"/>
          <w:cols w:space="708"/>
          <w:noEndnote/>
          <w:titlePg/>
          <w:docGrid w:linePitch="360"/>
        </w:sectPr>
      </w:pPr>
      <w:r>
        <w:rPr>
          <w:szCs w:val="20"/>
          <w:shd w:val="clear" w:color="auto" w:fill="FFFFFF"/>
        </w:rPr>
        <w:t xml:space="preserve"> </w:t>
      </w:r>
      <w:bookmarkStart w:id="103" w:name="_Toc501382131"/>
      <w:r>
        <w:br w:type="page"/>
      </w:r>
    </w:p>
    <w:p w:rsidR="00A45935" w:rsidRPr="00501827" w:rsidRDefault="00A45935" w:rsidP="009B603C">
      <w:pPr>
        <w:pStyle w:val="HHeading3"/>
        <w:numPr>
          <w:ilvl w:val="2"/>
          <w:numId w:val="119"/>
        </w:numPr>
        <w:tabs>
          <w:tab w:val="clear" w:pos="567"/>
        </w:tabs>
        <w:spacing w:line="280" w:lineRule="exact"/>
        <w:ind w:left="567" w:hanging="578"/>
      </w:pPr>
      <w:bookmarkStart w:id="104" w:name="_Toc508964818"/>
      <w:r>
        <w:lastRenderedPageBreak/>
        <w:t>ΚΕΑ αριθ. 1: «Σε ποιο βαθμό οι παρεμβάσεις του ΠΑΑ έχουν στηρίξει την καινοτομία, τη συνεργασία και την ανάπτυξη της βάσης γνώσεων στις αγροτικές περιοχές;»</w:t>
      </w:r>
      <w:bookmarkEnd w:id="103"/>
      <w:bookmarkEnd w:id="104"/>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Κατανόηση του ΚΕΑ</w:t>
      </w:r>
    </w:p>
    <w:p w:rsidR="00A45935" w:rsidRPr="00E05D08" w:rsidRDefault="00A45935" w:rsidP="00E05D08">
      <w:pPr>
        <w:spacing w:after="120" w:line="280" w:lineRule="atLeast"/>
        <w:mirrorIndents/>
        <w:rPr>
          <w:rFonts w:eastAsia="Times New Roman" w:cs="Times New Roman"/>
          <w:szCs w:val="20"/>
        </w:rPr>
      </w:pPr>
      <w:r>
        <w:t>Υπάρχουν τρία μέτρα που συνεισφέρουν πλέον σημαντικά στην επίτευξη του στόχου που συνδέεται με το ΚΕΑ αριθ. 1 (δηλ. στήριξη της καινοτομίας): Το μέτρο 1 (άρθρο 14 «Δράσεις μεταφοράς γνώσεων και ενημέρωσης»), το μέτρο 2 (άρθρο 15 «Συμβουλευτικές υπηρεσίες, υπηρεσίες διαχείρισης γεωργικής εκμετάλλευσης και υπηρεσίες αντικατάστασης στην εκμετάλλευση») και το μέτρο 16 (άρθρο 35 «Συνεργασία»)</w:t>
      </w:r>
      <w:r>
        <w:rPr>
          <w:rFonts w:eastAsia="Times New Roman" w:cs="Times New Roman"/>
          <w:szCs w:val="20"/>
          <w:vertAlign w:val="superscript"/>
          <w:lang w:eastAsia="de-DE"/>
        </w:rPr>
        <w:footnoteReference w:id="48"/>
      </w:r>
      <w:r>
        <w:t>. Επιπλέον, το μέτρο 19 (άρθρο 42 και άρθρο 35 του κανονισμού (ΕΕ) αριθ. 1303/2013) μπορεί επίσης να θεωρηθεί ότι συνεισφέρει σημαντικά στην πτυχή του ανωτέρω στόχου που αφορά την καινοτομία.</w:t>
      </w:r>
    </w:p>
    <w:p w:rsidR="00A45935" w:rsidRPr="00E05D08" w:rsidRDefault="00A45935" w:rsidP="00E05D08">
      <w:pPr>
        <w:spacing w:after="120" w:line="280" w:lineRule="atLeast"/>
        <w:mirrorIndents/>
        <w:rPr>
          <w:rFonts w:eastAsia="Times New Roman" w:cs="Times New Roman"/>
          <w:szCs w:val="20"/>
        </w:rPr>
      </w:pPr>
      <w:r>
        <w:t xml:space="preserve">Είναι σημαντικό να διερευνηθεί ποιες πτυχές των μέτρων στηρίζουν την καινοτομία. Για παράδειγμα, μια δεδομένη λογική παρέμβασης στο πλαίσιο της προτεραιότητας 1 θα μπορούσε να δείξει ότι το μέτρο 1 και το μέτρο 16 συμβάλλουν επίσης άμεσα στον ΤΕ 1Β (μέτρο 16) ή στον ΤΕ 1Γ (μέτρο 1) και όχι μόνο στον ΤΕ 1Α. </w:t>
      </w:r>
    </w:p>
    <w:p w:rsidR="00A45935" w:rsidRPr="00E05D08" w:rsidRDefault="00654F10" w:rsidP="00E05D08">
      <w:pPr>
        <w:spacing w:after="120" w:line="280" w:lineRule="atLeast"/>
        <w:mirrorIndents/>
        <w:rPr>
          <w:rFonts w:eastAsia="Times New Roman" w:cs="Times New Roman"/>
          <w:szCs w:val="20"/>
        </w:rPr>
      </w:pPr>
      <w:r>
        <w:t xml:space="preserve">Τα σχετικά με την καινοτομία στοιχεία των εν λόγω μέτρων μπορούν να διαχωριστούν ως εξής: </w:t>
      </w:r>
    </w:p>
    <w:p w:rsidR="00A45935" w:rsidRDefault="00A45935" w:rsidP="00E05D08">
      <w:pPr>
        <w:spacing w:after="120" w:line="280" w:lineRule="atLeast"/>
        <w:mirrorIndents/>
        <w:rPr>
          <w:rFonts w:eastAsia="Times New Roman" w:cs="Times New Roman"/>
          <w:szCs w:val="20"/>
        </w:rPr>
      </w:pPr>
      <w:r>
        <w:t xml:space="preserve">Το </w:t>
      </w:r>
      <w:r>
        <w:rPr>
          <w:b/>
          <w:szCs w:val="20"/>
        </w:rPr>
        <w:t>μέτρο 1</w:t>
      </w:r>
      <w:r>
        <w:t xml:space="preserve"> (άρθρο 14) καλύπτει την επαγγελματική κατάρτιση και την απόκτηση δεξιοτήτων, τις δραστηριότητες επίδειξης και τις δράσεις ενημέρωσης. Επιπλέον, μπορεί επίσης να καλύπτει ανταλλαγές για διαχείριση γεωργικών εκμεταλλεύσεων και δασών, καθώς και επισκέψεις σε γεωργικές εκμεταλλεύσεις και δάση. Παρότι η καινοτομία δεν αναφέρεται ρητά στο άρθρο 14, οι συγκεκριμένες δράσεις μπορεί να διαδραματίσουν σημαντικό ρόλο στην </w:t>
      </w:r>
      <w:r>
        <w:rPr>
          <w:b/>
          <w:szCs w:val="20"/>
        </w:rPr>
        <w:t>ανάπτυξη της ικανότητας για καινοτομία</w:t>
      </w:r>
      <w:r>
        <w:t>.</w:t>
      </w:r>
    </w:p>
    <w:p w:rsidR="00A45935" w:rsidRPr="00E05D08" w:rsidRDefault="00A45935" w:rsidP="00E05D08">
      <w:pPr>
        <w:spacing w:after="120" w:line="280" w:lineRule="atLeast"/>
        <w:mirrorIndents/>
        <w:rPr>
          <w:rFonts w:eastAsia="Times New Roman" w:cs="Times New Roman"/>
          <w:szCs w:val="20"/>
        </w:rPr>
      </w:pPr>
      <w:r>
        <w:t xml:space="preserve">Το </w:t>
      </w:r>
      <w:r>
        <w:rPr>
          <w:b/>
          <w:szCs w:val="20"/>
        </w:rPr>
        <w:t>μέτρο 2</w:t>
      </w:r>
      <w:r>
        <w:t xml:space="preserve"> (άρθρο 15) περιλαμβάνει συμβουλές σε μεμονωμένους γεωργούς, νέους γεωργούς και άλλους διαχειριστές γης, καθώς και επιμόρφωση των συμβούλων ή παρόχων υπηρεσιών υποστήριξης της καινοτομίας. Αυτό καλύπτει διάφορα στοιχεία, όπως οι συμβουλές σχετικά με μέτρα του ΠΑΑ σε επίπεδο γεωργικής εκμετάλλευσης, που αποσκοπούν, μεταξύ άλλων, στην καινοτομία</w:t>
      </w:r>
      <w:r>
        <w:rPr>
          <w:rFonts w:eastAsia="Times New Roman" w:cs="Times New Roman"/>
          <w:szCs w:val="20"/>
          <w:vertAlign w:val="superscript"/>
          <w:lang w:eastAsia="de-DE"/>
        </w:rPr>
        <w:footnoteReference w:id="49"/>
      </w:r>
      <w:r>
        <w:t xml:space="preserve">. Η παροχή συμβουλευτικών υπηρεσιών συνιστά έναν τρόπο για την </w:t>
      </w:r>
      <w:r>
        <w:rPr>
          <w:b/>
          <w:szCs w:val="20"/>
        </w:rPr>
        <w:t>ανάπτυξη της ικανότητας για καινοτομία</w:t>
      </w:r>
      <w:r>
        <w:t xml:space="preserve"> (βλ. </w:t>
      </w:r>
      <w:hyperlink w:anchor="Innovation_RD" w:history="1">
        <w:r>
          <w:rPr>
            <w:rStyle w:val="Hyperlink"/>
            <w:sz w:val="20"/>
            <w:szCs w:val="20"/>
          </w:rPr>
          <w:t>κεφάλαιο 1.1</w:t>
        </w:r>
      </w:hyperlink>
      <w:r>
        <w:t>), μέσω της παροχής ευκαιριών για μεταφορά γνώσεων. Επιπλέον, στο πλαίσιο της ΕΣΚ οι σύμβουλοι/υπηρεσίες υποστήριξης της καινοτομίας αποκτούν ρόλο καθοδηγητή στις διαδραστικές διαδικασίες καινοτομίας στο πλαίσιο των επιχειρησιακών ομάδων.</w:t>
      </w:r>
    </w:p>
    <w:p w:rsidR="00A45935" w:rsidRDefault="00A45935" w:rsidP="00E05D08">
      <w:pPr>
        <w:spacing w:after="120" w:line="280" w:lineRule="atLeast"/>
        <w:mirrorIndents/>
        <w:rPr>
          <w:rFonts w:eastAsia="Times New Roman" w:cs="Times New Roman"/>
          <w:szCs w:val="20"/>
        </w:rPr>
      </w:pPr>
      <w:r>
        <w:t xml:space="preserve">Το </w:t>
      </w:r>
      <w:r>
        <w:rPr>
          <w:b/>
          <w:szCs w:val="20"/>
        </w:rPr>
        <w:t>μέτρο 16</w:t>
      </w:r>
      <w:r>
        <w:t xml:space="preserve"> (άρθρο 35) στηρίζει α) τη συνεργασία μεταξύ ευρέος φάσματος φορέων που συνεισφέρουν στην επίτευξη των στόχων της πολιτικής αγροτικής ανάπτυξης (γεωργικός και δασικός τομέας, αλυσίδα τροφίμων, ομάδες παραγωγών, συνεταιρισμοί, διεπαγγελματικές οργανώσεις και άλλα)· β) τη δημιουργία συνεργατικών σχηματισμών (clusters) και δικτύων· και γ) την ίδρυση και λειτουργία επιχειρησιακών ομάδων της ΕΣΚ-AGRI. Το μέτρο 16 περιλαμβάνει 10 επιμέρους μέτρα και στηρίζει την καινοτομία σε σχέση και με τις </w:t>
      </w:r>
      <w:r>
        <w:rPr>
          <w:b/>
          <w:szCs w:val="20"/>
        </w:rPr>
        <w:t>τρεις διαδρομές</w:t>
      </w:r>
      <w:r>
        <w:t xml:space="preserve"> που περιγράφονται στο κεφάλαιο 1.1 (βλ. το πλαίσιο κατωτέρω).</w:t>
      </w:r>
    </w:p>
    <w:p w:rsidR="006F1601" w:rsidRDefault="00A45935" w:rsidP="00E05D08">
      <w:pPr>
        <w:spacing w:after="120" w:line="280" w:lineRule="atLeast"/>
        <w:mirrorIndents/>
        <w:rPr>
          <w:rFonts w:eastAsia="Times New Roman" w:cs="Times New Roman"/>
          <w:szCs w:val="20"/>
        </w:rPr>
      </w:pPr>
      <w:r>
        <w:t xml:space="preserve">Το </w:t>
      </w:r>
      <w:r>
        <w:rPr>
          <w:b/>
          <w:szCs w:val="20"/>
        </w:rPr>
        <w:t xml:space="preserve">μέτρο 19 </w:t>
      </w:r>
      <w:r>
        <w:t xml:space="preserve"> (άρθρο 42) στηρίζει την τοπική αγροτική ανάπτυξη μέσω της εφαρμογής των αρχών LEADER</w:t>
      </w:r>
      <w:r>
        <w:rPr>
          <w:rFonts w:eastAsia="Calibri" w:cs="Times New Roman"/>
          <w:szCs w:val="20"/>
          <w:vertAlign w:val="superscript"/>
          <w:lang w:eastAsia="de-DE"/>
        </w:rPr>
        <w:footnoteReference w:id="50"/>
      </w:r>
      <w:r>
        <w:t>. Μία από τις αρχές αυτές επικεντρώνεται στην προώθηση των καινοτομιών μέσω δραστηριοτήτων των ομάδων τοπικής δράσης και των δικαιούχων των στρατηγικών CLLD. Το μέτρο 19 περιλαμβάνει 5 επιμέρους μέτρα, τα οποία μπορούν να στηρίξουν την καινοτομία στο πλαίσιο μίας, δύο ή και των τριών διαδρομών που περιγράφονται στο κεφάλαιο 1.1 (βλ. το πλαίσιο κατωτέρω).</w:t>
      </w:r>
    </w:p>
    <w:p w:rsidR="006F1601" w:rsidRDefault="000C3632" w:rsidP="00E05D08">
      <w:pPr>
        <w:spacing w:after="120" w:line="280" w:lineRule="atLeast"/>
        <w:mirrorIndents/>
        <w:rPr>
          <w:rFonts w:eastAsia="Calibri" w:cs="Times New Roman"/>
          <w:szCs w:val="20"/>
          <w:lang w:eastAsia="de-DE"/>
        </w:rPr>
      </w:pPr>
      <w:r>
        <w:rPr>
          <w:rFonts w:eastAsia="Times New Roman" w:cs="Times New Roman"/>
          <w:noProof/>
          <w:szCs w:val="20"/>
          <w:lang w:val="en-GB" w:eastAsia="en-GB"/>
        </w:rPr>
        <w:lastRenderedPageBreak/>
        <mc:AlternateContent>
          <mc:Choice Requires="wps">
            <w:drawing>
              <wp:anchor distT="0" distB="0" distL="114300" distR="114300" simplePos="0" relativeHeight="251666944" behindDoc="1" locked="0" layoutInCell="1" allowOverlap="1" wp14:anchorId="3E0FA1F4" wp14:editId="78C4DA24">
                <wp:simplePos x="0" y="0"/>
                <wp:positionH relativeFrom="column">
                  <wp:posOffset>-304800</wp:posOffset>
                </wp:positionH>
                <wp:positionV relativeFrom="paragraph">
                  <wp:posOffset>-219075</wp:posOffset>
                </wp:positionV>
                <wp:extent cx="6046470" cy="8096250"/>
                <wp:effectExtent l="0" t="0" r="11430" b="19050"/>
                <wp:wrapTight wrapText="bothSides">
                  <wp:wrapPolygon edited="0">
                    <wp:start x="749" y="0"/>
                    <wp:lineTo x="0" y="305"/>
                    <wp:lineTo x="0" y="21600"/>
                    <wp:lineTo x="20892" y="21600"/>
                    <wp:lineTo x="20960" y="21600"/>
                    <wp:lineTo x="21573" y="21193"/>
                    <wp:lineTo x="21573" y="0"/>
                    <wp:lineTo x="749" y="0"/>
                  </wp:wrapPolygon>
                </wp:wrapTight>
                <wp:docPr id="11" name="Rectangle: Diagonal Corners Rounded 11"/>
                <wp:cNvGraphicFramePr/>
                <a:graphic xmlns:a="http://schemas.openxmlformats.org/drawingml/2006/main">
                  <a:graphicData uri="http://schemas.microsoft.com/office/word/2010/wordprocessingShape">
                    <wps:wsp>
                      <wps:cNvSpPr/>
                      <wps:spPr>
                        <a:xfrm>
                          <a:off x="0" y="0"/>
                          <a:ext cx="6046470" cy="8096250"/>
                        </a:xfrm>
                        <a:prstGeom prst="round2DiagRect">
                          <a:avLst>
                            <a:gd name="adj1" fmla="val 5642"/>
                            <a:gd name="adj2" fmla="val 0"/>
                          </a:avLst>
                        </a:prstGeom>
                        <a:noFill/>
                        <a:ln w="25400" cap="flat" cmpd="sng" algn="ctr">
                          <a:solidFill>
                            <a:srgbClr val="F07E31"/>
                          </a:solidFill>
                          <a:prstDash val="solid"/>
                        </a:ln>
                        <a:effectLst/>
                      </wps:spPr>
                      <wps:txbx>
                        <w:txbxContent>
                          <w:p w:rsidR="00272EFF" w:rsidRDefault="00272EFF" w:rsidP="00C3334D">
                            <w:pPr>
                              <w:pStyle w:val="HStandard"/>
                              <w:ind w:left="284" w:right="23"/>
                            </w:pPr>
                            <w:r>
                              <w:rPr>
                                <w:noProof/>
                                <w:lang w:val="en-GB" w:eastAsia="en-GB"/>
                              </w:rPr>
                              <w:drawing>
                                <wp:inline distT="0" distB="0" distL="0" distR="0" wp14:anchorId="279069EF" wp14:editId="6A3CBDC1">
                                  <wp:extent cx="353060" cy="359410"/>
                                  <wp:effectExtent l="0" t="0" r="8890" b="2540"/>
                                  <wp:docPr id="5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p>
                          <w:p w:rsidR="00272EFF" w:rsidRPr="00BF424C" w:rsidRDefault="00272EFF" w:rsidP="00A66F3C">
                            <w:pPr>
                              <w:pStyle w:val="HStandard"/>
                              <w:ind w:right="23"/>
                              <w:rPr>
                                <w:b/>
                                <w:color w:val="F07E31"/>
                                <w:sz w:val="16"/>
                                <w:szCs w:val="16"/>
                              </w:rPr>
                            </w:pPr>
                            <w:r w:rsidRPr="00BF424C">
                              <w:rPr>
                                <w:b/>
                                <w:color w:val="F07E31"/>
                                <w:sz w:val="16"/>
                                <w:szCs w:val="16"/>
                              </w:rPr>
                              <w:t>Παραδείγματα του τρόπου με τον οποίο το μέτρο 1 μπορεί να αναπτύξει την ικανότητα για καινοτομία:</w:t>
                            </w:r>
                          </w:p>
                          <w:p w:rsidR="00272EFF" w:rsidRPr="00BF424C" w:rsidRDefault="00272EFF" w:rsidP="00A66F3C">
                            <w:pPr>
                              <w:pStyle w:val="Hlistbullet"/>
                              <w:rPr>
                                <w:sz w:val="16"/>
                                <w:szCs w:val="16"/>
                              </w:rPr>
                            </w:pPr>
                            <w:r w:rsidRPr="00BF424C">
                              <w:rPr>
                                <w:sz w:val="16"/>
                                <w:szCs w:val="16"/>
                              </w:rPr>
                              <w:t>Νέες δεξιότητες για γεωργούς/ΜΜΕ για την εφαρμογή καινοτόμων διαδικασιών/τεχνικών ή νέες οργανωτικές δεξιότητες.</w:t>
                            </w:r>
                          </w:p>
                          <w:p w:rsidR="00272EFF" w:rsidRPr="00BF424C" w:rsidRDefault="00272EFF" w:rsidP="00A66F3C">
                            <w:pPr>
                              <w:pStyle w:val="Hlistbullet"/>
                              <w:rPr>
                                <w:sz w:val="16"/>
                                <w:szCs w:val="16"/>
                              </w:rPr>
                            </w:pPr>
                            <w:r w:rsidRPr="00BF424C">
                              <w:rPr>
                                <w:sz w:val="16"/>
                                <w:szCs w:val="16"/>
                              </w:rPr>
                              <w:t>Ανταλλαγές και επισκέψεις που συμβάλλουν στη μεταφορά γνώσεων μεταξύ εκμεταλλεύσεων/περιοχών.</w:t>
                            </w:r>
                          </w:p>
                          <w:p w:rsidR="00272EFF" w:rsidRPr="00BF424C" w:rsidRDefault="00272EFF" w:rsidP="00C3334D">
                            <w:pPr>
                              <w:pStyle w:val="HStandard"/>
                              <w:ind w:right="54"/>
                              <w:rPr>
                                <w:b/>
                                <w:color w:val="F07E31"/>
                                <w:sz w:val="16"/>
                                <w:szCs w:val="16"/>
                              </w:rPr>
                            </w:pPr>
                            <w:r w:rsidRPr="00BF424C">
                              <w:rPr>
                                <w:b/>
                                <w:color w:val="F07E31"/>
                                <w:sz w:val="16"/>
                                <w:szCs w:val="16"/>
                              </w:rPr>
                              <w:t>Παραδείγματα του τρόπου με τον οποίο το μέτρο 16 στηρίζει την καινοτομία:</w:t>
                            </w:r>
                          </w:p>
                          <w:p w:rsidR="00272EFF" w:rsidRPr="00BF424C" w:rsidRDefault="00272EFF" w:rsidP="00A66F3C">
                            <w:pPr>
                              <w:pStyle w:val="Hlistbullet"/>
                              <w:rPr>
                                <w:sz w:val="16"/>
                                <w:szCs w:val="16"/>
                              </w:rPr>
                            </w:pPr>
                            <w:r w:rsidRPr="00BF424C">
                              <w:rPr>
                                <w:sz w:val="16"/>
                                <w:szCs w:val="16"/>
                              </w:rPr>
                              <w:t>Η ανάπτυξη νέων προϊόντων, πρακτικών, τεχνολογιών στους τομείς της γεωργίας, των τροφίμων, της δασοκομίας (επιμέρους μέτρο 16.2</w:t>
                            </w:r>
                            <w:r w:rsidRPr="00BF424C">
                              <w:rPr>
                                <w:sz w:val="16"/>
                                <w:szCs w:val="16"/>
                                <w:vertAlign w:val="superscript"/>
                              </w:rPr>
                              <w:t>51</w:t>
                            </w:r>
                            <w:r w:rsidRPr="00BF424C">
                              <w:rPr>
                                <w:sz w:val="16"/>
                                <w:szCs w:val="16"/>
                              </w:rPr>
                              <w:t xml:space="preserve">) σχετίζεται με την αναγνώριση και την καλλιέργεια της καινοτομίας με συνεργατικό τρόπο. </w:t>
                            </w:r>
                          </w:p>
                          <w:p w:rsidR="00272EFF" w:rsidRPr="00BF424C" w:rsidRDefault="00272EFF" w:rsidP="00A66F3C">
                            <w:pPr>
                              <w:pStyle w:val="Hlistbullet"/>
                              <w:rPr>
                                <w:sz w:val="16"/>
                                <w:szCs w:val="16"/>
                              </w:rPr>
                            </w:pPr>
                            <w:r w:rsidRPr="00BF424C">
                              <w:rPr>
                                <w:sz w:val="16"/>
                                <w:szCs w:val="16"/>
                              </w:rPr>
                              <w:t xml:space="preserve">Όλα τα άλλα επιμέρους μέτρα διαθέτουν δυναμικό </w:t>
                            </w:r>
                            <w:r w:rsidRPr="00BF424C">
                              <w:rPr>
                                <w:b/>
                                <w:sz w:val="16"/>
                                <w:szCs w:val="16"/>
                              </w:rPr>
                              <w:t>ανάπτυξης της ικανότητας για καινοτομία</w:t>
                            </w:r>
                            <w:r w:rsidRPr="00BF424C">
                              <w:rPr>
                                <w:sz w:val="16"/>
                                <w:szCs w:val="16"/>
                              </w:rPr>
                              <w:t>, δεδομένου ότι η διαδικασία συνεργασίας συνεπάγεται συλλογική αναγνώριση των νέων ευκαιριών, παραγωγή νέων ιδεών, πειραματισμό με καινοτόμες τεχνολογίες ή εξεύρεση νέων τρόπων δράσης.</w:t>
                            </w:r>
                          </w:p>
                          <w:p w:rsidR="00272EFF" w:rsidRPr="00BF424C" w:rsidRDefault="00272EFF" w:rsidP="00A66F3C">
                            <w:pPr>
                              <w:pStyle w:val="Hlistbullet"/>
                              <w:rPr>
                                <w:sz w:val="16"/>
                                <w:szCs w:val="16"/>
                              </w:rPr>
                            </w:pPr>
                            <w:r w:rsidRPr="00BF424C">
                              <w:rPr>
                                <w:sz w:val="16"/>
                                <w:szCs w:val="16"/>
                              </w:rPr>
                              <w:t xml:space="preserve">Επιπλέον, η στήριξη που προσφέρεται σε έργα συνεργασίας από συμβούλους/υπηρεσίες υποστήριξης της καινοτομίας, συμπεριλαμβανομένης της στήριξης που παρέχεται από τα ΕΑΔ γι’ αυτόν τον σκοπό, μπορεί να συμβάλει στην </w:t>
                            </w:r>
                            <w:r w:rsidRPr="00BF424C">
                              <w:rPr>
                                <w:b/>
                                <w:sz w:val="16"/>
                                <w:szCs w:val="16"/>
                              </w:rPr>
                              <w:t>ανάπτυξη της ικανότητας για καινοτομία</w:t>
                            </w:r>
                            <w:r w:rsidRPr="00BF424C">
                              <w:rPr>
                                <w:sz w:val="16"/>
                                <w:szCs w:val="16"/>
                              </w:rPr>
                              <w:t>.</w:t>
                            </w:r>
                          </w:p>
                          <w:p w:rsidR="00272EFF" w:rsidRPr="00BF424C" w:rsidRDefault="00272EFF" w:rsidP="00A66F3C">
                            <w:pPr>
                              <w:pStyle w:val="Hlistbullet"/>
                              <w:rPr>
                                <w:sz w:val="16"/>
                                <w:szCs w:val="16"/>
                              </w:rPr>
                            </w:pPr>
                            <w:r w:rsidRPr="00BF424C">
                              <w:rPr>
                                <w:sz w:val="16"/>
                                <w:szCs w:val="16"/>
                              </w:rPr>
                              <w:t xml:space="preserve">Η συμμετοχή των ενδιαφερόμενων φορέων καινοτομίας σε έργα συνεργασίας (π.χ. υπηρεσίες υποστήριξης της καινοτομίας, τμήματα καινοτομίας, κέντρα Ε&amp;Α ή κέντρα καινοτομίας και τεχνολογίας) μπορεί να συμβάλει στην </w:t>
                            </w:r>
                            <w:r w:rsidRPr="00BF424C">
                              <w:rPr>
                                <w:b/>
                                <w:sz w:val="16"/>
                                <w:szCs w:val="16"/>
                              </w:rPr>
                              <w:t>ανάπτυξη ενός ευνοϊκού περιβάλλοντος για την καινοτομία</w:t>
                            </w:r>
                            <w:r w:rsidRPr="00BF424C">
                              <w:rPr>
                                <w:sz w:val="16"/>
                                <w:szCs w:val="16"/>
                              </w:rPr>
                              <w:t>. Για παράδειγμα, η πραγματοποίηση ενός έργου συλλογικής έρευνας μπορεί να παραγάγει αποτέλεσμα που ενδεχομένως θα επηρεάσει τη νομοθεσία (π.χ. περιβαλλοντική νομοθεσία).</w:t>
                            </w:r>
                          </w:p>
                          <w:p w:rsidR="00272EFF" w:rsidRPr="00BF424C" w:rsidRDefault="00272EFF" w:rsidP="00A66F3C">
                            <w:pPr>
                              <w:pStyle w:val="Hlistbullet"/>
                              <w:rPr>
                                <w:sz w:val="16"/>
                                <w:szCs w:val="16"/>
                              </w:rPr>
                            </w:pPr>
                            <w:r w:rsidRPr="00BF424C">
                              <w:rPr>
                                <w:sz w:val="16"/>
                                <w:szCs w:val="16"/>
                              </w:rPr>
                              <w:t xml:space="preserve">Η ίδρυση και λειτουργία επιχειρησιακών ομάδων μπορεί να επιφέρει ακόμη πιο ολιστική προσέγγιση στη στήριξη της καινοτομίας, μέσω του συνδυασμού </w:t>
                            </w:r>
                            <w:r w:rsidRPr="00BF424C">
                              <w:rPr>
                                <w:b/>
                                <w:sz w:val="16"/>
                                <w:szCs w:val="16"/>
                              </w:rPr>
                              <w:t>και των τριών διαδρομών</w:t>
                            </w:r>
                            <w:r w:rsidRPr="00BF424C">
                              <w:rPr>
                                <w:sz w:val="16"/>
                                <w:szCs w:val="16"/>
                              </w:rPr>
                              <w:t>: της αναγνώρισης νέων ιδεών (το σημείο εκκίνησης των επιχειρησιακών ομάδων), της ανάπτυξης της ικανότητας για καινοτομία (στήριξη από συμβούλους/υπηρεσίες υποστήριξης της καινοτομίας) και της δημιουργίας ευνοϊκού περιβάλλοντος για την καινοτομία (αποτελέσματα των έργων των επιχειρησιακών ομάδων).</w:t>
                            </w:r>
                          </w:p>
                          <w:p w:rsidR="00272EFF" w:rsidRPr="00BF424C" w:rsidRDefault="00272EFF" w:rsidP="00C3334D">
                            <w:pPr>
                              <w:pStyle w:val="Normal12PTcouleurgris"/>
                              <w:ind w:left="284"/>
                              <w:rPr>
                                <w:color w:val="F07E31"/>
                                <w:sz w:val="16"/>
                                <w:szCs w:val="16"/>
                              </w:rPr>
                            </w:pPr>
                            <w:r w:rsidRPr="00BF424C">
                              <w:rPr>
                                <w:b/>
                                <w:color w:val="F07E31"/>
                                <w:sz w:val="16"/>
                                <w:szCs w:val="16"/>
                              </w:rPr>
                              <w:t>Παραδείγματα του τρόπου με τον οποίο το μέτρο 19 στηρίζει την καινοτομία:</w:t>
                            </w:r>
                          </w:p>
                          <w:p w:rsidR="00272EFF" w:rsidRPr="00BF424C" w:rsidRDefault="00272EFF" w:rsidP="00A66F3C">
                            <w:pPr>
                              <w:pStyle w:val="Hlistbullet"/>
                              <w:rPr>
                                <w:sz w:val="16"/>
                                <w:szCs w:val="16"/>
                              </w:rPr>
                            </w:pPr>
                            <w:r w:rsidRPr="00BF424C">
                              <w:rPr>
                                <w:sz w:val="16"/>
                                <w:szCs w:val="16"/>
                              </w:rPr>
                              <w:t xml:space="preserve">Εφαρμογή νέων τρόπων σχεδιασμού στρατηγικής, συμπεριλαμβανομένων διαφόρων πρωτότυπων τρόπων για την εξασφάλιση της συμμετοχής του τοπικού πληθυσμού στη λήψη στρατηγικών αποφάσεων (π.χ. διάφορες δραστηριότητες συντονισμού για τη συγκέντρωση πληροφοριών, διάφορα εργαστήρια και πλατφόρμες συζητήσεων κ.λπ.) και, συνεπώς, συνεισφορά στη δημιουργία </w:t>
                            </w:r>
                            <w:r w:rsidRPr="00BF424C">
                              <w:rPr>
                                <w:b/>
                                <w:sz w:val="16"/>
                                <w:szCs w:val="16"/>
                              </w:rPr>
                              <w:t>ευνοϊκού περιβάλλοντος για την καινοτομία (διαδρομή 3)</w:t>
                            </w:r>
                            <w:r w:rsidRPr="00BF424C">
                              <w:rPr>
                                <w:sz w:val="16"/>
                                <w:szCs w:val="16"/>
                              </w:rPr>
                              <w:t>.</w:t>
                            </w:r>
                          </w:p>
                          <w:p w:rsidR="00272EFF" w:rsidRPr="0024432B" w:rsidRDefault="00272EFF" w:rsidP="00A66F3C">
                            <w:pPr>
                              <w:pStyle w:val="Hlistbullet"/>
                              <w:rPr>
                                <w:sz w:val="16"/>
                                <w:szCs w:val="16"/>
                              </w:rPr>
                            </w:pPr>
                            <w:r w:rsidRPr="00BF424C">
                              <w:rPr>
                                <w:sz w:val="16"/>
                                <w:szCs w:val="16"/>
                              </w:rPr>
                              <w:t xml:space="preserve">Υλοποίηση καινοτόμων δραστηριοτήτων συντονισμού, οι οποίες υπερβαίνουν τον σχεδιασμό και την υλοποίηση της στρατηγικής και εξασφαλίζουν τη συμμετοχή του ευρύτερου πληθυσμού σε διάφορες καινοτόμες δράσεις της ΟΤΔ (π.χ. που επικεντρώνονται στην ανάπτυξη ισχυρής </w:t>
                            </w:r>
                            <w:r w:rsidRPr="0024432B">
                              <w:rPr>
                                <w:sz w:val="16"/>
                                <w:szCs w:val="16"/>
                              </w:rPr>
                              <w:t xml:space="preserve">τοπικής ταυτότητας μέσω, για παράδειγμα, της ένταξης της φυσικής και πολιτιστικής κληρονομιάς) και οι οποίες στηρίζουν περαιτέρω </w:t>
                            </w:r>
                            <w:r w:rsidRPr="0024432B">
                              <w:rPr>
                                <w:b/>
                                <w:sz w:val="16"/>
                                <w:szCs w:val="16"/>
                              </w:rPr>
                              <w:t>ένα ευνοϊκό περιβάλλον και καλλιεργούν τις εν δυνάμει καινοτόμες ιδέες (διαδρομές 3 και 1).</w:t>
                            </w:r>
                          </w:p>
                          <w:p w:rsidR="00272EFF" w:rsidRPr="0024432B" w:rsidRDefault="00272EFF" w:rsidP="00A66F3C">
                            <w:pPr>
                              <w:pStyle w:val="Hlistbullet"/>
                              <w:rPr>
                                <w:sz w:val="16"/>
                                <w:szCs w:val="16"/>
                              </w:rPr>
                            </w:pPr>
                            <w:r w:rsidRPr="0024432B">
                              <w:rPr>
                                <w:sz w:val="16"/>
                                <w:szCs w:val="16"/>
                              </w:rPr>
                              <w:t xml:space="preserve">Δρομολόγηση καινοτόμων έργων συνεργασίας, που επιτρέπουν τη μεταφορά νέων γνώσεων, εμπειριών και τεχνολογιών στην περιοχή της ΟΤΔ και παρέχουν χώρο </w:t>
                            </w:r>
                            <w:r w:rsidRPr="0024432B">
                              <w:rPr>
                                <w:b/>
                                <w:sz w:val="16"/>
                                <w:szCs w:val="16"/>
                              </w:rPr>
                              <w:t>για την καλλιέργεια εν δυνάμει καινοτόμων ιδεών (διαδρομή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FA1F4" id="Rectangle: Diagonal Corners Rounded 11" o:spid="_x0000_s1042" style="position:absolute;left:0;text-align:left;margin-left:-24pt;margin-top:-17.25pt;width:476.1pt;height:63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46470,8096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" adj="-11796480,,5400" path="m341142,l6046470,r,l6046470,7755108v,188408,-152734,341142,-341142,341142l,8096250r,l,341142c,152734,152734,,341142,xe" filled="f" strokecolor="#f07e31" strokeweight="2pt">
                <v:stroke joinstyle="miter"/>
                <v:formulas/>
                <v:path arrowok="t" o:connecttype="custom" o:connectlocs="341142,0;6046470,0;6046470,0;6046470,7755108;5705328,8096250;0,8096250;0,8096250;0,341142;341142,0" o:connectangles="0,0,0,0,0,0,0,0,0" textboxrect="0,0,6046470,8096250"/>
                <v:textbox>
                  <w:txbxContent>
                    <w:p w:rsidR="00272EFF" w:rsidRDefault="00272EFF" w:rsidP="00C3334D">
                      <w:pPr>
                        <w:pStyle w:val="HStandard"/>
                        <w:ind w:left="284" w:right="23"/>
                      </w:pPr>
                      <w:r>
                        <w:rPr>
                          <w:noProof/>
                          <w:lang w:val="en-GB" w:eastAsia="en-GB"/>
                        </w:rPr>
                        <w:drawing>
                          <wp:inline distT="0" distB="0" distL="0" distR="0" wp14:anchorId="279069EF" wp14:editId="6A3CBDC1">
                            <wp:extent cx="353060" cy="359410"/>
                            <wp:effectExtent l="0" t="0" r="8890" b="2540"/>
                            <wp:docPr id="5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p>
                    <w:p w:rsidR="00272EFF" w:rsidRPr="00BF424C" w:rsidRDefault="00272EFF" w:rsidP="00A66F3C">
                      <w:pPr>
                        <w:pStyle w:val="HStandard"/>
                        <w:ind w:right="23"/>
                        <w:rPr>
                          <w:b/>
                          <w:color w:val="F07E31"/>
                          <w:sz w:val="16"/>
                          <w:szCs w:val="16"/>
                        </w:rPr>
                      </w:pPr>
                      <w:r w:rsidRPr="00BF424C">
                        <w:rPr>
                          <w:b/>
                          <w:color w:val="F07E31"/>
                          <w:sz w:val="16"/>
                          <w:szCs w:val="16"/>
                        </w:rPr>
                        <w:t>Παραδείγματα του τρόπου με τον οποίο το μέτρο 1 μπορεί να αναπτύξει την ικανότητα για καινοτομία:</w:t>
                      </w:r>
                    </w:p>
                    <w:p w:rsidR="00272EFF" w:rsidRPr="00BF424C" w:rsidRDefault="00272EFF" w:rsidP="00A66F3C">
                      <w:pPr>
                        <w:pStyle w:val="Hlistbullet"/>
                        <w:rPr>
                          <w:sz w:val="16"/>
                          <w:szCs w:val="16"/>
                        </w:rPr>
                      </w:pPr>
                      <w:r w:rsidRPr="00BF424C">
                        <w:rPr>
                          <w:sz w:val="16"/>
                          <w:szCs w:val="16"/>
                        </w:rPr>
                        <w:t>Νέες δεξιότητες για γεωργούς/ΜΜΕ για την εφαρμογή καινοτόμων διαδικασιών/τεχνικών ή νέες οργανωτικές δεξιότητες.</w:t>
                      </w:r>
                    </w:p>
                    <w:p w:rsidR="00272EFF" w:rsidRPr="00BF424C" w:rsidRDefault="00272EFF" w:rsidP="00A66F3C">
                      <w:pPr>
                        <w:pStyle w:val="Hlistbullet"/>
                        <w:rPr>
                          <w:sz w:val="16"/>
                          <w:szCs w:val="16"/>
                        </w:rPr>
                      </w:pPr>
                      <w:r w:rsidRPr="00BF424C">
                        <w:rPr>
                          <w:sz w:val="16"/>
                          <w:szCs w:val="16"/>
                        </w:rPr>
                        <w:t>Ανταλλαγές και επισκέψεις που συμβάλλουν στη μεταφορά γνώσεων μεταξύ εκμεταλλεύσεων/περιοχών.</w:t>
                      </w:r>
                    </w:p>
                    <w:p w:rsidR="00272EFF" w:rsidRPr="00BF424C" w:rsidRDefault="00272EFF" w:rsidP="00C3334D">
                      <w:pPr>
                        <w:pStyle w:val="HStandard"/>
                        <w:ind w:right="54"/>
                        <w:rPr>
                          <w:b/>
                          <w:color w:val="F07E31"/>
                          <w:sz w:val="16"/>
                          <w:szCs w:val="16"/>
                        </w:rPr>
                      </w:pPr>
                      <w:r w:rsidRPr="00BF424C">
                        <w:rPr>
                          <w:b/>
                          <w:color w:val="F07E31"/>
                          <w:sz w:val="16"/>
                          <w:szCs w:val="16"/>
                        </w:rPr>
                        <w:t>Παραδείγματα του τρόπου με τον οποίο το μέτρο 16 στηρίζει την καινοτομία:</w:t>
                      </w:r>
                    </w:p>
                    <w:p w:rsidR="00272EFF" w:rsidRPr="00BF424C" w:rsidRDefault="00272EFF" w:rsidP="00A66F3C">
                      <w:pPr>
                        <w:pStyle w:val="Hlistbullet"/>
                        <w:rPr>
                          <w:sz w:val="16"/>
                          <w:szCs w:val="16"/>
                        </w:rPr>
                      </w:pPr>
                      <w:r w:rsidRPr="00BF424C">
                        <w:rPr>
                          <w:sz w:val="16"/>
                          <w:szCs w:val="16"/>
                        </w:rPr>
                        <w:t>Η ανάπτυξη νέων προϊόντων, πρακτικών, τεχνολογιών στους τομείς της γεωργίας, των τροφίμων, της δασοκομίας (επιμέρους μέτρο 16.2</w:t>
                      </w:r>
                      <w:r w:rsidRPr="00BF424C">
                        <w:rPr>
                          <w:sz w:val="16"/>
                          <w:szCs w:val="16"/>
                          <w:vertAlign w:val="superscript"/>
                        </w:rPr>
                        <w:t>51</w:t>
                      </w:r>
                      <w:r w:rsidRPr="00BF424C">
                        <w:rPr>
                          <w:sz w:val="16"/>
                          <w:szCs w:val="16"/>
                        </w:rPr>
                        <w:t xml:space="preserve">) σχετίζεται με την αναγνώριση και την καλλιέργεια της καινοτομίας με συνεργατικό τρόπο. </w:t>
                      </w:r>
                    </w:p>
                    <w:p w:rsidR="00272EFF" w:rsidRPr="00BF424C" w:rsidRDefault="00272EFF" w:rsidP="00A66F3C">
                      <w:pPr>
                        <w:pStyle w:val="Hlistbullet"/>
                        <w:rPr>
                          <w:sz w:val="16"/>
                          <w:szCs w:val="16"/>
                        </w:rPr>
                      </w:pPr>
                      <w:r w:rsidRPr="00BF424C">
                        <w:rPr>
                          <w:sz w:val="16"/>
                          <w:szCs w:val="16"/>
                        </w:rPr>
                        <w:t xml:space="preserve">Όλα τα άλλα επιμέρους μέτρα διαθέτουν δυναμικό </w:t>
                      </w:r>
                      <w:r w:rsidRPr="00BF424C">
                        <w:rPr>
                          <w:b/>
                          <w:sz w:val="16"/>
                          <w:szCs w:val="16"/>
                        </w:rPr>
                        <w:t>ανάπτυξης της ικανότητας για καινοτομία</w:t>
                      </w:r>
                      <w:r w:rsidRPr="00BF424C">
                        <w:rPr>
                          <w:sz w:val="16"/>
                          <w:szCs w:val="16"/>
                        </w:rPr>
                        <w:t>, δεδομένου ότι η διαδικασία συνεργασίας συνεπάγεται συλλογική αναγνώριση των νέων ευκαιριών, παραγωγή νέων ιδεών, πειραματισμό με καινοτόμες τεχνολογίες ή εξεύρεση νέων τρόπων δράσης.</w:t>
                      </w:r>
                    </w:p>
                    <w:p w:rsidR="00272EFF" w:rsidRPr="00BF424C" w:rsidRDefault="00272EFF" w:rsidP="00A66F3C">
                      <w:pPr>
                        <w:pStyle w:val="Hlistbullet"/>
                        <w:rPr>
                          <w:sz w:val="16"/>
                          <w:szCs w:val="16"/>
                        </w:rPr>
                      </w:pPr>
                      <w:r w:rsidRPr="00BF424C">
                        <w:rPr>
                          <w:sz w:val="16"/>
                          <w:szCs w:val="16"/>
                        </w:rPr>
                        <w:t xml:space="preserve">Επιπλέον, η στήριξη που προσφέρεται σε έργα συνεργασίας από συμβούλους/υπηρεσίες υποστήριξης της καινοτομίας, συμπεριλαμβανομένης της στήριξης που παρέχεται από τα ΕΑΔ γι’ αυτόν τον σκοπό, μπορεί να συμβάλει στην </w:t>
                      </w:r>
                      <w:r w:rsidRPr="00BF424C">
                        <w:rPr>
                          <w:b/>
                          <w:sz w:val="16"/>
                          <w:szCs w:val="16"/>
                        </w:rPr>
                        <w:t>ανάπτυξη της ικανότητας για καινοτομία</w:t>
                      </w:r>
                      <w:r w:rsidRPr="00BF424C">
                        <w:rPr>
                          <w:sz w:val="16"/>
                          <w:szCs w:val="16"/>
                        </w:rPr>
                        <w:t>.</w:t>
                      </w:r>
                    </w:p>
                    <w:p w:rsidR="00272EFF" w:rsidRPr="00BF424C" w:rsidRDefault="00272EFF" w:rsidP="00A66F3C">
                      <w:pPr>
                        <w:pStyle w:val="Hlistbullet"/>
                        <w:rPr>
                          <w:sz w:val="16"/>
                          <w:szCs w:val="16"/>
                        </w:rPr>
                      </w:pPr>
                      <w:r w:rsidRPr="00BF424C">
                        <w:rPr>
                          <w:sz w:val="16"/>
                          <w:szCs w:val="16"/>
                        </w:rPr>
                        <w:t xml:space="preserve">Η συμμετοχή των ενδιαφερόμενων φορέων καινοτομίας σε έργα συνεργασίας (π.χ. υπηρεσίες υποστήριξης της καινοτομίας, τμήματα καινοτομίας, κέντρα Ε&amp;Α ή κέντρα καινοτομίας και τεχνολογίας) μπορεί να συμβάλει στην </w:t>
                      </w:r>
                      <w:r w:rsidRPr="00BF424C">
                        <w:rPr>
                          <w:b/>
                          <w:sz w:val="16"/>
                          <w:szCs w:val="16"/>
                        </w:rPr>
                        <w:t>ανάπτυξη ενός ευνοϊκού περιβάλλοντος για την καινοτομία</w:t>
                      </w:r>
                      <w:r w:rsidRPr="00BF424C">
                        <w:rPr>
                          <w:sz w:val="16"/>
                          <w:szCs w:val="16"/>
                        </w:rPr>
                        <w:t>. Για παράδειγμα, η πραγματοποίηση ενός έργου συλλογικής έρευνας μπορεί να παραγάγει αποτέλεσμα που ενδεχομένως θα επηρεάσει τη νομοθεσία (π.χ. περιβαλλοντική νομοθεσία).</w:t>
                      </w:r>
                    </w:p>
                    <w:p w:rsidR="00272EFF" w:rsidRPr="00BF424C" w:rsidRDefault="00272EFF" w:rsidP="00A66F3C">
                      <w:pPr>
                        <w:pStyle w:val="Hlistbullet"/>
                        <w:rPr>
                          <w:sz w:val="16"/>
                          <w:szCs w:val="16"/>
                        </w:rPr>
                      </w:pPr>
                      <w:r w:rsidRPr="00BF424C">
                        <w:rPr>
                          <w:sz w:val="16"/>
                          <w:szCs w:val="16"/>
                        </w:rPr>
                        <w:t xml:space="preserve">Η ίδρυση και λειτουργία επιχειρησιακών ομάδων μπορεί να επιφέρει ακόμη πιο ολιστική προσέγγιση στη στήριξη της καινοτομίας, μέσω του συνδυασμού </w:t>
                      </w:r>
                      <w:r w:rsidRPr="00BF424C">
                        <w:rPr>
                          <w:b/>
                          <w:sz w:val="16"/>
                          <w:szCs w:val="16"/>
                        </w:rPr>
                        <w:t>και των τριών διαδρομών</w:t>
                      </w:r>
                      <w:r w:rsidRPr="00BF424C">
                        <w:rPr>
                          <w:sz w:val="16"/>
                          <w:szCs w:val="16"/>
                        </w:rPr>
                        <w:t>: της αναγνώρισης νέων ιδεών (το σημείο εκκίνησης των επιχειρησιακών ομάδων), της ανάπτυξης της ικανότητας για καινοτομία (στήριξη από συμβούλους/υπηρεσίες υποστήριξης της καινοτομίας) και της δημιουργίας ευνοϊκού περιβάλλοντος για την καινοτομία (αποτελέσματα των έργων των επιχειρησιακών ομάδων).</w:t>
                      </w:r>
                    </w:p>
                    <w:p w:rsidR="00272EFF" w:rsidRPr="00BF424C" w:rsidRDefault="00272EFF" w:rsidP="00C3334D">
                      <w:pPr>
                        <w:pStyle w:val="Normal12PTcouleurgris"/>
                        <w:ind w:left="284"/>
                        <w:rPr>
                          <w:color w:val="F07E31"/>
                          <w:sz w:val="16"/>
                          <w:szCs w:val="16"/>
                        </w:rPr>
                      </w:pPr>
                      <w:r w:rsidRPr="00BF424C">
                        <w:rPr>
                          <w:b/>
                          <w:color w:val="F07E31"/>
                          <w:sz w:val="16"/>
                          <w:szCs w:val="16"/>
                        </w:rPr>
                        <w:t>Παραδείγματα του τρόπου με τον οποίο το μέτρο 19 στηρίζει την καινοτομία:</w:t>
                      </w:r>
                    </w:p>
                    <w:p w:rsidR="00272EFF" w:rsidRPr="00BF424C" w:rsidRDefault="00272EFF" w:rsidP="00A66F3C">
                      <w:pPr>
                        <w:pStyle w:val="Hlistbullet"/>
                        <w:rPr>
                          <w:sz w:val="16"/>
                          <w:szCs w:val="16"/>
                        </w:rPr>
                      </w:pPr>
                      <w:r w:rsidRPr="00BF424C">
                        <w:rPr>
                          <w:sz w:val="16"/>
                          <w:szCs w:val="16"/>
                        </w:rPr>
                        <w:t xml:space="preserve">Εφαρμογή νέων τρόπων σχεδιασμού στρατηγικής, συμπεριλαμβανομένων διαφόρων πρωτότυπων τρόπων για την εξασφάλιση της συμμετοχής του τοπικού πληθυσμού στη λήψη στρατηγικών αποφάσεων (π.χ. διάφορες δραστηριότητες συντονισμού για τη συγκέντρωση πληροφοριών, διάφορα εργαστήρια και πλατφόρμες συζητήσεων κ.λπ.) και, συνεπώς, συνεισφορά στη δημιουργία </w:t>
                      </w:r>
                      <w:r w:rsidRPr="00BF424C">
                        <w:rPr>
                          <w:b/>
                          <w:sz w:val="16"/>
                          <w:szCs w:val="16"/>
                        </w:rPr>
                        <w:t>ευνοϊκού περιβάλλοντος για την καινοτομία (διαδρομή 3)</w:t>
                      </w:r>
                      <w:r w:rsidRPr="00BF424C">
                        <w:rPr>
                          <w:sz w:val="16"/>
                          <w:szCs w:val="16"/>
                        </w:rPr>
                        <w:t>.</w:t>
                      </w:r>
                    </w:p>
                    <w:p w:rsidR="00272EFF" w:rsidRPr="0024432B" w:rsidRDefault="00272EFF" w:rsidP="00A66F3C">
                      <w:pPr>
                        <w:pStyle w:val="Hlistbullet"/>
                        <w:rPr>
                          <w:sz w:val="16"/>
                          <w:szCs w:val="16"/>
                        </w:rPr>
                      </w:pPr>
                      <w:r w:rsidRPr="00BF424C">
                        <w:rPr>
                          <w:sz w:val="16"/>
                          <w:szCs w:val="16"/>
                        </w:rPr>
                        <w:t xml:space="preserve">Υλοποίηση καινοτόμων δραστηριοτήτων συντονισμού, οι οποίες υπερβαίνουν τον σχεδιασμό και την υλοποίηση της στρατηγικής και εξασφαλίζουν τη συμμετοχή του ευρύτερου πληθυσμού σε διάφορες καινοτόμες δράσεις της ΟΤΔ (π.χ. που επικεντρώνονται στην ανάπτυξη ισχυρής </w:t>
                      </w:r>
                      <w:r w:rsidRPr="0024432B">
                        <w:rPr>
                          <w:sz w:val="16"/>
                          <w:szCs w:val="16"/>
                        </w:rPr>
                        <w:t xml:space="preserve">τοπικής ταυτότητας μέσω, για παράδειγμα, της ένταξης της φυσικής και πολιτιστικής κληρονομιάς) και οι οποίες στηρίζουν περαιτέρω </w:t>
                      </w:r>
                      <w:r w:rsidRPr="0024432B">
                        <w:rPr>
                          <w:b/>
                          <w:sz w:val="16"/>
                          <w:szCs w:val="16"/>
                        </w:rPr>
                        <w:t>ένα ευνοϊκό περιβάλλον και καλλιεργούν τις εν δυνάμει καινοτόμες ιδέες (διαδρομές 3 και 1).</w:t>
                      </w:r>
                    </w:p>
                    <w:p w:rsidR="00272EFF" w:rsidRPr="0024432B" w:rsidRDefault="00272EFF" w:rsidP="00A66F3C">
                      <w:pPr>
                        <w:pStyle w:val="Hlistbullet"/>
                        <w:rPr>
                          <w:sz w:val="16"/>
                          <w:szCs w:val="16"/>
                        </w:rPr>
                      </w:pPr>
                      <w:r w:rsidRPr="0024432B">
                        <w:rPr>
                          <w:sz w:val="16"/>
                          <w:szCs w:val="16"/>
                        </w:rPr>
                        <w:t xml:space="preserve">Δρομολόγηση καινοτόμων έργων συνεργασίας, που επιτρέπουν τη μεταφορά νέων γνώσεων, εμπειριών και τεχνολογιών στην περιοχή της ΟΤΔ και παρέχουν χώρο </w:t>
                      </w:r>
                      <w:r w:rsidRPr="0024432B">
                        <w:rPr>
                          <w:b/>
                          <w:sz w:val="16"/>
                          <w:szCs w:val="16"/>
                        </w:rPr>
                        <w:t>για την καλλιέργεια εν δυνάμει καινοτόμων ιδεών (διαδρομή 1).</w:t>
                      </w:r>
                    </w:p>
                  </w:txbxContent>
                </v:textbox>
                <w10:wrap type="tight"/>
              </v:shape>
            </w:pict>
          </mc:Fallback>
        </mc:AlternateContent>
      </w:r>
    </w:p>
    <w:p w:rsidR="00A66F3C" w:rsidRDefault="00C3092C" w:rsidP="00A66F3C">
      <w:pPr>
        <w:spacing w:after="120" w:line="280" w:lineRule="atLeast"/>
        <w:mirrorIndents/>
        <w:rPr>
          <w:rFonts w:eastAsia="Calibri" w:cs="Times New Roman"/>
          <w:b/>
          <w:color w:val="57825E"/>
          <w:szCs w:val="20"/>
          <w:shd w:val="clear" w:color="auto" w:fill="FFFFFF"/>
        </w:rPr>
      </w:pPr>
      <w:r>
        <w:rPr>
          <w:rStyle w:val="FootnoteReference"/>
          <w:rFonts w:eastAsia="Calibri" w:cs="Times New Roman"/>
          <w:b/>
          <w:color w:val="FFFFFF" w:themeColor="background1"/>
          <w:szCs w:val="20"/>
          <w:shd w:val="clear" w:color="auto" w:fill="FFFFFF"/>
        </w:rPr>
        <w:footnoteReference w:id="51"/>
      </w:r>
    </w:p>
    <w:p w:rsidR="00863DB0" w:rsidRDefault="00863DB0">
      <w:pPr>
        <w:jc w:val="left"/>
        <w:rPr>
          <w:rFonts w:eastAsia="Calibri" w:cs="Times New Roman"/>
          <w:b/>
          <w:color w:val="57825E"/>
          <w:szCs w:val="20"/>
          <w:shd w:val="clear" w:color="auto" w:fill="FFFFFF"/>
        </w:rPr>
      </w:pPr>
      <w:r>
        <w:lastRenderedPageBreak/>
        <w:br w:type="page"/>
      </w:r>
    </w:p>
    <w:p w:rsidR="00A45935" w:rsidRPr="00E05D08" w:rsidRDefault="00A45935" w:rsidP="00A66F3C">
      <w:pPr>
        <w:spacing w:after="120" w:line="280" w:lineRule="atLeast"/>
        <w:mirrorIndents/>
        <w:rPr>
          <w:rFonts w:eastAsia="Calibri" w:cs="Times New Roman"/>
          <w:b/>
          <w:color w:val="57825E"/>
          <w:szCs w:val="20"/>
          <w:shd w:val="clear" w:color="auto" w:fill="FFFFFF"/>
        </w:rPr>
      </w:pPr>
      <w:r>
        <w:rPr>
          <w:b/>
          <w:color w:val="57825E"/>
          <w:szCs w:val="20"/>
          <w:shd w:val="clear" w:color="auto" w:fill="FFFFFF"/>
        </w:rPr>
        <w:lastRenderedPageBreak/>
        <w:t xml:space="preserve">Ειδικές προκλήσεις </w:t>
      </w:r>
    </w:p>
    <w:p w:rsidR="00A45935" w:rsidRPr="000A718F" w:rsidRDefault="00A45935" w:rsidP="00A66F3C">
      <w:pPr>
        <w:pStyle w:val="Hlistbullet"/>
      </w:pPr>
      <w:r>
        <w:rPr>
          <w:b/>
        </w:rPr>
        <w:t>Ανάπτυξη</w:t>
      </w:r>
      <w:r>
        <w:rPr>
          <w:b/>
          <w:shd w:val="clear" w:color="auto" w:fill="FFFFFF"/>
        </w:rPr>
        <w:t xml:space="preserve"> πρόσθετων και ειδικών ανά πρόγραμμα στοιχείων αξιολόγησης</w:t>
      </w:r>
      <w:r>
        <w:rPr>
          <w:shd w:val="clear" w:color="auto" w:fill="FFFFFF"/>
        </w:rPr>
        <w:t xml:space="preserve">: Το ΚΕΑ αριθ. 1 σχετίζεται με έναν κοινό δείκτη που αφορά στόχους (Σ1), ο οποίος μπορεί να μην αρκεί για να απαντηθεί το ΚΕΑ και, συνεπώς, θα πρέπει να συνοδευτεί από πρόσθετους δείκτες για τη μέτρηση των συναφών με την καινοτομία δαπανών των σχετικών μέτρων. Ταυτόχρονα, δύο κοινοί δείκτες εκροών μπορούν να χρησιμοποιηθούν για να απαντηθεί το ΚΕΑ αριθ. 1 (Ε13 «Αριθμός δικαιούχων που λαμβάνουν συμβουλές» και «Ε16 Αριθμός πράξεων ΕΣΚ»). Ανάλογα με την ειδική λογική παρέμβασης, μπορεί να απαιτηθούν περαιτέρω στοιχεία αξιολόγησης για την εκτίμηση όλων των πτυχών που σχετίζονται με την καινοτομία. </w:t>
      </w:r>
    </w:p>
    <w:p w:rsidR="00A45935" w:rsidRPr="000A718F" w:rsidRDefault="00A45935" w:rsidP="00A66F3C">
      <w:pPr>
        <w:pStyle w:val="Hlistbullet"/>
        <w:rPr>
          <w:rFonts w:eastAsia="Calibri"/>
          <w:shd w:val="clear" w:color="auto" w:fill="FFFFFF"/>
        </w:rPr>
      </w:pPr>
      <w:r>
        <w:rPr>
          <w:b/>
          <w:shd w:val="clear" w:color="auto" w:fill="FFFFFF"/>
        </w:rPr>
        <w:t xml:space="preserve">Απόδοση των παρατηρούμενων αλλαγών </w:t>
      </w:r>
      <w:r>
        <w:rPr>
          <w:shd w:val="clear" w:color="auto" w:fill="FFFFFF"/>
        </w:rPr>
        <w:t xml:space="preserve">όσον αφορά τη στήριξη της καινοτομίας στα </w:t>
      </w:r>
      <w:r>
        <w:rPr>
          <w:b/>
          <w:shd w:val="clear" w:color="auto" w:fill="FFFFFF"/>
        </w:rPr>
        <w:t>μέτρα</w:t>
      </w:r>
      <w:r>
        <w:rPr>
          <w:shd w:val="clear" w:color="auto" w:fill="FFFFFF"/>
        </w:rPr>
        <w:t> 1, 2, 16 και 19.</w:t>
      </w:r>
    </w:p>
    <w:p w:rsidR="00A45935" w:rsidRPr="000A718F" w:rsidRDefault="00A45935" w:rsidP="00A66F3C">
      <w:pPr>
        <w:pStyle w:val="Hlistbullet"/>
        <w:rPr>
          <w:rFonts w:eastAsia="Calibri"/>
          <w:shd w:val="clear" w:color="auto" w:fill="FFFFFF"/>
        </w:rPr>
      </w:pPr>
      <w:r>
        <w:rPr>
          <w:b/>
          <w:shd w:val="clear" w:color="auto" w:fill="FFFFFF"/>
        </w:rPr>
        <w:t>Αποτύπωση των συνεισφορών μέτρων που προγραμματίζονται στο πλαίσιο άλλων ΤΕ</w:t>
      </w:r>
      <w:r>
        <w:rPr>
          <w:shd w:val="clear" w:color="auto" w:fill="FFFFFF"/>
        </w:rPr>
        <w:t xml:space="preserve"> (εκτός του ΤΕ 1Β) στη στήριξη της καινοτομίας.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Προτεινόμενη προσέγγιση για την παροχή απάντησης στο ΚΕΑ αριθ. 1</w:t>
      </w:r>
    </w:p>
    <w:p w:rsidR="00A45935" w:rsidRPr="00E05D08" w:rsidRDefault="000C3632" w:rsidP="000C3632">
      <w:pPr>
        <w:spacing w:before="120" w:after="120" w:line="280" w:lineRule="atLeast"/>
        <w:ind w:left="360" w:hanging="360"/>
        <w:mirrorIndents/>
        <w:rPr>
          <w:rFonts w:eastAsia="Times New Roman" w:cs="Times New Roman"/>
          <w:b/>
          <w:szCs w:val="20"/>
        </w:rPr>
      </w:pPr>
      <w:r>
        <w:rPr>
          <w:b/>
          <w:szCs w:val="20"/>
        </w:rPr>
        <w:t>α.</w:t>
      </w:r>
      <w:r>
        <w:rPr>
          <w:b/>
          <w:szCs w:val="20"/>
        </w:rPr>
        <w:tab/>
      </w:r>
      <w:r w:rsidR="00A45935">
        <w:rPr>
          <w:b/>
          <w:szCs w:val="20"/>
        </w:rPr>
        <w:t xml:space="preserve">Λογική παρέμβασης </w:t>
      </w:r>
    </w:p>
    <w:p w:rsidR="00863DB0" w:rsidRDefault="00A45935" w:rsidP="00A66F3C">
      <w:pPr>
        <w:spacing w:after="120" w:line="280" w:lineRule="atLeast"/>
        <w:mirrorIndents/>
        <w:rPr>
          <w:rFonts w:eastAsia="Times New Roman" w:cs="Times New Roman"/>
          <w:szCs w:val="20"/>
        </w:rPr>
      </w:pPr>
      <w:r>
        <w:t xml:space="preserve">Η λογική παρέμβασης που συνδέεται με το ΚΕΑ αριθ. 1 μπορεί επίσης να επανεξεταστεί υπό το πρίσμα της καινοτομίας. Αυτό μπορεί να γίνει βάσει των αποτελεσμάτων της εξέτασης του δυναμικού καινοτομίας (βλ. </w:t>
      </w:r>
      <w:hyperlink w:anchor="Screening_Potential" w:history="1">
        <w:r>
          <w:rPr>
            <w:rStyle w:val="Hyperlink"/>
            <w:sz w:val="20"/>
            <w:szCs w:val="20"/>
          </w:rPr>
          <w:t>κεφάλαιο 2.2</w:t>
        </w:r>
      </w:hyperlink>
      <w:r>
        <w:t xml:space="preserve">) των μέτρων 1, 2, 16 και 19, τα οποία συνήθως προγραμματίζονται στο πλαίσιο άλλων ΤΕ, εκτός του ΤΕ 1Α, σε συνδυασμό με άλλα μέτρα. Με αυτόν τον τρόπο θα διευκολυνθεί η αποτύπωση των επιτευγμάτων του προγράμματος όσον αφορά τους στόχους του ΤΕ 1Α και ο προσδιορισμός των δικαιούχων και ενδιαφερόμενων φορέων του ΠΑΑ που μπορούν να παρέχουν δεδομένα και πληροφορίες. </w:t>
      </w:r>
    </w:p>
    <w:p w:rsidR="00863DB0" w:rsidRDefault="00863DB0">
      <w:pPr>
        <w:jc w:val="left"/>
        <w:rPr>
          <w:rFonts w:eastAsia="Times New Roman" w:cs="Times New Roman"/>
          <w:szCs w:val="20"/>
        </w:rPr>
      </w:pPr>
      <w:r>
        <w:br w:type="page"/>
      </w:r>
    </w:p>
    <w:p w:rsidR="00A45935" w:rsidRPr="00D66501" w:rsidRDefault="000A1DD3" w:rsidP="000A1DD3">
      <w:pPr>
        <w:pStyle w:val="HHeadingfigures"/>
        <w:numPr>
          <w:ilvl w:val="0"/>
          <w:numId w:val="0"/>
        </w:numPr>
        <w:ind w:left="604"/>
      </w:pPr>
      <w:bookmarkStart w:id="105" w:name="_Toc508964842"/>
      <w:r>
        <w:lastRenderedPageBreak/>
        <w:t>Διάγραμμα 8.</w:t>
      </w:r>
      <w:r>
        <w:tab/>
      </w:r>
      <w:r w:rsidR="00DD247A">
        <w:t>Παράδειγμα μιας λογικής παρέμβασης που συνδέεται με το ΚΕΑ αριθ. 1</w:t>
      </w:r>
      <w:bookmarkEnd w:id="105"/>
      <w:r w:rsidR="00DD247A">
        <w:t xml:space="preserve"> </w:t>
      </w:r>
    </w:p>
    <w:p w:rsidR="007D2A0C" w:rsidRDefault="00E44ABD" w:rsidP="00690E70">
      <w:pPr>
        <w:spacing w:after="120" w:line="280" w:lineRule="atLeast"/>
        <w:mirrorIndents/>
        <w:jc w:val="center"/>
        <w:rPr>
          <w:rFonts w:eastAsia="Times New Roman" w:cs="Times New Roman"/>
          <w:i/>
          <w:sz w:val="16"/>
          <w:szCs w:val="16"/>
          <w:lang w:eastAsia="de-DE"/>
        </w:rPr>
      </w:pPr>
      <w:r w:rsidRPr="00E44ABD">
        <w:rPr>
          <w:noProof/>
          <w:lang w:val="en-GB" w:eastAsia="en-GB"/>
        </w:rPr>
        <w:drawing>
          <wp:inline distT="0" distB="0" distL="0" distR="0" wp14:anchorId="32F18260" wp14:editId="76237AE8">
            <wp:extent cx="5731510" cy="3218707"/>
            <wp:effectExtent l="0" t="0" r="254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3218707"/>
                    </a:xfrm>
                    <a:prstGeom prst="rect">
                      <a:avLst/>
                    </a:prstGeom>
                    <a:noFill/>
                    <a:ln>
                      <a:noFill/>
                    </a:ln>
                  </pic:spPr>
                </pic:pic>
              </a:graphicData>
            </a:graphic>
          </wp:inline>
        </w:drawing>
      </w:r>
    </w:p>
    <w:p w:rsidR="00A45935" w:rsidRPr="00E05D08" w:rsidRDefault="007D2A0C" w:rsidP="00690E70">
      <w:pPr>
        <w:spacing w:after="120" w:line="280" w:lineRule="atLeast"/>
        <w:mirrorIndents/>
        <w:jc w:val="center"/>
        <w:rPr>
          <w:rFonts w:eastAsia="Times New Roman" w:cs="Times New Roman"/>
          <w:i/>
          <w:sz w:val="16"/>
          <w:szCs w:val="20"/>
        </w:rPr>
        <w:sectPr w:rsidR="00A45935" w:rsidRPr="00E05D08" w:rsidSect="001F6F07">
          <w:endnotePr>
            <w:numFmt w:val="decimal"/>
          </w:endnotePr>
          <w:type w:val="continuous"/>
          <w:pgSz w:w="11906" w:h="16838" w:code="9"/>
          <w:pgMar w:top="1440" w:right="1440" w:bottom="1134" w:left="1440" w:header="567" w:footer="1021" w:gutter="0"/>
          <w:cols w:space="708"/>
          <w:noEndnote/>
          <w:docGrid w:linePitch="360"/>
        </w:sectPr>
      </w:pPr>
      <w:r>
        <w:rPr>
          <w:rFonts w:eastAsia="Times New Roman" w:cs="Times New Roman"/>
          <w:i/>
          <w:noProof/>
          <w:sz w:val="18"/>
          <w:szCs w:val="24"/>
          <w:lang w:val="en-GB" w:eastAsia="en-GB"/>
        </w:rPr>
        <mc:AlternateContent>
          <mc:Choice Requires="wps">
            <w:drawing>
              <wp:anchor distT="0" distB="0" distL="114300" distR="114300" simplePos="0" relativeHeight="251670016" behindDoc="0" locked="0" layoutInCell="1" allowOverlap="1" wp14:anchorId="4A2F14E9" wp14:editId="0B420770">
                <wp:simplePos x="0" y="0"/>
                <wp:positionH relativeFrom="column">
                  <wp:posOffset>0</wp:posOffset>
                </wp:positionH>
                <wp:positionV relativeFrom="paragraph">
                  <wp:posOffset>299085</wp:posOffset>
                </wp:positionV>
                <wp:extent cx="5732780" cy="2000250"/>
                <wp:effectExtent l="0" t="0" r="20320" b="19050"/>
                <wp:wrapSquare wrapText="bothSides"/>
                <wp:docPr id="23" name="Rectangle: Diagonal Corners Rounded 23"/>
                <wp:cNvGraphicFramePr/>
                <a:graphic xmlns:a="http://schemas.openxmlformats.org/drawingml/2006/main">
                  <a:graphicData uri="http://schemas.microsoft.com/office/word/2010/wordprocessingShape">
                    <wps:wsp>
                      <wps:cNvSpPr/>
                      <wps:spPr>
                        <a:xfrm>
                          <a:off x="0" y="0"/>
                          <a:ext cx="5732780" cy="2000250"/>
                        </a:xfrm>
                        <a:prstGeom prst="round2DiagRect">
                          <a:avLst>
                            <a:gd name="adj1" fmla="val 11556"/>
                            <a:gd name="adj2" fmla="val 0"/>
                          </a:avLst>
                        </a:prstGeom>
                        <a:noFill/>
                        <a:ln w="25400" cap="flat" cmpd="sng" algn="ctr">
                          <a:solidFill>
                            <a:srgbClr val="F07E31"/>
                          </a:solidFill>
                          <a:prstDash val="solid"/>
                        </a:ln>
                        <a:effectLst/>
                      </wps:spPr>
                      <wps:txbx>
                        <w:txbxContent>
                          <w:p w:rsidR="00272EFF" w:rsidRPr="00D33212" w:rsidRDefault="00272EFF" w:rsidP="00863DB0">
                            <w:pPr>
                              <w:pStyle w:val="H-Standard"/>
                            </w:pPr>
                            <w:r>
                              <w:rPr>
                                <w:noProof/>
                                <w:lang w:val="en-GB" w:eastAsia="en-GB"/>
                              </w:rPr>
                              <w:drawing>
                                <wp:inline distT="0" distB="0" distL="0" distR="0" wp14:anchorId="78793975" wp14:editId="5D9E2D5F">
                                  <wp:extent cx="353060" cy="359410"/>
                                  <wp:effectExtent l="0" t="0" r="8890" b="2540"/>
                                  <wp:docPr id="5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Σε αυτό το παράδειγμα, διαπιστώθηκε ότι το επιμέρους μέτρο 1 «κατάρτιση και απόκτηση δεξιοτήτων» και το επιμέρους μέτρο 2 «επιμόρφωση συμβούλων», διαθέτουν δυναμικό στήριξης της καινοτομίας μέσω της ανάπτυξης ικανοτήτων για καινοτομία. Ο συνδυασμός των μέτρων 16.7 και 16.8 διαθέτει δυναμικό στήριξης της καινοτομίας μέσω της καλλιέργειας καινοτόμων ιδεών, ενώ το μέτρο 16.1 διαθέτει δυναμικό στήριξης της καινοτομίας μέσω και των τριών διαδρομών. Το επιμέρους μέτρο 19.2, που στηρίζει τις στρατηγικές CLLD, συμβάλλει στη δημιουργία ευνοϊκού περιβάλλοντος. Το επιμέρους μέτρο για τη συνεργασία LEADER (μέτρο 19.3) βοηθά στην καλλιέργεια καινοτόμων ιδεών με συνεργατικό τρόπο και αναπτύσσει ικανότητες για καινοτομία.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F14E9" id="Rectangle: Diagonal Corners Rounded 23" o:spid="_x0000_s1043" style="position:absolute;left:0;text-align:left;margin-left:0;margin-top:23.55pt;width:451.4pt;height:15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2780,2000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" adj="-11796480,,5400" path="m231149,l5732780,r,l5732780,1769101v,127660,-103489,231149,-231149,231149l,2000250r,l,231149c,103489,103489,,231149,xe" filled="f" strokecolor="#f07e31" strokeweight="2pt">
                <v:stroke joinstyle="miter"/>
                <v:formulas/>
                <v:path arrowok="t" o:connecttype="custom" o:connectlocs="231149,0;5732780,0;5732780,0;5732780,1769101;5501631,2000250;0,2000250;0,2000250;0,231149;231149,0" o:connectangles="0,0,0,0,0,0,0,0,0" textboxrect="0,0,5732780,2000250"/>
                <v:textbox>
                  <w:txbxContent>
                    <w:p w:rsidR="00272EFF" w:rsidRPr="00D33212" w:rsidRDefault="00272EFF" w:rsidP="00863DB0">
                      <w:pPr>
                        <w:pStyle w:val="H-Standard"/>
                      </w:pPr>
                      <w:r>
                        <w:rPr>
                          <w:noProof/>
                          <w:lang w:val="en-GB" w:eastAsia="en-GB"/>
                        </w:rPr>
                        <w:drawing>
                          <wp:inline distT="0" distB="0" distL="0" distR="0" wp14:anchorId="78793975" wp14:editId="5D9E2D5F">
                            <wp:extent cx="353060" cy="359410"/>
                            <wp:effectExtent l="0" t="0" r="8890" b="2540"/>
                            <wp:docPr id="5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Σε αυτό το παράδειγμα, διαπιστώθηκε ότι το επιμέρους μέτρο 1 «κατάρτιση και απόκτηση δεξιοτήτων» και το επιμέρους μέτρο 2 «επιμόρφωση συμβούλων», διαθέτουν δυναμικό στήριξης της καινοτομίας μέσω της ανάπτυξης ικανοτήτων για καινοτομία. Ο συνδυασμός των μέτρων 16.7 και 16.8 διαθέτει δυναμικό στήριξης της καινοτομίας μέσω της καλλιέργειας καινοτόμων ιδεών, ενώ το μέτρο 16.1 διαθέτει δυναμικό στήριξης της καινοτομίας μέσω και των τριών διαδρομών. Το επιμέρους μέτρο 19.2, που στηρίζει τις στρατηγικές CLLD, συμβάλλει στη δημιουργία ευνοϊκού περιβάλλοντος. Το επιμέρους μέτρο για τη συνεργασία LEADER (μέτρο 19.3) βοηθά στην καλλιέργεια καινοτόμων ιδεών με συνεργατικό τρόπο και αναπτύσσει ικανότητες για καινοτομία.</w:t>
                      </w:r>
                    </w:p>
                  </w:txbxContent>
                </v:textbox>
                <w10:wrap type="square"/>
              </v:shape>
            </w:pict>
          </mc:Fallback>
        </mc:AlternateContent>
      </w:r>
      <w:r>
        <w:rPr>
          <w:i/>
          <w:sz w:val="16"/>
          <w:szCs w:val="16"/>
        </w:rPr>
        <w:t>Πηγή: Ευρωπαϊκό Helpdesk αξιολόγησης για την αγροτική ανάπτυξη, 2017</w:t>
      </w:r>
    </w:p>
    <w:p w:rsidR="00A45935" w:rsidRDefault="000C3632" w:rsidP="000C3632">
      <w:pPr>
        <w:spacing w:before="120" w:after="120" w:line="280" w:lineRule="atLeast"/>
        <w:ind w:left="360" w:hanging="360"/>
        <w:mirrorIndents/>
        <w:rPr>
          <w:rFonts w:eastAsia="Times New Roman" w:cs="Times New Roman"/>
          <w:b/>
          <w:szCs w:val="20"/>
        </w:rPr>
      </w:pPr>
      <w:r>
        <w:rPr>
          <w:b/>
          <w:szCs w:val="20"/>
        </w:rPr>
        <w:t>β.</w:t>
      </w:r>
      <w:r>
        <w:rPr>
          <w:b/>
          <w:szCs w:val="20"/>
        </w:rPr>
        <w:tab/>
      </w:r>
      <w:r w:rsidR="00A45935">
        <w:rPr>
          <w:b/>
          <w:szCs w:val="20"/>
        </w:rPr>
        <w:t xml:space="preserve">Στοιχεία αξιολόγησης </w:t>
      </w:r>
    </w:p>
    <w:p w:rsidR="00A45935" w:rsidRDefault="00734B11" w:rsidP="00E05D08">
      <w:pPr>
        <w:spacing w:before="120" w:after="120" w:line="280" w:lineRule="atLeast"/>
        <w:mirrorIndents/>
        <w:rPr>
          <w:rFonts w:eastAsia="Times New Roman" w:cs="Times New Roman"/>
          <w:szCs w:val="20"/>
        </w:rPr>
      </w:pPr>
      <w:r>
        <w:t xml:space="preserve">Τα κοινά κριτήρια απόφασης και οι κοινοί δείκτες για το ΚΕΑ αριθ. 1 παραμένουν στο επίπεδο εκροών των πράξεων στο πλαίσιο των μέτρων 1, 2 και 16 και 19. Πρόσθετα κριτήρια απόφασης και δείκτες μπορεί να χρειαστεί να αναπτυχθούν για την αξιολόγηση των αποτελεσμάτων αυτών των μέτρων (βλ. </w:t>
      </w:r>
      <w:hyperlink w:anchor="Evaluation_elements" w:history="1">
        <w:r>
          <w:rPr>
            <w:rStyle w:val="Hyperlink"/>
            <w:sz w:val="20"/>
            <w:szCs w:val="20"/>
          </w:rPr>
          <w:t>πίνακα 1</w:t>
        </w:r>
      </w:hyperlink>
      <w:r>
        <w:t>).</w:t>
      </w:r>
    </w:p>
    <w:p w:rsidR="00863DB0" w:rsidRPr="00E05D08" w:rsidRDefault="00863DB0" w:rsidP="00E05D08">
      <w:pPr>
        <w:spacing w:before="120" w:after="120" w:line="280" w:lineRule="atLeast"/>
        <w:mirrorIndents/>
        <w:rPr>
          <w:rFonts w:eastAsia="Times New Roman" w:cs="Times New Roman"/>
          <w:szCs w:val="20"/>
          <w:lang w:eastAsia="de-DE"/>
        </w:rPr>
      </w:pPr>
    </w:p>
    <w:p w:rsidR="00A45935" w:rsidRPr="00E05D08" w:rsidRDefault="00A45935" w:rsidP="00E05D08">
      <w:pPr>
        <w:numPr>
          <w:ilvl w:val="0"/>
          <w:numId w:val="9"/>
        </w:numPr>
        <w:spacing w:before="60" w:after="0" w:line="280" w:lineRule="atLeast"/>
        <w:ind w:left="0" w:firstLine="0"/>
        <w:rPr>
          <w:rFonts w:eastAsia="Times New Roman" w:cs="Arial"/>
          <w:szCs w:val="18"/>
          <w:lang w:eastAsia="de-DE"/>
          <w14:textFill>
            <w14:solidFill>
              <w14:srgbClr w14:val="373737">
                <w14:lumMod w14:val="75000"/>
              </w14:srgbClr>
            </w14:solidFill>
          </w14:textFill>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A43EFD" w:rsidRDefault="000A1DD3" w:rsidP="000A1DD3">
      <w:pPr>
        <w:pStyle w:val="HHeadingtables"/>
        <w:numPr>
          <w:ilvl w:val="0"/>
          <w:numId w:val="0"/>
        </w:numPr>
        <w:rPr>
          <w:color w:val="6F6F6F"/>
          <w:sz w:val="18"/>
          <w:szCs w:val="18"/>
        </w:rPr>
      </w:pPr>
      <w:bookmarkStart w:id="106" w:name="Evaluation_elements"/>
      <w:bookmarkStart w:id="107" w:name="_Toc508964826"/>
      <w:r>
        <w:rPr>
          <w:color w:val="6F6F6F"/>
          <w:sz w:val="18"/>
          <w:szCs w:val="18"/>
        </w:rPr>
        <w:lastRenderedPageBreak/>
        <w:t>Πίνακας 1.</w:t>
      </w:r>
      <w:r>
        <w:rPr>
          <w:color w:val="6F6F6F"/>
          <w:sz w:val="18"/>
          <w:szCs w:val="18"/>
        </w:rPr>
        <w:tab/>
      </w:r>
      <w:r w:rsidR="00A45935">
        <w:rPr>
          <w:color w:val="6F6F6F"/>
          <w:sz w:val="18"/>
          <w:szCs w:val="18"/>
        </w:rPr>
        <w:t>Στοιχεία αξιολόγησης και πηγές πληροφοριών</w:t>
      </w:r>
      <w:bookmarkEnd w:id="106"/>
      <w:r w:rsidR="00A45935">
        <w:rPr>
          <w:color w:val="6F6F6F"/>
          <w:sz w:val="18"/>
          <w:szCs w:val="18"/>
        </w:rPr>
        <w:t xml:space="preserve"> σε σχέση με το ΚΕΑ αριθ. 1</w:t>
      </w:r>
      <w:bookmarkEnd w:id="107"/>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47"/>
        <w:gridCol w:w="3118"/>
        <w:gridCol w:w="2835"/>
        <w:gridCol w:w="5756"/>
      </w:tblGrid>
      <w:tr w:rsidR="00A45935" w:rsidRPr="00E05D08" w:rsidTr="00E05D08">
        <w:trPr>
          <w:tblHeader/>
        </w:trPr>
        <w:tc>
          <w:tcPr>
            <w:tcW w:w="2547"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Κριτήρια απόφασης</w:t>
            </w:r>
          </w:p>
        </w:tc>
        <w:tc>
          <w:tcPr>
            <w:tcW w:w="311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Δείκτες</w:t>
            </w:r>
          </w:p>
        </w:tc>
        <w:tc>
          <w:tcPr>
            <w:tcW w:w="2835"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Ανάγκες για δεδομένα</w:t>
            </w:r>
          </w:p>
        </w:tc>
        <w:tc>
          <w:tcPr>
            <w:tcW w:w="5756"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Πηγές δεδομένων</w:t>
            </w:r>
          </w:p>
        </w:tc>
      </w:tr>
      <w:tr w:rsidR="00A45935" w:rsidRPr="00E05D08" w:rsidTr="00E05D08">
        <w:tc>
          <w:tcPr>
            <w:tcW w:w="14256" w:type="dxa"/>
            <w:gridSpan w:val="4"/>
            <w:shd w:val="clear" w:color="auto" w:fill="8BAB80"/>
          </w:tcPr>
          <w:p w:rsidR="00A45935" w:rsidRPr="00F200A2" w:rsidRDefault="00A45935" w:rsidP="00E05D08">
            <w:pPr>
              <w:spacing w:after="120" w:line="280" w:lineRule="atLeast"/>
              <w:mirrorIndents/>
              <w:rPr>
                <w:rFonts w:cs="Arial"/>
                <w:b/>
                <w:color w:val="FFFFFF"/>
                <w:sz w:val="18"/>
                <w:szCs w:val="18"/>
              </w:rPr>
            </w:pPr>
            <w:r>
              <w:rPr>
                <w:b/>
                <w:color w:val="FFFFFF"/>
                <w:sz w:val="18"/>
                <w:szCs w:val="18"/>
              </w:rPr>
              <w:t>Κοινά στοιχεία αξιολόγησης [ΚΣΠΑ και στοιχεία που προτείνονται στο έγγραφο εργασίας «</w:t>
            </w:r>
            <w:r>
              <w:rPr>
                <w:b/>
                <w:i/>
                <w:color w:val="FFFFFF"/>
                <w:sz w:val="18"/>
                <w:szCs w:val="18"/>
              </w:rPr>
              <w:t>Common evaluation questions 2014-2020» (Κοινά ερωτήματα αξιολόγησης 2014-2020)</w:t>
            </w:r>
            <w:r>
              <w:rPr>
                <w:b/>
                <w:color w:val="FFFFFF"/>
                <w:sz w:val="18"/>
                <w:szCs w:val="18"/>
              </w:rPr>
              <w:t>]</w:t>
            </w:r>
          </w:p>
        </w:tc>
      </w:tr>
      <w:tr w:rsidR="00A45935" w:rsidRPr="00E05D08" w:rsidTr="00E05D08">
        <w:trPr>
          <w:trHeight w:val="1184"/>
        </w:trPr>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Τα έργα του ΠΑΑ είναι καινοτόμα και βασίζονται στην ανάπτυξη γνώσεων.</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Σ1: ποσοστό δαπανών στο πλαίσιο των άρθρων 14, 15 και 35 του κανονισμού (ΕΕ) 1305/2013 σε σχέση με τις συνολικές δαπάνες του ΠΑΑ.</w:t>
            </w:r>
          </w:p>
          <w:p w:rsidR="00A45935" w:rsidRPr="00385368" w:rsidRDefault="00A45935" w:rsidP="007E63EF">
            <w:pPr>
              <w:spacing w:after="120" w:line="280" w:lineRule="atLeast"/>
              <w:jc w:val="left"/>
              <w:rPr>
                <w:rFonts w:eastAsia="Calibri" w:cs="Arial"/>
                <w:color w:val="57825E"/>
                <w:sz w:val="18"/>
                <w:szCs w:val="18"/>
                <w14:textFill>
                  <w14:solidFill>
                    <w14:srgbClr w14:val="57825E">
                      <w14:lumMod w14:val="75000"/>
                    </w14:srgbClr>
                  </w14:solidFill>
                </w14:textFill>
              </w:rPr>
            </w:pPr>
            <w:r>
              <w:rPr>
                <w:color w:val="57825E"/>
                <w:sz w:val="18"/>
                <w:szCs w:val="18"/>
                <w:u w:val="single"/>
                <w14:textFill>
                  <w14:solidFill>
                    <w14:srgbClr w14:val="57825E">
                      <w14:lumMod w14:val="75000"/>
                    </w14:srgbClr>
                  </w14:solidFill>
                </w14:textFill>
              </w:rPr>
              <w:t>Πρόσθετος δείκτης</w:t>
            </w:r>
            <w:r>
              <w:rPr>
                <w:color w:val="57825E"/>
                <w:sz w:val="18"/>
                <w:szCs w:val="18"/>
                <w14:textFill>
                  <w14:solidFill>
                    <w14:srgbClr w14:val="57825E">
                      <w14:lumMod w14:val="75000"/>
                    </w14:srgbClr>
                  </w14:solidFill>
                </w14:textFill>
              </w:rPr>
              <w:t xml:space="preserve">: ποσοστό των καινοτόμων έργων στο σύνολο των στηριζόμενων έργων του ΠΑΑ. </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Στοιχεία σχετικά με τις πραγματοποιηθείσες δαπάνες για τα μέτρα 1, 2 και 16.</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Εφόσον είναι δυνατόν, θα πρέπει επίσης να συλλεχθούν δεδομένα σχετικά με δαπάνες για επιμέρους μέτρα, για τα οποία έχει αναγνωριστεί ότι διαθέτουν δυναμικό στήριξης της καινοτομίας.</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Σύστημα παρακολούθησης του ΠΑΑ </w:t>
            </w:r>
          </w:p>
          <w:p w:rsidR="00A45935" w:rsidRPr="00385368" w:rsidRDefault="00A45935" w:rsidP="007E63EF">
            <w:pPr>
              <w:numPr>
                <w:ilvl w:val="0"/>
                <w:numId w:val="81"/>
              </w:numPr>
              <w:suppressAutoHyphens/>
              <w:spacing w:before="40" w:after="40"/>
              <w:jc w:val="left"/>
              <w:rPr>
                <w:rFonts w:cs="Arial"/>
                <w:sz w:val="18"/>
                <w:szCs w:val="18"/>
              </w:rPr>
            </w:pPr>
            <w:r>
              <w:rPr>
                <w:sz w:val="18"/>
                <w:szCs w:val="18"/>
              </w:rPr>
              <w:t>Αιτήσεις υποψηφιότητας δικαιούχων (έναρξη έργου)</w:t>
            </w:r>
          </w:p>
          <w:p w:rsidR="00A45935" w:rsidRPr="00385368" w:rsidRDefault="00A45935" w:rsidP="007E63EF">
            <w:pPr>
              <w:numPr>
                <w:ilvl w:val="0"/>
                <w:numId w:val="81"/>
              </w:numPr>
              <w:suppressAutoHyphens/>
              <w:spacing w:before="40" w:after="40"/>
              <w:jc w:val="left"/>
              <w:rPr>
                <w:rFonts w:cs="Arial"/>
                <w:sz w:val="18"/>
                <w:szCs w:val="18"/>
              </w:rPr>
            </w:pPr>
            <w:r>
              <w:rPr>
                <w:sz w:val="18"/>
                <w:szCs w:val="18"/>
              </w:rPr>
              <w:t>Αιτήσεις πληρωμής δικαιούχων (λήξη έργου)</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Έχουν δημιουργηθεί επιχειρησιακές ομάδες.</w:t>
            </w:r>
          </w:p>
        </w:tc>
        <w:tc>
          <w:tcPr>
            <w:tcW w:w="3118" w:type="dxa"/>
          </w:tcPr>
          <w:p w:rsidR="00A45935" w:rsidRPr="00385368" w:rsidRDefault="00A45935" w:rsidP="00F200A2">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Ε.16 Αριθμός πράξεων ΕΣΚ.</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Αριθμός πράξεων ΕΣΚ (στοιχείο δεδομένων Ε.16).</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Σύστημα παρακολούθησης του ΠΑΑ </w:t>
            </w:r>
          </w:p>
          <w:p w:rsidR="00A45935" w:rsidRPr="00385368" w:rsidRDefault="00A45935" w:rsidP="007E63EF">
            <w:pPr>
              <w:numPr>
                <w:ilvl w:val="0"/>
                <w:numId w:val="82"/>
              </w:numPr>
              <w:suppressAutoHyphens/>
              <w:spacing w:before="40" w:after="40"/>
              <w:jc w:val="left"/>
              <w:rPr>
                <w:rFonts w:cs="Arial"/>
                <w:sz w:val="18"/>
                <w:szCs w:val="18"/>
              </w:rPr>
            </w:pPr>
            <w:r>
              <w:rPr>
                <w:sz w:val="18"/>
                <w:szCs w:val="18"/>
              </w:rPr>
              <w:t>Αιτήσεις υποψηφιότητας δικαιούχων (έναρξη έργου)</w:t>
            </w:r>
          </w:p>
          <w:p w:rsidR="00A45935" w:rsidRPr="00385368" w:rsidRDefault="00A45935" w:rsidP="007E63EF">
            <w:pPr>
              <w:numPr>
                <w:ilvl w:val="0"/>
                <w:numId w:val="82"/>
              </w:numPr>
              <w:suppressAutoHyphens/>
              <w:spacing w:before="40" w:after="40"/>
              <w:jc w:val="left"/>
              <w:rPr>
                <w:rFonts w:cs="Arial"/>
                <w:sz w:val="18"/>
                <w:szCs w:val="18"/>
              </w:rPr>
            </w:pPr>
            <w:r>
              <w:rPr>
                <w:sz w:val="18"/>
                <w:szCs w:val="18"/>
              </w:rPr>
              <w:t>Αιτήσεις πληρωμής δικαιούχων (λήξη έργου)</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Διάφοροι εταίροι που συμμετέχουν στις επιχειρησιακές ομάδες της ΕΣΚ.</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Ε.16 Αριθμός και τύπος εταίρων στις πράξεις ΕΣΚ.</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color w:val="57825E"/>
                <w:sz w:val="18"/>
                <w:szCs w:val="18"/>
                <w:u w:val="single"/>
                <w14:textFill>
                  <w14:solidFill>
                    <w14:srgbClr w14:val="57825E">
                      <w14:lumMod w14:val="75000"/>
                    </w14:srgbClr>
                  </w14:solidFill>
                </w14:textFill>
              </w:rPr>
              <w:t>Πρόσθετος δείκτης</w:t>
            </w:r>
            <w:r>
              <w:rPr>
                <w:color w:val="57825E"/>
                <w:sz w:val="18"/>
                <w:szCs w:val="18"/>
                <w14:textFill>
                  <w14:solidFill>
                    <w14:srgbClr w14:val="57825E">
                      <w14:lumMod w14:val="75000"/>
                    </w14:srgbClr>
                  </w14:solidFill>
                </w14:textFill>
              </w:rPr>
              <w:t>: αριθμός και τύπος εταίρων που συμμετέχουν σε έργα συνεργασίας.</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Αριθμός και τύπος εταίρων.</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Σύστημα παρακολούθησης του ΠΑΑ </w:t>
            </w:r>
          </w:p>
          <w:p w:rsidR="00A45935" w:rsidRPr="00385368" w:rsidRDefault="00A45935" w:rsidP="007E63EF">
            <w:pPr>
              <w:numPr>
                <w:ilvl w:val="0"/>
                <w:numId w:val="83"/>
              </w:numPr>
              <w:suppressAutoHyphens/>
              <w:spacing w:before="40" w:after="40"/>
              <w:jc w:val="left"/>
              <w:rPr>
                <w:rFonts w:cs="Arial"/>
                <w:sz w:val="18"/>
                <w:szCs w:val="18"/>
              </w:rPr>
            </w:pPr>
            <w:r>
              <w:rPr>
                <w:sz w:val="18"/>
                <w:szCs w:val="18"/>
              </w:rPr>
              <w:t>Αιτήσεις υποψηφιότητας δικαιούχων (έναρξη έργου)</w:t>
            </w:r>
          </w:p>
          <w:p w:rsidR="00A45935" w:rsidRPr="00385368" w:rsidRDefault="00A45935" w:rsidP="007E63EF">
            <w:pPr>
              <w:numPr>
                <w:ilvl w:val="0"/>
                <w:numId w:val="83"/>
              </w:numPr>
              <w:suppressAutoHyphens/>
              <w:spacing w:before="40" w:after="40"/>
              <w:jc w:val="left"/>
              <w:rPr>
                <w:rFonts w:cs="Arial"/>
                <w:sz w:val="18"/>
                <w:szCs w:val="18"/>
              </w:rPr>
            </w:pPr>
            <w:r>
              <w:rPr>
                <w:sz w:val="18"/>
                <w:szCs w:val="18"/>
              </w:rPr>
              <w:t>Αιτήσεις πληρωμής δικαιούχων (λήξη έργου)</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Συνοπτικές παρουσιάσεις πρακτικής επιχειρησιακής ομάδας.</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Καινοτόμες δράσεις έχουν εφαρμοστεί και διαδοθεί από τις επιχειρησιακές ομάδες της ΕΣΚ.</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Ε.16 Αριθμός πράξεων ΕΣΚ.</w:t>
            </w:r>
          </w:p>
          <w:p w:rsidR="00A45935" w:rsidRPr="00385368" w:rsidRDefault="00A45935" w:rsidP="007E63EF">
            <w:pPr>
              <w:spacing w:after="120" w:line="280" w:lineRule="atLeast"/>
              <w:jc w:val="left"/>
              <w:rPr>
                <w:rFonts w:eastAsia="Calibri" w:cs="Arial"/>
                <w:color w:val="57825E"/>
                <w:sz w:val="18"/>
                <w:szCs w:val="18"/>
              </w:rPr>
            </w:pPr>
            <w:r>
              <w:rPr>
                <w:color w:val="57825E"/>
                <w:sz w:val="18"/>
                <w:szCs w:val="18"/>
                <w:u w:val="single"/>
              </w:rPr>
              <w:t>Πρόσθετος δείκτης</w:t>
            </w:r>
            <w:r>
              <w:rPr>
                <w:color w:val="57825E"/>
                <w:sz w:val="18"/>
                <w:szCs w:val="18"/>
              </w:rPr>
              <w:t xml:space="preserve">: αριθμός στηριζόμενων καινοτόμων δράσεων που υλοποιήθηκαν και διαδόθηκαν από τις επιχειρησιακές ομάδες της </w:t>
            </w:r>
            <w:r>
              <w:rPr>
                <w:color w:val="57825E"/>
                <w:sz w:val="18"/>
                <w:szCs w:val="18"/>
              </w:rPr>
              <w:lastRenderedPageBreak/>
              <w:t>ΕΣΚ, διαχωριζόμενες ανά είδος, τομέα κ.λπ.</w:t>
            </w:r>
          </w:p>
          <w:p w:rsidR="00F200A2" w:rsidRPr="002F229A" w:rsidRDefault="00F200A2" w:rsidP="007E63EF">
            <w:pPr>
              <w:spacing w:after="120" w:line="280" w:lineRule="atLeast"/>
              <w:jc w:val="left"/>
              <w:rPr>
                <w:rFonts w:eastAsia="Calibri" w:cs="Arial"/>
                <w:sz w:val="18"/>
                <w:szCs w:val="18"/>
                <w14:textFill>
                  <w14:solidFill>
                    <w14:srgbClr w14:val="373737">
                      <w14:lumMod w14:val="75000"/>
                    </w14:srgbClr>
                  </w14:solidFill>
                </w14:textFill>
              </w:rPr>
            </w:pP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 </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Αριθμός πράξεων ΕΣΚ (στοιχείο δεδομένων Ε.16).</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Σύστημα παρακολούθησης του ΠΑΑ </w:t>
            </w:r>
          </w:p>
          <w:p w:rsidR="00A45935" w:rsidRPr="00385368" w:rsidRDefault="00A45935" w:rsidP="007E63EF">
            <w:pPr>
              <w:numPr>
                <w:ilvl w:val="0"/>
                <w:numId w:val="84"/>
              </w:numPr>
              <w:suppressAutoHyphens/>
              <w:spacing w:before="40" w:after="40"/>
              <w:jc w:val="left"/>
              <w:rPr>
                <w:rFonts w:cs="Arial"/>
                <w:sz w:val="18"/>
                <w:szCs w:val="18"/>
              </w:rPr>
            </w:pPr>
            <w:r>
              <w:rPr>
                <w:sz w:val="18"/>
                <w:szCs w:val="18"/>
              </w:rPr>
              <w:t>Αιτήσεις υποψηφιότητας δικαιούχων (έναρξη έργου)</w:t>
            </w:r>
          </w:p>
          <w:p w:rsidR="00A45935" w:rsidRPr="00385368" w:rsidRDefault="00A45935" w:rsidP="007E63EF">
            <w:pPr>
              <w:numPr>
                <w:ilvl w:val="0"/>
                <w:numId w:val="84"/>
              </w:numPr>
              <w:suppressAutoHyphens/>
              <w:spacing w:before="40" w:after="40"/>
              <w:jc w:val="left"/>
              <w:rPr>
                <w:rFonts w:cs="Arial"/>
                <w:sz w:val="18"/>
                <w:szCs w:val="18"/>
              </w:rPr>
            </w:pPr>
            <w:r>
              <w:rPr>
                <w:sz w:val="18"/>
                <w:szCs w:val="18"/>
              </w:rPr>
              <w:t>Αιτήσεις πληρωμής δικαιούχων (λήξη έργου)</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Συνοπτικές παρουσιάσεις πρακτικής επιχειρησιακής ομάδας.</w:t>
            </w:r>
          </w:p>
        </w:tc>
      </w:tr>
      <w:tr w:rsidR="00A45935" w:rsidRPr="00E05D08" w:rsidTr="00E05D08">
        <w:tc>
          <w:tcPr>
            <w:tcW w:w="14256" w:type="dxa"/>
            <w:gridSpan w:val="4"/>
            <w:shd w:val="clear" w:color="auto" w:fill="8BAB80"/>
          </w:tcPr>
          <w:p w:rsidR="00A45935" w:rsidRPr="00406C98" w:rsidRDefault="00A45935" w:rsidP="00E05D08">
            <w:pPr>
              <w:spacing w:after="120" w:line="280" w:lineRule="atLeast"/>
              <w:rPr>
                <w:rFonts w:eastAsia="Calibri" w:cs="Arial"/>
                <w:b/>
                <w:color w:val="FFFFFF"/>
                <w:sz w:val="18"/>
                <w:szCs w:val="18"/>
                <w14:textFill>
                  <w14:solidFill>
                    <w14:srgbClr w14:val="FFFFFF">
                      <w14:lumMod w14:val="75000"/>
                      <w14:lumMod w14:val="75000"/>
                    </w14:srgbClr>
                  </w14:solidFill>
                </w14:textFill>
              </w:rPr>
            </w:pPr>
            <w:r>
              <w:rPr>
                <w:b/>
                <w:color w:val="FFFFFF" w:themeColor="background1"/>
                <w:sz w:val="18"/>
                <w:szCs w:val="18"/>
              </w:rPr>
              <w:t>Πρόσθετα στοιχεία αξιολόγησης (προαιρετικό)</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Στη σύνθεση των επιχειρησιακών ομάδων της ΕΣΚ περιλαμβάνονται ενδιαφερόμενοι φορείς καινοτομίας.</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Σύνθεση των επιχειρησιακών ομάδων της ΕΣΚ (αριθμός και τύπος εταίρων), μεταξύ των οποίων και ενδιαφερόμενοι φορείς καινοτομίας.</w:t>
            </w:r>
          </w:p>
        </w:tc>
        <w:tc>
          <w:tcPr>
            <w:tcW w:w="2835" w:type="dxa"/>
          </w:tcPr>
          <w:p w:rsidR="00A45935" w:rsidRPr="00E05D08" w:rsidRDefault="00A45935" w:rsidP="007E63EF">
            <w:pPr>
              <w:suppressAutoHyphens/>
              <w:spacing w:before="40" w:after="40"/>
              <w:jc w:val="left"/>
              <w:rPr>
                <w:rFonts w:cs="Arial"/>
                <w:sz w:val="18"/>
                <w:szCs w:val="18"/>
              </w:rPr>
            </w:pPr>
            <w:r>
              <w:rPr>
                <w:sz w:val="18"/>
                <w:szCs w:val="18"/>
              </w:rPr>
              <w:t>Αριθμός εταίρων της επιχειρησιακής ομάδας.</w:t>
            </w:r>
          </w:p>
          <w:p w:rsidR="00A45935" w:rsidRPr="00E05D08" w:rsidRDefault="00A45935" w:rsidP="007E63EF">
            <w:pPr>
              <w:suppressAutoHyphens/>
              <w:spacing w:before="40" w:after="40"/>
              <w:jc w:val="left"/>
              <w:rPr>
                <w:rFonts w:cs="Arial"/>
                <w:sz w:val="18"/>
                <w:szCs w:val="18"/>
              </w:rPr>
            </w:pPr>
            <w:r>
              <w:rPr>
                <w:sz w:val="18"/>
                <w:szCs w:val="18"/>
              </w:rPr>
              <w:t>Τύπος εταίρων της επιχειρησιακής ομάδας.</w:t>
            </w:r>
          </w:p>
        </w:tc>
        <w:tc>
          <w:tcPr>
            <w:tcW w:w="5756" w:type="dxa"/>
          </w:tcPr>
          <w:p w:rsidR="00A45935" w:rsidRPr="00E05D08" w:rsidRDefault="00A45935" w:rsidP="007E63EF">
            <w:pPr>
              <w:suppressAutoHyphens/>
              <w:spacing w:before="40" w:after="40"/>
              <w:jc w:val="left"/>
              <w:rPr>
                <w:rFonts w:cs="Arial"/>
                <w:sz w:val="18"/>
                <w:szCs w:val="18"/>
              </w:rPr>
            </w:pPr>
            <w:r>
              <w:rPr>
                <w:sz w:val="18"/>
                <w:szCs w:val="18"/>
              </w:rPr>
              <w:t xml:space="preserve">Σύστημα παρακολούθησης του ΠΑΑ </w:t>
            </w:r>
          </w:p>
          <w:p w:rsidR="00A45935" w:rsidRPr="00385368" w:rsidRDefault="00A45935" w:rsidP="007E63EF">
            <w:pPr>
              <w:numPr>
                <w:ilvl w:val="0"/>
                <w:numId w:val="85"/>
              </w:numPr>
              <w:suppressAutoHyphens/>
              <w:spacing w:before="40" w:after="40"/>
              <w:jc w:val="left"/>
              <w:rPr>
                <w:rFonts w:cs="Arial"/>
                <w:sz w:val="18"/>
                <w:szCs w:val="18"/>
              </w:rPr>
            </w:pPr>
            <w:r>
              <w:rPr>
                <w:sz w:val="18"/>
                <w:szCs w:val="18"/>
              </w:rPr>
              <w:t>Αιτήσεις υποψηφιότητας δικαιούχων (έναρξη έργου)</w:t>
            </w:r>
          </w:p>
          <w:p w:rsidR="00A45935" w:rsidRPr="00385368" w:rsidRDefault="00A45935" w:rsidP="007E63EF">
            <w:pPr>
              <w:numPr>
                <w:ilvl w:val="0"/>
                <w:numId w:val="85"/>
              </w:numPr>
              <w:suppressAutoHyphens/>
              <w:spacing w:before="40" w:after="40"/>
              <w:jc w:val="left"/>
              <w:rPr>
                <w:rFonts w:cs="Arial"/>
                <w:sz w:val="18"/>
                <w:szCs w:val="18"/>
              </w:rPr>
            </w:pPr>
            <w:r>
              <w:rPr>
                <w:sz w:val="18"/>
                <w:szCs w:val="18"/>
              </w:rPr>
              <w:t>Αιτήσεις πληρωμής δικαιούχων (λήξη έργου)</w:t>
            </w:r>
          </w:p>
          <w:p w:rsidR="00A45935" w:rsidRPr="00385368" w:rsidRDefault="00A45935" w:rsidP="007E63EF">
            <w:pPr>
              <w:suppressAutoHyphens/>
              <w:spacing w:before="40" w:after="40"/>
              <w:jc w:val="left"/>
              <w:rPr>
                <w:rFonts w:cs="Arial"/>
                <w:sz w:val="18"/>
                <w:szCs w:val="18"/>
              </w:rPr>
            </w:pPr>
            <w:r>
              <w:rPr>
                <w:sz w:val="18"/>
                <w:szCs w:val="18"/>
              </w:rPr>
              <w:t>Έρευνες μεταξύ των επιχειρησιακών ομάδων της ΕΣΚ και των ΟΤΔ.</w:t>
            </w:r>
          </w:p>
          <w:p w:rsidR="00A45935" w:rsidRPr="00385368" w:rsidRDefault="00A45935" w:rsidP="007E63EF">
            <w:pPr>
              <w:suppressAutoHyphens/>
              <w:spacing w:before="40" w:after="40"/>
              <w:jc w:val="left"/>
              <w:rPr>
                <w:rFonts w:cs="Arial"/>
                <w:sz w:val="18"/>
                <w:szCs w:val="18"/>
              </w:rPr>
            </w:pPr>
            <w:r>
              <w:rPr>
                <w:sz w:val="18"/>
                <w:szCs w:val="18"/>
              </w:rPr>
              <w:t>Διαδικτυακές πλατφόρμες των επιχειρησιακών ομάδων.</w:t>
            </w:r>
          </w:p>
          <w:p w:rsidR="00A45935" w:rsidRPr="00E05D08" w:rsidRDefault="00A45935" w:rsidP="007E63EF">
            <w:pPr>
              <w:suppressAutoHyphens/>
              <w:spacing w:before="40" w:after="40"/>
              <w:jc w:val="left"/>
              <w:rPr>
                <w:rFonts w:cs="Arial"/>
                <w:sz w:val="18"/>
                <w:szCs w:val="18"/>
              </w:rPr>
            </w:pPr>
            <w:r>
              <w:rPr>
                <w:sz w:val="18"/>
                <w:szCs w:val="18"/>
              </w:rPr>
              <w:t>Συνοπτικές παρουσιάσεις πρακτικής επιχειρησιακής ομάδας.</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Οι ΟΤΔ έχουν στηρίξει έργα καινοτομίας.</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Αριθμός έργων που υλοποιήθηκαν από τις ΟΤΔ και τους δικαιούχους τους τα οποία χαρακτηρίστηκαν καινοτόμα (με τήρηση των κριτηρίων επιλεξιμότητας και επιλογής).</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Δεδομένα παρακολούθησης για τα έργα της ΟΤΔ. </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Βάση δεδομένων πράξεων της ΟΤΔ.</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Οι ενδιαφερόμενοι φορείς καινοτομίας έχουν λάβει κατάρτιση.</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Αριθμός και τύπος των ενδιαφερόμενων φορέων καινοτομίας που έχουν λάβει κατάρτιση.</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Αριθμός και τύπος ενδιαφερόμενων φορέων που έχουν λάβει κατάρτιση.</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Σύστημα παρακολούθησης του ΠΑΑ </w:t>
            </w:r>
          </w:p>
          <w:p w:rsidR="00A45935" w:rsidRPr="00385368" w:rsidRDefault="00A45935" w:rsidP="007E63EF">
            <w:pPr>
              <w:numPr>
                <w:ilvl w:val="0"/>
                <w:numId w:val="86"/>
              </w:numPr>
              <w:suppressAutoHyphens/>
              <w:spacing w:before="40" w:after="40"/>
              <w:jc w:val="left"/>
              <w:rPr>
                <w:rFonts w:cs="Arial"/>
                <w:sz w:val="18"/>
                <w:szCs w:val="18"/>
              </w:rPr>
            </w:pPr>
            <w:r>
              <w:rPr>
                <w:sz w:val="18"/>
                <w:szCs w:val="18"/>
              </w:rPr>
              <w:t>Αιτήσεις υποψηφιότητας δικαιούχων (έναρξη έργου)</w:t>
            </w:r>
          </w:p>
          <w:p w:rsidR="00A45935" w:rsidRPr="00385368" w:rsidRDefault="00A45935" w:rsidP="007E63EF">
            <w:pPr>
              <w:numPr>
                <w:ilvl w:val="0"/>
                <w:numId w:val="86"/>
              </w:numPr>
              <w:suppressAutoHyphens/>
              <w:spacing w:before="40" w:after="40"/>
              <w:jc w:val="left"/>
              <w:rPr>
                <w:rFonts w:cs="Arial"/>
                <w:sz w:val="18"/>
                <w:szCs w:val="18"/>
              </w:rPr>
            </w:pPr>
            <w:r>
              <w:rPr>
                <w:sz w:val="18"/>
                <w:szCs w:val="18"/>
              </w:rPr>
              <w:t>Αιτήσεις πληρωμής δικαιούχων (λήξη έργου)</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Συνεντεύξεις, έρευνες μεταξύ των διαχειριστικών αρχών και των παρόχων κατάρτισης.</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Καθοριστικοί παράγοντες επιτυχίας της στήριξης της καινοτομίας μέσω των μέτρων 1, 2, 16 και 19.</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Περιγραφή των καθοριστικών παραγόντων που συνέβαλαν στη στήριξη της καινοτομίας στις αγροτικές περιοχές.</w:t>
            </w:r>
          </w:p>
        </w:tc>
        <w:tc>
          <w:tcPr>
            <w:tcW w:w="2835"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Ποιοτικές πληροφορίες.</w:t>
            </w:r>
          </w:p>
        </w:tc>
        <w:tc>
          <w:tcPr>
            <w:tcW w:w="5756"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Συνεντεύξεις, έρευνες και ομάδες εστίασης μεταξύ δικαιούχων των επιμέρους μέτρων των μέτρων 1 και 2 που σχετίζονται με την καινοτομία, καθώς και μεταξύ επιχειρησιακών ομάδων.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ΕΣΚ-AGRI και ΟΤΔ.</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 xml:space="preserve">Συνοπτικές παρουσιάσεις πρακτικής επιχειρησιακής ομάδας. </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Βάση δεδομένων πράξεων της ΟΤΔ.</w:t>
            </w:r>
          </w:p>
        </w:tc>
      </w:tr>
    </w:tbl>
    <w:p w:rsidR="00A45935" w:rsidRPr="00E05D08" w:rsidRDefault="00A45935" w:rsidP="00E05D08">
      <w:pPr>
        <w:spacing w:after="120" w:line="280" w:lineRule="atLeast"/>
        <w:mirrorIndents/>
        <w:rPr>
          <w:rFonts w:eastAsia="Times New Roman" w:cs="Times New Roman"/>
          <w:color w:val="FF0000"/>
          <w:szCs w:val="20"/>
          <w:lang w:eastAsia="de-DE"/>
        </w:rPr>
      </w:pPr>
    </w:p>
    <w:p w:rsidR="00A45935" w:rsidRPr="00E05D08" w:rsidRDefault="00A45935" w:rsidP="00541A7D">
      <w:pPr>
        <w:spacing w:before="60" w:after="0" w:line="280" w:lineRule="atLeast"/>
        <w:rPr>
          <w:rFonts w:eastAsia="Times New Roman" w:cs="Arial"/>
          <w:szCs w:val="18"/>
          <w:lang w:eastAsia="de-DE"/>
          <w14:textFill>
            <w14:solidFill>
              <w14:srgbClr w14:val="373737">
                <w14:lumMod w14:val="75000"/>
              </w14:srgbClr>
            </w14:solidFill>
          </w14:textFill>
        </w:rPr>
      </w:pP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E05D08" w:rsidRDefault="000C3632" w:rsidP="000C3632">
      <w:pPr>
        <w:spacing w:before="120" w:after="120" w:line="280" w:lineRule="atLeast"/>
        <w:ind w:left="360" w:hanging="360"/>
        <w:mirrorIndents/>
        <w:rPr>
          <w:rFonts w:eastAsia="Times New Roman" w:cs="Times New Roman"/>
          <w:b/>
          <w:szCs w:val="20"/>
        </w:rPr>
      </w:pPr>
      <w:r>
        <w:rPr>
          <w:b/>
          <w:szCs w:val="20"/>
        </w:rPr>
        <w:lastRenderedPageBreak/>
        <w:t>γ.</w:t>
      </w:r>
      <w:r>
        <w:rPr>
          <w:b/>
          <w:szCs w:val="20"/>
        </w:rPr>
        <w:tab/>
      </w:r>
      <w:r w:rsidR="00A45935">
        <w:rPr>
          <w:b/>
          <w:szCs w:val="20"/>
        </w:rPr>
        <w:t xml:space="preserve">Προτεινόμενη μεθοδολογία αξιολόγησης για την παροχή απάντησης στο ΚΕΑ αριθ. 1 </w:t>
      </w:r>
    </w:p>
    <w:p w:rsidR="00A45935" w:rsidRPr="00E05D08" w:rsidRDefault="00A45935" w:rsidP="00E05D08">
      <w:pPr>
        <w:spacing w:after="120" w:line="280" w:lineRule="atLeast"/>
        <w:mirrorIndents/>
        <w:rPr>
          <w:rFonts w:eastAsia="Times New Roman" w:cs="Times New Roman"/>
          <w:szCs w:val="20"/>
        </w:rPr>
      </w:pPr>
      <w:r>
        <w:t>Ο υπολογισμός των κοινών δεικτών που συνδέονται με το ΚΕΑ αριθ. 1 περιγράφεται στο παράρτημα 11 των κατευθυντήριων γραμμών «</w:t>
      </w:r>
      <w:hyperlink r:id="rId39" w:history="1">
        <w:r>
          <w:rPr>
            <w:color w:val="F07E31"/>
            <w:szCs w:val="20"/>
            <w:u w:val="single"/>
          </w:rPr>
          <w:t>Assessment of RDP results: how to prepare for reporting on evaluation in 2017</w:t>
        </w:r>
      </w:hyperlink>
      <w:r>
        <w:t xml:space="preserve">» (Αξιολόγηση των αποτελεσμάτων του ΠΑΑ: Τρόπος προετοιμασίας για την υποβολή εκθέσεων σχετικά με την αξιολόγηση το 2017). </w:t>
      </w:r>
    </w:p>
    <w:p w:rsidR="00A45935" w:rsidRPr="00E05D08" w:rsidRDefault="00A45935" w:rsidP="00E05D08">
      <w:pPr>
        <w:spacing w:after="120" w:line="280" w:lineRule="atLeast"/>
        <w:mirrorIndents/>
        <w:rPr>
          <w:rFonts w:eastAsia="Times New Roman" w:cs="Times New Roman"/>
          <w:szCs w:val="20"/>
        </w:rPr>
      </w:pPr>
      <w:r>
        <w:t>Για την αξιολόγηση του τμήματος του ΚΕΑ αριθ. 1 που σχετίζεται με την καινοτομία, προτείνεται:</w:t>
      </w:r>
    </w:p>
    <w:p w:rsidR="00A45935" w:rsidRPr="00331223" w:rsidRDefault="00A45935" w:rsidP="00C202EC">
      <w:pPr>
        <w:pStyle w:val="Hlistbullet"/>
      </w:pPr>
      <w:r>
        <w:rPr>
          <w:b/>
        </w:rPr>
        <w:t>ΒΗΜΑ 1: Αναγνώριση του δυναμικού καινοτομίας των δικαιούχων</w:t>
      </w:r>
      <w:r>
        <w:t xml:space="preserve"> των μέτρων/επιμέρους μέτρων 1, 2, 16 και 19 (δικαιούχοι που υλοποίησαν πράξεις οι οποίες χαρακτηρίζονται καινοτόμες). </w:t>
      </w:r>
    </w:p>
    <w:p w:rsidR="00A45935" w:rsidRPr="00331223" w:rsidRDefault="00A45935" w:rsidP="00C202EC">
      <w:pPr>
        <w:pStyle w:val="Hlistbullet"/>
      </w:pPr>
      <w:r>
        <w:rPr>
          <w:b/>
        </w:rPr>
        <w:t>ΒΗΜΑ 2: Ποσοτικοποίηση δεικτών εκροών και δεικτών που αφορούν τους στόχους</w:t>
      </w:r>
      <w:r>
        <w:t xml:space="preserve"> με χρήση δεδομένων παρακολούθησης από τη βάση δεδομένων πράξεων των ΠΑΑ/ΟΤΔ σχετικά με τους δικαιούχους (οι οποίοι υλοποίησαν πράξεις που χαρακτηρίζονται καινοτόμες). Για να χρησιμοποιηθεί η βάση δεδομένων πράξεων για την αξιολόγηση της καινοτομίας, οι διαχειριστικές αρχές μπορούν να επιλέξουν την προσθήκη και τη συλλογή στοιχείων δεδομένων που συνδέονται με την καινοτομία. </w:t>
      </w:r>
    </w:p>
    <w:p w:rsidR="00A45935" w:rsidRPr="00331223" w:rsidRDefault="00A45935" w:rsidP="00C202EC">
      <w:pPr>
        <w:pStyle w:val="Hlistbullet"/>
      </w:pPr>
      <w:r>
        <w:rPr>
          <w:b/>
        </w:rPr>
        <w:t>ΒΗΜΑ 3: Συλλογή αποδεικτικών στοιχείων για παροχή απάντησης στο ΚΕΑ</w:t>
      </w:r>
      <w:r>
        <w:t xml:space="preserve"> </w:t>
      </w:r>
      <w:r>
        <w:rPr>
          <w:b/>
        </w:rPr>
        <w:t>με τη βοήθεια προσδιορισθεισών μεθόδων.</w:t>
      </w:r>
      <w:r>
        <w:t xml:space="preserve"> Έρευνες, ομάδες εστίασης και η μέθοδος Delphi, για παράδειγμα, μπορούν να βοηθήσουν στη συλλογή δεδομένων για τα προτεινόμενα κριτήρια απόφασης και τους πρόσθετους δείκτες αποτελεσμάτων. Κατά την εφαρμογή αυτών των μεθόδων, θα πρέπει να λαμβάνεται υπόψη το ζήτημα της ποιότητας και της εγκυρότητας των δεδομένων που αναφέρουν οι δικαιούχοι (βλ. </w:t>
      </w:r>
      <w:hyperlink w:anchor="Recommended_Methods" w:history="1">
        <w:r>
          <w:rPr>
            <w:rStyle w:val="Hyperlink"/>
            <w:sz w:val="20"/>
          </w:rPr>
          <w:t>πίνακα 2</w:t>
        </w:r>
      </w:hyperlink>
      <w:r>
        <w:t xml:space="preserve">). </w:t>
      </w:r>
    </w:p>
    <w:p w:rsidR="00A45935" w:rsidRPr="00C202EC" w:rsidRDefault="00A45935" w:rsidP="00C202EC">
      <w:pPr>
        <w:pStyle w:val="Hlistbullet"/>
        <w:rPr>
          <w:b/>
          <w:sz w:val="16"/>
        </w:rPr>
      </w:pPr>
      <w:r>
        <w:rPr>
          <w:b/>
        </w:rPr>
        <w:t>ΒΗΜΑ 4: Ανάλυση και ερμηνεία των συλλεχθέντων αποδεικτικών στοιχείων</w:t>
      </w:r>
      <w:r>
        <w:t xml:space="preserve"> και χρήση τους για παροχή απάντησης στο ΚΕΑ αριθ. 1 όσον αφορά τη στήριξη της καινοτομίας. </w:t>
      </w:r>
    </w:p>
    <w:p w:rsidR="00A45935" w:rsidRPr="00FA6691" w:rsidRDefault="000A1DD3" w:rsidP="000A1DD3">
      <w:pPr>
        <w:pStyle w:val="HHeadingtables"/>
        <w:numPr>
          <w:ilvl w:val="0"/>
          <w:numId w:val="0"/>
        </w:numPr>
        <w:ind w:left="240"/>
        <w:rPr>
          <w:color w:val="6F6F6F"/>
          <w:sz w:val="18"/>
          <w:szCs w:val="18"/>
        </w:rPr>
      </w:pPr>
      <w:bookmarkStart w:id="108" w:name="Recommended_Methods"/>
      <w:bookmarkStart w:id="109" w:name="_Toc508964827"/>
      <w:bookmarkEnd w:id="108"/>
      <w:r>
        <w:rPr>
          <w:color w:val="6F6F6F"/>
          <w:sz w:val="18"/>
          <w:szCs w:val="18"/>
        </w:rPr>
        <w:t>Πίνακας 2.</w:t>
      </w:r>
      <w:r>
        <w:rPr>
          <w:color w:val="6F6F6F"/>
          <w:sz w:val="18"/>
          <w:szCs w:val="18"/>
        </w:rPr>
        <w:tab/>
      </w:r>
      <w:r w:rsidR="00A45935">
        <w:rPr>
          <w:color w:val="6F6F6F"/>
          <w:sz w:val="18"/>
          <w:szCs w:val="18"/>
        </w:rPr>
        <w:t>Προτεινόμενες μέθοδοι για το ΚΕΑ αριθ. 1</w:t>
      </w:r>
      <w:bookmarkEnd w:id="109"/>
      <w:r w:rsidR="00A45935">
        <w:rPr>
          <w:color w:val="6F6F6F"/>
          <w:sz w:val="18"/>
          <w:szCs w:val="18"/>
        </w:rPr>
        <w:t xml:space="preserve"> </w:t>
      </w:r>
    </w:p>
    <w:tbl>
      <w:tblPr>
        <w:tblStyle w:val="TableGrid"/>
        <w:tblW w:w="8613" w:type="dxa"/>
        <w:tblInd w:w="45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43"/>
        <w:gridCol w:w="6770"/>
      </w:tblGrid>
      <w:tr w:rsidR="00A45935" w:rsidRPr="00E05D08" w:rsidTr="00E05D08">
        <w:trPr>
          <w:tblHeader/>
        </w:trPr>
        <w:tc>
          <w:tcPr>
            <w:tcW w:w="1843"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Μέθοδοι</w:t>
            </w:r>
          </w:p>
        </w:tc>
        <w:tc>
          <w:tcPr>
            <w:tcW w:w="6770" w:type="dxa"/>
            <w:shd w:val="clear" w:color="auto" w:fill="F07E31"/>
          </w:tcPr>
          <w:p w:rsidR="00A45935" w:rsidRPr="00385368" w:rsidRDefault="00A45935" w:rsidP="00E05D08">
            <w:pPr>
              <w:spacing w:after="120" w:line="280" w:lineRule="atLeast"/>
              <w:mirrorIndents/>
              <w:jc w:val="center"/>
              <w:rPr>
                <w:b/>
                <w:color w:val="FFFFFF"/>
                <w:sz w:val="18"/>
                <w:szCs w:val="18"/>
              </w:rPr>
            </w:pPr>
            <w:r>
              <w:rPr>
                <w:b/>
                <w:color w:val="FFFFFF"/>
                <w:sz w:val="18"/>
                <w:szCs w:val="18"/>
              </w:rPr>
              <w:t>Συμβουλές για τον τρόπο χρήσης των μεθόδων</w:t>
            </w:r>
          </w:p>
        </w:tc>
      </w:tr>
      <w:tr w:rsidR="00A45935" w:rsidRPr="00E05D08" w:rsidTr="00E05D08">
        <w:tc>
          <w:tcPr>
            <w:tcW w:w="1843" w:type="dxa"/>
          </w:tcPr>
          <w:p w:rsidR="00A45935" w:rsidRPr="00385368" w:rsidRDefault="00A45935" w:rsidP="007E63EF">
            <w:pPr>
              <w:spacing w:after="120" w:line="280" w:lineRule="atLeast"/>
              <w:ind w:right="116"/>
              <w:mirrorIndents/>
              <w:jc w:val="left"/>
              <w:rPr>
                <w:sz w:val="18"/>
                <w:szCs w:val="18"/>
              </w:rPr>
            </w:pPr>
            <w:r>
              <w:rPr>
                <w:sz w:val="18"/>
                <w:szCs w:val="18"/>
              </w:rPr>
              <w:t xml:space="preserve">Έρευνες μεταξύ των διαχειριστών των μέτρων 1 και 2 </w:t>
            </w:r>
          </w:p>
          <w:p w:rsidR="00A45935" w:rsidRPr="00385368" w:rsidRDefault="00A45935" w:rsidP="007E63EF">
            <w:pPr>
              <w:spacing w:after="120" w:line="280" w:lineRule="atLeast"/>
              <w:ind w:right="116"/>
              <w:mirrorIndents/>
              <w:jc w:val="left"/>
              <w:rPr>
                <w:sz w:val="18"/>
                <w:szCs w:val="18"/>
              </w:rPr>
            </w:pPr>
            <w:r>
              <w:rPr>
                <w:sz w:val="18"/>
                <w:szCs w:val="18"/>
              </w:rPr>
              <w:t>Έρευνες μεταξύ των δικαιούχων των μέτρων 1 και 2</w:t>
            </w:r>
          </w:p>
          <w:p w:rsidR="00A45935" w:rsidRPr="00385368" w:rsidRDefault="00A45935" w:rsidP="007E63EF">
            <w:pPr>
              <w:spacing w:after="120" w:line="280" w:lineRule="atLeast"/>
              <w:ind w:right="116"/>
              <w:mirrorIndents/>
              <w:jc w:val="left"/>
              <w:rPr>
                <w:sz w:val="18"/>
                <w:szCs w:val="18"/>
              </w:rPr>
            </w:pPr>
            <w:r>
              <w:rPr>
                <w:sz w:val="18"/>
                <w:szCs w:val="18"/>
              </w:rPr>
              <w:t>Έρευνες σχετικά με τα έργα συνεργασίας των επιχειρησιακών ομάδων</w:t>
            </w:r>
          </w:p>
          <w:p w:rsidR="00A45935" w:rsidRPr="00385368" w:rsidRDefault="00A45935" w:rsidP="007E63EF">
            <w:pPr>
              <w:spacing w:after="120" w:line="280" w:lineRule="atLeast"/>
              <w:ind w:right="116"/>
              <w:mirrorIndents/>
              <w:jc w:val="left"/>
              <w:rPr>
                <w:sz w:val="18"/>
                <w:szCs w:val="18"/>
              </w:rPr>
            </w:pPr>
            <w:r>
              <w:rPr>
                <w:sz w:val="18"/>
                <w:szCs w:val="18"/>
              </w:rPr>
              <w:t xml:space="preserve">Έρευνες μεταξύ των ΟΤΔ και των δικαιούχων τους </w:t>
            </w:r>
          </w:p>
        </w:tc>
        <w:tc>
          <w:tcPr>
            <w:tcW w:w="6770" w:type="dxa"/>
          </w:tcPr>
          <w:p w:rsidR="00A45935" w:rsidRPr="00385368" w:rsidRDefault="00A45935" w:rsidP="00C202EC">
            <w:pPr>
              <w:pStyle w:val="Hlistbullet"/>
              <w:rPr>
                <w:sz w:val="18"/>
                <w:szCs w:val="18"/>
              </w:rPr>
            </w:pPr>
            <w:r>
              <w:rPr>
                <w:sz w:val="18"/>
                <w:szCs w:val="18"/>
              </w:rPr>
              <w:t xml:space="preserve">Επιλογή διαχειριστών/δικαιούχων των επιμέρους μέτρων των μέτρων 1 και 2 που σχετίζονται με την καινοτομία για τη διεξαγωγή της έρευνας. </w:t>
            </w:r>
          </w:p>
          <w:p w:rsidR="00A45935" w:rsidRPr="00385368" w:rsidRDefault="00A45935" w:rsidP="00C202EC">
            <w:pPr>
              <w:pStyle w:val="Hlistbullet"/>
              <w:rPr>
                <w:sz w:val="18"/>
                <w:szCs w:val="18"/>
              </w:rPr>
            </w:pPr>
            <w:r>
              <w:rPr>
                <w:sz w:val="18"/>
                <w:szCs w:val="18"/>
              </w:rPr>
              <w:t>Επιλογή δείγματος έργων συνεργασίας (π.χ. κατά τομέα, μέγεθος της επιχειρησιακής ομάδας, περιοχή κ.λπ.) για τη συλλογή μέσω της έρευνας δεδομένων και πληροφοριών από τους δικαιούχους σχετικά με τους δείκτες.</w:t>
            </w:r>
          </w:p>
          <w:p w:rsidR="00A45935" w:rsidRPr="00385368" w:rsidRDefault="00A45935" w:rsidP="00C202EC">
            <w:pPr>
              <w:pStyle w:val="Hlistbullet"/>
              <w:rPr>
                <w:sz w:val="18"/>
                <w:szCs w:val="18"/>
              </w:rPr>
            </w:pPr>
            <w:r>
              <w:rPr>
                <w:sz w:val="18"/>
                <w:szCs w:val="18"/>
              </w:rPr>
              <w:t>Διάρθρωση των ερευνών με ένταξη ερωτήσεων ανοικτού τύπου όσον αφορά τον τρόπο με τον οποίο οι δραστηριότητες των μέτρων 1 και 2, οι επιχειρησιακές ομάδες και οι ΟΤΔ συνέβαλαν: α) στην ανταλλαγή καινοτόμων ιδεών, β) στην ανάπτυξη της ικανότητας για καινοτομία, γ) στη δημιουργία ευνοϊκού περιβάλλοντος για την καινοτομία.</w:t>
            </w:r>
          </w:p>
          <w:p w:rsidR="00A45935" w:rsidRPr="00385368" w:rsidRDefault="00A45935" w:rsidP="00C202EC">
            <w:pPr>
              <w:pStyle w:val="Hlistbullet"/>
              <w:rPr>
                <w:sz w:val="18"/>
                <w:szCs w:val="18"/>
              </w:rPr>
            </w:pPr>
            <w:r>
              <w:rPr>
                <w:sz w:val="18"/>
                <w:szCs w:val="18"/>
              </w:rPr>
              <w:t>Αξιοποίηση των πορισμάτων των ερευνών για:</w:t>
            </w:r>
          </w:p>
          <w:p w:rsidR="00A45935" w:rsidRPr="00385368" w:rsidRDefault="00A45935" w:rsidP="00C202EC">
            <w:pPr>
              <w:pStyle w:val="Hlistbullet2"/>
              <w:rPr>
                <w:sz w:val="18"/>
                <w:szCs w:val="18"/>
              </w:rPr>
            </w:pPr>
            <w:r>
              <w:rPr>
                <w:sz w:val="18"/>
                <w:szCs w:val="18"/>
              </w:rPr>
              <w:t>Αξιολόγηση του τρόπου με τον οποίο τα διάφορα είδη δράσεων κατάρτισης και ενημέρωσης στο πλαίσιο του μέτρου 1 συμβάλλουν στη στήριξη της καινοτομίας·</w:t>
            </w:r>
          </w:p>
          <w:p w:rsidR="00A45935" w:rsidRPr="00385368" w:rsidRDefault="00A45935" w:rsidP="00C202EC">
            <w:pPr>
              <w:pStyle w:val="Hlistbullet2"/>
              <w:rPr>
                <w:sz w:val="18"/>
                <w:szCs w:val="18"/>
              </w:rPr>
            </w:pPr>
            <w:r>
              <w:rPr>
                <w:sz w:val="18"/>
                <w:szCs w:val="18"/>
              </w:rPr>
              <w:t>Αξιολόγηση του τρόπου με τον οποίο οι συμβουλευτικές υπηρεσίες συμβάλλουν στη στήριξη της καινοτομίας·</w:t>
            </w:r>
          </w:p>
          <w:p w:rsidR="00A45935" w:rsidRPr="00385368" w:rsidRDefault="00A45935" w:rsidP="00C202EC">
            <w:pPr>
              <w:pStyle w:val="Hlistbullet2"/>
              <w:rPr>
                <w:sz w:val="18"/>
                <w:szCs w:val="18"/>
              </w:rPr>
            </w:pPr>
            <w:r>
              <w:rPr>
                <w:sz w:val="18"/>
                <w:szCs w:val="18"/>
              </w:rPr>
              <w:t xml:space="preserve">Αξιολόγηση του τρόπου με τον οποίο οι επιχειρησιακές ομάδες </w:t>
            </w:r>
            <w:r>
              <w:rPr>
                <w:sz w:val="18"/>
                <w:szCs w:val="18"/>
              </w:rPr>
              <w:lastRenderedPageBreak/>
              <w:t xml:space="preserve">συμβάλλουν στην παραγωγή αξιοποιήσιμων αποτελεσμάτων· </w:t>
            </w:r>
          </w:p>
          <w:p w:rsidR="00A45935" w:rsidRPr="00385368" w:rsidRDefault="00A45935" w:rsidP="00C202EC">
            <w:pPr>
              <w:pStyle w:val="Hlistbullet2"/>
            </w:pPr>
            <w:r>
              <w:rPr>
                <w:sz w:val="18"/>
                <w:szCs w:val="18"/>
              </w:rPr>
              <w:t>Αξιολόγηση του τρόπου με τον οποίο οι ΟΤΔ προωθούν την καινοτομία μέσω έργων που στηρίζονται από τις στρατηγικές CLLD ή δραστηριοτήτων που διεξάγονται υπό τον συντονισμό των ΟΤΔ.</w:t>
            </w:r>
          </w:p>
        </w:tc>
      </w:tr>
      <w:tr w:rsidR="00A45935" w:rsidRPr="00E05D08" w:rsidTr="00E05D08">
        <w:tc>
          <w:tcPr>
            <w:tcW w:w="1843" w:type="dxa"/>
          </w:tcPr>
          <w:p w:rsidR="00A45935" w:rsidRPr="00E05D08" w:rsidRDefault="00A45935" w:rsidP="007E63EF">
            <w:pPr>
              <w:spacing w:after="120" w:line="280" w:lineRule="atLeast"/>
              <w:mirrorIndents/>
              <w:jc w:val="left"/>
              <w:rPr>
                <w:sz w:val="18"/>
                <w:szCs w:val="18"/>
              </w:rPr>
            </w:pPr>
            <w:r>
              <w:rPr>
                <w:sz w:val="18"/>
                <w:szCs w:val="18"/>
              </w:rPr>
              <w:lastRenderedPageBreak/>
              <w:t>Ομάδες εστίασης</w:t>
            </w:r>
          </w:p>
        </w:tc>
        <w:tc>
          <w:tcPr>
            <w:tcW w:w="6770" w:type="dxa"/>
          </w:tcPr>
          <w:p w:rsidR="00A45935" w:rsidRPr="00385368" w:rsidRDefault="00A45935" w:rsidP="00C202EC">
            <w:pPr>
              <w:pStyle w:val="Hlistbullet"/>
              <w:rPr>
                <w:sz w:val="18"/>
                <w:szCs w:val="18"/>
              </w:rPr>
            </w:pPr>
            <w:r>
              <w:rPr>
                <w:sz w:val="18"/>
                <w:szCs w:val="18"/>
              </w:rPr>
              <w:t>Ένταξη των φορέων καινοτομίας στις ομάδες εστίασης (π.χ. υπηρεσίες υποστήριξης της καινοτομίας, σύμβουλοι που λειτουργούν ως διαμεσολαβητές καινοτομίας, κέντρα έρευνας και καινοτομίας κ.λπ.).</w:t>
            </w:r>
          </w:p>
          <w:p w:rsidR="00A45935" w:rsidRPr="00385368" w:rsidRDefault="00A45935" w:rsidP="00C202EC">
            <w:pPr>
              <w:pStyle w:val="Hlistbullet"/>
              <w:rPr>
                <w:sz w:val="18"/>
                <w:szCs w:val="18"/>
              </w:rPr>
            </w:pPr>
            <w:r>
              <w:rPr>
                <w:sz w:val="18"/>
                <w:szCs w:val="18"/>
              </w:rPr>
              <w:t>Ανάλυση του τρόπου με τον οποίο τα σχετικά επιμέρους μέτρα των μέτρων 1 και 2 και οι επιχειρησιακές ομάδες και οι ΟΤΔ επηρεάζουν την ικανότητα για καινοτομία και τη δημιουργία ευνοϊκού περιβάλλοντος για καινοτομία.</w:t>
            </w:r>
          </w:p>
          <w:p w:rsidR="00A45935" w:rsidRPr="00385368" w:rsidRDefault="00A45935" w:rsidP="00C202EC">
            <w:pPr>
              <w:pStyle w:val="Hlistbullet"/>
              <w:rPr>
                <w:sz w:val="18"/>
                <w:szCs w:val="18"/>
              </w:rPr>
            </w:pPr>
            <w:r>
              <w:rPr>
                <w:sz w:val="18"/>
                <w:szCs w:val="18"/>
              </w:rPr>
              <w:t>Εξέταση της επιλογής θεματικών ομάδων εστίασης (π.χ. ομάδα εστίασης σχετικά με τη διαμεσολάβηση καινοτομίας).</w:t>
            </w:r>
          </w:p>
        </w:tc>
      </w:tr>
      <w:tr w:rsidR="00A45935" w:rsidRPr="00E05D08" w:rsidTr="00E05D08">
        <w:tc>
          <w:tcPr>
            <w:tcW w:w="1843" w:type="dxa"/>
          </w:tcPr>
          <w:p w:rsidR="00A45935" w:rsidRPr="00E05D08" w:rsidRDefault="00A45935" w:rsidP="00E05D08">
            <w:pPr>
              <w:spacing w:after="120" w:line="280" w:lineRule="atLeast"/>
              <w:ind w:right="399"/>
              <w:mirrorIndents/>
              <w:rPr>
                <w:sz w:val="18"/>
                <w:szCs w:val="18"/>
              </w:rPr>
            </w:pPr>
            <w:r>
              <w:rPr>
                <w:sz w:val="18"/>
                <w:szCs w:val="18"/>
              </w:rPr>
              <w:t>Μέθοδος Delphi</w:t>
            </w:r>
          </w:p>
        </w:tc>
        <w:tc>
          <w:tcPr>
            <w:tcW w:w="6770" w:type="dxa"/>
          </w:tcPr>
          <w:p w:rsidR="00A45935" w:rsidRPr="00385368" w:rsidRDefault="00A45935" w:rsidP="00C202EC">
            <w:pPr>
              <w:pStyle w:val="Hlistbullet"/>
              <w:rPr>
                <w:sz w:val="18"/>
                <w:szCs w:val="18"/>
              </w:rPr>
            </w:pPr>
            <w:r>
              <w:rPr>
                <w:sz w:val="18"/>
                <w:szCs w:val="18"/>
              </w:rPr>
              <w:t>Ένταξη των εμπειρογνωμόνων καινοτομίας (π.χ. όσων συμμετέχουν στα μέτρα και σε έργα συνεργασίας, αλλά και άλλων εμπειρογνωμόνων καινοτομίας, όπως πανεπιστημιακών).</w:t>
            </w:r>
          </w:p>
        </w:tc>
      </w:tr>
    </w:tbl>
    <w:p w:rsidR="00EF1B0F" w:rsidRPr="00E05D08" w:rsidRDefault="00EF1B0F" w:rsidP="00EF1B0F">
      <w:pPr>
        <w:spacing w:before="240" w:after="120" w:line="280" w:lineRule="atLeast"/>
        <w:mirrorIndents/>
        <w:rPr>
          <w:rFonts w:eastAsia="Times New Roman" w:cs="Times New Roman"/>
          <w:b/>
          <w:i/>
          <w:sz w:val="18"/>
          <w:szCs w:val="18"/>
        </w:rPr>
      </w:pPr>
      <w:r>
        <w:rPr>
          <w:b/>
          <w:i/>
          <w:sz w:val="18"/>
          <w:szCs w:val="18"/>
        </w:rPr>
        <w:t>Πρακτικές αξιολόγησης που αναφέρονται στις ΕΕΥ του 2017</w:t>
      </w:r>
    </w:p>
    <w:p w:rsidR="00A45935" w:rsidRPr="00E05D08" w:rsidRDefault="00A45935" w:rsidP="00E05D08">
      <w:pPr>
        <w:spacing w:after="120" w:line="280" w:lineRule="atLeast"/>
        <w:mirrorIndents/>
        <w:rPr>
          <w:rFonts w:eastAsia="Times New Roman" w:cs="Times New Roman"/>
          <w:i/>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C202EC" w:rsidRDefault="006F1601" w:rsidP="00E05D08">
      <w:pPr>
        <w:spacing w:after="120" w:line="280" w:lineRule="atLeast"/>
        <w:mirrorIndents/>
        <w:rPr>
          <w:rFonts w:eastAsia="Times New Roman" w:cs="Times New Roman"/>
          <w:b/>
          <w:i/>
          <w:sz w:val="18"/>
          <w:szCs w:val="18"/>
        </w:rPr>
      </w:pPr>
      <w:r>
        <w:rPr>
          <w:rFonts w:eastAsia="Times New Roman" w:cs="Times New Roman"/>
          <w:noProof/>
          <w:sz w:val="18"/>
          <w:szCs w:val="24"/>
          <w:lang w:val="en-GB" w:eastAsia="en-GB"/>
        </w:rPr>
        <w:lastRenderedPageBreak/>
        <mc:AlternateContent>
          <mc:Choice Requires="wps">
            <w:drawing>
              <wp:inline distT="0" distB="0" distL="0" distR="0" wp14:anchorId="39F6C028" wp14:editId="57336FA5">
                <wp:extent cx="5918479" cy="6886575"/>
                <wp:effectExtent l="0" t="0" r="25400" b="28575"/>
                <wp:docPr id="60" name="Rectangle: Diagonal Corners Rounded 60"/>
                <wp:cNvGraphicFramePr/>
                <a:graphic xmlns:a="http://schemas.openxmlformats.org/drawingml/2006/main">
                  <a:graphicData uri="http://schemas.microsoft.com/office/word/2010/wordprocessingShape">
                    <wps:wsp>
                      <wps:cNvSpPr/>
                      <wps:spPr>
                        <a:xfrm>
                          <a:off x="0" y="0"/>
                          <a:ext cx="5918479" cy="6886575"/>
                        </a:xfrm>
                        <a:prstGeom prst="round2DiagRect">
                          <a:avLst>
                            <a:gd name="adj1" fmla="val 5521"/>
                            <a:gd name="adj2" fmla="val 0"/>
                          </a:avLst>
                        </a:prstGeom>
                        <a:noFill/>
                        <a:ln w="25400" cap="flat" cmpd="sng" algn="ctr">
                          <a:solidFill>
                            <a:srgbClr val="F07E31"/>
                          </a:solidFill>
                          <a:prstDash val="solid"/>
                        </a:ln>
                        <a:effectLst/>
                      </wps:spPr>
                      <wps:txbx>
                        <w:txbxContent>
                          <w:p w:rsidR="00272EFF" w:rsidRPr="00C202EC" w:rsidRDefault="00272EFF" w:rsidP="00E05D08">
                            <w:pPr>
                              <w:pStyle w:val="Normal12PTcouleurgris"/>
                              <w:ind w:left="567" w:hanging="567"/>
                              <w:rPr>
                                <w:b/>
                                <w:color w:val="F07E31"/>
                                <w:sz w:val="18"/>
                              </w:rPr>
                            </w:pPr>
                            <w:r>
                              <w:rPr>
                                <w:noProof/>
                                <w:color w:val="F07E31"/>
                                <w:lang w:val="en-GB" w:eastAsia="en-GB"/>
                              </w:rPr>
                              <w:drawing>
                                <wp:inline distT="0" distB="0" distL="0" distR="0" wp14:anchorId="421568C1" wp14:editId="4A608F00">
                                  <wp:extent cx="353060" cy="359410"/>
                                  <wp:effectExtent l="0" t="0" r="8890" b="2540"/>
                                  <wp:docPr id="74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rsidR="00272EFF" w:rsidRPr="00DC60EA" w:rsidRDefault="00272EFF" w:rsidP="00C202EC">
                            <w:pPr>
                              <w:pStyle w:val="Normal12PTcouleurgris"/>
                              <w:spacing w:after="120"/>
                              <w:ind w:left="567" w:hanging="567"/>
                              <w:rPr>
                                <w:b/>
                                <w:color w:val="F07E31"/>
                                <w:sz w:val="18"/>
                              </w:rPr>
                            </w:pPr>
                            <w:r w:rsidRPr="00DC60EA">
                              <w:rPr>
                                <w:b/>
                                <w:color w:val="F07E31"/>
                                <w:sz w:val="18"/>
                              </w:rPr>
                              <w:t>Παραδείγματα αναγνώρισης του δυναμικού καινοτομίας</w:t>
                            </w:r>
                          </w:p>
                          <w:p w:rsidR="00272EFF" w:rsidRPr="00DC60EA" w:rsidRDefault="00272EFF" w:rsidP="00C202EC">
                            <w:pPr>
                              <w:pStyle w:val="Hlistbullet"/>
                              <w:rPr>
                                <w:sz w:val="18"/>
                                <w:szCs w:val="18"/>
                              </w:rPr>
                            </w:pPr>
                            <w:r w:rsidRPr="00DC60EA">
                              <w:rPr>
                                <w:b/>
                                <w:sz w:val="18"/>
                                <w:szCs w:val="18"/>
                              </w:rPr>
                              <w:t>Castilla y León (Ισπανία)</w:t>
                            </w:r>
                            <w:r w:rsidRPr="00DC60EA">
                              <w:rPr>
                                <w:sz w:val="18"/>
                                <w:szCs w:val="18"/>
                              </w:rPr>
                              <w:t xml:space="preserve"> – τονίζεται το δυναμικό καινοτομίας των ΟΤΔ και συνιστάται ανάλυση των στρατηγικών τοπικής ανάπτυξης, προκειμένου να αναγνωριστούν οι μορφές πράξεων που υλοποιούνται στο πλαίσιο των στρατηγικών οι οποίες προωθούν τη συνεισφορά των ΟΤΔ στους σχετικούς με την καινοτομία στόχους του ΤΕ 1Α.</w:t>
                            </w:r>
                            <w:r w:rsidRPr="00DC60EA">
                              <w:rPr>
                                <w:b/>
                                <w:sz w:val="18"/>
                                <w:szCs w:val="18"/>
                              </w:rPr>
                              <w:t xml:space="preserve"> </w:t>
                            </w:r>
                          </w:p>
                          <w:p w:rsidR="00272EFF" w:rsidRPr="00DC60EA" w:rsidRDefault="00272EFF" w:rsidP="00C202EC">
                            <w:pPr>
                              <w:pStyle w:val="Hlistbullet"/>
                              <w:rPr>
                                <w:sz w:val="18"/>
                                <w:szCs w:val="18"/>
                              </w:rPr>
                            </w:pPr>
                            <w:r w:rsidRPr="00DC60EA">
                              <w:rPr>
                                <w:b/>
                                <w:sz w:val="18"/>
                                <w:szCs w:val="18"/>
                              </w:rPr>
                              <w:t>Κανάριες νήσοι (Ισπανία)</w:t>
                            </w:r>
                            <w:r w:rsidRPr="00DC60EA">
                              <w:rPr>
                                <w:sz w:val="18"/>
                                <w:szCs w:val="18"/>
                              </w:rPr>
                              <w:t xml:space="preserve"> – επίσης τονίζεται το δυναμικό καινοτομίας των ΟΤΔ και συνιστάται να συμπεριληφθεί στο σύστημα παρακολούθησης και αξιολόγησης μια μεταβλητή η οποία υποδηλώνει εάν οι πράξεις που υλοποιούνται από τις ΟΤΔ στο πλαίσιο των στρατηγικών τοπικής ανάπτυξης βάσει του μέτρου 19 είναι καινοτόμες.</w:t>
                            </w:r>
                          </w:p>
                          <w:p w:rsidR="00272EFF" w:rsidRPr="00DC60EA" w:rsidRDefault="00272EFF" w:rsidP="003F6478">
                            <w:pPr>
                              <w:pStyle w:val="HStandard"/>
                              <w:ind w:left="567" w:hanging="567"/>
                              <w:rPr>
                                <w:b/>
                                <w:color w:val="F07E31"/>
                                <w:sz w:val="18"/>
                                <w:szCs w:val="18"/>
                              </w:rPr>
                            </w:pPr>
                            <w:r w:rsidRPr="00DC60EA">
                              <w:rPr>
                                <w:b/>
                                <w:color w:val="F07E31"/>
                                <w:sz w:val="18"/>
                                <w:szCs w:val="18"/>
                              </w:rPr>
                              <w:t xml:space="preserve">Παραδείγματα πρόσθετων στοιχείων αξιολόγησης </w:t>
                            </w:r>
                          </w:p>
                          <w:p w:rsidR="00272EFF" w:rsidRPr="00DC60EA" w:rsidRDefault="00272EFF" w:rsidP="00C202EC">
                            <w:pPr>
                              <w:pStyle w:val="Hlistbullet"/>
                              <w:rPr>
                                <w:sz w:val="18"/>
                                <w:szCs w:val="18"/>
                              </w:rPr>
                            </w:pPr>
                            <w:r w:rsidRPr="00DC60EA">
                              <w:rPr>
                                <w:b/>
                                <w:sz w:val="18"/>
                                <w:szCs w:val="18"/>
                              </w:rPr>
                              <w:t>Βαυαρία (Γερμανία)</w:t>
                            </w:r>
                            <w:r w:rsidRPr="00DC60EA">
                              <w:rPr>
                                <w:sz w:val="18"/>
                                <w:szCs w:val="18"/>
                              </w:rPr>
                              <w:t xml:space="preserve"> – αναφέρεται η χρήση πρόσθετων κριτηρίων απόφασης που σχετίζονται με την καινοτομία σε επίπεδο ΟΤΔ (π.χ. νέα πολυτομεακά έργα που αξιοποιήθηκαν από την ΟΤΔ, νέες διαδικασίες/τεχνικές που δοκιμάστηκαν). Χρησιμοποιήθηκε ένας πρόσθετος δείκτης αποτελεσμάτων (νέες ιδέες/λύσεις, καινοτομίες – μέτρο 19). Ο δείκτης ποσοτικοποιήθηκε και οι πληροφορίες συλλέχθηκαν μέσω α) διαδικτυακής έρευνας μεταξύ των διαχειριστών των ΟΤΔ· β) ημι-δομημένων συνεντεύξεων με επιλεγμένους διαχειριστές ΟΤΔ. </w:t>
                            </w:r>
                          </w:p>
                          <w:p w:rsidR="00272EFF" w:rsidRPr="00DC60EA" w:rsidRDefault="00272EFF" w:rsidP="00C202EC">
                            <w:pPr>
                              <w:pStyle w:val="Hlistbullet"/>
                              <w:rPr>
                                <w:sz w:val="18"/>
                                <w:szCs w:val="18"/>
                              </w:rPr>
                            </w:pPr>
                            <w:r w:rsidRPr="00DC60EA">
                              <w:rPr>
                                <w:b/>
                                <w:sz w:val="18"/>
                                <w:szCs w:val="18"/>
                              </w:rPr>
                              <w:t>Τσεχική Δημοκρατία –</w:t>
                            </w:r>
                            <w:r w:rsidRPr="00DC60EA">
                              <w:rPr>
                                <w:sz w:val="18"/>
                                <w:szCs w:val="18"/>
                              </w:rPr>
                              <w:t xml:space="preserve"> περιγράφεται η συλλογή δεδομένων σχετικά με τον πρόσθετο δείκτη αποτελεσμάτων «αριθμός συμμετεχόντων που ολοκλήρωσαν δραστηριότητες που επικεντρώνονται στις καινοτομίες» μέσω της βάσης δεδομένων πράξεων. Αναφέρεται επίσης έρευνα μεταξύ των δικαιούχων στηριζόμενων έργων για τη συλλογή πληροφοριών σχετικά με την καινοτομία.</w:t>
                            </w:r>
                          </w:p>
                          <w:p w:rsidR="00272EFF" w:rsidRPr="00DC60EA" w:rsidRDefault="00272EFF" w:rsidP="00142A64">
                            <w:pPr>
                              <w:pStyle w:val="HStandard"/>
                              <w:rPr>
                                <w:b/>
                                <w:sz w:val="18"/>
                                <w:szCs w:val="18"/>
                              </w:rPr>
                            </w:pPr>
                            <w:r w:rsidRPr="00DC60EA">
                              <w:rPr>
                                <w:b/>
                                <w:color w:val="F07E31"/>
                                <w:sz w:val="18"/>
                                <w:szCs w:val="18"/>
                              </w:rPr>
                              <w:t>Παραδείγματα μεθόδων</w:t>
                            </w:r>
                          </w:p>
                          <w:p w:rsidR="00272EFF" w:rsidRPr="00DC60EA" w:rsidRDefault="00272EFF" w:rsidP="00C202EC">
                            <w:pPr>
                              <w:pStyle w:val="Hlistbullet"/>
                              <w:rPr>
                                <w:sz w:val="18"/>
                                <w:szCs w:val="18"/>
                              </w:rPr>
                            </w:pPr>
                            <w:r w:rsidRPr="00DC60EA">
                              <w:rPr>
                                <w:b/>
                                <w:sz w:val="18"/>
                                <w:szCs w:val="18"/>
                              </w:rPr>
                              <w:t>Castilla y León (Ισπανία) –</w:t>
                            </w:r>
                            <w:r w:rsidRPr="00DC60EA">
                              <w:rPr>
                                <w:sz w:val="18"/>
                                <w:szCs w:val="18"/>
                              </w:rPr>
                              <w:t xml:space="preserve"> συνιστάται η διενέργεια συνέντευξης με τον διαχειριστή κάθε μέτρου και η ένταξη πρόσθετων στοιχείων δεδομένων στο σύστημα παρακολούθησης, που επιτρέπουν την αξιολόγηση του τρόπου με τον οποίο οι διάφορες πράξεις ενσωματώνουν καινοτόμα στοιχεία και συνεισφέρουν στους στόχους καινοτομίας.</w:t>
                            </w:r>
                          </w:p>
                          <w:p w:rsidR="00272EFF" w:rsidRPr="00DC60EA" w:rsidRDefault="00272EFF" w:rsidP="00C202EC">
                            <w:pPr>
                              <w:pStyle w:val="Hlistbullet"/>
                              <w:rPr>
                                <w:sz w:val="18"/>
                                <w:szCs w:val="18"/>
                              </w:rPr>
                            </w:pPr>
                            <w:r w:rsidRPr="00DC60EA">
                              <w:rPr>
                                <w:b/>
                                <w:sz w:val="18"/>
                                <w:szCs w:val="18"/>
                              </w:rPr>
                              <w:t>Castilla la Mancha (Ισπανία) –</w:t>
                            </w:r>
                            <w:r w:rsidRPr="00DC60EA">
                              <w:rPr>
                                <w:sz w:val="18"/>
                                <w:szCs w:val="18"/>
                              </w:rPr>
                              <w:t xml:space="preserve"> χρησιμοποιήθηκε έρευνα που στάλθηκε σε όλους τους συμμετέχοντες σε προγράμματα κατάρτισης, προκειμένου να αξιολογηθούν, μεταξύ άλλων, οι συνεισφορές των δράσεων μεταφοράς γνώσεων και ενημέρωσης στην καινοτομία. Η έρευνα κατέστησε δυνατή την αξιολόγηση των καινοτόμων κύκλων κατάρτισης.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9F6C028" id="Rectangle: Diagonal Corners Rounded 60" o:spid="_x0000_s1044" style="width:466pt;height:542.25pt;visibility:visible;mso-wrap-style:square;mso-left-percent:-10001;mso-top-percent:-10001;mso-position-horizontal:absolute;mso-position-horizontal-relative:char;mso-position-vertical:absolute;mso-position-vertical-relative:line;mso-left-percent:-10001;mso-top-percent:-10001;v-text-anchor:middle" coordsize="5918479,6886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" adj="-11796480,,5400" path="m326759,l5918479,r,l5918479,6559816v,180464,-146295,326759,-326759,326759l,6886575r,l,326759c,146295,146295,,326759,xe" filled="f" strokecolor="#f07e31" strokeweight="2pt">
                <v:stroke joinstyle="miter"/>
                <v:formulas/>
                <v:path arrowok="t" o:connecttype="custom" o:connectlocs="326759,0;5918479,0;5918479,0;5918479,6559816;5591720,6886575;0,6886575;0,6886575;0,326759;326759,0" o:connectangles="0,0,0,0,0,0,0,0,0" textboxrect="0,0,5918479,6886575"/>
                <v:textbox>
                  <w:txbxContent>
                    <w:p w:rsidR="00272EFF" w:rsidRPr="00C202EC" w:rsidRDefault="00272EFF" w:rsidP="00E05D08">
                      <w:pPr>
                        <w:pStyle w:val="Normal12PTcouleurgris"/>
                        <w:ind w:left="567" w:hanging="567"/>
                        <w:rPr>
                          <w:b/>
                          <w:color w:val="F07E31"/>
                          <w:sz w:val="18"/>
                        </w:rPr>
                      </w:pPr>
                      <w:r>
                        <w:rPr>
                          <w:noProof/>
                          <w:color w:val="F07E31"/>
                          <w:lang w:val="en-GB" w:eastAsia="en-GB"/>
                        </w:rPr>
                        <w:drawing>
                          <wp:inline distT="0" distB="0" distL="0" distR="0" wp14:anchorId="421568C1" wp14:editId="4A608F00">
                            <wp:extent cx="353060" cy="359410"/>
                            <wp:effectExtent l="0" t="0" r="8890" b="2540"/>
                            <wp:docPr id="74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rsidR="00272EFF" w:rsidRPr="00DC60EA" w:rsidRDefault="00272EFF" w:rsidP="00C202EC">
                      <w:pPr>
                        <w:pStyle w:val="Normal12PTcouleurgris"/>
                        <w:spacing w:after="120"/>
                        <w:ind w:left="567" w:hanging="567"/>
                        <w:rPr>
                          <w:b/>
                          <w:color w:val="F07E31"/>
                          <w:sz w:val="18"/>
                        </w:rPr>
                      </w:pPr>
                      <w:r w:rsidRPr="00DC60EA">
                        <w:rPr>
                          <w:b/>
                          <w:color w:val="F07E31"/>
                          <w:sz w:val="18"/>
                        </w:rPr>
                        <w:t>Παραδείγματα αναγνώρισης του δυναμικού καινοτομίας</w:t>
                      </w:r>
                    </w:p>
                    <w:p w:rsidR="00272EFF" w:rsidRPr="00DC60EA" w:rsidRDefault="00272EFF" w:rsidP="00C202EC">
                      <w:pPr>
                        <w:pStyle w:val="Hlistbullet"/>
                        <w:rPr>
                          <w:sz w:val="18"/>
                          <w:szCs w:val="18"/>
                        </w:rPr>
                      </w:pPr>
                      <w:r w:rsidRPr="00DC60EA">
                        <w:rPr>
                          <w:b/>
                          <w:sz w:val="18"/>
                          <w:szCs w:val="18"/>
                        </w:rPr>
                        <w:t>Castilla y León (Ισπανία)</w:t>
                      </w:r>
                      <w:r w:rsidRPr="00DC60EA">
                        <w:rPr>
                          <w:sz w:val="18"/>
                          <w:szCs w:val="18"/>
                        </w:rPr>
                        <w:t xml:space="preserve"> – τονίζεται το δυναμικό καινοτομίας των ΟΤΔ και συνιστάται ανάλυση των στρατηγικών τοπικής ανάπτυξης, προκειμένου να αναγνωριστούν οι μορφές πράξεων που υλοποιούνται στο πλαίσιο των στρατηγικών οι οποίες προωθούν τη συνεισφορά των ΟΤΔ στους σχετικούς με την καινοτομία στόχους του ΤΕ 1Α.</w:t>
                      </w:r>
                      <w:r w:rsidRPr="00DC60EA">
                        <w:rPr>
                          <w:b/>
                          <w:sz w:val="18"/>
                          <w:szCs w:val="18"/>
                        </w:rPr>
                        <w:t xml:space="preserve"> </w:t>
                      </w:r>
                    </w:p>
                    <w:p w:rsidR="00272EFF" w:rsidRPr="00DC60EA" w:rsidRDefault="00272EFF" w:rsidP="00C202EC">
                      <w:pPr>
                        <w:pStyle w:val="Hlistbullet"/>
                        <w:rPr>
                          <w:sz w:val="18"/>
                          <w:szCs w:val="18"/>
                        </w:rPr>
                      </w:pPr>
                      <w:r w:rsidRPr="00DC60EA">
                        <w:rPr>
                          <w:b/>
                          <w:sz w:val="18"/>
                          <w:szCs w:val="18"/>
                        </w:rPr>
                        <w:t>Κανάριες νήσοι (Ισπανία)</w:t>
                      </w:r>
                      <w:r w:rsidRPr="00DC60EA">
                        <w:rPr>
                          <w:sz w:val="18"/>
                          <w:szCs w:val="18"/>
                        </w:rPr>
                        <w:t xml:space="preserve"> – επίσης τονίζεται το δυναμικό καινοτομίας των ΟΤΔ και συνιστάται να συμπεριληφθεί στο σύστημα παρακολούθησης και αξιολόγησης μια μεταβλητή η οποία υποδηλώνει εάν οι πράξεις που υλοποιούνται από τις ΟΤΔ στο πλαίσιο των στρατηγικών τοπικής ανάπτυξης βάσει του μέτρου 19 είναι καινοτόμες.</w:t>
                      </w:r>
                    </w:p>
                    <w:p w:rsidR="00272EFF" w:rsidRPr="00DC60EA" w:rsidRDefault="00272EFF" w:rsidP="003F6478">
                      <w:pPr>
                        <w:pStyle w:val="HStandard"/>
                        <w:ind w:left="567" w:hanging="567"/>
                        <w:rPr>
                          <w:b/>
                          <w:color w:val="F07E31"/>
                          <w:sz w:val="18"/>
                          <w:szCs w:val="18"/>
                        </w:rPr>
                      </w:pPr>
                      <w:r w:rsidRPr="00DC60EA">
                        <w:rPr>
                          <w:b/>
                          <w:color w:val="F07E31"/>
                          <w:sz w:val="18"/>
                          <w:szCs w:val="18"/>
                        </w:rPr>
                        <w:t xml:space="preserve">Παραδείγματα πρόσθετων στοιχείων αξιολόγησης </w:t>
                      </w:r>
                    </w:p>
                    <w:p w:rsidR="00272EFF" w:rsidRPr="00DC60EA" w:rsidRDefault="00272EFF" w:rsidP="00C202EC">
                      <w:pPr>
                        <w:pStyle w:val="Hlistbullet"/>
                        <w:rPr>
                          <w:sz w:val="18"/>
                          <w:szCs w:val="18"/>
                        </w:rPr>
                      </w:pPr>
                      <w:r w:rsidRPr="00DC60EA">
                        <w:rPr>
                          <w:b/>
                          <w:sz w:val="18"/>
                          <w:szCs w:val="18"/>
                        </w:rPr>
                        <w:t>Βαυαρία (Γερμανία)</w:t>
                      </w:r>
                      <w:r w:rsidRPr="00DC60EA">
                        <w:rPr>
                          <w:sz w:val="18"/>
                          <w:szCs w:val="18"/>
                        </w:rPr>
                        <w:t xml:space="preserve"> – αναφέρεται η χρήση πρόσθετων κριτηρίων απόφασης που σχετίζονται με την καινοτομία σε επίπεδο ΟΤΔ (π.χ. νέα πολυτομεακά έργα που αξιοποιήθηκαν από την ΟΤΔ, νέες διαδικασίες/τεχνικές που δοκιμάστηκαν). Χρησιμοποιήθηκε ένας πρόσθετος δείκτης αποτελεσμάτων (νέες ιδέες/λύσεις, καινοτομίες – μέτρο 19). Ο δείκτης ποσοτικοποιήθηκε και οι πληροφορίες συλλέχθηκαν μέσω α) διαδικτυακής έρευνας μεταξύ των διαχειριστών των ΟΤΔ· β) ημι-δομημένων συνεντεύξεων με επιλεγμένους διαχειριστές ΟΤΔ. </w:t>
                      </w:r>
                    </w:p>
                    <w:p w:rsidR="00272EFF" w:rsidRPr="00DC60EA" w:rsidRDefault="00272EFF" w:rsidP="00C202EC">
                      <w:pPr>
                        <w:pStyle w:val="Hlistbullet"/>
                        <w:rPr>
                          <w:sz w:val="18"/>
                          <w:szCs w:val="18"/>
                        </w:rPr>
                      </w:pPr>
                      <w:r w:rsidRPr="00DC60EA">
                        <w:rPr>
                          <w:b/>
                          <w:sz w:val="18"/>
                          <w:szCs w:val="18"/>
                        </w:rPr>
                        <w:t>Τσεχική Δημοκρατία –</w:t>
                      </w:r>
                      <w:r w:rsidRPr="00DC60EA">
                        <w:rPr>
                          <w:sz w:val="18"/>
                          <w:szCs w:val="18"/>
                        </w:rPr>
                        <w:t xml:space="preserve"> περιγράφεται η συλλογή δεδομένων σχετικά με τον πρόσθετο δείκτη αποτελεσμάτων «αριθμός συμμετεχόντων που ολοκλήρωσαν δραστηριότητες που επικεντρώνονται στις καινοτομίες» μέσω της βάσης δεδομένων πράξεων. Αναφέρεται επίσης έρευνα μεταξύ των δικαιούχων στηριζόμενων έργων για τη συλλογή πληροφοριών σχετικά με την καινοτομία.</w:t>
                      </w:r>
                    </w:p>
                    <w:p w:rsidR="00272EFF" w:rsidRPr="00DC60EA" w:rsidRDefault="00272EFF" w:rsidP="00142A64">
                      <w:pPr>
                        <w:pStyle w:val="HStandard"/>
                        <w:rPr>
                          <w:b/>
                          <w:sz w:val="18"/>
                          <w:szCs w:val="18"/>
                        </w:rPr>
                      </w:pPr>
                      <w:r w:rsidRPr="00DC60EA">
                        <w:rPr>
                          <w:b/>
                          <w:color w:val="F07E31"/>
                          <w:sz w:val="18"/>
                          <w:szCs w:val="18"/>
                        </w:rPr>
                        <w:t>Παραδείγματα μεθόδων</w:t>
                      </w:r>
                    </w:p>
                    <w:p w:rsidR="00272EFF" w:rsidRPr="00DC60EA" w:rsidRDefault="00272EFF" w:rsidP="00C202EC">
                      <w:pPr>
                        <w:pStyle w:val="Hlistbullet"/>
                        <w:rPr>
                          <w:sz w:val="18"/>
                          <w:szCs w:val="18"/>
                        </w:rPr>
                      </w:pPr>
                      <w:r w:rsidRPr="00DC60EA">
                        <w:rPr>
                          <w:b/>
                          <w:sz w:val="18"/>
                          <w:szCs w:val="18"/>
                        </w:rPr>
                        <w:t>Castilla y León (Ισπανία) –</w:t>
                      </w:r>
                      <w:r w:rsidRPr="00DC60EA">
                        <w:rPr>
                          <w:sz w:val="18"/>
                          <w:szCs w:val="18"/>
                        </w:rPr>
                        <w:t xml:space="preserve"> συνιστάται η διενέργεια συνέντευξης με τον διαχειριστή κάθε μέτρου και η ένταξη πρόσθετων στοιχείων δεδομένων στο σύστημα παρακολούθησης, που επιτρέπουν την αξιολόγηση του τρόπου με τον οποίο οι διάφορες πράξεις ενσωματώνουν καινοτόμα στοιχεία και συνεισφέρουν στους στόχους καινοτομίας.</w:t>
                      </w:r>
                    </w:p>
                    <w:p w:rsidR="00272EFF" w:rsidRPr="00DC60EA" w:rsidRDefault="00272EFF" w:rsidP="00C202EC">
                      <w:pPr>
                        <w:pStyle w:val="Hlistbullet"/>
                        <w:rPr>
                          <w:sz w:val="18"/>
                          <w:szCs w:val="18"/>
                        </w:rPr>
                      </w:pPr>
                      <w:r w:rsidRPr="00DC60EA">
                        <w:rPr>
                          <w:b/>
                          <w:sz w:val="18"/>
                          <w:szCs w:val="18"/>
                        </w:rPr>
                        <w:t>Castilla la Mancha (Ισπανία) –</w:t>
                      </w:r>
                      <w:r w:rsidRPr="00DC60EA">
                        <w:rPr>
                          <w:sz w:val="18"/>
                          <w:szCs w:val="18"/>
                        </w:rPr>
                        <w:t xml:space="preserve"> χρησιμοποιήθηκε έρευνα που στάλθηκε σε όλους τους συμμετέχοντες σε προγράμματα κατάρτισης, προκειμένου να αξιολογηθούν, μεταξύ άλλων, οι συνεισφορές των δράσεων μεταφοράς γνώσεων και ενημέρωσης στην καινοτομία. Η έρευνα κατέστησε δυνατή την αξιολόγηση των καινοτόμων κύκλων κατάρτισης.</w:t>
                      </w:r>
                    </w:p>
                  </w:txbxContent>
                </v:textbox>
                <w10:anchorlock/>
              </v:shape>
            </w:pict>
          </mc:Fallback>
        </mc:AlternateContent>
      </w:r>
    </w:p>
    <w:p w:rsidR="00C202EC" w:rsidRDefault="00C202EC">
      <w:pPr>
        <w:jc w:val="left"/>
        <w:rPr>
          <w:rFonts w:eastAsia="Times New Roman" w:cs="Times New Roman"/>
          <w:b/>
          <w:i/>
          <w:sz w:val="18"/>
          <w:szCs w:val="18"/>
        </w:rPr>
      </w:pPr>
      <w:r>
        <w:br w:type="page"/>
      </w:r>
    </w:p>
    <w:p w:rsidR="00A45935" w:rsidRPr="00AB16BB" w:rsidRDefault="00DC60EA" w:rsidP="00DC60EA">
      <w:pPr>
        <w:spacing w:before="120" w:after="120" w:line="280" w:lineRule="atLeast"/>
        <w:mirrorIndents/>
        <w:rPr>
          <w:rFonts w:eastAsia="Times New Roman" w:cs="Times New Roman"/>
          <w:b/>
          <w:szCs w:val="20"/>
        </w:rPr>
      </w:pPr>
      <w:r>
        <w:rPr>
          <w:b/>
          <w:szCs w:val="20"/>
        </w:rPr>
        <w:lastRenderedPageBreak/>
        <w:t>δ.</w:t>
      </w:r>
      <w:r>
        <w:rPr>
          <w:b/>
          <w:szCs w:val="20"/>
        </w:rPr>
        <w:tab/>
      </w:r>
      <w:r w:rsidR="00A45935">
        <w:rPr>
          <w:b/>
          <w:szCs w:val="20"/>
        </w:rPr>
        <w:t xml:space="preserve">Κίνδυνοι και λύσεις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833"/>
        <w:gridCol w:w="5097"/>
      </w:tblGrid>
      <w:tr w:rsidR="00A45935" w:rsidRPr="00E05D08" w:rsidTr="00E05D08">
        <w:tc>
          <w:tcPr>
            <w:tcW w:w="3833" w:type="dxa"/>
            <w:shd w:val="clear" w:color="auto" w:fill="F07E31"/>
            <w:hideMark/>
          </w:tcPr>
          <w:p w:rsidR="00A45935" w:rsidRPr="00AB16BB" w:rsidRDefault="00A45935" w:rsidP="00E05D08">
            <w:pPr>
              <w:tabs>
                <w:tab w:val="left" w:pos="2070"/>
              </w:tabs>
              <w:spacing w:after="120" w:line="280" w:lineRule="atLeast"/>
              <w:mirrorIndents/>
              <w:jc w:val="center"/>
              <w:rPr>
                <w:b/>
                <w:color w:val="FFFFFF" w:themeColor="background1"/>
                <w:sz w:val="18"/>
                <w:szCs w:val="18"/>
              </w:rPr>
            </w:pPr>
            <w:r>
              <w:rPr>
                <w:b/>
                <w:color w:val="FFFFFF" w:themeColor="background1"/>
                <w:sz w:val="18"/>
                <w:szCs w:val="18"/>
              </w:rPr>
              <w:t>Κίνδυνοι</w:t>
            </w:r>
          </w:p>
        </w:tc>
        <w:tc>
          <w:tcPr>
            <w:tcW w:w="5097" w:type="dxa"/>
            <w:shd w:val="clear" w:color="auto" w:fill="F07E31"/>
            <w:hideMark/>
          </w:tcPr>
          <w:p w:rsidR="00A45935" w:rsidRPr="00AB16BB" w:rsidRDefault="00A45935" w:rsidP="00E05D08">
            <w:pPr>
              <w:spacing w:after="120" w:line="280" w:lineRule="atLeast"/>
              <w:mirrorIndents/>
              <w:jc w:val="center"/>
              <w:rPr>
                <w:b/>
                <w:color w:val="FFFFFF" w:themeColor="background1"/>
                <w:sz w:val="18"/>
                <w:szCs w:val="18"/>
              </w:rPr>
            </w:pPr>
            <w:r>
              <w:rPr>
                <w:b/>
                <w:color w:val="FFFFFF" w:themeColor="background1"/>
                <w:sz w:val="18"/>
                <w:szCs w:val="18"/>
              </w:rPr>
              <w:t>Λύσεις</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Ορισμένα στοιχεία δεδομένων (π.χ. τελικός αριθμός έργων συνεργασίας) μπορεί να καθίστανται διαθέσιμα μόνο μετά το τέλος της περιόδου προγραμματισμού.</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Τα είδη δομών συνεργασίας/επιχειρησιακών ομάδων που δημιουργήθηκαν (νομικές δομές, σύνθεση, δήλωση ανάληψης υποχρεώσεων από τους εταίρους κ.λπ.) μπορούν να αναλυθούν μέσω ποιοτικής αξιολόγησης ως υποκατάστατο του τελικού αριθμού των δομών συνεργασίας.</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Οι πληροφορίες σχετικά με τη σύνθεση και τον τύπο των εταίρων στα έργα συνεργασίας ή των ενδιαφερόμενων φορέων καινοτομίας στο πλαίσιο των μέτρων 1 και 2 μπορεί να μην καταγράφονται στα δεδομένα παρακολούθησης.</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Η σύνθεση και ο τύπος των εταίρων μπορεί να αξιολογηθεί μέσω ερευνών και συνεντεύξεων σχετικά με τις στηριζόμενες πράξεις. Εναλλακτικά, οι αιτήσεις υποψηφιότητας για τις στηριζόμενες πράξεις μπορούν να παρέχουν χρήσιμα δεδομένα.</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Το είδος της καινοτομίας που παράγεται και η αξιοποίησή της μπορεί να μην καταγράφονται στους πίνακες παρακολούθησης.</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 xml:space="preserve">Οι έρευνες, οι ομάδες εστίασης και οι συνεντεύξεις μεταξύ των επιχειρησιακών ομάδων μπορούν να βοηθήσουν στην εκτίμηση των ειδών καινοτομίας που παράχθηκαν. </w:t>
            </w:r>
          </w:p>
        </w:tc>
      </w:tr>
    </w:tbl>
    <w:p w:rsidR="00A45935" w:rsidRPr="00DC60EA" w:rsidRDefault="00DC60EA" w:rsidP="00DC60EA">
      <w:pPr>
        <w:spacing w:before="120" w:after="120" w:line="280" w:lineRule="atLeast"/>
        <w:ind w:left="360" w:hanging="360"/>
        <w:mirrorIndents/>
        <w:rPr>
          <w:b/>
          <w:szCs w:val="20"/>
        </w:rPr>
      </w:pPr>
      <w:r>
        <w:rPr>
          <w:b/>
          <w:szCs w:val="20"/>
        </w:rPr>
        <w:t>ε.</w:t>
      </w:r>
      <w:r>
        <w:rPr>
          <w:b/>
          <w:szCs w:val="20"/>
        </w:rPr>
        <w:tab/>
      </w:r>
      <w:r w:rsidR="00A45935">
        <w:rPr>
          <w:b/>
          <w:szCs w:val="20"/>
        </w:rPr>
        <w:t>Συμπεράσματα και συστάσεις</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Τα συμπεράσματα και οι συστάσεις θα πρέπει να αφορούν τουλάχιστον τα ακόλουθα ζητήματα πολιτικής:</w:t>
      </w:r>
    </w:p>
    <w:p w:rsidR="00A45935" w:rsidRPr="00B41573" w:rsidRDefault="00A45935" w:rsidP="00AB16BB">
      <w:pPr>
        <w:pStyle w:val="Hlistbullet"/>
        <w:rPr>
          <w:rFonts w:eastAsia="Calibri"/>
          <w:shd w:val="clear" w:color="auto" w:fill="FFFFFF"/>
        </w:rPr>
      </w:pPr>
      <w:r>
        <w:rPr>
          <w:b/>
          <w:shd w:val="clear" w:color="auto" w:fill="FFFFFF"/>
        </w:rPr>
        <w:t>Την υλοποίηση του δυναμικού καινοτομίας</w:t>
      </w:r>
      <w:r>
        <w:rPr>
          <w:shd w:val="clear" w:color="auto" w:fill="FFFFFF"/>
        </w:rPr>
        <w:t xml:space="preserve"> (μέσω των τριών διαδρομών) των μέτρων 1, 2, 16 και 19 και των προσδιορισθέντων επιμέρους μέτρων τους.</w:t>
      </w:r>
    </w:p>
    <w:p w:rsidR="00A45935" w:rsidRPr="00B41573" w:rsidRDefault="00A45935" w:rsidP="00AB16BB">
      <w:pPr>
        <w:pStyle w:val="Hlistbullet"/>
        <w:rPr>
          <w:rFonts w:eastAsia="Calibri"/>
          <w:shd w:val="clear" w:color="auto" w:fill="FFFFFF"/>
        </w:rPr>
      </w:pPr>
      <w:r>
        <w:rPr>
          <w:b/>
          <w:shd w:val="clear" w:color="auto" w:fill="FFFFFF"/>
        </w:rPr>
        <w:t>Το αποτέλεσμα των δράσεων κατάρτισης και ενημέρωσης</w:t>
      </w:r>
      <w:r>
        <w:rPr>
          <w:shd w:val="clear" w:color="auto" w:fill="FFFFFF"/>
        </w:rPr>
        <w:t xml:space="preserve"> στο πλαίσιο του μέτρου 1 και των συμβουλευτικών υπηρεσιών στο πλαίσιο του μέτρου 2 όσον αφορά την ανάπτυξη της ικανότητας για καινοτομία.</w:t>
      </w:r>
    </w:p>
    <w:p w:rsidR="00A45935" w:rsidRPr="00B41573" w:rsidRDefault="00A45935" w:rsidP="00AB16BB">
      <w:pPr>
        <w:pStyle w:val="Hlistbullet"/>
        <w:rPr>
          <w:rFonts w:eastAsia="Calibri"/>
          <w:shd w:val="clear" w:color="auto" w:fill="FFFFFF"/>
        </w:rPr>
      </w:pPr>
      <w:r>
        <w:rPr>
          <w:b/>
          <w:shd w:val="clear" w:color="auto" w:fill="FFFFFF"/>
        </w:rPr>
        <w:t>Το αποτέλεσμα των έργων συνεργασίας</w:t>
      </w:r>
      <w:r>
        <w:rPr>
          <w:shd w:val="clear" w:color="auto" w:fill="FFFFFF"/>
        </w:rPr>
        <w:t>, ιδίως αυτών των επιχειρησιακών ομάδων, στη στήριξη της καινοτομίας και, ειδικότερα:</w:t>
      </w:r>
    </w:p>
    <w:p w:rsidR="00A45935" w:rsidRPr="00E05D08" w:rsidRDefault="00A45935" w:rsidP="00AB16BB">
      <w:pPr>
        <w:pStyle w:val="Hlistbullet2"/>
        <w:rPr>
          <w:rFonts w:eastAsia="Calibri"/>
          <w:shd w:val="clear" w:color="auto" w:fill="FFFFFF"/>
        </w:rPr>
      </w:pPr>
      <w:r>
        <w:rPr>
          <w:shd w:val="clear" w:color="auto" w:fill="FFFFFF"/>
        </w:rPr>
        <w:t>Ο αριθμός, το πεδίο εφαρμογής, το περιεχόμενο και η διάρκεια των έργων των επιχειρησιακών ομάδων μπορούν να προσφέρουν χρήσιμα συμπεράσματα όσον αφορά την αναγνώριση καινοτόμων ιδεών που θα πρέπει να υλοποιηθούν·</w:t>
      </w:r>
    </w:p>
    <w:p w:rsidR="00A45935" w:rsidRPr="00E05D08" w:rsidRDefault="00A45935" w:rsidP="00AB16BB">
      <w:pPr>
        <w:pStyle w:val="Hlistbullet2"/>
        <w:rPr>
          <w:rFonts w:eastAsia="Calibri"/>
          <w:shd w:val="clear" w:color="auto" w:fill="FFFFFF"/>
        </w:rPr>
      </w:pPr>
      <w:r>
        <w:rPr>
          <w:shd w:val="clear" w:color="auto" w:fill="FFFFFF"/>
        </w:rPr>
        <w:t>Ο αριθμός και το είδος των έργων των επιχειρησιακών ομάδων, καθώς και η συμμετοχή των ενδιαφερόμενων φορέων καινοτομίας μπορεί να παρέχουν συμπεράσματα σχετικά με τα επιτεύγματα του μέτρου συνεργασίας όσον αφορά την ικανότητα καινοτομίας στις αγροτικές περιοχές.</w:t>
      </w:r>
    </w:p>
    <w:p w:rsidR="00A45935" w:rsidRPr="00E05D08" w:rsidRDefault="00A45935" w:rsidP="00AB16BB">
      <w:pPr>
        <w:pStyle w:val="Hlistbullet2"/>
        <w:rPr>
          <w:rFonts w:eastAsia="Calibri"/>
          <w:shd w:val="clear" w:color="auto" w:fill="FFFFFF"/>
        </w:rPr>
      </w:pPr>
      <w:r>
        <w:rPr>
          <w:shd w:val="clear" w:color="auto" w:fill="FFFFFF"/>
        </w:rPr>
        <w:t xml:space="preserve">Συμπεράσματα σχετικά με τον βαθμό στον οποίο τα έργα των επιχειρησιακών ομάδων παράγουν δομές και διαδικασίες που ευνοούν την παραγωγή καινοτομίας. </w:t>
      </w:r>
    </w:p>
    <w:p w:rsidR="00A45935" w:rsidRPr="000A1399" w:rsidRDefault="00A45935" w:rsidP="008C0B17">
      <w:pPr>
        <w:numPr>
          <w:ilvl w:val="0"/>
          <w:numId w:val="88"/>
        </w:numPr>
        <w:tabs>
          <w:tab w:val="left" w:pos="426"/>
        </w:tabs>
        <w:ind w:left="426" w:hanging="284"/>
        <w:mirrorIndents/>
        <w:rPr>
          <w:rFonts w:eastAsia="Calibri"/>
          <w:szCs w:val="20"/>
          <w:shd w:val="clear" w:color="auto" w:fill="FFFFFF"/>
        </w:rPr>
      </w:pPr>
      <w:r>
        <w:rPr>
          <w:b/>
          <w:szCs w:val="20"/>
          <w:shd w:val="clear" w:color="auto" w:fill="FFFFFF"/>
        </w:rPr>
        <w:t xml:space="preserve">Τα αποτελέσματα των δραστηριοτήτων των ΟΤΔ </w:t>
      </w:r>
      <w:r>
        <w:rPr>
          <w:szCs w:val="20"/>
          <w:shd w:val="clear" w:color="auto" w:fill="FFFFFF"/>
        </w:rPr>
        <w:t xml:space="preserve">(συμπεριλαμβανομένης της συνεργασίας μεταξύ ΟΤΔ) και των έργων που υλοποιούνται μέσω των στρατηγικών CLLD.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Περαιτέρω βιβλιογραφία</w:t>
      </w:r>
    </w:p>
    <w:p w:rsidR="00A45935" w:rsidRPr="00E05D08" w:rsidRDefault="00A45935" w:rsidP="00E05D08">
      <w:pPr>
        <w:spacing w:after="120" w:line="280" w:lineRule="atLeast"/>
        <w:mirrorIndents/>
        <w:rPr>
          <w:rFonts w:eastAsia="Calibri" w:cs="Times New Roman"/>
          <w:szCs w:val="20"/>
        </w:rPr>
      </w:pPr>
      <w:r>
        <w:rPr>
          <w:rFonts w:eastAsia="Times New Roman" w:cs="Times New Roman"/>
          <w:noProof/>
          <w:sz w:val="18"/>
          <w:szCs w:val="24"/>
          <w:lang w:val="en-GB" w:eastAsia="en-GB"/>
        </w:rPr>
        <mc:AlternateContent>
          <mc:Choice Requires="wps">
            <w:drawing>
              <wp:inline distT="0" distB="0" distL="0" distR="0" wp14:anchorId="0EBD5931" wp14:editId="250CB79C">
                <wp:extent cx="5968721" cy="2238375"/>
                <wp:effectExtent l="0" t="0" r="13335" b="28575"/>
                <wp:docPr id="5" name="Rectangle: Diagonal Corners Rounded 5"/>
                <wp:cNvGraphicFramePr/>
                <a:graphic xmlns:a="http://schemas.openxmlformats.org/drawingml/2006/main">
                  <a:graphicData uri="http://schemas.microsoft.com/office/word/2010/wordprocessingShape">
                    <wps:wsp>
                      <wps:cNvSpPr/>
                      <wps:spPr>
                        <a:xfrm>
                          <a:off x="0" y="0"/>
                          <a:ext cx="5968721" cy="2238375"/>
                        </a:xfrm>
                        <a:prstGeom prst="round2DiagRect">
                          <a:avLst>
                            <a:gd name="adj1" fmla="val 11556"/>
                            <a:gd name="adj2" fmla="val 0"/>
                          </a:avLst>
                        </a:prstGeom>
                        <a:noFill/>
                        <a:ln w="25400" cap="flat" cmpd="sng" algn="ctr">
                          <a:solidFill>
                            <a:srgbClr val="59638E"/>
                          </a:solidFill>
                          <a:prstDash val="solid"/>
                        </a:ln>
                        <a:effectLst/>
                      </wps:spPr>
                      <wps:txbx>
                        <w:txbxContent>
                          <w:p w:rsidR="00272EFF" w:rsidRDefault="00272EFF" w:rsidP="00E05D08">
                            <w:pPr>
                              <w:pStyle w:val="HStandard"/>
                              <w:rPr>
                                <w:color w:val="000000"/>
                                <w:sz w:val="18"/>
                              </w:rPr>
                            </w:pPr>
                            <w:r>
                              <w:rPr>
                                <w:noProof/>
                                <w:lang w:val="en-GB" w:eastAsia="en-GB"/>
                              </w:rPr>
                              <w:drawing>
                                <wp:inline distT="0" distB="0" distL="0" distR="0" wp14:anchorId="573F0447" wp14:editId="279405F0">
                                  <wp:extent cx="360465" cy="360000"/>
                                  <wp:effectExtent l="0" t="0" r="1905" b="2540"/>
                                  <wp:docPr id="74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272EFF" w:rsidRPr="001F4C03" w:rsidRDefault="00272EFF" w:rsidP="00E05D08">
                            <w:pPr>
                              <w:pStyle w:val="HStandard"/>
                              <w:rPr>
                                <w:color w:val="000000"/>
                                <w:sz w:val="18"/>
                                <w:szCs w:val="18"/>
                              </w:rPr>
                            </w:pPr>
                            <w:r w:rsidRPr="001F4C03">
                              <w:rPr>
                                <w:sz w:val="18"/>
                                <w:szCs w:val="18"/>
                              </w:rPr>
                              <w:t>Κατευθυντήριες γραμμές</w:t>
                            </w:r>
                            <w:r w:rsidRPr="001F4C03">
                              <w:rPr>
                                <w:color w:val="000000"/>
                                <w:sz w:val="18"/>
                                <w:szCs w:val="18"/>
                              </w:rPr>
                              <w:t xml:space="preserve"> </w:t>
                            </w:r>
                            <w:hyperlink r:id="rId41" w:history="1">
                              <w:r w:rsidRPr="001F4C03">
                                <w:rPr>
                                  <w:rStyle w:val="Hyperlink"/>
                                  <w:sz w:val="18"/>
                                  <w:szCs w:val="18"/>
                                </w:rPr>
                                <w:t>Assessment of RDP Results:</w:t>
                              </w:r>
                            </w:hyperlink>
                            <w:hyperlink r:id="rId42" w:history="1">
                              <w:r w:rsidRPr="001F4C03">
                                <w:rPr>
                                  <w:rStyle w:val="Hyperlink"/>
                                  <w:sz w:val="18"/>
                                  <w:szCs w:val="18"/>
                                </w:rPr>
                                <w:t xml:space="preserve"> How to Prepare for Reporting on Evaluation in 2017</w:t>
                              </w:r>
                            </w:hyperlink>
                            <w:r w:rsidRPr="001F4C03">
                              <w:rPr>
                                <w:sz w:val="18"/>
                                <w:szCs w:val="18"/>
                              </w:rPr>
                              <w:t xml:space="preserve"> (Αξιολόγηση των αποτελεσμάτων του ΠΑΑ: Τρόπος προετοιμασίας για την υποβολή εκθέσεων σχετικά με την αξιολόγηση το 2017), παράρτημα 11·</w:t>
                            </w:r>
                            <w:r w:rsidRPr="001F4C03">
                              <w:rPr>
                                <w:color w:val="000000"/>
                                <w:sz w:val="18"/>
                                <w:szCs w:val="18"/>
                              </w:rPr>
                              <w:t xml:space="preserve"> </w:t>
                            </w:r>
                          </w:p>
                          <w:p w:rsidR="00272EFF" w:rsidRPr="001F4C03" w:rsidRDefault="00272EFF" w:rsidP="00E05D08">
                            <w:pPr>
                              <w:pStyle w:val="HStandard"/>
                              <w:rPr>
                                <w:sz w:val="18"/>
                                <w:szCs w:val="18"/>
                              </w:rPr>
                            </w:pPr>
                            <w:r w:rsidRPr="001F4C03">
                              <w:rPr>
                                <w:sz w:val="18"/>
                                <w:szCs w:val="18"/>
                              </w:rPr>
                              <w:t>Έγγραφο καθοδήγησης «</w:t>
                            </w:r>
                            <w:hyperlink r:id="rId43" w:history="1">
                              <w:r w:rsidRPr="001F4C03">
                                <w:rPr>
                                  <w:rStyle w:val="Hyperlink"/>
                                  <w:sz w:val="18"/>
                                  <w:szCs w:val="18"/>
                                </w:rPr>
                                <w:t>Cooperation measure</w:t>
                              </w:r>
                            </w:hyperlink>
                            <w:r w:rsidRPr="001F4C03">
                              <w:rPr>
                                <w:sz w:val="18"/>
                                <w:szCs w:val="18"/>
                              </w:rPr>
                              <w:t>» (Μέτρο συνεργασίας), άρθρο 35 του κανονισμού (ΕΕ) αριθ. 1305/2013, Νοέμβριος 2014</w:t>
                            </w:r>
                          </w:p>
                          <w:p w:rsidR="00272EFF" w:rsidRPr="001F4C03" w:rsidRDefault="00272EFF" w:rsidP="00E05D08">
                            <w:pPr>
                              <w:pStyle w:val="HStandard"/>
                              <w:rPr>
                                <w:sz w:val="18"/>
                                <w:szCs w:val="18"/>
                              </w:rPr>
                            </w:pPr>
                            <w:r w:rsidRPr="001F4C03">
                              <w:rPr>
                                <w:sz w:val="18"/>
                                <w:szCs w:val="18"/>
                              </w:rPr>
                              <w:t xml:space="preserve">Έγγραφα στο πλαίσιο του εργαστηρίου του ΕΔΑΑ για το μέτρο 16 «Συνεργασία», Ιούνιος 2016, Βρυξέλλες: </w:t>
                            </w:r>
                            <w:hyperlink r:id="rId44" w:history="1">
                              <w:r w:rsidRPr="001F4C03">
                                <w:rPr>
                                  <w:rStyle w:val="Hyperlink"/>
                                  <w:sz w:val="18"/>
                                  <w:szCs w:val="18"/>
                                </w:rPr>
                                <w:t>http://enrd.ec.europa.eu/news-events/events/enrd-workshop-measure-16-cooperation_en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BD5931" id="Rectangle: Diagonal Corners Rounded 5" o:spid="_x0000_s1045" style="width:470pt;height:176.25pt;visibility:visible;mso-wrap-style:square;mso-left-percent:-10001;mso-top-percent:-10001;mso-position-horizontal:absolute;mso-position-horizontal-relative:char;mso-position-vertical:absolute;mso-position-vertical-relative:line;mso-left-percent:-10001;mso-top-percent:-10001;v-text-anchor:middle" coordsize="5968721,2238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" adj="-11796480,,5400" path="m258667,l5968721,r,l5968721,1979708v,142858,-115809,258667,-258667,258667l,2238375r,l,258667c,115809,115809,,258667,xe" filled="f" strokecolor="#59638e" strokeweight="2pt">
                <v:stroke joinstyle="miter"/>
                <v:formulas/>
                <v:path arrowok="t" o:connecttype="custom" o:connectlocs="258667,0;5968721,0;5968721,0;5968721,1979708;5710054,2238375;0,2238375;0,2238375;0,258667;258667,0" o:connectangles="0,0,0,0,0,0,0,0,0" textboxrect="0,0,5968721,2238375"/>
                <v:textbox>
                  <w:txbxContent>
                    <w:p w:rsidR="00272EFF" w:rsidRDefault="00272EFF" w:rsidP="00E05D08">
                      <w:pPr>
                        <w:pStyle w:val="HStandard"/>
                        <w:rPr>
                          <w:color w:val="000000"/>
                          <w:sz w:val="18"/>
                        </w:rPr>
                      </w:pPr>
                      <w:r>
                        <w:rPr>
                          <w:noProof/>
                          <w:lang w:val="en-GB" w:eastAsia="en-GB"/>
                        </w:rPr>
                        <w:drawing>
                          <wp:inline distT="0" distB="0" distL="0" distR="0" wp14:anchorId="573F0447" wp14:editId="279405F0">
                            <wp:extent cx="360465" cy="360000"/>
                            <wp:effectExtent l="0" t="0" r="1905" b="2540"/>
                            <wp:docPr id="74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272EFF" w:rsidRPr="001F4C03" w:rsidRDefault="00272EFF" w:rsidP="00E05D08">
                      <w:pPr>
                        <w:pStyle w:val="HStandard"/>
                        <w:rPr>
                          <w:color w:val="000000"/>
                          <w:sz w:val="18"/>
                          <w:szCs w:val="18"/>
                        </w:rPr>
                      </w:pPr>
                      <w:r w:rsidRPr="001F4C03">
                        <w:rPr>
                          <w:sz w:val="18"/>
                          <w:szCs w:val="18"/>
                        </w:rPr>
                        <w:t>Κατευθυντήριες γραμμές</w:t>
                      </w:r>
                      <w:r w:rsidRPr="001F4C03">
                        <w:rPr>
                          <w:color w:val="000000"/>
                          <w:sz w:val="18"/>
                          <w:szCs w:val="18"/>
                        </w:rPr>
                        <w:t xml:space="preserve"> </w:t>
                      </w:r>
                      <w:hyperlink r:id="rId45" w:history="1">
                        <w:r w:rsidRPr="001F4C03">
                          <w:rPr>
                            <w:rStyle w:val="Hyperlink"/>
                            <w:sz w:val="18"/>
                            <w:szCs w:val="18"/>
                          </w:rPr>
                          <w:t>Assessment of RDP Results:</w:t>
                        </w:r>
                      </w:hyperlink>
                      <w:hyperlink r:id="rId46" w:history="1">
                        <w:r w:rsidRPr="001F4C03">
                          <w:rPr>
                            <w:rStyle w:val="Hyperlink"/>
                            <w:sz w:val="18"/>
                            <w:szCs w:val="18"/>
                          </w:rPr>
                          <w:t xml:space="preserve"> How to Prepare for Reporting on Evaluation in 2017</w:t>
                        </w:r>
                      </w:hyperlink>
                      <w:r w:rsidRPr="001F4C03">
                        <w:rPr>
                          <w:sz w:val="18"/>
                          <w:szCs w:val="18"/>
                        </w:rPr>
                        <w:t xml:space="preserve"> (Αξιολόγηση των αποτελεσμάτων του ΠΑΑ: Τρόπος προετοιμασίας για την υποβολή εκθέσεων σχετικά με την αξιολόγηση το 2017), παράρτημα 11·</w:t>
                      </w:r>
                      <w:r w:rsidRPr="001F4C03">
                        <w:rPr>
                          <w:color w:val="000000"/>
                          <w:sz w:val="18"/>
                          <w:szCs w:val="18"/>
                        </w:rPr>
                        <w:t xml:space="preserve"> </w:t>
                      </w:r>
                    </w:p>
                    <w:p w:rsidR="00272EFF" w:rsidRPr="001F4C03" w:rsidRDefault="00272EFF" w:rsidP="00E05D08">
                      <w:pPr>
                        <w:pStyle w:val="HStandard"/>
                        <w:rPr>
                          <w:sz w:val="18"/>
                          <w:szCs w:val="18"/>
                        </w:rPr>
                      </w:pPr>
                      <w:r w:rsidRPr="001F4C03">
                        <w:rPr>
                          <w:sz w:val="18"/>
                          <w:szCs w:val="18"/>
                        </w:rPr>
                        <w:t>Έγγραφο καθοδήγησης «</w:t>
                      </w:r>
                      <w:hyperlink r:id="rId47" w:history="1">
                        <w:r w:rsidRPr="001F4C03">
                          <w:rPr>
                            <w:rStyle w:val="Hyperlink"/>
                            <w:sz w:val="18"/>
                            <w:szCs w:val="18"/>
                          </w:rPr>
                          <w:t>Cooperation measure</w:t>
                        </w:r>
                      </w:hyperlink>
                      <w:r w:rsidRPr="001F4C03">
                        <w:rPr>
                          <w:sz w:val="18"/>
                          <w:szCs w:val="18"/>
                        </w:rPr>
                        <w:t>» (Μέτρο συνεργασίας), άρθρο 35 του κανονισμού (ΕΕ) αριθ. 1305/2013, Νοέμβριος 2014</w:t>
                      </w:r>
                    </w:p>
                    <w:p w:rsidR="00272EFF" w:rsidRPr="001F4C03" w:rsidRDefault="00272EFF" w:rsidP="00E05D08">
                      <w:pPr>
                        <w:pStyle w:val="HStandard"/>
                        <w:rPr>
                          <w:sz w:val="18"/>
                          <w:szCs w:val="18"/>
                        </w:rPr>
                      </w:pPr>
                      <w:r w:rsidRPr="001F4C03">
                        <w:rPr>
                          <w:sz w:val="18"/>
                          <w:szCs w:val="18"/>
                        </w:rPr>
                        <w:t xml:space="preserve">Έγγραφα στο πλαίσιο του εργαστηρίου του ΕΔΑΑ για το μέτρο 16 «Συνεργασία», Ιούνιος 2016, Βρυξέλλες: </w:t>
                      </w:r>
                      <w:hyperlink r:id="rId48" w:history="1">
                        <w:r w:rsidRPr="001F4C03">
                          <w:rPr>
                            <w:rStyle w:val="Hyperlink"/>
                            <w:sz w:val="18"/>
                            <w:szCs w:val="18"/>
                          </w:rPr>
                          <w:t>http://enrd.ec.europa.eu/news-events/events/enrd-workshop-measure-16-cooperation_en</w:t>
                        </w:r>
                      </w:hyperlink>
                    </w:p>
                  </w:txbxContent>
                </v:textbox>
                <w10:anchorlock/>
              </v:shape>
            </w:pict>
          </mc:Fallback>
        </mc:AlternateContent>
      </w:r>
    </w:p>
    <w:p w:rsidR="00A45935" w:rsidRPr="00BB551B" w:rsidRDefault="00A45935" w:rsidP="009B603C">
      <w:pPr>
        <w:pStyle w:val="HHeading3"/>
        <w:numPr>
          <w:ilvl w:val="2"/>
          <w:numId w:val="119"/>
        </w:numPr>
        <w:tabs>
          <w:tab w:val="clear" w:pos="567"/>
        </w:tabs>
        <w:spacing w:line="280" w:lineRule="exact"/>
        <w:ind w:left="567" w:hanging="567"/>
      </w:pPr>
      <w:bookmarkStart w:id="110" w:name="_Toc501382132"/>
      <w:bookmarkStart w:id="111" w:name="_Toc508964819"/>
      <w:r>
        <w:t>ΚΕΑ αριθ. 2: «Σε ποιο βαθμό οι παρεμβάσεις του ΠΑΑ έχουν στηρίξει την ενίσχυση των δεσμών μεταξύ της γεωργίας, της παραγωγής τροφίμων και της δασοκομίας, καθώς και της έρευνας και καινοτομίας, μεταξύ άλλων και με στόχο τη βελτιωμένη περιβαλλοντική διαχείριση και αποδοτικότητα;»</w:t>
      </w:r>
      <w:bookmarkEnd w:id="110"/>
      <w:bookmarkEnd w:id="111"/>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Κατανόηση του ΚΕΑ</w:t>
      </w:r>
    </w:p>
    <w:p w:rsidR="00A45935" w:rsidRPr="00E05D08" w:rsidRDefault="00A45935" w:rsidP="00E05D08">
      <w:pPr>
        <w:spacing w:after="120" w:line="280" w:lineRule="atLeast"/>
        <w:mirrorIndents/>
        <w:rPr>
          <w:rFonts w:eastAsia="Times New Roman" w:cs="Times New Roman"/>
          <w:szCs w:val="20"/>
        </w:rPr>
      </w:pPr>
      <w:r>
        <w:t>Το ΚΕΑ αριθ. 2 συνδέεται κυρίως με το μέτρο 16 και τα 10 επιμέρους μέτρα του, που περιλαμβάνονται στο άρθρο 35 – Συνεργασία</w:t>
      </w:r>
      <w:r>
        <w:rPr>
          <w:rFonts w:eastAsia="Times New Roman" w:cs="Arial"/>
          <w:szCs w:val="20"/>
          <w:vertAlign w:val="superscript"/>
          <w:lang w:eastAsia="de-DE"/>
        </w:rPr>
        <w:footnoteReference w:id="52"/>
      </w:r>
      <w:r>
        <w:t xml:space="preserve">. </w:t>
      </w:r>
      <w:r>
        <w:rPr>
          <w:b/>
          <w:szCs w:val="20"/>
        </w:rPr>
        <w:t>Οι δεσμοί μεταξύ της γεωργίας, της παραγωγής τροφίμων, της δασοκομίας και της έρευνας και καινοτομίας</w:t>
      </w:r>
      <w:r>
        <w:t xml:space="preserve"> μπορούν να προωθηθούν με τρεις τρόπους</w:t>
      </w:r>
      <w:r>
        <w:rPr>
          <w:rFonts w:eastAsia="Times New Roman" w:cs="Times New Roman"/>
          <w:szCs w:val="20"/>
          <w:vertAlign w:val="superscript"/>
          <w:lang w:eastAsia="de-DE"/>
        </w:rPr>
        <w:footnoteReference w:id="53"/>
      </w:r>
      <w:r>
        <w:t>:</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Συνεργασία μεταξύ ενός ευρέος φάσματος φορέων του τομέα της γεωργίας και της δασοκομίας, της αλυσίδας τροφίμων και άλλων, που συνεισφέρουν στην επίτευξη των στόχων της πολιτικής αγροτικής ανάπτυξης, καθώς και ομάδων παραγωγών, συνεταιρισμών και διεπαγγελματικών οργανώσεων·</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Δημιουργία συνεργατικών σχηματισμών (clusters) και δικτύων, που συνιστούν πιο ειδικές αλλά σημαντικές μορφές συνεργασίας·</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Δημιουργία επιχειρησιακών ομάδων της ΕΣΚ-AGRI, μιας νέας συνιστώσας της πολιτικής αγροτικής ανάπτυξης, που αποσκοπεί να φέρει σε στενότερη επαφή την έρευνα με την πρακτική.</w:t>
      </w:r>
    </w:p>
    <w:p w:rsidR="00A45935" w:rsidRPr="00E05D08" w:rsidRDefault="00A45935" w:rsidP="00E05D08">
      <w:pPr>
        <w:spacing w:after="120" w:line="280" w:lineRule="atLeast"/>
        <w:mirrorIndents/>
        <w:rPr>
          <w:rFonts w:eastAsia="Times New Roman" w:cs="Times New Roman"/>
          <w:szCs w:val="20"/>
        </w:rPr>
      </w:pPr>
      <w:r>
        <w:t>Η υποστήριξη της πολιτικής αγροτικής ανάπτυξης σε αυτές τις μορφές συνεργασίας έχει εξελιχθεί στο πέρασμα του χρόνου. Κατά την προηγούμενη περίοδο προγραμματισμού, υποστηρίχθηκαν πολύ ειδικές μορφές συνεργασίας (συστήματα ποιότητας τροφίμων και ομάδες παραγωγών) ή η συνεργασία σε τοπικό επίπεδο (στο πλαίσιο του LEADER). Η τρέχουσα πολιτική προωθεί τους δεσμούς μεταξύ ενός ευρύτερου φάσματος φορέων και παρέχει μεγαλύτερη ευελιξία όσον αφορά το εύρος και τη σύνθεση των δραστηριοτήτων συνεργασίας. Μέσω της σύνδεσης της γεωργίας, της δασοκομίας και της αλυσίδας τροφίμων με φορείς έρευνας/καινοτομίας, η πολιτική αγροτικής ανάπτυξης δίνει ιδιαίτερη έμφαση στην καινοτομία ως μέσο για την επίτευξη των στόχων του ΠΑΑ. Για παράδειγμα:</w:t>
      </w:r>
    </w:p>
    <w:p w:rsidR="00A45935" w:rsidRPr="00D35751" w:rsidRDefault="00A45935" w:rsidP="00AB16BB">
      <w:pPr>
        <w:pStyle w:val="Hlistbullet"/>
      </w:pPr>
      <w:r>
        <w:lastRenderedPageBreak/>
        <w:t>Η σύνδεση της έρευνας με την πρακτική ενδεχομένως να συμβάλει στην αναγνώριση της καινοτομίας που μπορεί να ενισχύσει την υλοποίηση του προγράμματος και να συνεισφέρει στους στόχους του ΠΑΑ.</w:t>
      </w:r>
    </w:p>
    <w:p w:rsidR="00EF1B0F" w:rsidRPr="00EF1B0F" w:rsidRDefault="00A45935" w:rsidP="00734B11">
      <w:pPr>
        <w:pStyle w:val="Hlistbullet"/>
      </w:pPr>
      <w:r>
        <w:t xml:space="preserve">Η έμφαση στη στήριξη που παρέχεται σε έργα συνεργασίας από συμβούλους και υπηρεσίες υποστήριξης της καινοτομίας (συμπεριλαμβανομένης της στήριξης που παρέχεται από τα ΕΑΔ) μπορεί να συνεισφέρει στην ανάπτυξη της ικανότητας για καινοτομία και στη βελτίωση της ανταγωνιστικότητας και/ή του περιβάλλοντος. </w:t>
      </w:r>
    </w:p>
    <w:p w:rsidR="00EF1B0F" w:rsidRDefault="00A45935" w:rsidP="00734B11">
      <w:pPr>
        <w:pStyle w:val="Hlistbullet"/>
      </w:pPr>
      <w:r>
        <w:rPr>
          <w:b/>
        </w:rPr>
        <w:t>Η συνεργασία για βελτιωμένη περιβαλλοντική διαχείριση και επίδοση</w:t>
      </w:r>
      <w:r>
        <w:t xml:space="preserve"> συνιστά άλλο ένα σημείο εστίασης του ΚΕΑ αριθ. 2. Το πεδίο των έργων συνεργασίας περιλαμβάνει την προστασία και βελτίωση των πόρων (νερό, έδαφος, αέρας), της βιοποικιλότητας και του φυσικού περιβάλλοντος, καθώς και τον μετριασμό της κλιματικής αλλαγής και την προσαρμογή σε αυτή. Η περιβαλλοντική διαχείριση στο πλαίσιο στόχων που αφορούν την κλιματική αλλαγή μπορεί να περιλαμβάνει δράσεις που συνδέονται με το νερό και την ενεργειακή απόδοση και την εξοικονόμηση ενέργειας.</w:t>
      </w:r>
    </w:p>
    <w:p w:rsidR="00A45935" w:rsidRPr="00A66638" w:rsidRDefault="00A66638" w:rsidP="00EF1B0F">
      <w:pPr>
        <w:pStyle w:val="Hlistbullet"/>
        <w:numPr>
          <w:ilvl w:val="0"/>
          <w:numId w:val="0"/>
        </w:numPr>
        <w:rPr>
          <w:color w:val="FFFFFF" w:themeColor="background1"/>
        </w:rPr>
      </w:pPr>
      <w:r>
        <w:rPr>
          <w:noProof/>
          <w:color w:val="auto"/>
          <w:sz w:val="18"/>
          <w:lang w:val="en-GB" w:eastAsia="en-GB"/>
        </w:rPr>
        <w:lastRenderedPageBreak/>
        <mc:AlternateContent>
          <mc:Choice Requires="wps">
            <w:drawing>
              <wp:anchor distT="0" distB="0" distL="114300" distR="114300" simplePos="0" relativeHeight="251660800" behindDoc="0" locked="0" layoutInCell="1" allowOverlap="1" wp14:anchorId="30EE039E" wp14:editId="2974153D">
                <wp:simplePos x="0" y="0"/>
                <wp:positionH relativeFrom="column">
                  <wp:posOffset>104775</wp:posOffset>
                </wp:positionH>
                <wp:positionV relativeFrom="page">
                  <wp:posOffset>752475</wp:posOffset>
                </wp:positionV>
                <wp:extent cx="6139180" cy="7591425"/>
                <wp:effectExtent l="0" t="0" r="13970" b="28575"/>
                <wp:wrapSquare wrapText="bothSides"/>
                <wp:docPr id="24" name="Rectangle: Diagonal Corners Rounded 24"/>
                <wp:cNvGraphicFramePr/>
                <a:graphic xmlns:a="http://schemas.openxmlformats.org/drawingml/2006/main">
                  <a:graphicData uri="http://schemas.microsoft.com/office/word/2010/wordprocessingShape">
                    <wps:wsp>
                      <wps:cNvSpPr/>
                      <wps:spPr>
                        <a:xfrm>
                          <a:off x="0" y="0"/>
                          <a:ext cx="6139180" cy="7591425"/>
                        </a:xfrm>
                        <a:prstGeom prst="round2DiagRect">
                          <a:avLst>
                            <a:gd name="adj1" fmla="val 5422"/>
                            <a:gd name="adj2" fmla="val 0"/>
                          </a:avLst>
                        </a:prstGeom>
                        <a:noFill/>
                        <a:ln w="25400" cap="flat" cmpd="sng" algn="ctr">
                          <a:solidFill>
                            <a:srgbClr val="F07E31"/>
                          </a:solidFill>
                          <a:prstDash val="solid"/>
                        </a:ln>
                        <a:effectLst/>
                      </wps:spPr>
                      <wps:txbx>
                        <w:txbxContent>
                          <w:p w:rsidR="00272EFF" w:rsidRPr="007B4A6D" w:rsidRDefault="00272EFF" w:rsidP="00E05D08">
                            <w:pPr>
                              <w:pStyle w:val="HStandard"/>
                              <w:ind w:left="567" w:hanging="567"/>
                              <w:rPr>
                                <w:b/>
                                <w:color w:val="648659"/>
                                <w:sz w:val="18"/>
                                <w:szCs w:val="18"/>
                              </w:rPr>
                            </w:pPr>
                            <w:r>
                              <w:rPr>
                                <w:noProof/>
                                <w:sz w:val="18"/>
                                <w:szCs w:val="18"/>
                                <w:lang w:val="en-GB" w:eastAsia="en-GB"/>
                              </w:rPr>
                              <w:drawing>
                                <wp:inline distT="0" distB="0" distL="0" distR="0" wp14:anchorId="74B4A279" wp14:editId="50C9F770">
                                  <wp:extent cx="353060" cy="359410"/>
                                  <wp:effectExtent l="0" t="0" r="8890" b="2540"/>
                                  <wp:docPr id="1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Παράδειγμα: Μέτρα συνεργασίας για βελτιωμένη περιβαλλοντική διαχείριση</w:t>
                            </w:r>
                          </w:p>
                          <w:p w:rsidR="00272EFF" w:rsidRPr="007B4A6D" w:rsidRDefault="00272EFF" w:rsidP="00E05D08">
                            <w:pPr>
                              <w:pStyle w:val="HStandard"/>
                              <w:rPr>
                                <w:sz w:val="18"/>
                                <w:szCs w:val="18"/>
                              </w:rPr>
                            </w:pPr>
                            <w:r>
                              <w:rPr>
                                <w:b/>
                                <w:sz w:val="18"/>
                                <w:szCs w:val="18"/>
                              </w:rPr>
                              <w:t>Φινλανδία –</w:t>
                            </w:r>
                            <w:r>
                              <w:rPr>
                                <w:sz w:val="18"/>
                                <w:szCs w:val="18"/>
                              </w:rPr>
                              <w:t xml:space="preserve"> Το μέτρο 16 συμπληρώνει άλλα μέτρα του ΠΑΑ για την επίτευξη των στόχων των προτεραιοτήτων 4 και 5:</w:t>
                            </w:r>
                          </w:p>
                          <w:p w:rsidR="00272EFF" w:rsidRPr="00055039" w:rsidRDefault="00272EFF" w:rsidP="008C0B17">
                            <w:pPr>
                              <w:pStyle w:val="HStandard"/>
                              <w:numPr>
                                <w:ilvl w:val="0"/>
                                <w:numId w:val="24"/>
                              </w:numPr>
                              <w:ind w:left="567" w:hanging="567"/>
                              <w:rPr>
                                <w:sz w:val="18"/>
                                <w:szCs w:val="18"/>
                              </w:rPr>
                            </w:pPr>
                            <w:r>
                              <w:rPr>
                                <w:sz w:val="18"/>
                                <w:szCs w:val="18"/>
                              </w:rPr>
                              <w:t>58 % του μέτρου 16 καθώς και τμήματα των μέτρων 1 και 2 χρησιμοποιούνται για την προώθηση της ενεργειακής απόδοσης·</w:t>
                            </w:r>
                          </w:p>
                          <w:p w:rsidR="00272EFF" w:rsidRPr="00D66182" w:rsidRDefault="00272EFF" w:rsidP="008C0B17">
                            <w:pPr>
                              <w:pStyle w:val="HStandard"/>
                              <w:numPr>
                                <w:ilvl w:val="0"/>
                                <w:numId w:val="24"/>
                              </w:numPr>
                              <w:ind w:left="567" w:hanging="567"/>
                              <w:rPr>
                                <w:sz w:val="18"/>
                                <w:szCs w:val="18"/>
                              </w:rPr>
                            </w:pPr>
                            <w:r>
                              <w:rPr>
                                <w:sz w:val="18"/>
                                <w:szCs w:val="18"/>
                              </w:rPr>
                              <w:t>49 % του μέτρου 16 καθώς και τμήματα των μέτρων 1 και 2 χρησιμοποιούνται για τη δέσμευση και τη διατήρηση του διοξειδίου του άνθρακα·</w:t>
                            </w:r>
                          </w:p>
                          <w:p w:rsidR="00272EFF" w:rsidRPr="000E1D4B" w:rsidRDefault="00272EFF" w:rsidP="008C0B17">
                            <w:pPr>
                              <w:pStyle w:val="HStandard"/>
                              <w:numPr>
                                <w:ilvl w:val="0"/>
                                <w:numId w:val="24"/>
                              </w:numPr>
                              <w:ind w:left="567" w:hanging="567"/>
                              <w:rPr>
                                <w:sz w:val="18"/>
                                <w:szCs w:val="18"/>
                              </w:rPr>
                            </w:pPr>
                            <w:r>
                              <w:rPr>
                                <w:sz w:val="18"/>
                                <w:szCs w:val="18"/>
                              </w:rPr>
                              <w:t>10 % του μέτρου 16, 84 % του μέτρου 4 καθώς και τμήματα των μέτρων 1 και 2 χρησιμοποιούνται για τις ανανεώσιμες πηγές ενέργειας και τη διαχείριση αποβλήτων·</w:t>
                            </w:r>
                          </w:p>
                          <w:p w:rsidR="00272EFF" w:rsidRPr="000E1D4B" w:rsidRDefault="00272EFF" w:rsidP="008C0B17">
                            <w:pPr>
                              <w:pStyle w:val="HStandard"/>
                              <w:numPr>
                                <w:ilvl w:val="0"/>
                                <w:numId w:val="24"/>
                              </w:numPr>
                              <w:ind w:left="567" w:hanging="567"/>
                              <w:rPr>
                                <w:sz w:val="18"/>
                                <w:szCs w:val="18"/>
                              </w:rPr>
                            </w:pPr>
                            <w:r>
                              <w:rPr>
                                <w:sz w:val="18"/>
                                <w:szCs w:val="18"/>
                              </w:rPr>
                              <w:t>5,5 % του μέτρου 16, 89 % του μέτρου 4 καθώς και τμήματα των μέτρων 1 και 2 χρησιμοποιούνται για τη μείωση των εκπομπών αερίων του θερμοκηπίου και των εκπομπών αμμωνίας.</w:t>
                            </w:r>
                          </w:p>
                          <w:p w:rsidR="00272EFF" w:rsidRPr="000E1D4B" w:rsidRDefault="00272EFF" w:rsidP="00E05D08">
                            <w:pPr>
                              <w:pStyle w:val="HStandard"/>
                              <w:rPr>
                                <w:sz w:val="18"/>
                                <w:szCs w:val="18"/>
                              </w:rPr>
                            </w:pPr>
                            <w:r>
                              <w:rPr>
                                <w:sz w:val="18"/>
                                <w:szCs w:val="18"/>
                              </w:rPr>
                              <w:t>Τα επιμέρους μέτρα συνεργασίας (π.χ. το μέτρο 16.2 για τη στήριξη πιλοτικών έργων που ενισχύουν κοινές δράσεις για τον μετριασμό της κλιματικής αλλαγής και την προσαρμογή σε αυτή, καθώς και κοινές προσεγγίσεις σε περιβαλλοντικά έργα και πρακτικές στο πλαίσιο του μέτρου 16.5) έχουν σημαντικές επιπτώσεις στους ΤΕ 4Α-Γ και ΤΕ 5Α-Ε.</w:t>
                            </w:r>
                          </w:p>
                          <w:p w:rsidR="00272EFF" w:rsidRPr="00AB16BB" w:rsidRDefault="00272EFF" w:rsidP="00AB16BB">
                            <w:pPr>
                              <w:pStyle w:val="HSource"/>
                              <w:ind w:right="8"/>
                              <w:jc w:val="right"/>
                              <w:rPr>
                                <w:rFonts w:eastAsia="Calibri"/>
                                <w:sz w:val="14"/>
                                <w:szCs w:val="14"/>
                              </w:rPr>
                            </w:pPr>
                            <w:r>
                              <w:rPr>
                                <w:sz w:val="14"/>
                                <w:szCs w:val="14"/>
                              </w:rPr>
                              <w:t>Πηγή: ΕΔΑΑ (2016). Εργαστήριο για το μέτρο 16 σχετικά με τη συνεργασία</w:t>
                            </w:r>
                            <w:r w:rsidRPr="001C2BF5">
                              <w:rPr>
                                <w:szCs w:val="14"/>
                                <w:vertAlign w:val="superscript"/>
                              </w:rPr>
                              <w:t>54</w:t>
                            </w:r>
                            <w:r>
                              <w:rPr>
                                <w:sz w:val="14"/>
                                <w:szCs w:val="14"/>
                              </w:rPr>
                              <w:t>.</w:t>
                            </w:r>
                          </w:p>
                          <w:p w:rsidR="00272EFF" w:rsidRPr="007B4A6D" w:rsidRDefault="00272EFF" w:rsidP="00235D46">
                            <w:pPr>
                              <w:pStyle w:val="HStandard"/>
                              <w:spacing w:after="0"/>
                              <w:ind w:left="567" w:hanging="567"/>
                              <w:rPr>
                                <w:b/>
                                <w:sz w:val="18"/>
                                <w:szCs w:val="18"/>
                              </w:rPr>
                            </w:pPr>
                            <w:r>
                              <w:rPr>
                                <w:b/>
                                <w:color w:val="F07E31"/>
                                <w:sz w:val="18"/>
                                <w:szCs w:val="18"/>
                              </w:rPr>
                              <w:t>Παράδειγμα:</w:t>
                            </w:r>
                            <w:r>
                              <w:rPr>
                                <w:color w:val="F07E31"/>
                                <w:sz w:val="18"/>
                                <w:szCs w:val="18"/>
                              </w:rPr>
                              <w:t xml:space="preserve"> </w:t>
                            </w:r>
                            <w:r>
                              <w:rPr>
                                <w:b/>
                                <w:color w:val="F07E31"/>
                                <w:sz w:val="18"/>
                                <w:szCs w:val="18"/>
                              </w:rPr>
                              <w:t>Σύνδεση ερευνητών και γεωργών</w:t>
                            </w:r>
                            <w:r>
                              <w:rPr>
                                <w:color w:val="F07E31"/>
                                <w:sz w:val="18"/>
                                <w:szCs w:val="18"/>
                              </w:rPr>
                              <w:t xml:space="preserve"> </w:t>
                            </w:r>
                          </w:p>
                          <w:p w:rsidR="00272EFF" w:rsidRPr="00D66182" w:rsidRDefault="00272EFF" w:rsidP="00235D46">
                            <w:pPr>
                              <w:pStyle w:val="HStandard"/>
                              <w:rPr>
                                <w:sz w:val="18"/>
                                <w:szCs w:val="18"/>
                              </w:rPr>
                            </w:pPr>
                            <w:r>
                              <w:rPr>
                                <w:b/>
                                <w:sz w:val="18"/>
                                <w:szCs w:val="18"/>
                              </w:rPr>
                              <w:t>Βέλγιο</w:t>
                            </w:r>
                            <w:r>
                              <w:rPr>
                                <w:sz w:val="18"/>
                                <w:szCs w:val="18"/>
                              </w:rPr>
                              <w:t xml:space="preserve"> </w:t>
                            </w:r>
                            <w:r>
                              <w:rPr>
                                <w:b/>
                                <w:sz w:val="18"/>
                                <w:szCs w:val="18"/>
                              </w:rPr>
                              <w:t>–</w:t>
                            </w:r>
                            <w:r>
                              <w:rPr>
                                <w:sz w:val="18"/>
                                <w:szCs w:val="18"/>
                              </w:rPr>
                              <w:t xml:space="preserve"> ένα καινοτόμο χοιροστάσιο βοηθά στη μείωση των εκπομπών αμμωνίας. Η σύνδεση ερευνητών και γεωργών μέσω υπηρεσιών υποστήριξης της καινοτομίας υπήρξε καθοριστική για την ανάπτυξη και δοκιμή των εν λόγω τεχνικών μείωσης των εκπομπών αμμωνίας, μέσω της προσθήκης ειδικών βακτηρίων στην κοπριά των χοίρων. Κάτι τέτοιο συνεισφέρει επίσης στην επίτευξη των περιβαλλοντικών στόχων του ΠΑΑ. </w:t>
                            </w:r>
                          </w:p>
                          <w:p w:rsidR="00272EFF" w:rsidRPr="00AB16BB" w:rsidRDefault="00272EFF" w:rsidP="00AB16BB">
                            <w:pPr>
                              <w:pStyle w:val="HStandard"/>
                              <w:jc w:val="right"/>
                              <w:rPr>
                                <w:sz w:val="14"/>
                                <w:szCs w:val="14"/>
                                <w:vertAlign w:val="superscript"/>
                              </w:rPr>
                            </w:pPr>
                            <w:r>
                              <w:rPr>
                                <w:i/>
                                <w:sz w:val="14"/>
                                <w:szCs w:val="14"/>
                              </w:rPr>
                              <w:t>Πηγή: ΕΣΚ – Σημείο εξυπηρέτησης</w:t>
                            </w:r>
                            <w:r w:rsidRPr="001C2BF5">
                              <w:rPr>
                                <w:i/>
                                <w:sz w:val="16"/>
                                <w:szCs w:val="14"/>
                                <w:vertAlign w:val="superscript"/>
                              </w:rPr>
                              <w:t>55</w:t>
                            </w:r>
                          </w:p>
                          <w:p w:rsidR="00272EFF" w:rsidRPr="007B4A6D" w:rsidRDefault="00272EFF" w:rsidP="00235D46">
                            <w:pPr>
                              <w:pStyle w:val="HStandard"/>
                              <w:rPr>
                                <w:b/>
                                <w:color w:val="F07E31"/>
                                <w:sz w:val="18"/>
                                <w:szCs w:val="18"/>
                              </w:rPr>
                            </w:pPr>
                            <w:r>
                              <w:rPr>
                                <w:b/>
                                <w:color w:val="F07E31"/>
                                <w:sz w:val="18"/>
                                <w:szCs w:val="18"/>
                              </w:rPr>
                              <w:t xml:space="preserve">Παράδειγμα: Υπηρεσίες υποστήριξης της καινοτομίας </w:t>
                            </w:r>
                          </w:p>
                          <w:p w:rsidR="00272EFF" w:rsidRPr="007B4A6D" w:rsidRDefault="00272EFF" w:rsidP="00235D46">
                            <w:pPr>
                              <w:pStyle w:val="HStandard"/>
                              <w:spacing w:after="0"/>
                              <w:rPr>
                                <w:b/>
                                <w:sz w:val="18"/>
                                <w:szCs w:val="18"/>
                              </w:rPr>
                            </w:pPr>
                            <w:r>
                              <w:rPr>
                                <w:b/>
                                <w:sz w:val="18"/>
                                <w:szCs w:val="18"/>
                              </w:rPr>
                              <w:t>Hessen (Γερμανία) –</w:t>
                            </w:r>
                            <w:r>
                              <w:rPr>
                                <w:sz w:val="18"/>
                                <w:szCs w:val="18"/>
                              </w:rPr>
                              <w:t xml:space="preserve"> οι υπηρεσίες υποστήριξης της καινοτομίας βοήθησαν στην ανάπτυξη της ικανότητας για καινοτομία μέσω</w:t>
                            </w:r>
                            <w:r>
                              <w:rPr>
                                <w:b/>
                                <w:sz w:val="18"/>
                                <w:szCs w:val="18"/>
                              </w:rPr>
                              <w:t>:</w:t>
                            </w:r>
                          </w:p>
                          <w:p w:rsidR="00272EFF" w:rsidRPr="00055039" w:rsidRDefault="00272EFF" w:rsidP="00235D46">
                            <w:pPr>
                              <w:pStyle w:val="HStandard"/>
                              <w:numPr>
                                <w:ilvl w:val="0"/>
                                <w:numId w:val="24"/>
                              </w:numPr>
                              <w:ind w:left="567" w:hanging="567"/>
                              <w:rPr>
                                <w:sz w:val="18"/>
                                <w:szCs w:val="18"/>
                              </w:rPr>
                            </w:pPr>
                            <w:r>
                              <w:rPr>
                                <w:sz w:val="18"/>
                                <w:szCs w:val="18"/>
                              </w:rPr>
                              <w:t>Της στήριξης της υλοποίησης του μέτρου 16,</w:t>
                            </w:r>
                          </w:p>
                          <w:p w:rsidR="00272EFF" w:rsidRPr="00D66182" w:rsidRDefault="00272EFF" w:rsidP="00235D46">
                            <w:pPr>
                              <w:pStyle w:val="HStandard"/>
                              <w:numPr>
                                <w:ilvl w:val="0"/>
                                <w:numId w:val="24"/>
                              </w:numPr>
                              <w:ind w:left="567" w:hanging="567"/>
                              <w:rPr>
                                <w:sz w:val="18"/>
                                <w:szCs w:val="18"/>
                              </w:rPr>
                            </w:pPr>
                            <w:r>
                              <w:rPr>
                                <w:sz w:val="18"/>
                                <w:szCs w:val="18"/>
                              </w:rPr>
                              <w:t>Της ενημέρωσης και της δημοσιότητας στην περιοχή,</w:t>
                            </w:r>
                          </w:p>
                          <w:p w:rsidR="00272EFF" w:rsidRPr="000E1D4B" w:rsidRDefault="00272EFF" w:rsidP="00235D46">
                            <w:pPr>
                              <w:pStyle w:val="HStandard"/>
                              <w:numPr>
                                <w:ilvl w:val="0"/>
                                <w:numId w:val="24"/>
                              </w:numPr>
                              <w:ind w:left="567" w:hanging="567"/>
                              <w:rPr>
                                <w:sz w:val="18"/>
                                <w:szCs w:val="18"/>
                              </w:rPr>
                            </w:pPr>
                            <w:r>
                              <w:rPr>
                                <w:sz w:val="18"/>
                                <w:szCs w:val="18"/>
                              </w:rPr>
                              <w:t>Της δικτύωσης των δραστηριοτήτων συνεργασίας στο Hessen της Γερμανίας,</w:t>
                            </w:r>
                          </w:p>
                          <w:p w:rsidR="00272EFF" w:rsidRPr="000E1D4B" w:rsidRDefault="00272EFF" w:rsidP="00235D46">
                            <w:pPr>
                              <w:pStyle w:val="HStandard"/>
                              <w:numPr>
                                <w:ilvl w:val="0"/>
                                <w:numId w:val="24"/>
                              </w:numPr>
                              <w:ind w:left="567" w:hanging="567"/>
                              <w:rPr>
                                <w:sz w:val="18"/>
                                <w:szCs w:val="18"/>
                              </w:rPr>
                            </w:pPr>
                            <w:r>
                              <w:rPr>
                                <w:sz w:val="18"/>
                                <w:szCs w:val="18"/>
                              </w:rPr>
                              <w:t>Της στήριξης των δραστηριοτήτων συνεργασίας κατά τη διάρκεια του σταδίου προετοιμασίας και υλοποίησης.</w:t>
                            </w:r>
                          </w:p>
                          <w:p w:rsidR="00272EFF" w:rsidRPr="00AB16BB" w:rsidRDefault="00272EFF" w:rsidP="00AB16BB">
                            <w:pPr>
                              <w:pStyle w:val="HSource"/>
                              <w:spacing w:before="0" w:after="0"/>
                              <w:ind w:right="11"/>
                              <w:jc w:val="right"/>
                              <w:rPr>
                                <w:rFonts w:eastAsia="Calibri"/>
                                <w:sz w:val="14"/>
                                <w:szCs w:val="14"/>
                              </w:rPr>
                            </w:pPr>
                            <w:r>
                              <w:rPr>
                                <w:sz w:val="14"/>
                                <w:szCs w:val="14"/>
                              </w:rPr>
                              <w:t xml:space="preserve">Πηγή: ΕΔΑΑ (2016) </w:t>
                            </w:r>
                          </w:p>
                          <w:p w:rsidR="00272EFF" w:rsidRPr="00AB16BB" w:rsidRDefault="00272EFF" w:rsidP="00AB16BB">
                            <w:pPr>
                              <w:pStyle w:val="HSource"/>
                              <w:spacing w:before="0" w:after="0"/>
                              <w:ind w:right="11"/>
                              <w:jc w:val="right"/>
                              <w:rPr>
                                <w:sz w:val="14"/>
                                <w:szCs w:val="14"/>
                              </w:rPr>
                            </w:pPr>
                            <w:r>
                              <w:rPr>
                                <w:sz w:val="14"/>
                                <w:szCs w:val="14"/>
                              </w:rPr>
                              <w:t>Εργαστήριο για το μέτρο 16 σχετικά με τη συνεργασία</w:t>
                            </w:r>
                            <w:r w:rsidRPr="001C2BF5">
                              <w:rPr>
                                <w:szCs w:val="14"/>
                                <w:vertAlign w:val="superscript"/>
                              </w:rPr>
                              <w:t>56</w:t>
                            </w:r>
                            <w:r>
                              <w:rPr>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E039E" id="Rectangle: Diagonal Corners Rounded 24" o:spid="_x0000_s1046" style="position:absolute;left:0;text-align:left;margin-left:8.25pt;margin-top:59.25pt;width:483.4pt;height:597.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139180,7591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" adj="-11796480,,5400" path="m332866,l6139180,r,l6139180,7258559v,183837,-149029,332866,-332866,332866l,7591425r,l,332866c,149029,149029,,332866,xe" filled="f" strokecolor="#f07e31" strokeweight="2pt">
                <v:stroke joinstyle="miter"/>
                <v:formulas/>
                <v:path arrowok="t" o:connecttype="custom" o:connectlocs="332866,0;6139180,0;6139180,0;6139180,7258559;5806314,7591425;0,7591425;0,7591425;0,332866;332866,0" o:connectangles="0,0,0,0,0,0,0,0,0" textboxrect="0,0,6139180,7591425"/>
                <v:textbox>
                  <w:txbxContent>
                    <w:p w:rsidR="00272EFF" w:rsidRPr="007B4A6D" w:rsidRDefault="00272EFF" w:rsidP="00E05D08">
                      <w:pPr>
                        <w:pStyle w:val="HStandard"/>
                        <w:ind w:left="567" w:hanging="567"/>
                        <w:rPr>
                          <w:b/>
                          <w:color w:val="648659"/>
                          <w:sz w:val="18"/>
                          <w:szCs w:val="18"/>
                        </w:rPr>
                      </w:pPr>
                      <w:r>
                        <w:rPr>
                          <w:noProof/>
                          <w:sz w:val="18"/>
                          <w:szCs w:val="18"/>
                          <w:lang w:val="en-GB" w:eastAsia="en-GB"/>
                        </w:rPr>
                        <w:drawing>
                          <wp:inline distT="0" distB="0" distL="0" distR="0" wp14:anchorId="74B4A279" wp14:editId="50C9F770">
                            <wp:extent cx="353060" cy="359410"/>
                            <wp:effectExtent l="0" t="0" r="8890" b="2540"/>
                            <wp:docPr id="1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Παράδειγμα: Μέτρα συνεργασίας για βελτιωμένη περιβαλλοντική διαχείριση</w:t>
                      </w:r>
                    </w:p>
                    <w:p w:rsidR="00272EFF" w:rsidRPr="007B4A6D" w:rsidRDefault="00272EFF" w:rsidP="00E05D08">
                      <w:pPr>
                        <w:pStyle w:val="HStandard"/>
                        <w:rPr>
                          <w:sz w:val="18"/>
                          <w:szCs w:val="18"/>
                        </w:rPr>
                      </w:pPr>
                      <w:r>
                        <w:rPr>
                          <w:b/>
                          <w:sz w:val="18"/>
                          <w:szCs w:val="18"/>
                        </w:rPr>
                        <w:t>Φινλανδία –</w:t>
                      </w:r>
                      <w:r>
                        <w:rPr>
                          <w:sz w:val="18"/>
                          <w:szCs w:val="18"/>
                        </w:rPr>
                        <w:t xml:space="preserve"> Το μέτρο 16 συμπληρώνει άλλα μέτρα του ΠΑΑ για την επίτευξη των στόχων των προτεραιοτήτων 4 και 5:</w:t>
                      </w:r>
                    </w:p>
                    <w:p w:rsidR="00272EFF" w:rsidRPr="00055039" w:rsidRDefault="00272EFF" w:rsidP="008C0B17">
                      <w:pPr>
                        <w:pStyle w:val="HStandard"/>
                        <w:numPr>
                          <w:ilvl w:val="0"/>
                          <w:numId w:val="24"/>
                        </w:numPr>
                        <w:ind w:left="567" w:hanging="567"/>
                        <w:rPr>
                          <w:sz w:val="18"/>
                          <w:szCs w:val="18"/>
                        </w:rPr>
                      </w:pPr>
                      <w:r>
                        <w:rPr>
                          <w:sz w:val="18"/>
                          <w:szCs w:val="18"/>
                        </w:rPr>
                        <w:t>58 % του μέτρου 16 καθώς και τμήματα των μέτρων 1 και 2 χρησιμοποιούνται για την προώθηση της ενεργειακής απόδοσης·</w:t>
                      </w:r>
                    </w:p>
                    <w:p w:rsidR="00272EFF" w:rsidRPr="00D66182" w:rsidRDefault="00272EFF" w:rsidP="008C0B17">
                      <w:pPr>
                        <w:pStyle w:val="HStandard"/>
                        <w:numPr>
                          <w:ilvl w:val="0"/>
                          <w:numId w:val="24"/>
                        </w:numPr>
                        <w:ind w:left="567" w:hanging="567"/>
                        <w:rPr>
                          <w:sz w:val="18"/>
                          <w:szCs w:val="18"/>
                        </w:rPr>
                      </w:pPr>
                      <w:r>
                        <w:rPr>
                          <w:sz w:val="18"/>
                          <w:szCs w:val="18"/>
                        </w:rPr>
                        <w:t>49 % του μέτρου 16 καθώς και τμήματα των μέτρων 1 και 2 χρησιμοποιούνται για τη δέσμευση και τη διατήρηση του διοξειδίου του άνθρακα·</w:t>
                      </w:r>
                    </w:p>
                    <w:p w:rsidR="00272EFF" w:rsidRPr="000E1D4B" w:rsidRDefault="00272EFF" w:rsidP="008C0B17">
                      <w:pPr>
                        <w:pStyle w:val="HStandard"/>
                        <w:numPr>
                          <w:ilvl w:val="0"/>
                          <w:numId w:val="24"/>
                        </w:numPr>
                        <w:ind w:left="567" w:hanging="567"/>
                        <w:rPr>
                          <w:sz w:val="18"/>
                          <w:szCs w:val="18"/>
                        </w:rPr>
                      </w:pPr>
                      <w:r>
                        <w:rPr>
                          <w:sz w:val="18"/>
                          <w:szCs w:val="18"/>
                        </w:rPr>
                        <w:t>10 % του μέτρου 16, 84 % του μέτρου 4 καθώς και τμήματα των μέτρων 1 και 2 χρησιμοποιούνται για τις ανανεώσιμες πηγές ενέργειας και τη διαχείριση αποβλήτων·</w:t>
                      </w:r>
                    </w:p>
                    <w:p w:rsidR="00272EFF" w:rsidRPr="000E1D4B" w:rsidRDefault="00272EFF" w:rsidP="008C0B17">
                      <w:pPr>
                        <w:pStyle w:val="HStandard"/>
                        <w:numPr>
                          <w:ilvl w:val="0"/>
                          <w:numId w:val="24"/>
                        </w:numPr>
                        <w:ind w:left="567" w:hanging="567"/>
                        <w:rPr>
                          <w:sz w:val="18"/>
                          <w:szCs w:val="18"/>
                        </w:rPr>
                      </w:pPr>
                      <w:r>
                        <w:rPr>
                          <w:sz w:val="18"/>
                          <w:szCs w:val="18"/>
                        </w:rPr>
                        <w:t>5,5 % του μέτρου 16, 89 % του μέτρου 4 καθώς και τμήματα των μέτρων 1 και 2 χρησιμοποιούνται για τη μείωση των εκπομπών αερίων του θερμοκηπίου και των εκπομπών αμμωνίας.</w:t>
                      </w:r>
                    </w:p>
                    <w:p w:rsidR="00272EFF" w:rsidRPr="000E1D4B" w:rsidRDefault="00272EFF" w:rsidP="00E05D08">
                      <w:pPr>
                        <w:pStyle w:val="HStandard"/>
                        <w:rPr>
                          <w:sz w:val="18"/>
                          <w:szCs w:val="18"/>
                        </w:rPr>
                      </w:pPr>
                      <w:r>
                        <w:rPr>
                          <w:sz w:val="18"/>
                          <w:szCs w:val="18"/>
                        </w:rPr>
                        <w:t>Τα επιμέρους μέτρα συνεργασίας (π.χ. το μέτρο 16.2 για τη στήριξη πιλοτικών έργων που ενισχύουν κοινές δράσεις για τον μετριασμό της κλιματικής αλλαγής και την προσαρμογή σε αυτή, καθώς και κοινές προσεγγίσεις σε περιβαλλοντικά έργα και πρακτικές στο πλαίσιο του μέτρου 16.5) έχουν σημαντικές επιπτώσεις στους ΤΕ 4Α-Γ και ΤΕ 5Α-Ε.</w:t>
                      </w:r>
                    </w:p>
                    <w:p w:rsidR="00272EFF" w:rsidRPr="00AB16BB" w:rsidRDefault="00272EFF" w:rsidP="00AB16BB">
                      <w:pPr>
                        <w:pStyle w:val="HSource"/>
                        <w:ind w:right="8"/>
                        <w:jc w:val="right"/>
                        <w:rPr>
                          <w:rFonts w:eastAsia="Calibri"/>
                          <w:sz w:val="14"/>
                          <w:szCs w:val="14"/>
                        </w:rPr>
                      </w:pPr>
                      <w:r>
                        <w:rPr>
                          <w:sz w:val="14"/>
                          <w:szCs w:val="14"/>
                        </w:rPr>
                        <w:t>Πηγή: ΕΔΑΑ (2016). Εργαστήριο για το μέτρο 16 σχετικά με τη συνεργασία</w:t>
                      </w:r>
                      <w:r w:rsidRPr="001C2BF5">
                        <w:rPr>
                          <w:szCs w:val="14"/>
                          <w:vertAlign w:val="superscript"/>
                        </w:rPr>
                        <w:t>54</w:t>
                      </w:r>
                      <w:r>
                        <w:rPr>
                          <w:sz w:val="14"/>
                          <w:szCs w:val="14"/>
                        </w:rPr>
                        <w:t>.</w:t>
                      </w:r>
                    </w:p>
                    <w:p w:rsidR="00272EFF" w:rsidRPr="007B4A6D" w:rsidRDefault="00272EFF" w:rsidP="00235D46">
                      <w:pPr>
                        <w:pStyle w:val="HStandard"/>
                        <w:spacing w:after="0"/>
                        <w:ind w:left="567" w:hanging="567"/>
                        <w:rPr>
                          <w:b/>
                          <w:sz w:val="18"/>
                          <w:szCs w:val="18"/>
                        </w:rPr>
                      </w:pPr>
                      <w:r>
                        <w:rPr>
                          <w:b/>
                          <w:color w:val="F07E31"/>
                          <w:sz w:val="18"/>
                          <w:szCs w:val="18"/>
                        </w:rPr>
                        <w:t>Παράδειγμα:</w:t>
                      </w:r>
                      <w:r>
                        <w:rPr>
                          <w:color w:val="F07E31"/>
                          <w:sz w:val="18"/>
                          <w:szCs w:val="18"/>
                        </w:rPr>
                        <w:t xml:space="preserve"> </w:t>
                      </w:r>
                      <w:r>
                        <w:rPr>
                          <w:b/>
                          <w:color w:val="F07E31"/>
                          <w:sz w:val="18"/>
                          <w:szCs w:val="18"/>
                        </w:rPr>
                        <w:t>Σύνδεση ερευνητών και γεωργών</w:t>
                      </w:r>
                      <w:r>
                        <w:rPr>
                          <w:color w:val="F07E31"/>
                          <w:sz w:val="18"/>
                          <w:szCs w:val="18"/>
                        </w:rPr>
                        <w:t xml:space="preserve"> </w:t>
                      </w:r>
                    </w:p>
                    <w:p w:rsidR="00272EFF" w:rsidRPr="00D66182" w:rsidRDefault="00272EFF" w:rsidP="00235D46">
                      <w:pPr>
                        <w:pStyle w:val="HStandard"/>
                        <w:rPr>
                          <w:sz w:val="18"/>
                          <w:szCs w:val="18"/>
                        </w:rPr>
                      </w:pPr>
                      <w:r>
                        <w:rPr>
                          <w:b/>
                          <w:sz w:val="18"/>
                          <w:szCs w:val="18"/>
                        </w:rPr>
                        <w:t>Βέλγιο</w:t>
                      </w:r>
                      <w:r>
                        <w:rPr>
                          <w:sz w:val="18"/>
                          <w:szCs w:val="18"/>
                        </w:rPr>
                        <w:t xml:space="preserve"> </w:t>
                      </w:r>
                      <w:r>
                        <w:rPr>
                          <w:b/>
                          <w:sz w:val="18"/>
                          <w:szCs w:val="18"/>
                        </w:rPr>
                        <w:t>–</w:t>
                      </w:r>
                      <w:r>
                        <w:rPr>
                          <w:sz w:val="18"/>
                          <w:szCs w:val="18"/>
                        </w:rPr>
                        <w:t xml:space="preserve"> ένα καινοτόμο χοιροστάσιο βοηθά στη μείωση των εκπομπών αμμωνίας. Η σύνδεση ερευνητών και γεωργών μέσω υπηρεσιών υποστήριξης της καινοτομίας υπήρξε καθοριστική για την ανάπτυξη και δοκιμή των εν λόγω τεχνικών μείωσης των εκπομπών αμμωνίας, μέσω της προσθήκης ειδικών βακτηρίων στην κοπριά των χοίρων. Κάτι τέτοιο συνεισφέρει επίσης στην επίτευξη των περιβαλλοντικών στόχων του ΠΑΑ. </w:t>
                      </w:r>
                    </w:p>
                    <w:p w:rsidR="00272EFF" w:rsidRPr="00AB16BB" w:rsidRDefault="00272EFF" w:rsidP="00AB16BB">
                      <w:pPr>
                        <w:pStyle w:val="HStandard"/>
                        <w:jc w:val="right"/>
                        <w:rPr>
                          <w:sz w:val="14"/>
                          <w:szCs w:val="14"/>
                          <w:vertAlign w:val="superscript"/>
                        </w:rPr>
                      </w:pPr>
                      <w:r>
                        <w:rPr>
                          <w:i/>
                          <w:sz w:val="14"/>
                          <w:szCs w:val="14"/>
                        </w:rPr>
                        <w:t>Πηγή: ΕΣΚ – Σημείο εξυπηρέτησης</w:t>
                      </w:r>
                      <w:r w:rsidRPr="001C2BF5">
                        <w:rPr>
                          <w:i/>
                          <w:sz w:val="16"/>
                          <w:szCs w:val="14"/>
                          <w:vertAlign w:val="superscript"/>
                        </w:rPr>
                        <w:t>55</w:t>
                      </w:r>
                    </w:p>
                    <w:p w:rsidR="00272EFF" w:rsidRPr="007B4A6D" w:rsidRDefault="00272EFF" w:rsidP="00235D46">
                      <w:pPr>
                        <w:pStyle w:val="HStandard"/>
                        <w:rPr>
                          <w:b/>
                          <w:color w:val="F07E31"/>
                          <w:sz w:val="18"/>
                          <w:szCs w:val="18"/>
                        </w:rPr>
                      </w:pPr>
                      <w:r>
                        <w:rPr>
                          <w:b/>
                          <w:color w:val="F07E31"/>
                          <w:sz w:val="18"/>
                          <w:szCs w:val="18"/>
                        </w:rPr>
                        <w:t xml:space="preserve">Παράδειγμα: Υπηρεσίες υποστήριξης της καινοτομίας </w:t>
                      </w:r>
                    </w:p>
                    <w:p w:rsidR="00272EFF" w:rsidRPr="007B4A6D" w:rsidRDefault="00272EFF" w:rsidP="00235D46">
                      <w:pPr>
                        <w:pStyle w:val="HStandard"/>
                        <w:spacing w:after="0"/>
                        <w:rPr>
                          <w:b/>
                          <w:sz w:val="18"/>
                          <w:szCs w:val="18"/>
                        </w:rPr>
                      </w:pPr>
                      <w:r>
                        <w:rPr>
                          <w:b/>
                          <w:sz w:val="18"/>
                          <w:szCs w:val="18"/>
                        </w:rPr>
                        <w:t>Hessen (Γερμανία) –</w:t>
                      </w:r>
                      <w:r>
                        <w:rPr>
                          <w:sz w:val="18"/>
                          <w:szCs w:val="18"/>
                        </w:rPr>
                        <w:t xml:space="preserve"> οι υπηρεσίες υποστήριξης της καινοτομίας βοήθησαν στην ανάπτυξη της ικανότητας για καινοτομία μέσω</w:t>
                      </w:r>
                      <w:r>
                        <w:rPr>
                          <w:b/>
                          <w:sz w:val="18"/>
                          <w:szCs w:val="18"/>
                        </w:rPr>
                        <w:t>:</w:t>
                      </w:r>
                    </w:p>
                    <w:p w:rsidR="00272EFF" w:rsidRPr="00055039" w:rsidRDefault="00272EFF" w:rsidP="00235D46">
                      <w:pPr>
                        <w:pStyle w:val="HStandard"/>
                        <w:numPr>
                          <w:ilvl w:val="0"/>
                          <w:numId w:val="24"/>
                        </w:numPr>
                        <w:ind w:left="567" w:hanging="567"/>
                        <w:rPr>
                          <w:sz w:val="18"/>
                          <w:szCs w:val="18"/>
                        </w:rPr>
                      </w:pPr>
                      <w:r>
                        <w:rPr>
                          <w:sz w:val="18"/>
                          <w:szCs w:val="18"/>
                        </w:rPr>
                        <w:t>Της στήριξης της υλοποίησης του μέτρου 16,</w:t>
                      </w:r>
                    </w:p>
                    <w:p w:rsidR="00272EFF" w:rsidRPr="00D66182" w:rsidRDefault="00272EFF" w:rsidP="00235D46">
                      <w:pPr>
                        <w:pStyle w:val="HStandard"/>
                        <w:numPr>
                          <w:ilvl w:val="0"/>
                          <w:numId w:val="24"/>
                        </w:numPr>
                        <w:ind w:left="567" w:hanging="567"/>
                        <w:rPr>
                          <w:sz w:val="18"/>
                          <w:szCs w:val="18"/>
                        </w:rPr>
                      </w:pPr>
                      <w:r>
                        <w:rPr>
                          <w:sz w:val="18"/>
                          <w:szCs w:val="18"/>
                        </w:rPr>
                        <w:t>Της ενημέρωσης και της δημοσιότητας στην περιοχή,</w:t>
                      </w:r>
                    </w:p>
                    <w:p w:rsidR="00272EFF" w:rsidRPr="000E1D4B" w:rsidRDefault="00272EFF" w:rsidP="00235D46">
                      <w:pPr>
                        <w:pStyle w:val="HStandard"/>
                        <w:numPr>
                          <w:ilvl w:val="0"/>
                          <w:numId w:val="24"/>
                        </w:numPr>
                        <w:ind w:left="567" w:hanging="567"/>
                        <w:rPr>
                          <w:sz w:val="18"/>
                          <w:szCs w:val="18"/>
                        </w:rPr>
                      </w:pPr>
                      <w:r>
                        <w:rPr>
                          <w:sz w:val="18"/>
                          <w:szCs w:val="18"/>
                        </w:rPr>
                        <w:t>Της δικτύωσης των δραστηριοτήτων συνεργασίας στο Hessen της Γερμανίας,</w:t>
                      </w:r>
                    </w:p>
                    <w:p w:rsidR="00272EFF" w:rsidRPr="000E1D4B" w:rsidRDefault="00272EFF" w:rsidP="00235D46">
                      <w:pPr>
                        <w:pStyle w:val="HStandard"/>
                        <w:numPr>
                          <w:ilvl w:val="0"/>
                          <w:numId w:val="24"/>
                        </w:numPr>
                        <w:ind w:left="567" w:hanging="567"/>
                        <w:rPr>
                          <w:sz w:val="18"/>
                          <w:szCs w:val="18"/>
                        </w:rPr>
                      </w:pPr>
                      <w:r>
                        <w:rPr>
                          <w:sz w:val="18"/>
                          <w:szCs w:val="18"/>
                        </w:rPr>
                        <w:t>Της στήριξης των δραστηριοτήτων συνεργασίας κατά τη διάρκεια του σταδίου προετοιμασίας και υλοποίησης.</w:t>
                      </w:r>
                    </w:p>
                    <w:p w:rsidR="00272EFF" w:rsidRPr="00AB16BB" w:rsidRDefault="00272EFF" w:rsidP="00AB16BB">
                      <w:pPr>
                        <w:pStyle w:val="HSource"/>
                        <w:spacing w:before="0" w:after="0"/>
                        <w:ind w:right="11"/>
                        <w:jc w:val="right"/>
                        <w:rPr>
                          <w:rFonts w:eastAsia="Calibri"/>
                          <w:sz w:val="14"/>
                          <w:szCs w:val="14"/>
                        </w:rPr>
                      </w:pPr>
                      <w:r>
                        <w:rPr>
                          <w:sz w:val="14"/>
                          <w:szCs w:val="14"/>
                        </w:rPr>
                        <w:t xml:space="preserve">Πηγή: ΕΔΑΑ (2016) </w:t>
                      </w:r>
                    </w:p>
                    <w:p w:rsidR="00272EFF" w:rsidRPr="00AB16BB" w:rsidRDefault="00272EFF" w:rsidP="00AB16BB">
                      <w:pPr>
                        <w:pStyle w:val="HSource"/>
                        <w:spacing w:before="0" w:after="0"/>
                        <w:ind w:right="11"/>
                        <w:jc w:val="right"/>
                        <w:rPr>
                          <w:sz w:val="14"/>
                          <w:szCs w:val="14"/>
                        </w:rPr>
                      </w:pPr>
                      <w:r>
                        <w:rPr>
                          <w:sz w:val="14"/>
                          <w:szCs w:val="14"/>
                        </w:rPr>
                        <w:t>Εργαστήριο για το μέτρο 16 σχετικά με τη συνεργασία</w:t>
                      </w:r>
                      <w:r w:rsidRPr="001C2BF5">
                        <w:rPr>
                          <w:szCs w:val="14"/>
                          <w:vertAlign w:val="superscript"/>
                        </w:rPr>
                        <w:t>56</w:t>
                      </w:r>
                      <w:r>
                        <w:rPr>
                          <w:sz w:val="14"/>
                          <w:szCs w:val="14"/>
                        </w:rPr>
                        <w:t xml:space="preserve">. </w:t>
                      </w:r>
                    </w:p>
                  </w:txbxContent>
                </v:textbox>
                <w10:wrap type="square" anchory="page"/>
              </v:shape>
            </w:pict>
          </mc:Fallback>
        </mc:AlternateContent>
      </w:r>
      <w:r>
        <w:rPr>
          <w:rStyle w:val="FootnoteReference"/>
          <w:color w:val="FFFFFF" w:themeColor="background1"/>
        </w:rPr>
        <w:footnoteReference w:id="54"/>
      </w:r>
      <w:r>
        <w:rPr>
          <w:color w:val="FFFFFF" w:themeColor="background1"/>
        </w:rPr>
        <w:t xml:space="preserve"> </w:t>
      </w:r>
      <w:r>
        <w:rPr>
          <w:rStyle w:val="FootnoteReference"/>
          <w:color w:val="FFFFFF" w:themeColor="background1"/>
        </w:rPr>
        <w:footnoteReference w:id="55"/>
      </w:r>
      <w:r>
        <w:rPr>
          <w:rStyle w:val="FootnoteReference"/>
          <w:color w:val="FFFFFF" w:themeColor="background1"/>
        </w:rPr>
        <w:footnoteReference w:id="56"/>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shd w:val="clear" w:color="auto" w:fill="FFFFFF"/>
        </w:rPr>
        <w:lastRenderedPageBreak/>
        <w:t xml:space="preserve">Ειδικές προκλήσεις </w:t>
      </w:r>
    </w:p>
    <w:p w:rsidR="00A45935" w:rsidRPr="00183E9B" w:rsidRDefault="00A45935" w:rsidP="00AB16BB">
      <w:pPr>
        <w:pStyle w:val="Hlistbullet"/>
      </w:pPr>
      <w:r>
        <w:rPr>
          <w:b/>
          <w:shd w:val="clear" w:color="auto" w:fill="FFFFFF"/>
        </w:rPr>
        <w:t>Ανάπτυξη πρόσθετων και ειδικών ανά πρόγραμμα στοιχείων αξιολόγησης</w:t>
      </w:r>
      <w:r>
        <w:rPr>
          <w:shd w:val="clear" w:color="auto" w:fill="FFFFFF"/>
        </w:rPr>
        <w:t xml:space="preserve">: </w:t>
      </w:r>
      <w:r>
        <w:rPr>
          <w:color w:val="545454"/>
          <w:shd w:val="clear" w:color="auto" w:fill="FFFFFF"/>
        </w:rPr>
        <w:t xml:space="preserve">Το ΚΕΑ αριθ. 2 συνδέεται μόνο με έναν κοινό δείκτη που αφορά τους στόχους (Σ2: </w:t>
      </w:r>
      <w:r>
        <w:t>συνολικός αριθμός πράξεων συνεργασίας που λαμβάνουν στήριξη στο πλαίσιο του μέτρου συνεργασίας)</w:t>
      </w:r>
      <w:r>
        <w:rPr>
          <w:color w:val="545454"/>
          <w:shd w:val="clear" w:color="auto" w:fill="FFFFFF"/>
        </w:rPr>
        <w:t>, ο οποίος μπορεί να μην επαρκεί για την παροχή απάντησης στο ΚΕΑ.</w:t>
      </w:r>
    </w:p>
    <w:p w:rsidR="00A45935" w:rsidRPr="00183E9B" w:rsidRDefault="00A45935" w:rsidP="00AB16BB">
      <w:pPr>
        <w:pStyle w:val="Hlistbullet"/>
        <w:rPr>
          <w:rFonts w:eastAsia="Calibri"/>
          <w:shd w:val="clear" w:color="auto" w:fill="FFFFFF"/>
        </w:rPr>
      </w:pPr>
      <w:r>
        <w:rPr>
          <w:b/>
          <w:shd w:val="clear" w:color="auto" w:fill="FFFFFF"/>
        </w:rPr>
        <w:t xml:space="preserve">Απόδοση των παρατηρούμενων αλλαγών </w:t>
      </w:r>
      <w:r>
        <w:rPr>
          <w:shd w:val="clear" w:color="auto" w:fill="FFFFFF"/>
        </w:rPr>
        <w:t>σε δεσμούς μεταξύ</w:t>
      </w:r>
      <w:r>
        <w:rPr>
          <w:b/>
          <w:shd w:val="clear" w:color="auto" w:fill="FFFFFF"/>
        </w:rPr>
        <w:t xml:space="preserve"> </w:t>
      </w:r>
      <w:r>
        <w:rPr>
          <w:shd w:val="clear" w:color="auto" w:fill="FFFFFF"/>
        </w:rPr>
        <w:t>γεωργίας, δασοκομίας και έρευνας και καινοτομίας. Πρόκειται γι’ αυτές που συνδέονται με την περιβαλλοντική διαχείριση και επίδοση,</w:t>
      </w:r>
      <w:r>
        <w:rPr>
          <w:b/>
          <w:shd w:val="clear" w:color="auto" w:fill="FFFFFF"/>
        </w:rPr>
        <w:t xml:space="preserve"> </w:t>
      </w:r>
      <w:r>
        <w:rPr>
          <w:shd w:val="clear" w:color="auto" w:fill="FFFFFF"/>
        </w:rPr>
        <w:t xml:space="preserve">το μέτρο συνεργασίας 16 και τη συνεισφορά του στην επίτευξη των στόχων του ΠΑΑ. </w:t>
      </w:r>
    </w:p>
    <w:p w:rsidR="00A45935" w:rsidRPr="00183E9B" w:rsidRDefault="00A45935" w:rsidP="00AB16BB">
      <w:pPr>
        <w:pStyle w:val="Hlistbullet"/>
        <w:rPr>
          <w:rFonts w:eastAsia="Calibri"/>
          <w:shd w:val="clear" w:color="auto" w:fill="FFFFFF"/>
        </w:rPr>
      </w:pPr>
      <w:r>
        <w:rPr>
          <w:b/>
          <w:shd w:val="clear" w:color="auto" w:fill="FFFFFF"/>
        </w:rPr>
        <w:t xml:space="preserve">Αποτύπωση των συνεισφορών των μέτρων που προγραμματίστηκαν στο πλαίσιο ΤΕ εκτός του 1Β </w:t>
      </w:r>
      <w:r>
        <w:rPr>
          <w:shd w:val="clear" w:color="auto" w:fill="FFFFFF"/>
        </w:rPr>
        <w:t>(συμπεριλαμβανομένων των επιμέρους μέτρων του μέτρου 16), τα οποία σχεδιάστηκαν για την ενίσχυση των δεσμών μεταξύ</w:t>
      </w:r>
      <w:r>
        <w:rPr>
          <w:b/>
          <w:shd w:val="clear" w:color="auto" w:fill="FFFFFF"/>
        </w:rPr>
        <w:t xml:space="preserve"> </w:t>
      </w:r>
      <w:r>
        <w:rPr>
          <w:shd w:val="clear" w:color="auto" w:fill="FFFFFF"/>
        </w:rPr>
        <w:t xml:space="preserve">γεωργίας, δασοκομίας και έρευνας και καινοτομίας, ιδίως αυτών που συνδέονται με την περιβαλλοντική διαχείριση και επίδοση.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Προτεινόμενη προσέγγιση για την παροχή απάντησης στο ΚΕΑ αριθ. 2</w:t>
      </w:r>
    </w:p>
    <w:p w:rsidR="00A45935" w:rsidRPr="00E05D08" w:rsidRDefault="00DC60EA" w:rsidP="00DC60EA">
      <w:pPr>
        <w:spacing w:before="120" w:after="120" w:line="280" w:lineRule="atLeast"/>
        <w:ind w:left="360" w:hanging="360"/>
        <w:mirrorIndents/>
        <w:rPr>
          <w:rFonts w:eastAsia="Times New Roman" w:cs="Times New Roman"/>
          <w:b/>
          <w:szCs w:val="20"/>
        </w:rPr>
      </w:pPr>
      <w:r>
        <w:rPr>
          <w:b/>
          <w:szCs w:val="20"/>
        </w:rPr>
        <w:t>α.</w:t>
      </w:r>
      <w:r>
        <w:rPr>
          <w:b/>
          <w:szCs w:val="20"/>
        </w:rPr>
        <w:tab/>
      </w:r>
      <w:r w:rsidR="00A45935">
        <w:rPr>
          <w:b/>
          <w:szCs w:val="20"/>
        </w:rPr>
        <w:t xml:space="preserve">Λογική παρέμβασης </w:t>
      </w:r>
    </w:p>
    <w:p w:rsidR="00A45935" w:rsidRPr="00E05D08" w:rsidRDefault="00A45935" w:rsidP="00E05D08">
      <w:pPr>
        <w:spacing w:after="120" w:line="280" w:lineRule="atLeast"/>
        <w:mirrorIndents/>
        <w:rPr>
          <w:rFonts w:eastAsia="Times New Roman" w:cs="Times New Roman"/>
          <w:szCs w:val="20"/>
        </w:rPr>
      </w:pPr>
      <w:r>
        <w:t xml:space="preserve">Στο κατωτέρω παράδειγμα, η λογική παρέμβασης που συνδέεται με το ΚΕΑ αριθ. 2 αποτελείται από επιμέρους μέτρα του μέτρου 16, όπως αυτά προγραμματίστηκαν στο πλαίσιο του ΤΕ 1Β ή άλλων ΤΕ που συνεισφέρουν στους στόχους του ΤΕ 1Β. </w:t>
      </w:r>
    </w:p>
    <w:p w:rsidR="00A45935" w:rsidRPr="00E05D08" w:rsidRDefault="00A45935" w:rsidP="00E05D08">
      <w:pPr>
        <w:spacing w:after="120" w:line="280" w:lineRule="atLeast"/>
        <w:mirrorIndents/>
        <w:rPr>
          <w:rFonts w:eastAsia="Times New Roman" w:cs="Times New Roman"/>
          <w:szCs w:val="20"/>
        </w:rPr>
      </w:pPr>
      <w:r>
        <w:t xml:space="preserve">Ενδεχόμενο σημείο εκκίνησης για την επισκόπηση της λογικής παρέμβασης είναι η εξέταση του δυναμικού καινοτομίας των επιμέρους μέτρων του μέτρου 16 για την προώθηση της καινοτομίας μέσω των τριών διαδρομών. </w:t>
      </w:r>
    </w:p>
    <w:p w:rsidR="00A45935" w:rsidRPr="00BC5B1D" w:rsidRDefault="000A1DD3" w:rsidP="000A1DD3">
      <w:pPr>
        <w:pStyle w:val="HHeadingfigures"/>
        <w:numPr>
          <w:ilvl w:val="0"/>
          <w:numId w:val="0"/>
        </w:numPr>
        <w:ind w:left="604"/>
      </w:pPr>
      <w:bookmarkStart w:id="112" w:name="_Toc508964843"/>
      <w:r>
        <w:t>Διάγραμμα 9.</w:t>
      </w:r>
      <w:r>
        <w:tab/>
      </w:r>
      <w:r w:rsidR="00BE1F31">
        <w:t>Παράδειγμα δυναμικού καινοτομίας κάθε επιμέρους μέτρου του μέτρου 16</w:t>
      </w:r>
      <w:bookmarkEnd w:id="112"/>
    </w:p>
    <w:p w:rsidR="00A45935" w:rsidRPr="00E05D08" w:rsidRDefault="00E44ABD" w:rsidP="002C2C15">
      <w:pPr>
        <w:spacing w:after="120" w:line="280" w:lineRule="atLeast"/>
        <w:mirrorIndents/>
        <w:jc w:val="center"/>
        <w:rPr>
          <w:rFonts w:eastAsia="Times New Roman" w:cs="Times New Roman"/>
          <w:szCs w:val="20"/>
          <w:lang w:eastAsia="de-DE"/>
        </w:rPr>
      </w:pPr>
      <w:r w:rsidRPr="00E44ABD">
        <w:rPr>
          <w:noProof/>
          <w:lang w:val="en-GB" w:eastAsia="en-GB"/>
        </w:rPr>
        <w:drawing>
          <wp:inline distT="0" distB="0" distL="0" distR="0" wp14:anchorId="455A2D51" wp14:editId="2F895AB0">
            <wp:extent cx="5731510" cy="3218707"/>
            <wp:effectExtent l="0" t="0" r="254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3218707"/>
                    </a:xfrm>
                    <a:prstGeom prst="rect">
                      <a:avLst/>
                    </a:prstGeom>
                    <a:noFill/>
                    <a:ln>
                      <a:noFill/>
                    </a:ln>
                  </pic:spPr>
                </pic:pic>
              </a:graphicData>
            </a:graphic>
          </wp:inline>
        </w:drawing>
      </w:r>
    </w:p>
    <w:p w:rsidR="00A45935" w:rsidRPr="00E05D08" w:rsidRDefault="00A45935" w:rsidP="00BD7227">
      <w:pPr>
        <w:suppressAutoHyphens/>
        <w:spacing w:before="60" w:after="140" w:line="240" w:lineRule="auto"/>
        <w:mirrorIndents/>
        <w:jc w:val="center"/>
        <w:rPr>
          <w:rFonts w:eastAsia="Times New Roman" w:cs="Times New Roman"/>
          <w:i/>
          <w:sz w:val="16"/>
          <w:szCs w:val="20"/>
        </w:rPr>
      </w:pPr>
      <w:r>
        <w:rPr>
          <w:i/>
          <w:sz w:val="16"/>
          <w:szCs w:val="20"/>
        </w:rPr>
        <w:t>Πηγή: Ευρωπαϊκό Helpdesk αξιολόγησης για την αγροτική ανάπτυξη, 2017</w:t>
      </w:r>
    </w:p>
    <w:p w:rsidR="00A45935" w:rsidRPr="00E05D08" w:rsidRDefault="00647766"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w:lastRenderedPageBreak/>
        <mc:AlternateContent>
          <mc:Choice Requires="wps">
            <w:drawing>
              <wp:anchor distT="0" distB="0" distL="114300" distR="114300" simplePos="0" relativeHeight="251662848" behindDoc="0" locked="0" layoutInCell="1" allowOverlap="1" wp14:anchorId="0187B8F4" wp14:editId="6D4D0473">
                <wp:simplePos x="0" y="0"/>
                <wp:positionH relativeFrom="column">
                  <wp:posOffset>66675</wp:posOffset>
                </wp:positionH>
                <wp:positionV relativeFrom="paragraph">
                  <wp:posOffset>1042035</wp:posOffset>
                </wp:positionV>
                <wp:extent cx="5745480" cy="2181225"/>
                <wp:effectExtent l="0" t="0" r="26670" b="28575"/>
                <wp:wrapSquare wrapText="bothSides"/>
                <wp:docPr id="83" name="Rectangle: Diagonal Corners Rounded 83"/>
                <wp:cNvGraphicFramePr/>
                <a:graphic xmlns:a="http://schemas.openxmlformats.org/drawingml/2006/main">
                  <a:graphicData uri="http://schemas.microsoft.com/office/word/2010/wordprocessingShape">
                    <wps:wsp>
                      <wps:cNvSpPr/>
                      <wps:spPr>
                        <a:xfrm>
                          <a:off x="0" y="0"/>
                          <a:ext cx="5745480" cy="2181225"/>
                        </a:xfrm>
                        <a:prstGeom prst="round2DiagRect">
                          <a:avLst>
                            <a:gd name="adj1" fmla="val 11556"/>
                            <a:gd name="adj2" fmla="val 0"/>
                          </a:avLst>
                        </a:prstGeom>
                        <a:noFill/>
                        <a:ln w="25400" cap="flat" cmpd="sng" algn="ctr">
                          <a:solidFill>
                            <a:srgbClr val="F07E31"/>
                          </a:solidFill>
                          <a:prstDash val="solid"/>
                        </a:ln>
                        <a:effectLst/>
                      </wps:spPr>
                      <wps:txbx>
                        <w:txbxContent>
                          <w:p w:rsidR="00272EFF" w:rsidRPr="00A10ACC" w:rsidRDefault="00272EFF" w:rsidP="00E05D08">
                            <w:pPr>
                              <w:pStyle w:val="HStandard"/>
                              <w:rPr>
                                <w:sz w:val="18"/>
                              </w:rPr>
                            </w:pPr>
                            <w:r>
                              <w:rPr>
                                <w:noProof/>
                                <w:lang w:val="en-GB" w:eastAsia="en-GB"/>
                              </w:rPr>
                              <w:drawing>
                                <wp:inline distT="0" distB="0" distL="0" distR="0" wp14:anchorId="55C8DFA3" wp14:editId="16384EED">
                                  <wp:extent cx="353060" cy="359410"/>
                                  <wp:effectExtent l="0" t="0" r="8890" b="2540"/>
                                  <wp:docPr id="2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Το παράδειγμα παρουσιάζει το δυναμικό καινοτομίας των επιμέρους μέτρων του μέτρου 16 (όπως θα μπορούσε να προγραμματιστεί στο πλαίσιο οποιουδήποτε ΤΕ αγροτικής ανάπτυξης) που συνεισφέρουν στον στόχο πολιτικής του ΤΕ 1Β. Παρότι και τα δέκα επιμέρους μέτρα του μέτρου 16 συνεισφέρουν στην ενίσχυση των δεσμών μεταξύ της γεωργίας, της παραγωγής τροφίμων, της δασοκομίας, της έρευνας και της καινοτομίας, μόνο τα επιμέρους μέτρα 5, 6, 8 και 9 εμφανίζουν δυναμικό συνεισφοράς στην ενίσχυση αυτών των δεσμών όσον αφορά την περιβαλλοντική διαχείριση και επίδοση. Όσον αφορά τις τρεις διαδρομές καινοτομίας, τα επιμέρους μέτρα 1, 5, 6, 7 και 8 προωθούν την καλλιέργεια καινοτόμων ιδεών (διαδρομή 1). Το επιμέρους μέτρο 1 προωθεί επίσης την ανάπτυξη ικανοτήτων και τη δημιουργία ευνοϊκού περιβάλλοντος (διαδρομές 2 και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7B8F4" id="Rectangle: Diagonal Corners Rounded 83" o:spid="_x0000_s1047" style="position:absolute;left:0;text-align:left;margin-left:5.25pt;margin-top:82.05pt;width:452.4pt;height:17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45480,2181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" adj="-11796480,,5400" path="m252062,l5745480,r,l5745480,1929163v,139210,-112852,252062,-252062,252062l,2181225r,l,252062c,112852,112852,,252062,xe" filled="f" strokecolor="#f07e31" strokeweight="2pt">
                <v:stroke joinstyle="miter"/>
                <v:formulas/>
                <v:path arrowok="t" o:connecttype="custom" o:connectlocs="252062,0;5745480,0;5745480,0;5745480,1929163;5493418,2181225;0,2181225;0,2181225;0,252062;252062,0" o:connectangles="0,0,0,0,0,0,0,0,0" textboxrect="0,0,5745480,2181225"/>
                <v:textbox>
                  <w:txbxContent>
                    <w:p w:rsidR="00272EFF" w:rsidRPr="00A10ACC" w:rsidRDefault="00272EFF" w:rsidP="00E05D08">
                      <w:pPr>
                        <w:pStyle w:val="HStandard"/>
                        <w:rPr>
                          <w:sz w:val="18"/>
                        </w:rPr>
                      </w:pPr>
                      <w:r>
                        <w:rPr>
                          <w:noProof/>
                          <w:lang w:val="en-GB" w:eastAsia="en-GB"/>
                        </w:rPr>
                        <w:drawing>
                          <wp:inline distT="0" distB="0" distL="0" distR="0" wp14:anchorId="55C8DFA3" wp14:editId="16384EED">
                            <wp:extent cx="353060" cy="359410"/>
                            <wp:effectExtent l="0" t="0" r="8890" b="2540"/>
                            <wp:docPr id="2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Το παράδειγμα παρουσιάζει το δυναμικό καινοτομίας των επιμέρους μέτρων του μέτρου 16 (όπως θα μπορούσε να προγραμματιστεί στο πλαίσιο οποιουδήποτε ΤΕ αγροτικής ανάπτυξης) που συνεισφέρουν στον στόχο πολιτικής του ΤΕ 1Β. Παρότι και τα δέκα επιμέρους μέτρα του μέτρου 16 συνεισφέρουν στην ενίσχυση των δεσμών μεταξύ της γεωργίας, της παραγωγής τροφίμων, της δασοκομίας, της έρευνας και της καινοτομίας, μόνο τα επιμέρους μέτρα 5, 6, 8 και 9 εμφανίζουν δυναμικό συνεισφοράς στην ενίσχυση αυτών των δεσμών όσον αφορά την περιβαλλοντική διαχείριση και επίδοση. Όσον αφορά τις τρεις διαδρομές καινοτομίας, τα επιμέρους μέτρα 1, 5, 6, 7 και 8 προωθούν την καλλιέργεια καινοτόμων ιδεών (διαδρομή 1). Το επιμέρους μέτρο 1 προωθεί επίσης την ανάπτυξη ικανοτήτων και τη δημιουργία ευνοϊκού περιβάλλοντος (διαδρομές 2 και 3).</w:t>
                      </w:r>
                    </w:p>
                  </w:txbxContent>
                </v:textbox>
                <w10:wrap type="square"/>
              </v:shape>
            </w:pict>
          </mc:Fallback>
        </mc:AlternateContent>
      </w:r>
      <w:r>
        <w:t>Επιπλέον, όλα τα επιμέρους μέτρα του μέτρου 16, που προγραμματίστηκαν στο πλαίσιο άλλων ΤΕ εκτός του ΤΕ 1Β, θα πρέπει να συμπεριληφθούν στην αξιολόγηση της επίτευξης των πτυχών του ΚΕΑ αριθ. 2 που σχετίζονται με την καινοτομία. Για παράδειγμα, εάν το μέτρο 16.1 προγραμματίστηκε στο πλαίσιο του ΤΕ 2Α, οι συνεισφορές στους δεσμούς μεταξύ γεωργών, ερευνητών και συμβούλων καινοτομίας μπορούν να ληφθούν υπόψη κατά την αξιολόγηση του ΚΕΑ αριθ. 2.</w:t>
      </w:r>
    </w:p>
    <w:p w:rsidR="00A45935" w:rsidRPr="00E05D08" w:rsidRDefault="00DC60EA" w:rsidP="00DC60EA">
      <w:pPr>
        <w:spacing w:before="120" w:after="120" w:line="280" w:lineRule="atLeast"/>
        <w:ind w:left="360" w:hanging="360"/>
        <w:mirrorIndents/>
        <w:rPr>
          <w:rFonts w:eastAsia="Times New Roman" w:cs="Times New Roman"/>
          <w:b/>
          <w:szCs w:val="20"/>
        </w:rPr>
      </w:pPr>
      <w:r>
        <w:rPr>
          <w:b/>
          <w:szCs w:val="20"/>
        </w:rPr>
        <w:t>β.</w:t>
      </w:r>
      <w:r>
        <w:rPr>
          <w:b/>
          <w:szCs w:val="20"/>
        </w:rPr>
        <w:tab/>
      </w:r>
      <w:r w:rsidR="00A45935">
        <w:rPr>
          <w:b/>
          <w:szCs w:val="20"/>
        </w:rPr>
        <w:t xml:space="preserve">Στοιχεία αξιολόγησης </w:t>
      </w:r>
    </w:p>
    <w:p w:rsidR="00A45935" w:rsidRPr="00E05D08" w:rsidRDefault="00734B11" w:rsidP="00E05D08">
      <w:pPr>
        <w:spacing w:after="120" w:line="280" w:lineRule="atLeast"/>
        <w:mirrorIndents/>
        <w:rPr>
          <w:rFonts w:eastAsia="Times New Roman" w:cs="Times New Roman"/>
          <w:szCs w:val="20"/>
        </w:rPr>
        <w:sectPr w:rsidR="00A45935" w:rsidRPr="00E05D08" w:rsidSect="00055039">
          <w:endnotePr>
            <w:numFmt w:val="decimal"/>
          </w:endnotePr>
          <w:type w:val="continuous"/>
          <w:pgSz w:w="11906" w:h="16838" w:code="9"/>
          <w:pgMar w:top="1134" w:right="1440" w:bottom="1440" w:left="1440" w:header="567" w:footer="1021" w:gutter="0"/>
          <w:cols w:space="708"/>
          <w:noEndnote/>
          <w:docGrid w:linePitch="360"/>
        </w:sectPr>
      </w:pPr>
      <w:r>
        <w:t>Τα κοινά κριτήρια απόφασης και οι κοινοί δείκτες για το ΚΕΑ αριθ. 2 παραμένουν στο επίπεδο εκροών των πράξεων στο πλαίσιο του μέτρου συνεργασίας. Για την αξιολόγηση των αποτελεσμάτων αυτών των μέτρων μπορεί να χρειαστεί να αναπτυχθούν πρόσθετα κριτήρια απόφασης και δείκτες. Ο κατωτέρω πίνακας απαριθμεί τα κριτήρια απόφασης, τους δείκτες και τις απαιτήσεις σε δεδομένα για την απάντηση του ΚΕΑ αριθ. 2.</w:t>
      </w:r>
    </w:p>
    <w:p w:rsidR="00A45935" w:rsidRPr="009A2DAD" w:rsidRDefault="000A1DD3" w:rsidP="000A1DD3">
      <w:pPr>
        <w:pStyle w:val="HHeadingtables"/>
        <w:numPr>
          <w:ilvl w:val="0"/>
          <w:numId w:val="0"/>
        </w:numPr>
        <w:ind w:left="240"/>
        <w:rPr>
          <w:color w:val="6F6F6F"/>
          <w:sz w:val="18"/>
          <w:szCs w:val="18"/>
        </w:rPr>
      </w:pPr>
      <w:bookmarkStart w:id="113" w:name="_Toc508964828"/>
      <w:r>
        <w:rPr>
          <w:color w:val="6F6F6F"/>
          <w:sz w:val="18"/>
          <w:szCs w:val="18"/>
        </w:rPr>
        <w:lastRenderedPageBreak/>
        <w:t>Πίνακας 3.</w:t>
      </w:r>
      <w:r>
        <w:rPr>
          <w:color w:val="6F6F6F"/>
          <w:sz w:val="18"/>
          <w:szCs w:val="18"/>
        </w:rPr>
        <w:tab/>
      </w:r>
      <w:r w:rsidR="00A45935">
        <w:rPr>
          <w:color w:val="6F6F6F"/>
          <w:sz w:val="18"/>
          <w:szCs w:val="18"/>
        </w:rPr>
        <w:t>Κριτήρια απόφασης, δείκτες, ανάγκες σε δεδομένα και πηγές δεδομένων</w:t>
      </w:r>
      <w:bookmarkEnd w:id="113"/>
    </w:p>
    <w:tbl>
      <w:tblPr>
        <w:tblStyle w:val="TableGrid"/>
        <w:tblW w:w="143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78"/>
        <w:gridCol w:w="3578"/>
        <w:gridCol w:w="3578"/>
        <w:gridCol w:w="3578"/>
      </w:tblGrid>
      <w:tr w:rsidR="00A45935" w:rsidRPr="00E05D08" w:rsidTr="00E05D08">
        <w:trPr>
          <w:tblHeader/>
        </w:trPr>
        <w:tc>
          <w:tcPr>
            <w:tcW w:w="3578" w:type="dxa"/>
            <w:shd w:val="clear" w:color="auto" w:fill="F07E31"/>
          </w:tcPr>
          <w:p w:rsidR="00A45935" w:rsidRPr="00E05D08" w:rsidRDefault="00A45935" w:rsidP="00E05D08">
            <w:pPr>
              <w:spacing w:after="120" w:line="280" w:lineRule="atLeast"/>
              <w:ind w:left="29" w:right="110"/>
              <w:mirrorIndents/>
              <w:jc w:val="center"/>
              <w:rPr>
                <w:rFonts w:cs="Arial"/>
                <w:b/>
                <w:color w:val="FFFFFF"/>
                <w:sz w:val="18"/>
                <w:szCs w:val="18"/>
              </w:rPr>
            </w:pPr>
            <w:r>
              <w:rPr>
                <w:b/>
                <w:color w:val="FFFFFF"/>
                <w:sz w:val="18"/>
                <w:szCs w:val="18"/>
              </w:rPr>
              <w:t>Κριτήρια απόφασης</w:t>
            </w:r>
          </w:p>
        </w:tc>
        <w:tc>
          <w:tcPr>
            <w:tcW w:w="3578" w:type="dxa"/>
            <w:shd w:val="clear" w:color="auto" w:fill="F07E31"/>
          </w:tcPr>
          <w:p w:rsidR="00A45935" w:rsidRPr="00E05D08" w:rsidRDefault="00A45935" w:rsidP="00E05D08">
            <w:pPr>
              <w:spacing w:after="120" w:line="280" w:lineRule="atLeast"/>
              <w:ind w:left="75" w:right="61"/>
              <w:mirrorIndents/>
              <w:jc w:val="center"/>
              <w:rPr>
                <w:rFonts w:cs="Arial"/>
                <w:b/>
                <w:color w:val="FFFFFF"/>
                <w:sz w:val="18"/>
                <w:szCs w:val="18"/>
              </w:rPr>
            </w:pPr>
            <w:r>
              <w:rPr>
                <w:b/>
                <w:color w:val="FFFFFF"/>
                <w:sz w:val="18"/>
                <w:szCs w:val="18"/>
              </w:rPr>
              <w:t>Δείκτες</w:t>
            </w:r>
          </w:p>
        </w:tc>
        <w:tc>
          <w:tcPr>
            <w:tcW w:w="3578" w:type="dxa"/>
            <w:shd w:val="clear" w:color="auto" w:fill="F07E31"/>
          </w:tcPr>
          <w:p w:rsidR="00A45935" w:rsidRPr="00E05D08" w:rsidRDefault="00A45935" w:rsidP="00E05D08">
            <w:pPr>
              <w:spacing w:after="120" w:line="280" w:lineRule="atLeast"/>
              <w:ind w:left="11" w:right="12"/>
              <w:mirrorIndents/>
              <w:jc w:val="center"/>
              <w:rPr>
                <w:rFonts w:cs="Arial"/>
                <w:b/>
                <w:color w:val="FFFFFF"/>
                <w:sz w:val="18"/>
                <w:szCs w:val="18"/>
              </w:rPr>
            </w:pPr>
            <w:r>
              <w:rPr>
                <w:b/>
                <w:color w:val="FFFFFF"/>
                <w:sz w:val="18"/>
                <w:szCs w:val="18"/>
              </w:rPr>
              <w:t>Ανάγκες σε δεδομένα</w:t>
            </w:r>
          </w:p>
        </w:tc>
        <w:tc>
          <w:tcPr>
            <w:tcW w:w="3578" w:type="dxa"/>
            <w:shd w:val="clear" w:color="auto" w:fill="F07E31"/>
          </w:tcPr>
          <w:p w:rsidR="00A45935" w:rsidRPr="00E05D08" w:rsidRDefault="00A45935" w:rsidP="00E05D08">
            <w:pPr>
              <w:spacing w:after="120" w:line="280" w:lineRule="atLeast"/>
              <w:ind w:left="355" w:right="31"/>
              <w:mirrorIndents/>
              <w:jc w:val="center"/>
              <w:rPr>
                <w:rFonts w:cs="Arial"/>
                <w:b/>
                <w:color w:val="FFFFFF"/>
                <w:sz w:val="18"/>
                <w:szCs w:val="18"/>
              </w:rPr>
            </w:pPr>
            <w:r>
              <w:rPr>
                <w:b/>
                <w:color w:val="FFFFFF"/>
                <w:sz w:val="18"/>
                <w:szCs w:val="18"/>
              </w:rPr>
              <w:t>Πηγές δεδομένων</w:t>
            </w:r>
          </w:p>
        </w:tc>
      </w:tr>
      <w:tr w:rsidR="00A45935" w:rsidRPr="00E05D08" w:rsidTr="00406C98">
        <w:tc>
          <w:tcPr>
            <w:tcW w:w="14312" w:type="dxa"/>
            <w:gridSpan w:val="4"/>
            <w:tcBorders>
              <w:bottom w:val="single" w:sz="4" w:space="0" w:color="808080"/>
            </w:tcBorders>
            <w:shd w:val="clear" w:color="auto" w:fill="8BAB80"/>
          </w:tcPr>
          <w:p w:rsidR="00A45935" w:rsidRPr="005474FA" w:rsidRDefault="00A45935" w:rsidP="00E05D08">
            <w:pPr>
              <w:spacing w:after="120" w:line="280" w:lineRule="atLeast"/>
              <w:ind w:left="355" w:right="31"/>
              <w:mirrorIndents/>
              <w:rPr>
                <w:rFonts w:cs="Arial"/>
                <w:b/>
                <w:color w:val="FFFFFF"/>
                <w:sz w:val="18"/>
                <w:szCs w:val="18"/>
              </w:rPr>
            </w:pPr>
            <w:r>
              <w:rPr>
                <w:b/>
                <w:color w:val="FFFFFF"/>
                <w:sz w:val="18"/>
                <w:szCs w:val="18"/>
              </w:rPr>
              <w:t>Κοινά στοιχεία αξιολόγησης [ΚΣΠΑ και προτεινόμενα στο έγγραφο εργασίας «Common evaluation questions 2014-2020» (Κοινά ερωτήματα αξιολόγησης 2014-2020)]</w:t>
            </w:r>
          </w:p>
        </w:tc>
      </w:tr>
      <w:tr w:rsidR="00A45935" w:rsidRPr="00E05D08" w:rsidTr="00406C98">
        <w:tc>
          <w:tcPr>
            <w:tcW w:w="3578" w:type="dxa"/>
            <w:tcBorders>
              <w:bottom w:val="nil"/>
            </w:tcBorders>
          </w:tcPr>
          <w:p w:rsidR="00A45935" w:rsidRPr="00385368" w:rsidRDefault="00A45935" w:rsidP="007E63EF">
            <w:pPr>
              <w:spacing w:after="120" w:line="280" w:lineRule="atLeast"/>
              <w:ind w:left="29" w:right="110"/>
              <w:mirrorIndents/>
              <w:jc w:val="left"/>
              <w:rPr>
                <w:rFonts w:cs="Arial"/>
                <w:sz w:val="18"/>
                <w:szCs w:val="18"/>
              </w:rPr>
            </w:pPr>
            <w:r>
              <w:rPr>
                <w:sz w:val="18"/>
                <w:szCs w:val="18"/>
              </w:rPr>
              <w:t>Καθιέρωση μακροπρόθεσμης συνεργασίας μεταξύ φορέων γεωργίας, παραγωγής τροφίμων και δασοκομίας και ιδρυμάτων έρευνας και καινοτομίας.</w:t>
            </w:r>
          </w:p>
        </w:tc>
        <w:tc>
          <w:tcPr>
            <w:tcW w:w="3578" w:type="dxa"/>
            <w:tcBorders>
              <w:bottom w:val="nil"/>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Σ2: Συνολικός αριθμός στηριζόμενων πράξεων συνεργασίας στο πλαίσιο του μέτρου συνεργασίας [άρθρο 35 του κανονισμού (ΕΕ) αριθ. 1305/2013 (ομάδες, δίκτυα/συνεργατικοί σχηματισμοί, πιλοτικά έργα)].</w:t>
            </w:r>
          </w:p>
          <w:p w:rsidR="00A45935" w:rsidRPr="00385368" w:rsidRDefault="00A45935" w:rsidP="007E63EF">
            <w:pPr>
              <w:spacing w:after="120" w:line="280" w:lineRule="atLeast"/>
              <w:ind w:left="75" w:right="61"/>
              <w:mirrorIndents/>
              <w:jc w:val="left"/>
              <w:rPr>
                <w:rFonts w:cs="Arial"/>
                <w:sz w:val="18"/>
                <w:szCs w:val="18"/>
              </w:rPr>
            </w:pPr>
            <w:r>
              <w:rPr>
                <w:color w:val="57825E"/>
                <w:sz w:val="18"/>
                <w:szCs w:val="18"/>
                <w:u w:val="single"/>
              </w:rPr>
              <w:t>Πρόσθετος δείκτης:</w:t>
            </w:r>
            <w:r>
              <w:rPr>
                <w:color w:val="57825E"/>
                <w:sz w:val="18"/>
                <w:szCs w:val="18"/>
              </w:rPr>
              <w:t xml:space="preserve"> Αριθμός και τύποι εταίρων που συμμετέχουν σε έργα συνεργασίας, συμπεριλαμβανομένων των ρόλων και των αρμοδιοτήτων τους.</w:t>
            </w:r>
          </w:p>
        </w:tc>
        <w:tc>
          <w:tcPr>
            <w:tcW w:w="3578" w:type="dxa"/>
            <w:tcBorders>
              <w:bottom w:val="nil"/>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Αριθμός πράξεων ΕΣΚ (στοιχείο δεδομένων Ε.16).</w:t>
            </w:r>
          </w:p>
          <w:p w:rsidR="00A45935" w:rsidRPr="00385368" w:rsidRDefault="00A45935" w:rsidP="007E63EF">
            <w:pPr>
              <w:spacing w:after="120" w:line="280" w:lineRule="atLeast"/>
              <w:ind w:left="11" w:right="12"/>
              <w:mirrorIndents/>
              <w:jc w:val="left"/>
              <w:rPr>
                <w:rFonts w:cs="Arial"/>
                <w:sz w:val="18"/>
                <w:szCs w:val="18"/>
              </w:rPr>
            </w:pPr>
            <w:r>
              <w:rPr>
                <w:sz w:val="18"/>
                <w:szCs w:val="18"/>
              </w:rPr>
              <w:t>Αριθμός άλλων πράξεων συνεργασίας (ομάδες, δίκτυα/συνεργατικοί σχηματισμοί, πιλοτικά έργα) που πρόκειται να στηριχθούν στο πλαίσιο του μέτρου 16 «Συνεργασία» (στοιχείο δεδομένων Ε.17).</w:t>
            </w:r>
          </w:p>
          <w:p w:rsidR="00A45935" w:rsidRPr="00385368" w:rsidRDefault="00A45935" w:rsidP="007E63EF">
            <w:pPr>
              <w:spacing w:after="120" w:line="280" w:lineRule="atLeast"/>
              <w:ind w:left="11" w:right="12"/>
              <w:mirrorIndents/>
              <w:jc w:val="left"/>
              <w:rPr>
                <w:rFonts w:cs="Arial"/>
                <w:sz w:val="18"/>
                <w:szCs w:val="18"/>
              </w:rPr>
            </w:pPr>
            <w:r>
              <w:rPr>
                <w:sz w:val="18"/>
                <w:szCs w:val="18"/>
              </w:rPr>
              <w:t xml:space="preserve">Τύποι και αριθμός εταίρων που συμμετέχουν. </w:t>
            </w:r>
          </w:p>
        </w:tc>
        <w:tc>
          <w:tcPr>
            <w:tcW w:w="3578" w:type="dxa"/>
            <w:tcBorders>
              <w:bottom w:val="nil"/>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Σύστημα παρακολούθησης του ΠΑΑ</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Αιτήσεις υποψηφιότητας δικαιούχων (έναρξη έργου)</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Αιτήσεις πληρωμής δικαιούχων (λήξη έργου)</w:t>
            </w:r>
          </w:p>
        </w:tc>
      </w:tr>
      <w:tr w:rsidR="00A45935" w:rsidRPr="00E05D08" w:rsidTr="005520BA">
        <w:tc>
          <w:tcPr>
            <w:tcW w:w="3578" w:type="dxa"/>
            <w:tcBorders>
              <w:top w:val="nil"/>
              <w:bottom w:val="single" w:sz="4" w:space="0" w:color="808080"/>
            </w:tcBorders>
          </w:tcPr>
          <w:p w:rsidR="00A45935" w:rsidRPr="002F229A" w:rsidRDefault="00A45935" w:rsidP="007E63EF">
            <w:pPr>
              <w:spacing w:after="120" w:line="280" w:lineRule="atLeast"/>
              <w:ind w:left="29" w:right="110"/>
              <w:mirrorIndents/>
              <w:jc w:val="left"/>
              <w:rPr>
                <w:rFonts w:cs="Arial"/>
                <w:sz w:val="18"/>
                <w:szCs w:val="18"/>
              </w:rPr>
            </w:pPr>
          </w:p>
        </w:tc>
        <w:tc>
          <w:tcPr>
            <w:tcW w:w="3578" w:type="dxa"/>
            <w:tcBorders>
              <w:top w:val="nil"/>
              <w:bottom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Ε.3 Αριθμός στηριζόμενων πράξεων.</w:t>
            </w:r>
          </w:p>
        </w:tc>
        <w:tc>
          <w:tcPr>
            <w:tcW w:w="3578" w:type="dxa"/>
            <w:tcBorders>
              <w:top w:val="nil"/>
              <w:bottom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Συνολικός αριθμός στηριζόμενων πράξεων.</w:t>
            </w:r>
          </w:p>
          <w:p w:rsidR="00A45935" w:rsidRPr="00385368" w:rsidRDefault="00A45935" w:rsidP="007E63EF">
            <w:pPr>
              <w:spacing w:after="120" w:line="280" w:lineRule="atLeast"/>
              <w:ind w:left="11" w:right="12"/>
              <w:mirrorIndents/>
              <w:jc w:val="left"/>
              <w:rPr>
                <w:rFonts w:cs="Arial"/>
                <w:sz w:val="18"/>
                <w:szCs w:val="18"/>
              </w:rPr>
            </w:pPr>
            <w:r>
              <w:rPr>
                <w:sz w:val="18"/>
                <w:szCs w:val="18"/>
              </w:rPr>
              <w:t>Αριθμός στηριζόμενων πράξεων συνεργασίας (Ε.16 + Ε.17).</w:t>
            </w:r>
          </w:p>
        </w:tc>
        <w:tc>
          <w:tcPr>
            <w:tcW w:w="3578" w:type="dxa"/>
            <w:tcBorders>
              <w:top w:val="nil"/>
              <w:bottom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 xml:space="preserve">Σύστημα παρακολούθησης του ΠΑΑ </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Αιτήσεις υποψηφιότητας δικαιούχων (έναρξη έργου)</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Αιτήσεις πληρωμής δικαιούχων (λήξη έργου)</w:t>
            </w:r>
          </w:p>
        </w:tc>
      </w:tr>
      <w:tr w:rsidR="00A45935" w:rsidRPr="00E05D08" w:rsidTr="005520BA">
        <w:trPr>
          <w:trHeight w:val="1003"/>
        </w:trPr>
        <w:tc>
          <w:tcPr>
            <w:tcW w:w="3578" w:type="dxa"/>
            <w:tcBorders>
              <w:bottom w:val="single" w:sz="4" w:space="0" w:color="808080"/>
            </w:tcBorders>
          </w:tcPr>
          <w:p w:rsidR="00A45935" w:rsidRPr="00385368" w:rsidRDefault="00A45935" w:rsidP="007E63EF">
            <w:pPr>
              <w:spacing w:after="120" w:line="280" w:lineRule="atLeast"/>
              <w:ind w:left="29" w:right="110"/>
              <w:mirrorIndents/>
              <w:jc w:val="left"/>
              <w:rPr>
                <w:rFonts w:cs="Arial"/>
                <w:sz w:val="18"/>
                <w:szCs w:val="18"/>
              </w:rPr>
            </w:pPr>
            <w:r>
              <w:rPr>
                <w:sz w:val="18"/>
                <w:szCs w:val="18"/>
              </w:rPr>
              <w:t>Υλοποίηση πράξεων συνεργασίας μεταξύ των τομέων της γεωργίας, της παραγωγής τροφίμων και της δασοκομίας και της έρευνας και καινοτομίας με στόχο τη βελτιωμένη περιβαλλοντική διαχείριση και επίδοση.</w:t>
            </w:r>
          </w:p>
        </w:tc>
        <w:tc>
          <w:tcPr>
            <w:tcW w:w="3578" w:type="dxa"/>
            <w:tcBorders>
              <w:bottom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 xml:space="preserve">Σ2: Συνολικός αριθμός στηριζόμενων πράξεων συνεργασίας στο πλαίσιο του μέτρου συνεργασίας [άρθρο 35 του κανονισμού (ΕΕ) αριθ. 1305/2013 (ομάδες, δίκτυα/συνεργατικοί σχηματισμοί, πιλοτικά έργα)]. </w:t>
            </w:r>
          </w:p>
          <w:p w:rsidR="00A45935" w:rsidRPr="00385368" w:rsidRDefault="00A45935" w:rsidP="007E63EF">
            <w:pPr>
              <w:spacing w:after="120" w:line="280" w:lineRule="atLeast"/>
              <w:ind w:left="75" w:right="61"/>
              <w:mirrorIndents/>
              <w:jc w:val="left"/>
              <w:rPr>
                <w:rFonts w:cs="Arial"/>
                <w:color w:val="57825E"/>
                <w:sz w:val="18"/>
                <w:szCs w:val="18"/>
              </w:rPr>
            </w:pPr>
            <w:r>
              <w:rPr>
                <w:color w:val="57825E"/>
                <w:sz w:val="18"/>
                <w:szCs w:val="18"/>
                <w:u w:val="single"/>
              </w:rPr>
              <w:t>Πρόσθετος δείκτης:</w:t>
            </w:r>
            <w:r>
              <w:rPr>
                <w:color w:val="57825E"/>
                <w:sz w:val="18"/>
                <w:szCs w:val="18"/>
              </w:rPr>
              <w:t xml:space="preserve"> Ποσοστό των πράξεων συνεργασίας που συνεχίζονται </w:t>
            </w:r>
            <w:r>
              <w:rPr>
                <w:color w:val="57825E"/>
                <w:sz w:val="18"/>
                <w:szCs w:val="18"/>
              </w:rPr>
              <w:lastRenderedPageBreak/>
              <w:t>μετά τη στήριξη του ΠΑΑ, με στόχο, μεταξύ άλλων, τη βελτιωμένη περιβαλλοντική διαχείριση και επίδοση.</w:t>
            </w:r>
          </w:p>
          <w:p w:rsidR="00A45935" w:rsidRPr="00385368" w:rsidRDefault="00A45935" w:rsidP="007E63EF">
            <w:pPr>
              <w:spacing w:after="120" w:line="280" w:lineRule="atLeast"/>
              <w:ind w:left="75" w:right="61"/>
              <w:mirrorIndents/>
              <w:jc w:val="left"/>
              <w:rPr>
                <w:rFonts w:cs="Arial"/>
                <w:sz w:val="18"/>
                <w:szCs w:val="18"/>
              </w:rPr>
            </w:pPr>
            <w:r>
              <w:rPr>
                <w:color w:val="57825E"/>
                <w:sz w:val="18"/>
                <w:szCs w:val="18"/>
                <w:u w:val="single"/>
              </w:rPr>
              <w:t>Πρόσθετος δείκτης:</w:t>
            </w:r>
            <w:r>
              <w:rPr>
                <w:color w:val="57825E"/>
                <w:sz w:val="18"/>
                <w:szCs w:val="18"/>
              </w:rPr>
              <w:t xml:space="preserve"> Αριθμός και τύποι εταίρων που συμμετέχουν σε έργα συνεργασίας, συμπεριλαμβανομένων των ρόλων και των αρμοδιοτήτων τους.</w:t>
            </w:r>
          </w:p>
        </w:tc>
        <w:tc>
          <w:tcPr>
            <w:tcW w:w="3578" w:type="dxa"/>
            <w:tcBorders>
              <w:bottom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lastRenderedPageBreak/>
              <w:t>Αριθμός πράξεων ΕΣΚ (στοιχείο δεδομένων Ε.16), που αφορούν τη βελτιωμένη περιβαλλοντική διαχείριση και επίδοση.</w:t>
            </w:r>
          </w:p>
          <w:p w:rsidR="00A45935" w:rsidRPr="00385368" w:rsidRDefault="00A45935" w:rsidP="007E63EF">
            <w:pPr>
              <w:spacing w:after="120" w:line="280" w:lineRule="atLeast"/>
              <w:ind w:left="11" w:right="12"/>
              <w:mirrorIndents/>
              <w:jc w:val="left"/>
              <w:rPr>
                <w:rFonts w:cs="Arial"/>
                <w:sz w:val="18"/>
                <w:szCs w:val="18"/>
              </w:rPr>
            </w:pPr>
            <w:r>
              <w:rPr>
                <w:sz w:val="18"/>
                <w:szCs w:val="18"/>
              </w:rPr>
              <w:t xml:space="preserve">Αριθμός άλλων πράξεων συνεργασίας (ομάδες, δίκτυα/συνεργατικοί σχηματισμοί, πιλοτικά έργα) που πρόκειται να στηριχθούν στο πλαίσιο του </w:t>
            </w:r>
            <w:r>
              <w:rPr>
                <w:sz w:val="18"/>
                <w:szCs w:val="18"/>
              </w:rPr>
              <w:lastRenderedPageBreak/>
              <w:t>μέτρου 16 «Συνεργασία» (στοιχείο δεδομένων Ε.17) και αφορούν τη βελτιωμένη περιβαλλοντική διαχείριση και επίδοση.</w:t>
            </w:r>
          </w:p>
          <w:p w:rsidR="00A45935" w:rsidRPr="00385368" w:rsidRDefault="00A45935" w:rsidP="007E63EF">
            <w:pPr>
              <w:spacing w:after="120" w:line="280" w:lineRule="atLeast"/>
              <w:ind w:left="11" w:right="12"/>
              <w:mirrorIndents/>
              <w:jc w:val="left"/>
              <w:rPr>
                <w:rFonts w:cs="Arial"/>
                <w:sz w:val="18"/>
                <w:szCs w:val="18"/>
              </w:rPr>
            </w:pPr>
            <w:r>
              <w:rPr>
                <w:sz w:val="18"/>
                <w:szCs w:val="18"/>
              </w:rPr>
              <w:t>Τύποι και αριθμός εταίρων που συμμετέχουν.</w:t>
            </w:r>
          </w:p>
        </w:tc>
        <w:tc>
          <w:tcPr>
            <w:tcW w:w="3578" w:type="dxa"/>
            <w:tcBorders>
              <w:bottom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lastRenderedPageBreak/>
              <w:t xml:space="preserve">Σύστημα παρακολούθησης του ΠΑΑ </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Αιτήσεις υποψηφιότητας δικαιούχων (έναρξη έργου)</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Αιτήσεις πληρωμής δικαιούχων (λήξη έργου)</w:t>
            </w:r>
          </w:p>
        </w:tc>
      </w:tr>
      <w:tr w:rsidR="00A45935" w:rsidRPr="00E05D08" w:rsidTr="005520BA">
        <w:tc>
          <w:tcPr>
            <w:tcW w:w="3578" w:type="dxa"/>
            <w:tcBorders>
              <w:top w:val="single" w:sz="4" w:space="0" w:color="808080"/>
            </w:tcBorders>
          </w:tcPr>
          <w:p w:rsidR="00A45935" w:rsidRPr="002F229A" w:rsidRDefault="00A45935" w:rsidP="00E05D08">
            <w:pPr>
              <w:spacing w:after="120" w:line="280" w:lineRule="atLeast"/>
              <w:ind w:left="29" w:right="110"/>
              <w:mirrorIndents/>
              <w:rPr>
                <w:rFonts w:cs="Arial"/>
                <w:sz w:val="18"/>
                <w:szCs w:val="18"/>
              </w:rPr>
            </w:pPr>
          </w:p>
        </w:tc>
        <w:tc>
          <w:tcPr>
            <w:tcW w:w="3578" w:type="dxa"/>
            <w:tcBorders>
              <w:top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Ε.3 Αριθμός στηριζόμενων πράξεων</w:t>
            </w:r>
          </w:p>
        </w:tc>
        <w:tc>
          <w:tcPr>
            <w:tcW w:w="3578" w:type="dxa"/>
            <w:tcBorders>
              <w:top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Συνολικός αριθμός στηριζόμενων πράξεων.</w:t>
            </w:r>
          </w:p>
          <w:p w:rsidR="00A45935" w:rsidRPr="00385368" w:rsidRDefault="00A45935" w:rsidP="007E63EF">
            <w:pPr>
              <w:spacing w:after="120" w:line="280" w:lineRule="atLeast"/>
              <w:ind w:left="11" w:right="12"/>
              <w:mirrorIndents/>
              <w:jc w:val="left"/>
              <w:rPr>
                <w:rFonts w:cs="Arial"/>
                <w:sz w:val="18"/>
                <w:szCs w:val="18"/>
              </w:rPr>
            </w:pPr>
            <w:r>
              <w:rPr>
                <w:sz w:val="18"/>
                <w:szCs w:val="18"/>
              </w:rPr>
              <w:t>Αριθμός στηριζόμενων πράξεων συνεργασίας (Ε.16 + Ε.17).</w:t>
            </w:r>
          </w:p>
        </w:tc>
        <w:tc>
          <w:tcPr>
            <w:tcW w:w="3578" w:type="dxa"/>
            <w:tcBorders>
              <w:top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Σύστημα παρακολούθησης του ΠΑΑ</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Αιτήσεις υποψηφιότητας δικαιούχων (έναρξη έργου)</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Αιτήσεις πληρωμής δικαιούχων (λήξη έργου)</w:t>
            </w:r>
          </w:p>
        </w:tc>
      </w:tr>
      <w:tr w:rsidR="00A45935" w:rsidRPr="00E05D08" w:rsidTr="00E05D08">
        <w:tc>
          <w:tcPr>
            <w:tcW w:w="14312" w:type="dxa"/>
            <w:gridSpan w:val="4"/>
            <w:shd w:val="clear" w:color="auto" w:fill="8BAB80"/>
          </w:tcPr>
          <w:p w:rsidR="00A45935" w:rsidRPr="00E05D08" w:rsidRDefault="00A45935" w:rsidP="00E05D08">
            <w:pPr>
              <w:spacing w:after="120" w:line="280" w:lineRule="atLeast"/>
              <w:ind w:left="355" w:right="31"/>
              <w:mirrorIndents/>
              <w:rPr>
                <w:rFonts w:cs="Arial"/>
                <w:b/>
                <w:color w:val="FFFFFF"/>
                <w:sz w:val="18"/>
                <w:szCs w:val="18"/>
              </w:rPr>
            </w:pPr>
            <w:r>
              <w:rPr>
                <w:b/>
                <w:color w:val="FFFFFF"/>
                <w:sz w:val="18"/>
                <w:szCs w:val="18"/>
              </w:rPr>
              <w:t>Πρόσθετα στοιχεία αξιολόγησης (προαιρετικό)</w:t>
            </w:r>
          </w:p>
        </w:tc>
      </w:tr>
      <w:tr w:rsidR="00A45935" w:rsidRPr="00E05D08" w:rsidTr="00E05D08">
        <w:tc>
          <w:tcPr>
            <w:tcW w:w="3578" w:type="dxa"/>
          </w:tcPr>
          <w:p w:rsidR="00A45935" w:rsidRPr="00385368" w:rsidRDefault="00A45935" w:rsidP="007E63EF">
            <w:pPr>
              <w:spacing w:after="120" w:line="280" w:lineRule="atLeast"/>
              <w:ind w:left="29" w:right="110"/>
              <w:mirrorIndents/>
              <w:jc w:val="left"/>
              <w:rPr>
                <w:rFonts w:cs="Arial"/>
                <w:sz w:val="18"/>
                <w:szCs w:val="18"/>
              </w:rPr>
            </w:pPr>
            <w:r>
              <w:rPr>
                <w:sz w:val="18"/>
                <w:szCs w:val="18"/>
              </w:rPr>
              <w:t>Τα έργα συνεργασίας έχουν ενισχύσει την ικανότητα για καινοτομία, μεταξύ άλλων, στο πεδίο της περιβαλλοντικής διαχείρισης και επίδοσης.</w:t>
            </w:r>
          </w:p>
        </w:tc>
        <w:tc>
          <w:tcPr>
            <w:tcW w:w="3578" w:type="dxa"/>
          </w:tcPr>
          <w:p w:rsidR="00A45935" w:rsidRPr="00385368" w:rsidRDefault="00A45935" w:rsidP="007E63EF">
            <w:pPr>
              <w:spacing w:after="120" w:line="280" w:lineRule="atLeast"/>
              <w:ind w:left="75" w:right="61"/>
              <w:mirrorIndents/>
              <w:jc w:val="left"/>
              <w:rPr>
                <w:rFonts w:cs="Arial"/>
                <w:sz w:val="18"/>
                <w:szCs w:val="18"/>
              </w:rPr>
            </w:pPr>
            <w:r>
              <w:rPr>
                <w:sz w:val="18"/>
                <w:szCs w:val="18"/>
              </w:rPr>
              <w:t xml:space="preserve">Αριθμός και τύπος καινοτομιών που παράχθηκαν στο πλαίσιο έργων συνεργασίας, μεταξύ των οποίων αυτές που επικεντρώθηκαν στην περιβαλλοντική διαχείριση και επίδοση. </w:t>
            </w:r>
          </w:p>
        </w:tc>
        <w:tc>
          <w:tcPr>
            <w:tcW w:w="3578" w:type="dxa"/>
          </w:tcPr>
          <w:p w:rsidR="00A45935" w:rsidRPr="00385368" w:rsidRDefault="00A45935" w:rsidP="007E63EF">
            <w:pPr>
              <w:spacing w:after="120" w:line="280" w:lineRule="atLeast"/>
              <w:ind w:left="11" w:right="12"/>
              <w:mirrorIndents/>
              <w:jc w:val="left"/>
              <w:rPr>
                <w:rFonts w:cs="Arial"/>
                <w:sz w:val="18"/>
                <w:szCs w:val="18"/>
              </w:rPr>
            </w:pPr>
            <w:r>
              <w:rPr>
                <w:sz w:val="18"/>
                <w:szCs w:val="18"/>
              </w:rPr>
              <w:t>Αριθμός καινοτομιών που παράχθηκαν.</w:t>
            </w:r>
          </w:p>
          <w:p w:rsidR="00A45935" w:rsidRPr="00385368" w:rsidRDefault="00A45935" w:rsidP="007E63EF">
            <w:pPr>
              <w:spacing w:after="120" w:line="280" w:lineRule="atLeast"/>
              <w:ind w:left="11" w:right="12"/>
              <w:mirrorIndents/>
              <w:jc w:val="left"/>
              <w:rPr>
                <w:rFonts w:cs="Arial"/>
                <w:sz w:val="18"/>
                <w:szCs w:val="18"/>
              </w:rPr>
            </w:pPr>
            <w:r>
              <w:rPr>
                <w:sz w:val="18"/>
                <w:szCs w:val="18"/>
              </w:rPr>
              <w:t>Αριθμός καινοτομιών για βελτιωμένη περιβαλλοντική διαχείριση και επίδοση.</w:t>
            </w:r>
          </w:p>
        </w:tc>
        <w:tc>
          <w:tcPr>
            <w:tcW w:w="3578" w:type="dxa"/>
          </w:tcPr>
          <w:p w:rsidR="00A45935" w:rsidRPr="00385368" w:rsidRDefault="00A45935" w:rsidP="007E63EF">
            <w:pPr>
              <w:spacing w:after="120" w:line="280" w:lineRule="atLeast"/>
              <w:ind w:right="31"/>
              <w:mirrorIndents/>
              <w:jc w:val="left"/>
              <w:rPr>
                <w:rFonts w:cs="Arial"/>
                <w:sz w:val="18"/>
                <w:szCs w:val="18"/>
              </w:rPr>
            </w:pPr>
            <w:r>
              <w:rPr>
                <w:sz w:val="18"/>
                <w:szCs w:val="18"/>
              </w:rPr>
              <w:t>Έρευνες.</w:t>
            </w:r>
          </w:p>
          <w:p w:rsidR="00A45935" w:rsidRPr="00385368" w:rsidRDefault="00A45935" w:rsidP="007E63EF">
            <w:pPr>
              <w:spacing w:after="120" w:line="280" w:lineRule="atLeast"/>
              <w:ind w:right="31"/>
              <w:mirrorIndents/>
              <w:jc w:val="left"/>
              <w:rPr>
                <w:rFonts w:cs="Arial"/>
                <w:sz w:val="18"/>
                <w:szCs w:val="18"/>
              </w:rPr>
            </w:pPr>
            <w:r>
              <w:rPr>
                <w:sz w:val="18"/>
                <w:szCs w:val="18"/>
              </w:rPr>
              <w:t>Συνεντεύξεις και ομάδες εστίασης μεταξύ των συμμετεχόντων σε έργα συνεργασίας.</w:t>
            </w:r>
          </w:p>
          <w:p w:rsidR="00A45935" w:rsidRPr="00E05D08" w:rsidRDefault="00A45935" w:rsidP="007E63EF">
            <w:pPr>
              <w:spacing w:after="120" w:line="280" w:lineRule="atLeast"/>
              <w:ind w:right="31"/>
              <w:mirrorIndents/>
              <w:jc w:val="left"/>
              <w:rPr>
                <w:rFonts w:cs="Arial"/>
                <w:sz w:val="18"/>
                <w:szCs w:val="18"/>
              </w:rPr>
            </w:pPr>
            <w:r>
              <w:rPr>
                <w:sz w:val="18"/>
                <w:szCs w:val="18"/>
              </w:rPr>
              <w:t>ΣΓΠ.</w:t>
            </w:r>
          </w:p>
        </w:tc>
      </w:tr>
    </w:tbl>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E05D08" w:rsidRDefault="00DC60EA" w:rsidP="00DC60EA">
      <w:pPr>
        <w:spacing w:before="120" w:after="120" w:line="280" w:lineRule="atLeast"/>
        <w:ind w:left="360" w:hanging="360"/>
        <w:mirrorIndents/>
        <w:rPr>
          <w:rFonts w:eastAsia="Times New Roman" w:cs="Times New Roman"/>
          <w:b/>
          <w:szCs w:val="20"/>
        </w:rPr>
      </w:pPr>
      <w:r>
        <w:rPr>
          <w:b/>
          <w:szCs w:val="20"/>
        </w:rPr>
        <w:lastRenderedPageBreak/>
        <w:t>γ.</w:t>
      </w:r>
      <w:r>
        <w:rPr>
          <w:b/>
          <w:szCs w:val="20"/>
        </w:rPr>
        <w:tab/>
      </w:r>
      <w:r w:rsidR="00A45935">
        <w:rPr>
          <w:b/>
          <w:szCs w:val="20"/>
        </w:rPr>
        <w:t xml:space="preserve">Προτεινόμενη μεθοδολογία αξιολόγησης </w:t>
      </w:r>
    </w:p>
    <w:p w:rsidR="00A45935" w:rsidRPr="00E05D08" w:rsidRDefault="00A45935" w:rsidP="00E05D08">
      <w:pPr>
        <w:spacing w:after="120" w:line="280" w:lineRule="atLeast"/>
        <w:mirrorIndents/>
        <w:rPr>
          <w:rFonts w:eastAsia="Times New Roman" w:cs="Times New Roman"/>
          <w:color w:val="F07E31"/>
          <w:szCs w:val="20"/>
          <w:u w:val="single"/>
        </w:rPr>
      </w:pPr>
      <w:r>
        <w:t>Ο υπολογισμός των κοινών δεικτών που συνδέονται με το ΚΕΑ αριθ. 2 περιγράφεται στο παράρτημα 11 των κατευθυντήριων γραμμών «</w:t>
      </w:r>
      <w:hyperlink r:id="rId50" w:history="1">
        <w:r>
          <w:rPr>
            <w:color w:val="F07E31"/>
            <w:szCs w:val="20"/>
            <w:u w:val="single"/>
          </w:rPr>
          <w:t>Assessment of RDP results: how to prepare for reporting on evaluation in 2017</w:t>
        </w:r>
      </w:hyperlink>
      <w:r>
        <w:t>» (Αξιολόγηση των αποτελεσμάτων του ΠΑΑ: Τρόπος προετοιμασίας για την υποβολή εκθέσεων σχετικά με την αξιολόγηση το 2017).</w:t>
      </w:r>
    </w:p>
    <w:p w:rsidR="00A45935" w:rsidRPr="00E05D08" w:rsidRDefault="00A45935" w:rsidP="00E05D08">
      <w:pPr>
        <w:spacing w:after="120" w:line="280" w:lineRule="atLeast"/>
        <w:mirrorIndents/>
        <w:rPr>
          <w:rFonts w:eastAsia="Times New Roman" w:cs="Times New Roman"/>
          <w:szCs w:val="20"/>
        </w:rPr>
      </w:pPr>
      <w:r>
        <w:t>Για την αξιολόγηση του τμήματος του ΚΕΑ αριθ. 2 που σχετίζεται με την καινοτομία, προτείνεται:</w:t>
      </w:r>
    </w:p>
    <w:p w:rsidR="00A45935" w:rsidRPr="008F1F04" w:rsidRDefault="00A45935" w:rsidP="00547012">
      <w:pPr>
        <w:pStyle w:val="Hlistbullet"/>
      </w:pPr>
      <w:r>
        <w:rPr>
          <w:b/>
        </w:rPr>
        <w:t>ΒΗΜΑ 1: Προσδιορισμός των δικαιούχων του μέτρου 16</w:t>
      </w:r>
      <w:r>
        <w:t xml:space="preserve"> και των επιμέρους μέτρων του σύμφωνα με τα αποτελέσματα της αναγνώρισης του δυναμικού καινοτομίας που διαθέτουν (δικαιούχοι που υλοποίησαν πράξεις οι οποίες χαρακτηρίζονται καινοτόμες) </w:t>
      </w:r>
    </w:p>
    <w:p w:rsidR="00A45935" w:rsidRPr="008F1F04" w:rsidRDefault="00A45935" w:rsidP="00547012">
      <w:pPr>
        <w:pStyle w:val="Hlistbullet"/>
      </w:pPr>
      <w:r>
        <w:rPr>
          <w:b/>
        </w:rPr>
        <w:t>ΒΗΜΑ 2: Ποσοτικοποίηση δεικτών εκροών και δεικτών που αφορούν τους στόχους</w:t>
      </w:r>
      <w:r>
        <w:t xml:space="preserve"> με τη βοήθεια δεδομένων παρακολούθησης από τη βάση δεδομένων πράξεων του ΠΑΑ σχετικά με τις επιχειρησιακές ομάδες. Για να χρησιμοποιηθεί η βάση δεδομένων πράξεων για την αξιολόγηση της καινοτομίας, οι διαχειριστικές αρχές μπορούν να προσθέσουν και να συλλέξουν στοιχεία δεδομένων που συνδέονται με τις επιχειρησιακές ομάδες και την καινοτομία. </w:t>
      </w:r>
    </w:p>
    <w:p w:rsidR="00A45935" w:rsidRPr="008F1F04" w:rsidRDefault="00A45935" w:rsidP="00547012">
      <w:pPr>
        <w:pStyle w:val="Hlistbullet"/>
      </w:pPr>
      <w:r>
        <w:rPr>
          <w:b/>
        </w:rPr>
        <w:t>ΒΗΜΑ 3: Συλλογή αποδεικτικών στοιχείων για παροχή απάντησης στο ΚΕΑ</w:t>
      </w:r>
      <w:r>
        <w:t xml:space="preserve"> με τη βοήθεια προσδιορισθεισών μεθόδων. Διαμόρφωση ερωτήσεων ανοικτού τύπου για τη χρήση των μεθόδων που περιλαμβάνονται στον κατωτέρω πίνακα (έρευνες, ομάδες εστίασης, μέθοδος Delphi), με τήρηση των προτεινόμενων κριτηρίων απόφασης και δεικτών, καθώς και των αποτελεσμάτων του προσδιορισμού του δυναμικού καινοτομίας.</w:t>
      </w:r>
    </w:p>
    <w:p w:rsidR="00A45935" w:rsidRPr="008F1F04" w:rsidRDefault="00A45935" w:rsidP="00547012">
      <w:pPr>
        <w:pStyle w:val="Hlistbullet"/>
      </w:pPr>
      <w:r>
        <w:rPr>
          <w:b/>
        </w:rPr>
        <w:t>ΒΗΜΑ 4: Ανάλυση και ερμηνεία των συλλεχθέντων αποδεικτικών στοιχείων</w:t>
      </w:r>
      <w:r>
        <w:t xml:space="preserve"> και χρήση τους για παροχή απάντησης στο ΚΕΑ αριθ. 2 όσον αφορά την ενίσχυση των δεσμών σχετικά με την καινοτομία.</w:t>
      </w:r>
    </w:p>
    <w:p w:rsidR="00A45935" w:rsidRPr="00897804" w:rsidRDefault="000A1DD3" w:rsidP="000A1DD3">
      <w:pPr>
        <w:pStyle w:val="HHeadingtables"/>
        <w:numPr>
          <w:ilvl w:val="0"/>
          <w:numId w:val="0"/>
        </w:numPr>
        <w:ind w:left="240"/>
        <w:rPr>
          <w:color w:val="6F6F6F"/>
          <w:sz w:val="18"/>
          <w:szCs w:val="18"/>
        </w:rPr>
      </w:pPr>
      <w:bookmarkStart w:id="114" w:name="_Toc508964829"/>
      <w:r>
        <w:rPr>
          <w:color w:val="6F6F6F"/>
          <w:sz w:val="18"/>
          <w:szCs w:val="18"/>
        </w:rPr>
        <w:t>Πίνακας 4.</w:t>
      </w:r>
      <w:r>
        <w:rPr>
          <w:color w:val="6F6F6F"/>
          <w:sz w:val="18"/>
          <w:szCs w:val="18"/>
        </w:rPr>
        <w:tab/>
      </w:r>
      <w:r w:rsidR="00A45935">
        <w:rPr>
          <w:color w:val="6F6F6F"/>
          <w:sz w:val="18"/>
          <w:szCs w:val="18"/>
        </w:rPr>
        <w:t>Προτεινόμενες μέθοδοι για το ΚΕΑ αριθ. 2</w:t>
      </w:r>
      <w:bookmarkEnd w:id="114"/>
      <w:r w:rsidR="00A45935">
        <w:rPr>
          <w:color w:val="6F6F6F"/>
          <w:sz w:val="18"/>
          <w:szCs w:val="18"/>
        </w:rPr>
        <w:t xml:space="preserve">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E05D08" w:rsidTr="00E05D08">
        <w:tc>
          <w:tcPr>
            <w:tcW w:w="2405"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Μέθοδοι</w:t>
            </w:r>
          </w:p>
        </w:tc>
        <w:tc>
          <w:tcPr>
            <w:tcW w:w="6612" w:type="dxa"/>
            <w:shd w:val="clear" w:color="auto" w:fill="F07E31"/>
          </w:tcPr>
          <w:p w:rsidR="00A45935" w:rsidRPr="00385368" w:rsidRDefault="00A45935" w:rsidP="00E05D08">
            <w:pPr>
              <w:spacing w:after="120" w:line="280" w:lineRule="atLeast"/>
              <w:mirrorIndents/>
              <w:jc w:val="center"/>
              <w:rPr>
                <w:b/>
                <w:color w:val="FFFFFF"/>
                <w:sz w:val="18"/>
                <w:szCs w:val="18"/>
              </w:rPr>
            </w:pPr>
            <w:r>
              <w:rPr>
                <w:b/>
                <w:color w:val="FFFFFF"/>
                <w:sz w:val="18"/>
                <w:szCs w:val="18"/>
              </w:rPr>
              <w:t>Συμβουλές για τον τρόπο χρήσης των μεθόδων</w:t>
            </w:r>
          </w:p>
        </w:tc>
      </w:tr>
      <w:tr w:rsidR="00A45935" w:rsidRPr="00E05D08" w:rsidTr="00E05D08">
        <w:tc>
          <w:tcPr>
            <w:tcW w:w="2405" w:type="dxa"/>
          </w:tcPr>
          <w:p w:rsidR="00A45935" w:rsidRPr="00385368" w:rsidRDefault="00A45935" w:rsidP="000E0FE4">
            <w:pPr>
              <w:spacing w:after="120" w:line="280" w:lineRule="atLeast"/>
              <w:ind w:left="22" w:right="91"/>
              <w:mirrorIndents/>
              <w:jc w:val="left"/>
              <w:rPr>
                <w:sz w:val="18"/>
                <w:szCs w:val="18"/>
              </w:rPr>
            </w:pPr>
            <w:r>
              <w:rPr>
                <w:sz w:val="18"/>
                <w:szCs w:val="18"/>
              </w:rPr>
              <w:t>Έρευνα στο πλαίσιο των έργων συνεργασίας και των τελικών δικαιούχων</w:t>
            </w:r>
          </w:p>
        </w:tc>
        <w:tc>
          <w:tcPr>
            <w:tcW w:w="6612" w:type="dxa"/>
          </w:tcPr>
          <w:p w:rsidR="00A45935" w:rsidRPr="00385368" w:rsidRDefault="00A45935" w:rsidP="008C0B17">
            <w:pPr>
              <w:numPr>
                <w:ilvl w:val="0"/>
                <w:numId w:val="21"/>
              </w:numPr>
              <w:spacing w:before="60" w:after="120" w:line="280" w:lineRule="atLeast"/>
              <w:ind w:left="459"/>
              <w:rPr>
                <w:sz w:val="18"/>
                <w:szCs w:val="18"/>
              </w:rPr>
            </w:pPr>
            <w:r>
              <w:rPr>
                <w:sz w:val="18"/>
                <w:szCs w:val="18"/>
              </w:rPr>
              <w:t>Επιλογή δείγματος έργων συνεργασίας (π.χ. κατά τομέα, μέγεθος της επιχειρησιακής ομάδας, περιοχή κ.λπ.) για τη συλλογή δεδομένων και πληροφοριών από τους δικαιούχους σχετικά με τους δείκτες μέσω έρευνας.</w:t>
            </w:r>
          </w:p>
          <w:p w:rsidR="00A45935" w:rsidRPr="00385368" w:rsidRDefault="00A45935" w:rsidP="008C0B17">
            <w:pPr>
              <w:numPr>
                <w:ilvl w:val="0"/>
                <w:numId w:val="21"/>
              </w:numPr>
              <w:spacing w:before="60" w:after="120" w:line="280" w:lineRule="atLeast"/>
              <w:ind w:left="459"/>
              <w:rPr>
                <w:sz w:val="18"/>
                <w:szCs w:val="18"/>
              </w:rPr>
            </w:pPr>
            <w:r>
              <w:rPr>
                <w:sz w:val="18"/>
                <w:szCs w:val="18"/>
              </w:rPr>
              <w:t>Επιλογή, μεταξύ άλλων, έργων συνεργασίας που μπορεί να επηρεάζουν την περιβαλλοντική διαχείριση και επίδοση (π.χ. επιμέρους μέτρα 5, 6, 8 και 9 ή επιχειρησιακές ομάδες αυτού του τομέα – μέτρο 16.1).</w:t>
            </w:r>
          </w:p>
          <w:p w:rsidR="00A45935" w:rsidRPr="00385368" w:rsidRDefault="00A45935" w:rsidP="008C0B17">
            <w:pPr>
              <w:numPr>
                <w:ilvl w:val="0"/>
                <w:numId w:val="21"/>
              </w:numPr>
              <w:spacing w:before="60" w:after="120" w:line="280" w:lineRule="atLeast"/>
              <w:ind w:left="459"/>
              <w:rPr>
                <w:sz w:val="18"/>
                <w:szCs w:val="18"/>
              </w:rPr>
            </w:pPr>
            <w:r>
              <w:rPr>
                <w:sz w:val="18"/>
                <w:szCs w:val="18"/>
              </w:rPr>
              <w:t>Διάρθρωση των ερευνών με ένταξη ερωτήσεων ανοικτού τύπου όσον αφορά τον τρόπο με τον οποίο τα έργα συνεργασίας συνεισφέρουν: α) στην ανταλλαγή καινοτόμων ιδεών, β) στην ανάπτυξη της ικανότητας για καινοτομία, γ) στη δημιουργία ευνοϊκού περιβάλλοντος για την καινοτομία.</w:t>
            </w:r>
          </w:p>
          <w:p w:rsidR="00A45935" w:rsidRPr="00385368" w:rsidRDefault="00A45935" w:rsidP="008C0B17">
            <w:pPr>
              <w:numPr>
                <w:ilvl w:val="0"/>
                <w:numId w:val="21"/>
              </w:numPr>
              <w:spacing w:before="60" w:after="120" w:line="280" w:lineRule="atLeast"/>
              <w:ind w:left="459"/>
            </w:pPr>
            <w:r>
              <w:rPr>
                <w:sz w:val="18"/>
                <w:szCs w:val="18"/>
              </w:rPr>
              <w:t>Χρήση των πορισμάτων των ερευνών: για να αξιολογηθεί ο τρόπος με τον οποίο οι διάφοροι τύποι έργων συνεργασίας (συνεργασία μεταξύ διαφόρων φορέων, συνεργατικών σχηματισμών και δικτύων, και επιχειρησιακών ομάδων) συνεισφέρουν στην ενίσχυση των δεσμών μεταξύ έρευνας/καινοτομίας και πρακτικής.</w:t>
            </w:r>
          </w:p>
        </w:tc>
      </w:tr>
      <w:tr w:rsidR="00A45935" w:rsidRPr="00E05D08" w:rsidTr="00E05D08">
        <w:tc>
          <w:tcPr>
            <w:tcW w:w="2405" w:type="dxa"/>
          </w:tcPr>
          <w:p w:rsidR="00A45935" w:rsidRPr="00E05D08" w:rsidRDefault="00A45935" w:rsidP="000E0FE4">
            <w:pPr>
              <w:spacing w:after="120" w:line="280" w:lineRule="atLeast"/>
              <w:ind w:left="22" w:right="143"/>
              <w:mirrorIndents/>
              <w:jc w:val="left"/>
              <w:rPr>
                <w:sz w:val="18"/>
                <w:szCs w:val="18"/>
              </w:rPr>
            </w:pPr>
            <w:r>
              <w:rPr>
                <w:sz w:val="18"/>
                <w:szCs w:val="18"/>
              </w:rPr>
              <w:t>Δομημένες ομάδες εστίασης</w:t>
            </w:r>
          </w:p>
        </w:tc>
        <w:tc>
          <w:tcPr>
            <w:tcW w:w="6612" w:type="dxa"/>
          </w:tcPr>
          <w:p w:rsidR="00A45935" w:rsidRPr="00385368" w:rsidRDefault="00A45935" w:rsidP="008C0B17">
            <w:pPr>
              <w:numPr>
                <w:ilvl w:val="0"/>
                <w:numId w:val="22"/>
              </w:numPr>
              <w:spacing w:before="60" w:after="120" w:line="280" w:lineRule="atLeast"/>
              <w:ind w:left="459"/>
              <w:rPr>
                <w:sz w:val="18"/>
                <w:szCs w:val="18"/>
              </w:rPr>
            </w:pPr>
            <w:r>
              <w:rPr>
                <w:sz w:val="18"/>
                <w:szCs w:val="18"/>
              </w:rPr>
              <w:t>Οργάνωση ομάδων εστίασης μεταξύ των ενδιαφερόμενων φορέων καινοτομίας (π.χ. υπηρεσίες υποστήριξης της καινοτομίας, σύμβουλοι που λειτουργούν ως διαμεσολαβητές καινοτομίας, ερευνητές και κέντρα καινοτομίας κ.λπ.).</w:t>
            </w:r>
          </w:p>
          <w:p w:rsidR="00A45935" w:rsidRPr="00385368" w:rsidRDefault="00A45935" w:rsidP="008C0B17">
            <w:pPr>
              <w:numPr>
                <w:ilvl w:val="0"/>
                <w:numId w:val="22"/>
              </w:numPr>
              <w:spacing w:before="60" w:after="120" w:line="280" w:lineRule="atLeast"/>
              <w:ind w:left="459"/>
              <w:rPr>
                <w:sz w:val="18"/>
                <w:szCs w:val="18"/>
              </w:rPr>
            </w:pPr>
            <w:r>
              <w:rPr>
                <w:sz w:val="18"/>
                <w:szCs w:val="18"/>
              </w:rPr>
              <w:lastRenderedPageBreak/>
              <w:t>Ανάλυση του τρόπου με τον οποίο οι δεσμοί μεταξύ ενδιαφερόμενων φορέων επηρεάζουν την ικανότητα για καινοτομία και για δημιουργία ευνοϊκού περιβάλλοντος για την καινοτομία.</w:t>
            </w:r>
          </w:p>
          <w:p w:rsidR="00A45935" w:rsidRPr="00385368" w:rsidRDefault="00A45935" w:rsidP="008C0B17">
            <w:pPr>
              <w:numPr>
                <w:ilvl w:val="0"/>
                <w:numId w:val="22"/>
              </w:numPr>
              <w:spacing w:before="60" w:after="120" w:line="280" w:lineRule="atLeast"/>
              <w:ind w:left="459"/>
              <w:rPr>
                <w:sz w:val="18"/>
                <w:szCs w:val="18"/>
              </w:rPr>
            </w:pPr>
            <w:r>
              <w:rPr>
                <w:sz w:val="18"/>
                <w:szCs w:val="18"/>
              </w:rPr>
              <w:t>Εξέταση της επιλογής θεματικών ομάδων εστίασης (π.χ. ομάδα εστίασης για τα έργα καινοτομίας που ασχολείται με περιβαλλοντικά ζητήματα, άλλη ομάδα σχετική με τις επιχειρησιακές ομάδες της ΕΣΚ κ.λπ.).</w:t>
            </w:r>
          </w:p>
        </w:tc>
      </w:tr>
      <w:tr w:rsidR="00A45935" w:rsidRPr="00E05D08" w:rsidTr="00E05D08">
        <w:tc>
          <w:tcPr>
            <w:tcW w:w="2405" w:type="dxa"/>
          </w:tcPr>
          <w:p w:rsidR="00A45935" w:rsidRPr="00E05D08" w:rsidRDefault="00A45935" w:rsidP="000E0FE4">
            <w:pPr>
              <w:spacing w:after="120" w:line="280" w:lineRule="atLeast"/>
              <w:ind w:right="143"/>
              <w:mirrorIndents/>
              <w:jc w:val="left"/>
              <w:rPr>
                <w:sz w:val="18"/>
                <w:szCs w:val="18"/>
              </w:rPr>
            </w:pPr>
            <w:r>
              <w:rPr>
                <w:sz w:val="18"/>
                <w:szCs w:val="18"/>
              </w:rPr>
              <w:lastRenderedPageBreak/>
              <w:t>Μέθοδος Delphi</w:t>
            </w:r>
          </w:p>
        </w:tc>
        <w:tc>
          <w:tcPr>
            <w:tcW w:w="6612" w:type="dxa"/>
          </w:tcPr>
          <w:p w:rsidR="00A45935" w:rsidRPr="00385368" w:rsidRDefault="0050721E" w:rsidP="008C0B17">
            <w:pPr>
              <w:numPr>
                <w:ilvl w:val="0"/>
                <w:numId w:val="23"/>
              </w:numPr>
              <w:spacing w:before="60" w:after="120" w:line="280" w:lineRule="atLeast"/>
              <w:ind w:left="459"/>
              <w:rPr>
                <w:sz w:val="18"/>
                <w:szCs w:val="18"/>
              </w:rPr>
            </w:pPr>
            <w:r>
              <w:rPr>
                <w:sz w:val="18"/>
                <w:szCs w:val="18"/>
              </w:rPr>
              <w:t>Οργάνωση διαδικασίας Delphi μεταξύ των εμπειρογνωμόνων καινοτομίας (π.χ. συμμετέχοντες σε έργα συνεργασίας, αλλά και ακαδημαϊκοί κ.λπ.) για τη λήψη αποφάσεων όσον αφορά τα σχετικά κριτήρια.</w:t>
            </w:r>
          </w:p>
        </w:tc>
      </w:tr>
    </w:tbl>
    <w:p w:rsidR="00A45935" w:rsidRPr="00E05D08" w:rsidRDefault="00A45935" w:rsidP="00E05D08">
      <w:pPr>
        <w:spacing w:after="0" w:line="240" w:lineRule="auto"/>
        <w:rPr>
          <w:rFonts w:eastAsia="Times New Roman" w:cs="Times New Roman"/>
          <w:sz w:val="18"/>
          <w:szCs w:val="24"/>
        </w:rPr>
      </w:pPr>
      <w:r>
        <w:br w:type="page"/>
      </w:r>
    </w:p>
    <w:p w:rsidR="00A45935" w:rsidRPr="00E05D08" w:rsidRDefault="00A45935"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w:lastRenderedPageBreak/>
        <mc:AlternateContent>
          <mc:Choice Requires="wps">
            <w:drawing>
              <wp:inline distT="0" distB="0" distL="0" distR="0" wp14:anchorId="7C36E865" wp14:editId="23284F1A">
                <wp:extent cx="6049108" cy="4905375"/>
                <wp:effectExtent l="0" t="0" r="27940" b="28575"/>
                <wp:docPr id="26" name="Rectangle: Diagonal Corners Rounded 26"/>
                <wp:cNvGraphicFramePr/>
                <a:graphic xmlns:a="http://schemas.openxmlformats.org/drawingml/2006/main">
                  <a:graphicData uri="http://schemas.microsoft.com/office/word/2010/wordprocessingShape">
                    <wps:wsp>
                      <wps:cNvSpPr/>
                      <wps:spPr>
                        <a:xfrm>
                          <a:off x="0" y="0"/>
                          <a:ext cx="6049108" cy="4905375"/>
                        </a:xfrm>
                        <a:prstGeom prst="round2DiagRect">
                          <a:avLst>
                            <a:gd name="adj1" fmla="val 7299"/>
                            <a:gd name="adj2" fmla="val 0"/>
                          </a:avLst>
                        </a:prstGeom>
                        <a:noFill/>
                        <a:ln w="25400" cap="flat" cmpd="sng" algn="ctr">
                          <a:solidFill>
                            <a:srgbClr val="F07E31"/>
                          </a:solidFill>
                          <a:prstDash val="solid"/>
                        </a:ln>
                        <a:effectLst/>
                      </wps:spPr>
                      <wps:txbx>
                        <w:txbxContent>
                          <w:p w:rsidR="00272EFF" w:rsidRPr="001954EB" w:rsidRDefault="00272EFF" w:rsidP="00E05D08">
                            <w:pPr>
                              <w:pStyle w:val="HStandard"/>
                              <w:rPr>
                                <w:b/>
                                <w:color w:val="F07E31"/>
                                <w:sz w:val="18"/>
                                <w:szCs w:val="18"/>
                              </w:rPr>
                            </w:pPr>
                            <w:r>
                              <w:rPr>
                                <w:noProof/>
                                <w:sz w:val="18"/>
                                <w:szCs w:val="18"/>
                                <w:lang w:val="en-GB" w:eastAsia="en-GB"/>
                              </w:rPr>
                              <w:drawing>
                                <wp:inline distT="0" distB="0" distL="0" distR="0" wp14:anchorId="0938A45B" wp14:editId="5D05EAC2">
                                  <wp:extent cx="353060" cy="359410"/>
                                  <wp:effectExtent l="0" t="0" r="8890" b="2540"/>
                                  <wp:docPr id="70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Παραδείγματα από τις ΕΕΥ που υποβλήθηκαν το 2017</w:t>
                            </w:r>
                          </w:p>
                          <w:p w:rsidR="00272EFF" w:rsidRPr="00547012" w:rsidRDefault="00272EFF" w:rsidP="00E05D08">
                            <w:pPr>
                              <w:rPr>
                                <w:rFonts w:cs="Arial"/>
                                <w:sz w:val="18"/>
                                <w:szCs w:val="18"/>
                              </w:rPr>
                            </w:pPr>
                            <w:r>
                              <w:rPr>
                                <w:b/>
                                <w:sz w:val="18"/>
                                <w:szCs w:val="18"/>
                              </w:rPr>
                              <w:t>Mecklenburg-Vorpommern (Γερμανία) –</w:t>
                            </w:r>
                            <w:r>
                              <w:rPr>
                                <w:sz w:val="18"/>
                                <w:szCs w:val="18"/>
                              </w:rPr>
                              <w:t xml:space="preserve"> χρησιμοποιούνται τρία κριτήρια απόφασης σε σχέση με την καινοτομία:</w:t>
                            </w:r>
                          </w:p>
                          <w:p w:rsidR="00272EFF" w:rsidRPr="001954EB" w:rsidRDefault="00272EFF" w:rsidP="008C0B17">
                            <w:pPr>
                              <w:numPr>
                                <w:ilvl w:val="0"/>
                                <w:numId w:val="57"/>
                              </w:numPr>
                              <w:rPr>
                                <w:rFonts w:cs="Arial"/>
                                <w:sz w:val="18"/>
                                <w:szCs w:val="18"/>
                              </w:rPr>
                            </w:pPr>
                            <w:r>
                              <w:rPr>
                                <w:sz w:val="18"/>
                                <w:szCs w:val="18"/>
                              </w:rPr>
                              <w:t xml:space="preserve">Οι στηριζόμενες από το ΠΑΑ διαδικασίες είναι καινοτόμες και βασίζονται στις γνώσεις που αποκτήθηκαν, </w:t>
                            </w:r>
                          </w:p>
                          <w:p w:rsidR="00272EFF" w:rsidRPr="001954EB" w:rsidRDefault="00272EFF" w:rsidP="008C0B17">
                            <w:pPr>
                              <w:numPr>
                                <w:ilvl w:val="0"/>
                                <w:numId w:val="57"/>
                              </w:numPr>
                              <w:rPr>
                                <w:rFonts w:cs="Arial"/>
                                <w:sz w:val="18"/>
                                <w:szCs w:val="18"/>
                              </w:rPr>
                            </w:pPr>
                            <w:r>
                              <w:rPr>
                                <w:sz w:val="18"/>
                                <w:szCs w:val="18"/>
                              </w:rPr>
                              <w:t>Οι καινοτόμες δράσεις υλοποιούνται και διαδίδονται μέσω των επιχειρησιακών ομάδων,</w:t>
                            </w:r>
                          </w:p>
                          <w:p w:rsidR="00272EFF" w:rsidRPr="001954EB" w:rsidRDefault="00272EFF" w:rsidP="008C0B17">
                            <w:pPr>
                              <w:numPr>
                                <w:ilvl w:val="0"/>
                                <w:numId w:val="57"/>
                              </w:numPr>
                              <w:rPr>
                                <w:rFonts w:cs="Arial"/>
                                <w:sz w:val="18"/>
                                <w:szCs w:val="18"/>
                              </w:rPr>
                            </w:pPr>
                            <w:r>
                              <w:rPr>
                                <w:sz w:val="18"/>
                                <w:szCs w:val="18"/>
                              </w:rPr>
                              <w:t>Τα ληφθέντα αποτελέσματα οδηγούν σε βελτιωμένη θέση των συμμετεχόντων εταίρων στην αγορά μέσω της καινοτομίας.</w:t>
                            </w:r>
                          </w:p>
                          <w:p w:rsidR="00272EFF" w:rsidRPr="00547012" w:rsidRDefault="00272EFF" w:rsidP="00E05D08">
                            <w:pPr>
                              <w:rPr>
                                <w:rFonts w:cs="Arial"/>
                                <w:sz w:val="18"/>
                                <w:szCs w:val="18"/>
                              </w:rPr>
                            </w:pPr>
                            <w:r>
                              <w:rPr>
                                <w:sz w:val="18"/>
                                <w:szCs w:val="18"/>
                              </w:rPr>
                              <w:t>Για τη συλλογή στοιχείων από τις επιχειρησιακές ομάδες της ΕΣΚ χρησιμοποιούνται διάφορες μέθοδοι. Αυτές καλύπτουν διαφορετικές πτυχές της καινοτομίας και στοχεύουν στην αξιολόγηση της ποιότητας και των αποτελεσμάτων των επιχειρησιακών ομάδων:</w:t>
                            </w:r>
                          </w:p>
                          <w:p w:rsidR="00272EFF" w:rsidRPr="001954EB" w:rsidRDefault="00272EFF" w:rsidP="008C0B17">
                            <w:pPr>
                              <w:numPr>
                                <w:ilvl w:val="0"/>
                                <w:numId w:val="58"/>
                              </w:numPr>
                              <w:rPr>
                                <w:rFonts w:cs="Arial"/>
                                <w:sz w:val="18"/>
                                <w:szCs w:val="18"/>
                              </w:rPr>
                            </w:pPr>
                            <w:r>
                              <w:rPr>
                                <w:sz w:val="18"/>
                                <w:szCs w:val="18"/>
                              </w:rPr>
                              <w:t>Βασική ανάλυση (εκτίμηση των συνθηκών πλαισίου, συνεντεύξεις με φορείς κ.λπ.)·</w:t>
                            </w:r>
                          </w:p>
                          <w:p w:rsidR="00272EFF" w:rsidRPr="001954EB" w:rsidRDefault="00272EFF" w:rsidP="008C0B17">
                            <w:pPr>
                              <w:numPr>
                                <w:ilvl w:val="0"/>
                                <w:numId w:val="58"/>
                              </w:numPr>
                              <w:rPr>
                                <w:rFonts w:cs="Arial"/>
                                <w:sz w:val="18"/>
                                <w:szCs w:val="18"/>
                              </w:rPr>
                            </w:pPr>
                            <w:r>
                              <w:rPr>
                                <w:sz w:val="18"/>
                                <w:szCs w:val="18"/>
                              </w:rPr>
                              <w:t xml:space="preserve">Εκτίμηση των χαρακτηριστικών και των τύπων καινοτομίας μέσω της ανάλυσης των κριτηρίων επιλογής και μελετών περιπτώσεων· </w:t>
                            </w:r>
                          </w:p>
                          <w:p w:rsidR="00272EFF" w:rsidRPr="001954EB" w:rsidRDefault="00272EFF" w:rsidP="008C0B17">
                            <w:pPr>
                              <w:numPr>
                                <w:ilvl w:val="0"/>
                                <w:numId w:val="58"/>
                              </w:numPr>
                              <w:rPr>
                                <w:rFonts w:cs="Arial"/>
                                <w:sz w:val="18"/>
                                <w:szCs w:val="18"/>
                              </w:rPr>
                            </w:pPr>
                            <w:r>
                              <w:rPr>
                                <w:sz w:val="18"/>
                                <w:szCs w:val="18"/>
                              </w:rPr>
                              <w:t>Ανάλυση των ληφθέντων αποτελεσμάτων και διάδοσή τους (έρευνα και αυτοαξιολόγηση των επιχειρησιακών ομάδων).</w:t>
                            </w:r>
                          </w:p>
                          <w:p w:rsidR="00272EFF" w:rsidRPr="00547012" w:rsidRDefault="00272EFF" w:rsidP="00E05D08">
                            <w:pPr>
                              <w:rPr>
                                <w:rFonts w:cs="Arial"/>
                                <w:sz w:val="18"/>
                                <w:szCs w:val="18"/>
                              </w:rPr>
                            </w:pPr>
                            <w:r>
                              <w:rPr>
                                <w:sz w:val="18"/>
                                <w:szCs w:val="18"/>
                              </w:rPr>
                              <w:t xml:space="preserve">Στις πηγές δεδομένων και πληροφοριών περιλαμβάνονται δεδομένα παρακολούθησης, αιτήσεις υποψηφιότητας, τεκμηρίωση των έργων, πρωτογενή στατιστικά στοιχεία που συλλέχθηκαν μέσω ερευνών, δευτερογενή στατιστικά στοιχεία από διάφορες πηγές. </w:t>
                            </w:r>
                          </w:p>
                          <w:p w:rsidR="00272EFF" w:rsidRPr="00547012" w:rsidRDefault="00272EFF" w:rsidP="00E05D08">
                            <w:pPr>
                              <w:rPr>
                                <w:rFonts w:cs="Arial"/>
                                <w:sz w:val="18"/>
                                <w:szCs w:val="18"/>
                              </w:rPr>
                            </w:pPr>
                            <w:r>
                              <w:rPr>
                                <w:sz w:val="18"/>
                                <w:szCs w:val="18"/>
                              </w:rPr>
                              <w:t xml:space="preserve">Η έρευνα μεταξύ των δικαιούχων (επιχειρησιακές ομάδες της ΕΣΚ) διεξάγεται πριν και μετά την παρέμβαση. </w:t>
                            </w:r>
                          </w:p>
                          <w:p w:rsidR="00272EFF" w:rsidRPr="001954EB" w:rsidRDefault="00272EFF" w:rsidP="00E05D08">
                            <w:pPr>
                              <w:pStyle w:val="HStandard"/>
                              <w:rPr>
                                <w:sz w:val="18"/>
                                <w:szCs w:val="18"/>
                              </w:rPr>
                            </w:pPr>
                            <w:r>
                              <w:rPr>
                                <w:b/>
                                <w:sz w:val="18"/>
                                <w:szCs w:val="18"/>
                              </w:rPr>
                              <w:t xml:space="preserve">Τσεχική Δημοκρατία – </w:t>
                            </w:r>
                            <w:r>
                              <w:rPr>
                                <w:sz w:val="18"/>
                                <w:szCs w:val="18"/>
                              </w:rPr>
                              <w:t>προτείνεται η χρήση προσέγγισης βάσει μελέτης περιπτώσεων για τη συγκέντρωση πληροφοριών από τις επιχειρησιακές ομάδες και τα έργα συνεργασίας που σχετίζονται με την καινοτομία.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36E865" id="Rectangle: Diagonal Corners Rounded 26" o:spid="_x0000_s1048" style="width:476.3pt;height:386.25pt;visibility:visible;mso-wrap-style:square;mso-left-percent:-10001;mso-top-percent:-10001;mso-position-horizontal:absolute;mso-position-horizontal-relative:char;mso-position-vertical:absolute;mso-position-vertical-relative:line;mso-left-percent:-10001;mso-top-percent:-10001;v-text-anchor:middle" coordsize="6049108,4905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" adj="-11796480,,5400" path="m358043,l6049108,r,l6049108,4547332v,197742,-160301,358043,-358043,358043l,4905375r,l,358043c,160301,160301,,358043,xe" filled="f" strokecolor="#f07e31" strokeweight="2pt">
                <v:stroke joinstyle="miter"/>
                <v:formulas/>
                <v:path arrowok="t" o:connecttype="custom" o:connectlocs="358043,0;6049108,0;6049108,0;6049108,4547332;5691065,4905375;0,4905375;0,4905375;0,358043;358043,0" o:connectangles="0,0,0,0,0,0,0,0,0" textboxrect="0,0,6049108,4905375"/>
                <v:textbox>
                  <w:txbxContent>
                    <w:p w:rsidR="00272EFF" w:rsidRPr="001954EB" w:rsidRDefault="00272EFF" w:rsidP="00E05D08">
                      <w:pPr>
                        <w:pStyle w:val="HStandard"/>
                        <w:rPr>
                          <w:b/>
                          <w:color w:val="F07E31"/>
                          <w:sz w:val="18"/>
                          <w:szCs w:val="18"/>
                        </w:rPr>
                      </w:pPr>
                      <w:r>
                        <w:rPr>
                          <w:noProof/>
                          <w:sz w:val="18"/>
                          <w:szCs w:val="18"/>
                          <w:lang w:val="en-GB" w:eastAsia="en-GB"/>
                        </w:rPr>
                        <w:drawing>
                          <wp:inline distT="0" distB="0" distL="0" distR="0" wp14:anchorId="0938A45B" wp14:editId="5D05EAC2">
                            <wp:extent cx="353060" cy="359410"/>
                            <wp:effectExtent l="0" t="0" r="8890" b="2540"/>
                            <wp:docPr id="70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Παραδείγματα από τις ΕΕΥ που υποβλήθηκαν το 2017</w:t>
                      </w:r>
                    </w:p>
                    <w:p w:rsidR="00272EFF" w:rsidRPr="00547012" w:rsidRDefault="00272EFF" w:rsidP="00E05D08">
                      <w:pPr>
                        <w:rPr>
                          <w:rFonts w:cs="Arial"/>
                          <w:sz w:val="18"/>
                          <w:szCs w:val="18"/>
                        </w:rPr>
                      </w:pPr>
                      <w:r>
                        <w:rPr>
                          <w:b/>
                          <w:sz w:val="18"/>
                          <w:szCs w:val="18"/>
                        </w:rPr>
                        <w:t>Mecklenburg-Vorpommern (Γερμανία) –</w:t>
                      </w:r>
                      <w:r>
                        <w:rPr>
                          <w:sz w:val="18"/>
                          <w:szCs w:val="18"/>
                        </w:rPr>
                        <w:t xml:space="preserve"> χρησιμοποιούνται τρία κριτήρια απόφασης σε σχέση με την καινοτομία:</w:t>
                      </w:r>
                    </w:p>
                    <w:p w:rsidR="00272EFF" w:rsidRPr="001954EB" w:rsidRDefault="00272EFF" w:rsidP="008C0B17">
                      <w:pPr>
                        <w:numPr>
                          <w:ilvl w:val="0"/>
                          <w:numId w:val="57"/>
                        </w:numPr>
                        <w:rPr>
                          <w:rFonts w:cs="Arial"/>
                          <w:sz w:val="18"/>
                          <w:szCs w:val="18"/>
                        </w:rPr>
                      </w:pPr>
                      <w:r>
                        <w:rPr>
                          <w:sz w:val="18"/>
                          <w:szCs w:val="18"/>
                        </w:rPr>
                        <w:t xml:space="preserve">Οι στηριζόμενες από το ΠΑΑ διαδικασίες είναι καινοτόμες και βασίζονται στις γνώσεις που αποκτήθηκαν, </w:t>
                      </w:r>
                    </w:p>
                    <w:p w:rsidR="00272EFF" w:rsidRPr="001954EB" w:rsidRDefault="00272EFF" w:rsidP="008C0B17">
                      <w:pPr>
                        <w:numPr>
                          <w:ilvl w:val="0"/>
                          <w:numId w:val="57"/>
                        </w:numPr>
                        <w:rPr>
                          <w:rFonts w:cs="Arial"/>
                          <w:sz w:val="18"/>
                          <w:szCs w:val="18"/>
                        </w:rPr>
                      </w:pPr>
                      <w:r>
                        <w:rPr>
                          <w:sz w:val="18"/>
                          <w:szCs w:val="18"/>
                        </w:rPr>
                        <w:t>Οι καινοτόμες δράσεις υλοποιούνται και διαδίδονται μέσω των επιχειρησιακών ομάδων,</w:t>
                      </w:r>
                    </w:p>
                    <w:p w:rsidR="00272EFF" w:rsidRPr="001954EB" w:rsidRDefault="00272EFF" w:rsidP="008C0B17">
                      <w:pPr>
                        <w:numPr>
                          <w:ilvl w:val="0"/>
                          <w:numId w:val="57"/>
                        </w:numPr>
                        <w:rPr>
                          <w:rFonts w:cs="Arial"/>
                          <w:sz w:val="18"/>
                          <w:szCs w:val="18"/>
                        </w:rPr>
                      </w:pPr>
                      <w:r>
                        <w:rPr>
                          <w:sz w:val="18"/>
                          <w:szCs w:val="18"/>
                        </w:rPr>
                        <w:t>Τα ληφθέντα αποτελέσματα οδηγούν σε βελτιωμένη θέση των συμμετεχόντων εταίρων στην αγορά μέσω της καινοτομίας.</w:t>
                      </w:r>
                    </w:p>
                    <w:p w:rsidR="00272EFF" w:rsidRPr="00547012" w:rsidRDefault="00272EFF" w:rsidP="00E05D08">
                      <w:pPr>
                        <w:rPr>
                          <w:rFonts w:cs="Arial"/>
                          <w:sz w:val="18"/>
                          <w:szCs w:val="18"/>
                        </w:rPr>
                      </w:pPr>
                      <w:r>
                        <w:rPr>
                          <w:sz w:val="18"/>
                          <w:szCs w:val="18"/>
                        </w:rPr>
                        <w:t>Για τη συλλογή στοιχείων από τις επιχειρησιακές ομάδες της ΕΣΚ χρησιμοποιούνται διάφορες μέθοδοι. Αυτές καλύπτουν διαφορετικές πτυχές της καινοτομίας και στοχεύουν στην αξιολόγηση της ποιότητας και των αποτελεσμάτων των επιχειρησιακών ομάδων:</w:t>
                      </w:r>
                    </w:p>
                    <w:p w:rsidR="00272EFF" w:rsidRPr="001954EB" w:rsidRDefault="00272EFF" w:rsidP="008C0B17">
                      <w:pPr>
                        <w:numPr>
                          <w:ilvl w:val="0"/>
                          <w:numId w:val="58"/>
                        </w:numPr>
                        <w:rPr>
                          <w:rFonts w:cs="Arial"/>
                          <w:sz w:val="18"/>
                          <w:szCs w:val="18"/>
                        </w:rPr>
                      </w:pPr>
                      <w:r>
                        <w:rPr>
                          <w:sz w:val="18"/>
                          <w:szCs w:val="18"/>
                        </w:rPr>
                        <w:t>Βασική ανάλυση (εκτίμηση των συνθηκών πλαισίου, συνεντεύξεις με φορείς κ.λπ.)·</w:t>
                      </w:r>
                    </w:p>
                    <w:p w:rsidR="00272EFF" w:rsidRPr="001954EB" w:rsidRDefault="00272EFF" w:rsidP="008C0B17">
                      <w:pPr>
                        <w:numPr>
                          <w:ilvl w:val="0"/>
                          <w:numId w:val="58"/>
                        </w:numPr>
                        <w:rPr>
                          <w:rFonts w:cs="Arial"/>
                          <w:sz w:val="18"/>
                          <w:szCs w:val="18"/>
                        </w:rPr>
                      </w:pPr>
                      <w:r>
                        <w:rPr>
                          <w:sz w:val="18"/>
                          <w:szCs w:val="18"/>
                        </w:rPr>
                        <w:t xml:space="preserve">Εκτίμηση των χαρακτηριστικών και των τύπων καινοτομίας μέσω της ανάλυσης των κριτηρίων επιλογής και μελετών περιπτώσεων· </w:t>
                      </w:r>
                    </w:p>
                    <w:p w:rsidR="00272EFF" w:rsidRPr="001954EB" w:rsidRDefault="00272EFF" w:rsidP="008C0B17">
                      <w:pPr>
                        <w:numPr>
                          <w:ilvl w:val="0"/>
                          <w:numId w:val="58"/>
                        </w:numPr>
                        <w:rPr>
                          <w:rFonts w:cs="Arial"/>
                          <w:sz w:val="18"/>
                          <w:szCs w:val="18"/>
                        </w:rPr>
                      </w:pPr>
                      <w:r>
                        <w:rPr>
                          <w:sz w:val="18"/>
                          <w:szCs w:val="18"/>
                        </w:rPr>
                        <w:t>Ανάλυση των ληφθέντων αποτελεσμάτων και διάδοσή τους (έρευνα και αυτοαξιολόγηση των επιχειρησιακών ομάδων).</w:t>
                      </w:r>
                    </w:p>
                    <w:p w:rsidR="00272EFF" w:rsidRPr="00547012" w:rsidRDefault="00272EFF" w:rsidP="00E05D08">
                      <w:pPr>
                        <w:rPr>
                          <w:rFonts w:cs="Arial"/>
                          <w:sz w:val="18"/>
                          <w:szCs w:val="18"/>
                        </w:rPr>
                      </w:pPr>
                      <w:r>
                        <w:rPr>
                          <w:sz w:val="18"/>
                          <w:szCs w:val="18"/>
                        </w:rPr>
                        <w:t xml:space="preserve">Στις πηγές δεδομένων και πληροφοριών περιλαμβάνονται δεδομένα παρακολούθησης, αιτήσεις υποψηφιότητας, τεκμηρίωση των έργων, πρωτογενή στατιστικά στοιχεία που συλλέχθηκαν μέσω ερευνών, δευτερογενή στατιστικά στοιχεία από διάφορες πηγές. </w:t>
                      </w:r>
                    </w:p>
                    <w:p w:rsidR="00272EFF" w:rsidRPr="00547012" w:rsidRDefault="00272EFF" w:rsidP="00E05D08">
                      <w:pPr>
                        <w:rPr>
                          <w:rFonts w:cs="Arial"/>
                          <w:sz w:val="18"/>
                          <w:szCs w:val="18"/>
                        </w:rPr>
                      </w:pPr>
                      <w:r>
                        <w:rPr>
                          <w:sz w:val="18"/>
                          <w:szCs w:val="18"/>
                        </w:rPr>
                        <w:t xml:space="preserve">Η έρευνα μεταξύ των δικαιούχων (επιχειρησιακές ομάδες της ΕΣΚ) διεξάγεται πριν και μετά την παρέμβαση. </w:t>
                      </w:r>
                    </w:p>
                    <w:p w:rsidR="00272EFF" w:rsidRPr="001954EB" w:rsidRDefault="00272EFF" w:rsidP="00E05D08">
                      <w:pPr>
                        <w:pStyle w:val="HStandard"/>
                        <w:rPr>
                          <w:sz w:val="18"/>
                          <w:szCs w:val="18"/>
                        </w:rPr>
                      </w:pPr>
                      <w:r>
                        <w:rPr>
                          <w:b/>
                          <w:sz w:val="18"/>
                          <w:szCs w:val="18"/>
                        </w:rPr>
                        <w:t xml:space="preserve">Τσεχική Δημοκρατία – </w:t>
                      </w:r>
                      <w:r>
                        <w:rPr>
                          <w:sz w:val="18"/>
                          <w:szCs w:val="18"/>
                        </w:rPr>
                        <w:t>προτείνεται η χρήση προσέγγισης βάσει μελέτης περιπτώσεων για τη συγκέντρωση πληροφοριών από τις επιχειρησιακές ομάδες και τα έργα συνεργασίας που σχετίζονται με την καινοτομία.</w:t>
                      </w:r>
                    </w:p>
                  </w:txbxContent>
                </v:textbox>
                <w10:anchorlock/>
              </v:shape>
            </w:pict>
          </mc:Fallback>
        </mc:AlternateContent>
      </w:r>
    </w:p>
    <w:p w:rsidR="00A45935" w:rsidRPr="00E05D08" w:rsidRDefault="00DC60EA" w:rsidP="00DC60EA">
      <w:pPr>
        <w:spacing w:before="120" w:after="120" w:line="280" w:lineRule="atLeast"/>
        <w:ind w:left="360" w:hanging="360"/>
        <w:mirrorIndents/>
        <w:rPr>
          <w:rFonts w:eastAsia="Times New Roman" w:cs="Times New Roman"/>
          <w:b/>
          <w:szCs w:val="20"/>
        </w:rPr>
      </w:pPr>
      <w:r>
        <w:rPr>
          <w:b/>
          <w:szCs w:val="20"/>
        </w:rPr>
        <w:t>δ.</w:t>
      </w:r>
      <w:r>
        <w:rPr>
          <w:b/>
          <w:szCs w:val="20"/>
        </w:rPr>
        <w:tab/>
      </w:r>
      <w:r w:rsidR="00A45935">
        <w:rPr>
          <w:b/>
          <w:szCs w:val="20"/>
        </w:rPr>
        <w:t xml:space="preserve">Κίνδυνοι και λύσεις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44"/>
        <w:gridCol w:w="5387"/>
      </w:tblGrid>
      <w:tr w:rsidR="00A45935" w:rsidRPr="00E05D08" w:rsidTr="00E05D08">
        <w:tc>
          <w:tcPr>
            <w:tcW w:w="3544" w:type="dxa"/>
            <w:shd w:val="clear" w:color="auto" w:fill="F07E31"/>
            <w:hideMark/>
          </w:tcPr>
          <w:p w:rsidR="00A45935" w:rsidRPr="00E05D08" w:rsidRDefault="00A45935" w:rsidP="00E05D08">
            <w:pPr>
              <w:spacing w:after="120" w:line="280" w:lineRule="atLeast"/>
              <w:mirrorIndents/>
              <w:jc w:val="center"/>
              <w:rPr>
                <w:b/>
                <w:color w:val="FFFFFF"/>
                <w:sz w:val="18"/>
                <w:szCs w:val="18"/>
              </w:rPr>
            </w:pPr>
            <w:r>
              <w:rPr>
                <w:b/>
                <w:color w:val="FFFFFF"/>
                <w:sz w:val="18"/>
                <w:szCs w:val="18"/>
              </w:rPr>
              <w:t>Κίνδυνοι</w:t>
            </w:r>
          </w:p>
        </w:tc>
        <w:tc>
          <w:tcPr>
            <w:tcW w:w="5387" w:type="dxa"/>
            <w:shd w:val="clear" w:color="auto" w:fill="F07E31"/>
            <w:hideMark/>
          </w:tcPr>
          <w:p w:rsidR="00A45935" w:rsidRPr="00E05D08" w:rsidRDefault="00A45935" w:rsidP="00E05D08">
            <w:pPr>
              <w:spacing w:after="120" w:line="280" w:lineRule="atLeast"/>
              <w:mirrorIndents/>
              <w:jc w:val="center"/>
              <w:rPr>
                <w:b/>
                <w:color w:val="FFFFFF"/>
                <w:sz w:val="18"/>
                <w:szCs w:val="18"/>
              </w:rPr>
            </w:pPr>
            <w:r>
              <w:rPr>
                <w:b/>
                <w:color w:val="FFFFFF"/>
                <w:sz w:val="18"/>
                <w:szCs w:val="18"/>
              </w:rPr>
              <w:t>Λύσεις</w:t>
            </w:r>
          </w:p>
        </w:tc>
      </w:tr>
      <w:tr w:rsidR="00A45935" w:rsidRPr="00E05D08" w:rsidTr="00E05D08">
        <w:tc>
          <w:tcPr>
            <w:tcW w:w="3544" w:type="dxa"/>
            <w:hideMark/>
          </w:tcPr>
          <w:p w:rsidR="00A45935" w:rsidRPr="00385368" w:rsidRDefault="00A45935" w:rsidP="00E05D08">
            <w:pPr>
              <w:spacing w:after="120" w:line="280" w:lineRule="atLeast"/>
              <w:ind w:left="22" w:right="33"/>
              <w:mirrorIndents/>
              <w:rPr>
                <w:sz w:val="18"/>
                <w:szCs w:val="18"/>
              </w:rPr>
            </w:pPr>
            <w:r>
              <w:rPr>
                <w:sz w:val="18"/>
                <w:szCs w:val="18"/>
              </w:rPr>
              <w:t>Όσον αφορά ορισμένους δείκτες, τα δεδομένα μπορεί να μην είναι διαθέσιμα παρά μόνο μετά το τέλος της περιόδου προγραμματισμού (π.χ. αριθμός πράξεων συνεργασίας που εξακολουθούν να υλοποιούνται μετά τη στήριξη του ΠΑΑ).</w:t>
            </w:r>
          </w:p>
        </w:tc>
        <w:tc>
          <w:tcPr>
            <w:tcW w:w="5387" w:type="dxa"/>
            <w:hideMark/>
          </w:tcPr>
          <w:p w:rsidR="00A45935" w:rsidRPr="00385368" w:rsidRDefault="00A45935" w:rsidP="00E05D08">
            <w:pPr>
              <w:spacing w:after="120" w:line="280" w:lineRule="atLeast"/>
              <w:ind w:left="27" w:right="47"/>
              <w:mirrorIndents/>
              <w:rPr>
                <w:sz w:val="18"/>
                <w:szCs w:val="18"/>
              </w:rPr>
            </w:pPr>
            <w:r>
              <w:rPr>
                <w:sz w:val="18"/>
                <w:szCs w:val="18"/>
              </w:rPr>
              <w:t xml:space="preserve">Τα είδη δομών συνεργασίας που δημιουργήθηκαν (νομική δομή, σύνθεση, δήλωση ανάληψης υποχρεώσεων από τους εταίρους κ.λπ.) μπορούν να αναλυθούν μέσω ποιοτικής αξιολόγησης (π.χ. με χρήση ομάδων εστίασης ή συνεντεύξεων με εταίρους των επιχειρησιακών ομάδων). </w:t>
            </w:r>
          </w:p>
        </w:tc>
      </w:tr>
      <w:tr w:rsidR="00A45935" w:rsidRPr="00E05D08" w:rsidTr="00E05D08">
        <w:tc>
          <w:tcPr>
            <w:tcW w:w="3544" w:type="dxa"/>
          </w:tcPr>
          <w:p w:rsidR="00A45935" w:rsidRPr="00385368" w:rsidRDefault="00A45935" w:rsidP="00E05D08">
            <w:pPr>
              <w:spacing w:after="120" w:line="280" w:lineRule="atLeast"/>
              <w:ind w:left="22" w:right="33"/>
              <w:mirrorIndents/>
              <w:rPr>
                <w:sz w:val="18"/>
                <w:szCs w:val="18"/>
              </w:rPr>
            </w:pPr>
            <w:r>
              <w:rPr>
                <w:sz w:val="18"/>
                <w:szCs w:val="18"/>
              </w:rPr>
              <w:t xml:space="preserve">Συλλογή δεδομένων για ορισμένους δείκτες, οι οποίοι πιθανόν να μην έχουν συμπεριληφθεί στο σύστημα παρακολούθησης του ΠΑΑ (π.χ. πρόσθετοι δείκτες). </w:t>
            </w:r>
          </w:p>
        </w:tc>
        <w:tc>
          <w:tcPr>
            <w:tcW w:w="5387" w:type="dxa"/>
          </w:tcPr>
          <w:p w:rsidR="00A45935" w:rsidRPr="00385368" w:rsidRDefault="00A45935" w:rsidP="00E05D08">
            <w:pPr>
              <w:spacing w:after="120" w:line="280" w:lineRule="atLeast"/>
              <w:ind w:left="27" w:right="47"/>
              <w:mirrorIndents/>
              <w:rPr>
                <w:sz w:val="18"/>
                <w:szCs w:val="18"/>
              </w:rPr>
            </w:pPr>
            <w:r>
              <w:rPr>
                <w:sz w:val="18"/>
                <w:szCs w:val="18"/>
              </w:rPr>
              <w:t xml:space="preserve">Η συλλογή πληροφοριών μπορεί να πραγματοποιηθεί μέσω ερευνών και συνεντεύξεων. </w:t>
            </w:r>
          </w:p>
          <w:p w:rsidR="00A45935" w:rsidRPr="00385368" w:rsidRDefault="00A45935" w:rsidP="00E05D08">
            <w:pPr>
              <w:spacing w:after="120" w:line="280" w:lineRule="atLeast"/>
              <w:ind w:left="27" w:right="47"/>
              <w:mirrorIndents/>
              <w:rPr>
                <w:sz w:val="18"/>
                <w:szCs w:val="18"/>
              </w:rPr>
            </w:pPr>
            <w:r>
              <w:rPr>
                <w:sz w:val="18"/>
                <w:szCs w:val="18"/>
              </w:rPr>
              <w:t xml:space="preserve">Εναλλακτικά, οι διαχειριστικές αρχές μπορούν να εξετάσουν το ενδεχόμενο να εντάξουν τη συγκέντρωση δεδομένων για τους πρόσθετους δείκτες μέσω της βάσης δεδομένων πράξεων. </w:t>
            </w:r>
          </w:p>
        </w:tc>
      </w:tr>
    </w:tbl>
    <w:p w:rsidR="00A45935" w:rsidRPr="00E05D08" w:rsidRDefault="00DC60EA" w:rsidP="00DC60EA">
      <w:pPr>
        <w:spacing w:before="120" w:after="120" w:line="280" w:lineRule="atLeast"/>
        <w:ind w:left="360" w:hanging="360"/>
        <w:mirrorIndents/>
        <w:rPr>
          <w:rFonts w:eastAsia="Times New Roman" w:cs="Times New Roman"/>
          <w:b/>
          <w:szCs w:val="20"/>
        </w:rPr>
      </w:pPr>
      <w:r>
        <w:rPr>
          <w:b/>
          <w:szCs w:val="20"/>
        </w:rPr>
        <w:t>ε.</w:t>
      </w:r>
      <w:r>
        <w:rPr>
          <w:b/>
          <w:szCs w:val="20"/>
        </w:rPr>
        <w:tab/>
      </w:r>
      <w:r w:rsidR="00A45935">
        <w:rPr>
          <w:b/>
          <w:szCs w:val="20"/>
        </w:rPr>
        <w:t>Συμπεράσματα και συστάσεις</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Τα κύρια συμπεράσματα και οι συστάσεις θα πρέπει να αφορούν τουλάχιστον τα ακόλουθα ζητήματα πολιτικής:</w:t>
      </w:r>
    </w:p>
    <w:p w:rsidR="00A45935" w:rsidRPr="00E54929" w:rsidRDefault="00A45935" w:rsidP="00547012">
      <w:pPr>
        <w:pStyle w:val="Hlistbullet"/>
        <w:rPr>
          <w:rFonts w:eastAsia="Calibri"/>
          <w:shd w:val="clear" w:color="auto" w:fill="FFFFFF"/>
        </w:rPr>
      </w:pPr>
      <w:r>
        <w:rPr>
          <w:b/>
          <w:shd w:val="clear" w:color="auto" w:fill="FFFFFF"/>
        </w:rPr>
        <w:t>Την τάση του ΠΑΑ να αξιοποιεί το μέτρο συνεργασίας για την αναγνώριση της καινοτομίας στις αγροτικές περιοχές.</w:t>
      </w:r>
      <w:r>
        <w:rPr>
          <w:shd w:val="clear" w:color="auto" w:fill="FFFFFF"/>
        </w:rPr>
        <w:t xml:space="preserve"> Για παράδειγμα, η δημιουργία μιας επιχειρησιακής </w:t>
      </w:r>
      <w:r>
        <w:rPr>
          <w:shd w:val="clear" w:color="auto" w:fill="FFFFFF"/>
        </w:rPr>
        <w:lastRenderedPageBreak/>
        <w:t>ομάδας καταδεικνύει ότι μια καινοτόμος ιδέα έχει αναγνωριστεί και μπορεί να υλοποιηθεί μέσω της σύνδεσης της έρευνας με την πρακτική. Το πεδίο εφαρμογής, το περιεχόμενο και η διάρκεια του έργου που εκπονήθηκε και υλοποιήθηκε από την επιχειρησιακή ομάδα παρέχουν χρήσιμες πληροφορίες για την εξαγωγή περαιτέρω σχετικών συμπερασμάτων.</w:t>
      </w:r>
    </w:p>
    <w:p w:rsidR="00A45935" w:rsidRPr="00E54929" w:rsidRDefault="00A45935" w:rsidP="00547012">
      <w:pPr>
        <w:pStyle w:val="Hlistbullet"/>
        <w:rPr>
          <w:rFonts w:eastAsia="Calibri"/>
          <w:shd w:val="clear" w:color="auto" w:fill="FFFFFF"/>
        </w:rPr>
      </w:pPr>
      <w:r>
        <w:rPr>
          <w:b/>
          <w:shd w:val="clear" w:color="auto" w:fill="FFFFFF"/>
        </w:rPr>
        <w:t>Τις επιπτώσεις των έργων συνεργασίας στην ικανότητα για καινοτομία.</w:t>
      </w:r>
      <w:r>
        <w:rPr>
          <w:shd w:val="clear" w:color="auto" w:fill="FFFFFF"/>
        </w:rPr>
        <w:t xml:space="preserve"> Η ανάλυση του αριθμού και του είδους των έργων συνεργασίας, καθώς και η συμμετοχή των ενδιαφερόμενων φορέων καινοτομίας μπορεί να επιτρέψουν την εξαγωγή συμπερασμάτων σχετικά με τα επιτεύγματα του μέτρου συνεργασίας όσον αφορά την ικανότητα για καινοτομία στις αγροτικές περιοχές.</w:t>
      </w:r>
    </w:p>
    <w:p w:rsidR="00A45935" w:rsidRPr="00E54929" w:rsidRDefault="00A45935" w:rsidP="00547012">
      <w:pPr>
        <w:pStyle w:val="Hlistbullet"/>
        <w:rPr>
          <w:rFonts w:eastAsia="Calibri"/>
          <w:shd w:val="clear" w:color="auto" w:fill="FFFFFF"/>
        </w:rPr>
      </w:pPr>
      <w:r>
        <w:rPr>
          <w:b/>
          <w:shd w:val="clear" w:color="auto" w:fill="FFFFFF"/>
        </w:rPr>
        <w:t>Τις επιπτώσεις των έργων συνεργασίας στην ανάπτυξη ευνοϊκού περιβάλλοντος για την καινοτομία</w:t>
      </w:r>
      <w:r>
        <w:rPr>
          <w:shd w:val="clear" w:color="auto" w:fill="FFFFFF"/>
        </w:rPr>
        <w:t xml:space="preserve"> (δηλ. τον βαθμό στον οποίο τα έργα συνεργασίας ευνόησαν τη δημιουργία δομών και διαδικασιών που διευκολύνουν την παραγωγή καινοτόμων ιδεών). Σε αυτές περιλαμβάνονται, για παράδειγμα, οι δομές και μέθοδοι διαμεσολάβησης της καινοτομίας, η δημιουργία μόνιμων δεσμών μεταξύ ΜΜΕ, υπηρεσιών καινοτομίας και χρηματοδοτικών φορέων κ.λπ.</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Περαιτέρω βιβλιογραφία</w:t>
      </w:r>
    </w:p>
    <w:p w:rsidR="009D0C0A" w:rsidRDefault="00A45935" w:rsidP="00547012">
      <w:pPr>
        <w:spacing w:after="120" w:line="280" w:lineRule="atLeast"/>
        <w:mirrorIndents/>
      </w:pPr>
      <w:r>
        <w:rPr>
          <w:rFonts w:eastAsia="Times New Roman" w:cs="Times New Roman"/>
          <w:noProof/>
          <w:sz w:val="18"/>
          <w:szCs w:val="24"/>
          <w:lang w:val="en-GB" w:eastAsia="en-GB"/>
        </w:rPr>
        <mc:AlternateContent>
          <mc:Choice Requires="wps">
            <w:drawing>
              <wp:inline distT="0" distB="0" distL="0" distR="0" wp14:anchorId="4722E42E" wp14:editId="4AEA29C1">
                <wp:extent cx="5727560" cy="2324100"/>
                <wp:effectExtent l="0" t="0" r="26035" b="19050"/>
                <wp:docPr id="27" name="Rectangle: Diagonal Corners Rounded 27"/>
                <wp:cNvGraphicFramePr/>
                <a:graphic xmlns:a="http://schemas.openxmlformats.org/drawingml/2006/main">
                  <a:graphicData uri="http://schemas.microsoft.com/office/word/2010/wordprocessingShape">
                    <wps:wsp>
                      <wps:cNvSpPr/>
                      <wps:spPr>
                        <a:xfrm>
                          <a:off x="0" y="0"/>
                          <a:ext cx="5727560" cy="2324100"/>
                        </a:xfrm>
                        <a:prstGeom prst="round2DiagRect">
                          <a:avLst>
                            <a:gd name="adj1" fmla="val 11556"/>
                            <a:gd name="adj2" fmla="val 0"/>
                          </a:avLst>
                        </a:prstGeom>
                        <a:noFill/>
                        <a:ln w="25400" cap="flat" cmpd="sng" algn="ctr">
                          <a:solidFill>
                            <a:srgbClr val="59638E"/>
                          </a:solidFill>
                          <a:prstDash val="solid"/>
                        </a:ln>
                        <a:effectLst/>
                      </wps:spPr>
                      <wps:txbx>
                        <w:txbxContent>
                          <w:p w:rsidR="00272EFF" w:rsidRDefault="00272EFF" w:rsidP="00E05D08">
                            <w:pPr>
                              <w:pStyle w:val="HStandard"/>
                              <w:rPr>
                                <w:color w:val="000000"/>
                                <w:sz w:val="18"/>
                              </w:rPr>
                            </w:pPr>
                            <w:r>
                              <w:rPr>
                                <w:noProof/>
                                <w:lang w:val="en-GB" w:eastAsia="en-GB"/>
                              </w:rPr>
                              <w:drawing>
                                <wp:inline distT="0" distB="0" distL="0" distR="0" wp14:anchorId="470BFB0E" wp14:editId="31AB151D">
                                  <wp:extent cx="360465" cy="360000"/>
                                  <wp:effectExtent l="0" t="0" r="1905" b="2540"/>
                                  <wp:docPr id="710"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272EFF" w:rsidRPr="000041C9" w:rsidRDefault="00272EFF" w:rsidP="00E05D08">
                            <w:pPr>
                              <w:pStyle w:val="HStandard"/>
                              <w:rPr>
                                <w:sz w:val="18"/>
                                <w:szCs w:val="18"/>
                              </w:rPr>
                            </w:pPr>
                            <w:r>
                              <w:rPr>
                                <w:sz w:val="18"/>
                                <w:szCs w:val="18"/>
                              </w:rPr>
                              <w:t>Κατευθυντήριες γραμμές «</w:t>
                            </w:r>
                            <w:hyperlink r:id="rId51" w:history="1">
                              <w:r>
                                <w:rPr>
                                  <w:rStyle w:val="Hyperlink"/>
                                  <w:sz w:val="18"/>
                                  <w:szCs w:val="18"/>
                                </w:rPr>
                                <w:t>Assessment of RDP results:</w:t>
                              </w:r>
                            </w:hyperlink>
                            <w:hyperlink r:id="rId52" w:history="1">
                              <w:r>
                                <w:rPr>
                                  <w:rStyle w:val="Hyperlink"/>
                                  <w:sz w:val="18"/>
                                  <w:szCs w:val="18"/>
                                </w:rPr>
                                <w:t>How to prepare for reporting on evaluation in 2017</w:t>
                              </w:r>
                            </w:hyperlink>
                            <w:r>
                              <w:rPr>
                                <w:sz w:val="18"/>
                                <w:szCs w:val="18"/>
                              </w:rPr>
                              <w:t xml:space="preserve">» (Αξιολόγηση των αποτελεσμάτων του ΠΑΑ: Τρόπος προετοιμασίας για την υποβολή εκθέσεων σχετικά με την αξιολόγηση το 2017), παράρτημα 11· </w:t>
                            </w:r>
                          </w:p>
                          <w:p w:rsidR="00272EFF" w:rsidRDefault="00272EFF" w:rsidP="00E05D08">
                            <w:pPr>
                              <w:pStyle w:val="HStandard"/>
                              <w:rPr>
                                <w:sz w:val="18"/>
                                <w:szCs w:val="18"/>
                              </w:rPr>
                            </w:pPr>
                            <w:r>
                              <w:rPr>
                                <w:sz w:val="18"/>
                                <w:szCs w:val="18"/>
                              </w:rPr>
                              <w:t>Έγγραφο καθοδήγησης «</w:t>
                            </w:r>
                            <w:hyperlink r:id="rId53" w:history="1">
                              <w:r>
                                <w:rPr>
                                  <w:rStyle w:val="Hyperlink"/>
                                  <w:sz w:val="18"/>
                                </w:rPr>
                                <w:t>Cooperation measure</w:t>
                              </w:r>
                            </w:hyperlink>
                            <w:r>
                              <w:rPr>
                                <w:sz w:val="18"/>
                                <w:szCs w:val="18"/>
                              </w:rPr>
                              <w:t>» (Μέτρο συνεργασίας), άρθρο 35 του κανονισμού (ΕΕ) αριθ. 1305/2013, Νοέμβριος 2014·</w:t>
                            </w:r>
                          </w:p>
                          <w:p w:rsidR="00272EFF" w:rsidRPr="000041C9" w:rsidRDefault="00272EFF" w:rsidP="00E05D08">
                            <w:pPr>
                              <w:pStyle w:val="HStandard"/>
                              <w:rPr>
                                <w:sz w:val="18"/>
                                <w:szCs w:val="18"/>
                              </w:rPr>
                            </w:pPr>
                            <w:r>
                              <w:rPr>
                                <w:sz w:val="18"/>
                                <w:szCs w:val="18"/>
                              </w:rPr>
                              <w:t xml:space="preserve">Έγγραφα στο πλαίσιο του εργαστηρίου του ΕΔΑΑ για το μέτρο 16 «Συνεργασία», Ιούνιος 2016, Βρυξέλλες: </w:t>
                            </w:r>
                            <w:hyperlink r:id="rId54" w:history="1">
                              <w:r>
                                <w:rPr>
                                  <w:rStyle w:val="Hyperlink"/>
                                  <w:sz w:val="18"/>
                                  <w:szCs w:val="18"/>
                                </w:rPr>
                                <w:t>http://enrd.ec.europa.eu/news-events/events/enrd-workshop-measure-16-cooperation_en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22E42E" id="Rectangle: Diagonal Corners Rounded 27" o:spid="_x0000_s1049" style="width:451pt;height:183pt;visibility:visible;mso-wrap-style:square;mso-left-percent:-10001;mso-top-percent:-10001;mso-position-horizontal:absolute;mso-position-horizontal-relative:char;mso-position-vertical:absolute;mso-position-vertical-relative:line;mso-left-percent:-10001;mso-top-percent:-10001;v-text-anchor:middle" coordsize="5727560,2324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" adj="-11796480,,5400" path="m268573,l5727560,r,l5727560,2055527v,148329,-120244,268573,-268573,268573l,2324100r,l,268573c,120244,120244,,268573,xe" filled="f" strokecolor="#59638e" strokeweight="2pt">
                <v:stroke joinstyle="miter"/>
                <v:formulas/>
                <v:path arrowok="t" o:connecttype="custom" o:connectlocs="268573,0;5727560,0;5727560,0;5727560,2055527;5458987,2324100;0,2324100;0,2324100;0,268573;268573,0" o:connectangles="0,0,0,0,0,0,0,0,0" textboxrect="0,0,5727560,2324100"/>
                <v:textbox>
                  <w:txbxContent>
                    <w:p w:rsidR="00272EFF" w:rsidRDefault="00272EFF" w:rsidP="00E05D08">
                      <w:pPr>
                        <w:pStyle w:val="HStandard"/>
                        <w:rPr>
                          <w:color w:val="000000"/>
                          <w:sz w:val="18"/>
                        </w:rPr>
                      </w:pPr>
                      <w:r>
                        <w:rPr>
                          <w:noProof/>
                          <w:lang w:val="en-GB" w:eastAsia="en-GB"/>
                        </w:rPr>
                        <w:drawing>
                          <wp:inline distT="0" distB="0" distL="0" distR="0" wp14:anchorId="470BFB0E" wp14:editId="31AB151D">
                            <wp:extent cx="360465" cy="360000"/>
                            <wp:effectExtent l="0" t="0" r="1905" b="2540"/>
                            <wp:docPr id="710"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272EFF" w:rsidRPr="000041C9" w:rsidRDefault="00272EFF" w:rsidP="00E05D08">
                      <w:pPr>
                        <w:pStyle w:val="HStandard"/>
                        <w:rPr>
                          <w:sz w:val="18"/>
                          <w:szCs w:val="18"/>
                        </w:rPr>
                      </w:pPr>
                      <w:r>
                        <w:rPr>
                          <w:sz w:val="18"/>
                          <w:szCs w:val="18"/>
                        </w:rPr>
                        <w:t>Κατευθυντήριες γραμμές «</w:t>
                      </w:r>
                      <w:hyperlink r:id="rId55" w:history="1">
                        <w:r>
                          <w:rPr>
                            <w:rStyle w:val="Hyperlink"/>
                            <w:sz w:val="18"/>
                            <w:szCs w:val="18"/>
                          </w:rPr>
                          <w:t>Assessment of RDP results:</w:t>
                        </w:r>
                      </w:hyperlink>
                      <w:hyperlink r:id="rId56" w:history="1">
                        <w:r>
                          <w:rPr>
                            <w:rStyle w:val="Hyperlink"/>
                            <w:sz w:val="18"/>
                            <w:szCs w:val="18"/>
                          </w:rPr>
                          <w:t>How to prepare for reporting on evaluation in 2017</w:t>
                        </w:r>
                      </w:hyperlink>
                      <w:r>
                        <w:rPr>
                          <w:sz w:val="18"/>
                          <w:szCs w:val="18"/>
                        </w:rPr>
                        <w:t xml:space="preserve">» (Αξιολόγηση των αποτελεσμάτων του ΠΑΑ: Τρόπος προετοιμασίας για την υποβολή εκθέσεων σχετικά με την αξιολόγηση το 2017), παράρτημα 11· </w:t>
                      </w:r>
                    </w:p>
                    <w:p w:rsidR="00272EFF" w:rsidRDefault="00272EFF" w:rsidP="00E05D08">
                      <w:pPr>
                        <w:pStyle w:val="HStandard"/>
                        <w:rPr>
                          <w:sz w:val="18"/>
                          <w:szCs w:val="18"/>
                        </w:rPr>
                      </w:pPr>
                      <w:r>
                        <w:rPr>
                          <w:sz w:val="18"/>
                          <w:szCs w:val="18"/>
                        </w:rPr>
                        <w:t>Έγγραφο καθοδήγησης «</w:t>
                      </w:r>
                      <w:hyperlink r:id="rId57" w:history="1">
                        <w:r>
                          <w:rPr>
                            <w:rStyle w:val="Hyperlink"/>
                            <w:sz w:val="18"/>
                          </w:rPr>
                          <w:t>Cooperation measure</w:t>
                        </w:r>
                      </w:hyperlink>
                      <w:r>
                        <w:rPr>
                          <w:sz w:val="18"/>
                          <w:szCs w:val="18"/>
                        </w:rPr>
                        <w:t>» (Μέτρο συνεργασίας), άρθρο 35 του κανονισμού (ΕΕ) αριθ. 1305/2013, Νοέμβριος 2014·</w:t>
                      </w:r>
                    </w:p>
                    <w:p w:rsidR="00272EFF" w:rsidRPr="000041C9" w:rsidRDefault="00272EFF" w:rsidP="00E05D08">
                      <w:pPr>
                        <w:pStyle w:val="HStandard"/>
                        <w:rPr>
                          <w:sz w:val="18"/>
                          <w:szCs w:val="18"/>
                        </w:rPr>
                      </w:pPr>
                      <w:r>
                        <w:rPr>
                          <w:sz w:val="18"/>
                          <w:szCs w:val="18"/>
                        </w:rPr>
                        <w:t xml:space="preserve">Έγγραφα στο πλαίσιο του εργαστηρίου του ΕΔΑΑ για το μέτρο 16 «Συνεργασία», Ιούνιος 2016, Βρυξέλλες: </w:t>
                      </w:r>
                      <w:hyperlink r:id="rId58" w:history="1">
                        <w:r>
                          <w:rPr>
                            <w:rStyle w:val="Hyperlink"/>
                            <w:sz w:val="18"/>
                            <w:szCs w:val="18"/>
                          </w:rPr>
                          <w:t>http://enrd.ec.europa.eu/news-events/events/enrd-workshop-measure-16-cooperation_en</w:t>
                        </w:r>
                      </w:hyperlink>
                    </w:p>
                  </w:txbxContent>
                </v:textbox>
                <w10:anchorlock/>
              </v:shape>
            </w:pict>
          </mc:Fallback>
        </mc:AlternateContent>
      </w:r>
      <w:bookmarkStart w:id="115" w:name="_Toc501382133"/>
    </w:p>
    <w:p w:rsidR="00D50380" w:rsidRDefault="00D50380" w:rsidP="0079071D">
      <w:pPr>
        <w:pStyle w:val="HHeading3"/>
        <w:numPr>
          <w:ilvl w:val="2"/>
          <w:numId w:val="119"/>
        </w:numPr>
        <w:tabs>
          <w:tab w:val="clear" w:pos="567"/>
        </w:tabs>
        <w:spacing w:before="480" w:line="280" w:lineRule="exact"/>
        <w:ind w:left="567" w:hanging="567"/>
      </w:pPr>
      <w:bookmarkStart w:id="116" w:name="CEQ_NRN"/>
      <w:bookmarkStart w:id="117" w:name="_Toc508964820"/>
      <w:bookmarkEnd w:id="116"/>
      <w:r>
        <w:t>ΚΕΑ αριθ. 21: «Σε ποιο βαθμό το εθνικό αγροτικό δίκτυο έχει συμβάλει στην επίτευξη των στόχων που καθορίζονται στο άρθρο 54 παράγραφος 2 του κανονισμού (ΕΕ) αριθ. 1305/2013;»</w:t>
      </w:r>
      <w:bookmarkEnd w:id="117"/>
    </w:p>
    <w:bookmarkEnd w:id="115"/>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Κατανόηση του ΚΕΑ</w:t>
      </w:r>
    </w:p>
    <w:p w:rsidR="00A45935" w:rsidRPr="00E05D08" w:rsidRDefault="00A45935" w:rsidP="00E05D08">
      <w:pPr>
        <w:spacing w:after="120" w:line="280" w:lineRule="atLeast"/>
        <w:mirrorIndents/>
        <w:rPr>
          <w:rFonts w:eastAsia="Calibri" w:cs="Times New Roman"/>
          <w:szCs w:val="20"/>
        </w:rPr>
      </w:pPr>
      <w:r>
        <w:t>Το συγκεκριμένο ερώτημα</w:t>
      </w:r>
      <w:r>
        <w:rPr>
          <w:szCs w:val="18"/>
          <w14:textFill>
            <w14:solidFill>
              <w14:srgbClr w14:val="373737">
                <w14:lumMod w14:val="75000"/>
              </w14:srgbClr>
            </w14:solidFill>
          </w14:textFill>
        </w:rPr>
        <w:t xml:space="preserve"> </w:t>
      </w:r>
      <w:r>
        <w:t>αναφέρεται στην επίτευξη των τεσσάρων στόχων του ΕΑΔ</w:t>
      </w:r>
      <w:r>
        <w:rPr>
          <w:rFonts w:eastAsia="Times New Roman" w:cs="Times New Roman"/>
          <w:szCs w:val="20"/>
          <w:vertAlign w:val="superscript"/>
          <w:lang w:eastAsia="de-DE"/>
        </w:rPr>
        <w:footnoteReference w:id="57"/>
      </w:r>
      <w:r>
        <w:t>. Οι παρούσες κατευθυντήριες γραμμές</w:t>
      </w:r>
      <w:r>
        <w:rPr>
          <w:rFonts w:eastAsia="Times New Roman" w:cs="Times New Roman"/>
          <w:szCs w:val="20"/>
          <w:vertAlign w:val="superscript"/>
          <w:lang w:eastAsia="de-DE"/>
        </w:rPr>
        <w:footnoteReference w:id="58"/>
      </w:r>
      <w:r>
        <w:t xml:space="preserve"> πραγματεύονται το ΚΕΑ αριθ. 21 σε σχέση με τον στόχο του ΕΑΔ</w:t>
      </w:r>
      <w:r>
        <w:rPr>
          <w:szCs w:val="18"/>
          <w14:textFill>
            <w14:solidFill>
              <w14:srgbClr w14:val="373737">
                <w14:lumMod w14:val="75000"/>
              </w14:srgbClr>
            </w14:solidFill>
          </w14:textFill>
        </w:rPr>
        <w:t xml:space="preserve"> για «προώθηση της καινοτομίας στη γεωργία, την παραγωγή τροφίμων, τη δασοκομία και τις αγροτικές περιοχές» </w:t>
      </w:r>
      <w:r>
        <w:t xml:space="preserve">για τους σκοπούς της αξιολόγησης της καινοτομίας, στο πλαίσιο της προώθησής της από τα ΕΑΔ από το 2019 και εξής. </w:t>
      </w:r>
    </w:p>
    <w:p w:rsidR="00A45935" w:rsidRPr="00E05D08" w:rsidRDefault="00A45935" w:rsidP="00E05D08">
      <w:pPr>
        <w:spacing w:after="120" w:line="280" w:lineRule="atLeast"/>
        <w:mirrorIndents/>
        <w:rPr>
          <w:rFonts w:eastAsia="Calibri" w:cs="Times New Roman"/>
          <w:szCs w:val="20"/>
        </w:rPr>
      </w:pPr>
      <w:r>
        <w:lastRenderedPageBreak/>
        <w:t>Το ΕΑΔ λειτουργεί μέσω διαφόρων ομάδων δράσης που συστήνονται βάσει του σχεδίου δράσης του ΕΑΔ και περιλαμβάνει διάφορους τύπους ενδιαφερόμενων φορέων, μεταξύ των οποίων φορείς καινοτομίας. Συνεπώς, είναι σημαντικό να αναγνωριστεί ποιες ομάδες δράσης</w:t>
      </w:r>
      <w:r>
        <w:rPr>
          <w:rFonts w:eastAsia="Calibri" w:cs="Times New Roman"/>
          <w:szCs w:val="20"/>
          <w:vertAlign w:val="superscript"/>
        </w:rPr>
        <w:footnoteReference w:id="59"/>
      </w:r>
      <w:r>
        <w:t xml:space="preserve"> διαθέτουν δυναμικό προώθησης της καινοτομίας μέσω των τριών διαδρομών (βλ. </w:t>
      </w:r>
      <w:hyperlink w:anchor="Innovation_RD" w:history="1">
        <w:r>
          <w:rPr>
            <w:rStyle w:val="Hyperlink"/>
            <w:sz w:val="20"/>
            <w:szCs w:val="20"/>
          </w:rPr>
          <w:t>κεφάλαιο 1.1</w:t>
        </w:r>
      </w:hyperlink>
      <w:r>
        <w:t xml:space="preserve">) και ποιοι τύποι ενδιαφερόμενων φορέων του συστήματος καινοτομίας συμμετέχουν και μπορεί να επηρεαστούν από τις εν λόγω δράσεις όσον αφορά την προώθηση της καινοτομίας. </w:t>
      </w:r>
    </w:p>
    <w:p w:rsidR="001327F5" w:rsidRDefault="00A45935" w:rsidP="00E05D08">
      <w:pPr>
        <w:spacing w:after="120" w:line="280" w:lineRule="atLeast"/>
        <w:mirrorIndents/>
        <w:rPr>
          <w:rFonts w:eastAsia="Calibri" w:cs="Times New Roman"/>
          <w:szCs w:val="20"/>
        </w:rPr>
      </w:pPr>
      <w:r>
        <w:t>Οι δράσεις που περιλαμβάνονται στο σχέδιο δράσης του ΕΑΔ θα μπορούσαν να εμπίπτουν σε επτά κατηγορίες δραστηριοτήτων, όπως αυτές ορίζονται στον κανονισμό</w:t>
      </w:r>
      <w:r>
        <w:rPr>
          <w:rFonts w:eastAsia="Calibri" w:cs="Times New Roman"/>
          <w:szCs w:val="20"/>
          <w:vertAlign w:val="superscript"/>
        </w:rPr>
        <w:footnoteReference w:id="60"/>
      </w:r>
      <w:r>
        <w:t>. Παραδείγματα του τρόπου με τον οποίο οι εν λόγω δραστηριότητες θα μπορούσαν να σχετίζονται με την προώθηση της καινοτομίας παρέχονται στα κατωτέρω πλαίσια.</w:t>
      </w:r>
    </w:p>
    <w:p w:rsidR="001327F5" w:rsidRPr="00E05D08" w:rsidRDefault="001327F5" w:rsidP="001327F5">
      <w:pPr>
        <w:spacing w:after="120" w:line="280" w:lineRule="atLeast"/>
        <w:mirrorIndents/>
        <w:rPr>
          <w:rFonts w:eastAsia="Calibri" w:cs="Times New Roman"/>
          <w:szCs w:val="20"/>
        </w:rPr>
      </w:pPr>
      <w:r>
        <w:t>Στο πλαίσιο της τεχνικής βοήθειας, τα ΕΑΔ είναι αφιερωμένα στη συμπλήρωση και υποστήριξη της υλοποίησης του ΠΑΑ και, συνεπώς, συνεισφέρουν άμεσα στην προώθηση της καινοτομίας ως οριζόντιου στόχου. Ωστόσο, τα ΕΑΔ μπορούν να δημιουργήσουν συνέργειες και με άλλους φορείς καινοτομίας στο πλαίσιο της αγροτικής ανάπτυξης, όπως οι ΟΤΔ LEADER ή η ΕΣΚ-AGRI (βλ. το παράδειγμα στο πλαίσιο).</w:t>
      </w:r>
    </w:p>
    <w:p w:rsidR="00DC60EA" w:rsidRDefault="00DC60EA">
      <w:pPr>
        <w:jc w:val="left"/>
        <w:rPr>
          <w:rFonts w:eastAsia="Times New Roman" w:cs="Times New Roman"/>
          <w:szCs w:val="20"/>
        </w:rPr>
      </w:pPr>
      <w:r>
        <w:rPr>
          <w:rFonts w:eastAsia="Times New Roman" w:cs="Times New Roman"/>
          <w:szCs w:val="20"/>
        </w:rPr>
        <w:br w:type="page"/>
      </w:r>
    </w:p>
    <w:p w:rsidR="00A45935" w:rsidRPr="00E05D08" w:rsidRDefault="00547012"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w:lastRenderedPageBreak/>
        <mc:AlternateContent>
          <mc:Choice Requires="wps">
            <w:drawing>
              <wp:anchor distT="0" distB="0" distL="114300" distR="114300" simplePos="0" relativeHeight="251665920" behindDoc="1" locked="0" layoutInCell="1" allowOverlap="1" wp14:anchorId="2A356B5B" wp14:editId="64ABF431">
                <wp:simplePos x="0" y="0"/>
                <wp:positionH relativeFrom="column">
                  <wp:posOffset>0</wp:posOffset>
                </wp:positionH>
                <wp:positionV relativeFrom="paragraph">
                  <wp:posOffset>299085</wp:posOffset>
                </wp:positionV>
                <wp:extent cx="5707380" cy="7886700"/>
                <wp:effectExtent l="0" t="0" r="26670" b="19050"/>
                <wp:wrapTight wrapText="bothSides">
                  <wp:wrapPolygon edited="0">
                    <wp:start x="793" y="0"/>
                    <wp:lineTo x="0" y="313"/>
                    <wp:lineTo x="0" y="21600"/>
                    <wp:lineTo x="20908" y="21600"/>
                    <wp:lineTo x="21629" y="21235"/>
                    <wp:lineTo x="21629" y="0"/>
                    <wp:lineTo x="793" y="0"/>
                  </wp:wrapPolygon>
                </wp:wrapTight>
                <wp:docPr id="28" name="Rectangle: Diagonal Corners Rounded 28"/>
                <wp:cNvGraphicFramePr/>
                <a:graphic xmlns:a="http://schemas.openxmlformats.org/drawingml/2006/main">
                  <a:graphicData uri="http://schemas.microsoft.com/office/word/2010/wordprocessingShape">
                    <wps:wsp>
                      <wps:cNvSpPr/>
                      <wps:spPr>
                        <a:xfrm>
                          <a:off x="0" y="0"/>
                          <a:ext cx="5707380" cy="7886700"/>
                        </a:xfrm>
                        <a:prstGeom prst="round2DiagRect">
                          <a:avLst>
                            <a:gd name="adj1" fmla="val 6054"/>
                            <a:gd name="adj2" fmla="val 0"/>
                          </a:avLst>
                        </a:prstGeom>
                        <a:noFill/>
                        <a:ln w="25400" cap="flat" cmpd="sng" algn="ctr">
                          <a:solidFill>
                            <a:srgbClr val="F07E31"/>
                          </a:solidFill>
                          <a:prstDash val="solid"/>
                        </a:ln>
                        <a:effectLst/>
                      </wps:spPr>
                      <wps:txbx>
                        <w:txbxContent>
                          <w:p w:rsidR="00272EFF" w:rsidRPr="0079762F" w:rsidRDefault="00272EFF" w:rsidP="00E05D08">
                            <w:pPr>
                              <w:pStyle w:val="HStandard"/>
                              <w:ind w:left="567" w:hanging="567"/>
                              <w:rPr>
                                <w:i/>
                                <w:sz w:val="18"/>
                                <w:szCs w:val="18"/>
                              </w:rPr>
                            </w:pPr>
                            <w:r>
                              <w:rPr>
                                <w:noProof/>
                                <w:sz w:val="18"/>
                                <w:szCs w:val="18"/>
                                <w:lang w:val="en-GB" w:eastAsia="en-GB"/>
                              </w:rPr>
                              <w:drawing>
                                <wp:inline distT="0" distB="0" distL="0" distR="0" wp14:anchorId="0B55C8E3" wp14:editId="75086DA6">
                                  <wp:extent cx="353060" cy="359410"/>
                                  <wp:effectExtent l="0" t="0" r="8890" b="2540"/>
                                  <wp:docPr id="71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Καλλιέργεια νέων ιδεών και ανταλλαγή καινοτομιών:</w:t>
                            </w:r>
                          </w:p>
                          <w:p w:rsidR="00272EFF" w:rsidRPr="0079762F" w:rsidRDefault="00272EFF" w:rsidP="008C0B17">
                            <w:pPr>
                              <w:pStyle w:val="HStandard"/>
                              <w:numPr>
                                <w:ilvl w:val="0"/>
                                <w:numId w:val="26"/>
                              </w:numPr>
                              <w:ind w:left="567" w:hanging="567"/>
                              <w:rPr>
                                <w:sz w:val="18"/>
                                <w:szCs w:val="18"/>
                              </w:rPr>
                            </w:pPr>
                            <w:r>
                              <w:rPr>
                                <w:sz w:val="18"/>
                                <w:szCs w:val="18"/>
                              </w:rPr>
                              <w:t>Συγκέντρωση παραδειγμάτων έργων που καλύπτουν όλες τις προτεραιότητες του ΠΑΑ: αυτά μπορεί να επικεντρώνονται, για παράδειγμα, σε καινοτόμα έργα ή στη δημιουργία βάσεων δεδομένων καινοτόμων έργων και, συνεπώς, να συνεισφέρουν στην αναγνώριση και την ανταλλαγή καινοτομιών.</w:t>
                            </w:r>
                          </w:p>
                          <w:p w:rsidR="00272EFF" w:rsidRPr="0079762F" w:rsidRDefault="00272EFF" w:rsidP="008C0B17">
                            <w:pPr>
                              <w:pStyle w:val="HStandard"/>
                              <w:numPr>
                                <w:ilvl w:val="0"/>
                                <w:numId w:val="26"/>
                              </w:numPr>
                              <w:ind w:left="567" w:hanging="567"/>
                              <w:rPr>
                                <w:sz w:val="18"/>
                                <w:szCs w:val="18"/>
                              </w:rPr>
                            </w:pPr>
                            <w:r>
                              <w:rPr>
                                <w:sz w:val="18"/>
                                <w:szCs w:val="18"/>
                              </w:rPr>
                              <w:t>Διευκόλυνση θεματικών και αναλυτικών ανταλλαγών μεταξύ των ενδιαφερόμενων φορέων αγροτικής ανάπτυξης, ανταλλαγή και διάδοση των πορισμάτων. Οι ανταλλαγές αυτές μπορεί επίσης να προωθούν την καινοτομία μέσω της καλλιέργειας και της διάδοσης νέων ιδεών και της δημιουργίας των προϋποθέσεων για την ανάπτυξη νέων γνώσεων.</w:t>
                            </w:r>
                          </w:p>
                          <w:p w:rsidR="00272EFF" w:rsidRDefault="00272EFF" w:rsidP="008C0B17">
                            <w:pPr>
                              <w:pStyle w:val="HStandard"/>
                              <w:numPr>
                                <w:ilvl w:val="0"/>
                                <w:numId w:val="26"/>
                              </w:numPr>
                              <w:ind w:left="567" w:hanging="567"/>
                              <w:rPr>
                                <w:sz w:val="18"/>
                                <w:szCs w:val="18"/>
                              </w:rPr>
                            </w:pPr>
                            <w:r>
                              <w:rPr>
                                <w:sz w:val="18"/>
                                <w:szCs w:val="18"/>
                              </w:rPr>
                              <w:t>Δημοσιότητα και ενημέρωση σχετικά με το ΠΑΑ και δραστηριότητες ενημέρωσης και επικοινωνίας που στοχεύουν στο ευρύτερο κοινό. Σ’ αυτές μπορεί να περιλαμβάνονται, μεταξύ άλλων, η ενημέρωση σχετικά με τα επιτεύγματα του ΠΑΑ που σχετίζονται με την καινοτομία, τα επιτεύγματα των επιχειρησιακών ομάδων της ΕΣΚ, τον τρόπο με τον οποίο οι στρατηγικές CLLD και οι συμπράξεις προωθούν την καινοτομία και παραδείγματα τέτοιων συμπράξεων και καινοτόμων έργων LEADER/CLLD κ.λπ.</w:t>
                            </w:r>
                          </w:p>
                          <w:p w:rsidR="00272EFF" w:rsidRPr="00E05D08" w:rsidRDefault="00272EFF" w:rsidP="008A0CFF">
                            <w:pPr>
                              <w:pStyle w:val="HStandard"/>
                              <w:rPr>
                                <w:b/>
                                <w:color w:val="F07E31"/>
                                <w:sz w:val="18"/>
                                <w:szCs w:val="18"/>
                              </w:rPr>
                            </w:pPr>
                            <w:r>
                              <w:rPr>
                                <w:b/>
                                <w:color w:val="F07E31"/>
                                <w:sz w:val="18"/>
                                <w:szCs w:val="18"/>
                              </w:rPr>
                              <w:t>Ανάπτυξη της ικανότητας για καινοτομία:</w:t>
                            </w:r>
                          </w:p>
                          <w:p w:rsidR="00272EFF" w:rsidRPr="0079762F" w:rsidRDefault="00272EFF" w:rsidP="008A0CFF">
                            <w:pPr>
                              <w:pStyle w:val="HStandard"/>
                              <w:numPr>
                                <w:ilvl w:val="0"/>
                                <w:numId w:val="26"/>
                              </w:numPr>
                              <w:rPr>
                                <w:sz w:val="18"/>
                                <w:szCs w:val="18"/>
                              </w:rPr>
                            </w:pPr>
                            <w:r>
                              <w:rPr>
                                <w:sz w:val="18"/>
                                <w:szCs w:val="18"/>
                              </w:rPr>
                              <w:t>Παροχή δραστηριοτήτων κατάρτισης και δικτύωσης σε συμβούλους και υπηρεσίες υποστήριξης της καινοτομίας, που επικεντρώνονται στην καινοτομία στον τομέα της γεωργίας, της δασοκομίας και άλλους τομείς που αφορούν το ΠΑΑ. Η κατάρτιση συμβούλων και υπηρεσιών υποστήριξης της καινοτομίας, για παράδειγμα, μπορεί να διευκολύνει τη δημιουργία επιχειρησιακών ομάδων της ΕΣΚ και, συνεπώς, να συνεισφέρει στην ανάπτυξη της ικανότητας για καινοτομία στις αγροτικές περιοχές, εφόσον αναμένεται ότι οι επιχειρησιακές ομάδες θα αναπτύξουν καινοτόμα έργα.</w:t>
                            </w:r>
                          </w:p>
                          <w:p w:rsidR="00272EFF" w:rsidRPr="00ED3BAD" w:rsidRDefault="00272EFF" w:rsidP="008A0CFF">
                            <w:pPr>
                              <w:pStyle w:val="HStandard"/>
                              <w:numPr>
                                <w:ilvl w:val="0"/>
                                <w:numId w:val="26"/>
                              </w:numPr>
                              <w:rPr>
                                <w:sz w:val="18"/>
                                <w:szCs w:val="18"/>
                              </w:rPr>
                            </w:pPr>
                            <w:r>
                              <w:rPr>
                                <w:sz w:val="18"/>
                                <w:szCs w:val="18"/>
                              </w:rPr>
                              <w:t>Παροχή δραστηριοτήτων κατάρτισης και δικτύωσης για τις ΟΤΔ και, ιδίως, παροχή τεχνικής βοήθειας για διαπεριφερειακή και διακρατική συνεργασία, διευκόλυνση της συνεργασίας μεταξύ ΟΤΔ και αναζήτηση εταίρων στο πλαίσιο του μέτρου 16 (συνεργασία). Το ΕΑΔ μπορεί, για παράδειγμα, να διευκολύνει τις προσπάθειες συνεργασίας που στηρίζουν τον πειραματισμό και την καινοτομία.</w:t>
                            </w:r>
                          </w:p>
                          <w:p w:rsidR="00272EFF" w:rsidRPr="0079762F" w:rsidRDefault="00272EFF" w:rsidP="008A0CFF">
                            <w:pPr>
                              <w:pStyle w:val="HStandard"/>
                              <w:ind w:left="567" w:hanging="567"/>
                              <w:rPr>
                                <w:i/>
                                <w:sz w:val="18"/>
                                <w:szCs w:val="18"/>
                              </w:rPr>
                            </w:pPr>
                            <w:r>
                              <w:rPr>
                                <w:b/>
                                <w:color w:val="F07E31"/>
                                <w:sz w:val="18"/>
                                <w:szCs w:val="18"/>
                              </w:rPr>
                              <w:t>Ανάπτυξη ευνοϊκού περιβάλλοντος για την καινοτομία:</w:t>
                            </w:r>
                          </w:p>
                          <w:p w:rsidR="00272EFF" w:rsidRPr="00ED3BAD" w:rsidRDefault="00272EFF" w:rsidP="008A0CFF">
                            <w:pPr>
                              <w:pStyle w:val="HStandard"/>
                              <w:numPr>
                                <w:ilvl w:val="0"/>
                                <w:numId w:val="29"/>
                              </w:numPr>
                              <w:ind w:left="567" w:hanging="567"/>
                              <w:rPr>
                                <w:sz w:val="18"/>
                                <w:szCs w:val="18"/>
                              </w:rPr>
                            </w:pPr>
                            <w:r>
                              <w:rPr>
                                <w:sz w:val="18"/>
                                <w:szCs w:val="18"/>
                              </w:rPr>
                              <w:t>Η συμμετοχή και συνεισφορά στις δραστηριότητες των ευρωπαϊκών δικτύων, ιδίως του ΕΔΑΑ και της ΕΣΚ-AGRI, μπορούν να προσφέρουν τη δυνατότητα προώθησης ευνοϊκού περιβάλλοντος για την καινοτομία μέσω των εν λόγω δικτύων.</w:t>
                            </w:r>
                          </w:p>
                          <w:p w:rsidR="00272EFF" w:rsidRPr="00547012" w:rsidRDefault="00272EFF" w:rsidP="00547012">
                            <w:pPr>
                              <w:pStyle w:val="HStandard"/>
                              <w:numPr>
                                <w:ilvl w:val="0"/>
                                <w:numId w:val="29"/>
                              </w:numPr>
                              <w:ind w:left="567" w:hanging="567"/>
                              <w:rPr>
                                <w:sz w:val="18"/>
                                <w:szCs w:val="18"/>
                              </w:rPr>
                            </w:pPr>
                            <w:r>
                              <w:rPr>
                                <w:sz w:val="18"/>
                                <w:szCs w:val="18"/>
                              </w:rPr>
                              <w:t>Τα ΕΑΔ μπορούν να προωθήσουν την καινοτομία, φέρνοντας σε επαφή τους φορείς καινοτομίας (γεωργούς, ερευνητές, ΜΚΟ, ΟΤΔ κ.λπ.), συγκεντρώνοντας πληροφορίες, συντονίζοντας πρωτοβουλίες από τη βάση προς την κορυφή, βοηθώντας στη βελτίωση καινοτόμων ιδεών και παρέχοντας στήριξη στην εύρεση εταίρων και χρηματοδότησης, δράσεις που στο σύνολό τους συνεισφέρουν στη δημιουργία ευνοϊκού περιβάλλοντος για την καινοτομία.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56B5B" id="Rectangle: Diagonal Corners Rounded 28" o:spid="_x0000_s1050" style="position:absolute;left:0;text-align:left;margin-left:0;margin-top:23.55pt;width:449.4pt;height:62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07380,7886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" adj="-11796480,,5400" path="m345525,l5707380,r,l5707380,7541175v,190828,-154697,345525,-345525,345525l,7886700r,l,345525c,154697,154697,,345525,xe" filled="f" strokecolor="#f07e31" strokeweight="2pt">
                <v:stroke joinstyle="miter"/>
                <v:formulas/>
                <v:path arrowok="t" o:connecttype="custom" o:connectlocs="345525,0;5707380,0;5707380,0;5707380,7541175;5361855,7886700;0,7886700;0,7886700;0,345525;345525,0" o:connectangles="0,0,0,0,0,0,0,0,0" textboxrect="0,0,5707380,7886700"/>
                <v:textbox>
                  <w:txbxContent>
                    <w:p w:rsidR="00272EFF" w:rsidRPr="0079762F" w:rsidRDefault="00272EFF" w:rsidP="00E05D08">
                      <w:pPr>
                        <w:pStyle w:val="HStandard"/>
                        <w:ind w:left="567" w:hanging="567"/>
                        <w:rPr>
                          <w:i/>
                          <w:sz w:val="18"/>
                          <w:szCs w:val="18"/>
                        </w:rPr>
                      </w:pPr>
                      <w:r>
                        <w:rPr>
                          <w:noProof/>
                          <w:sz w:val="18"/>
                          <w:szCs w:val="18"/>
                          <w:lang w:val="en-GB" w:eastAsia="en-GB"/>
                        </w:rPr>
                        <w:drawing>
                          <wp:inline distT="0" distB="0" distL="0" distR="0" wp14:anchorId="0B55C8E3" wp14:editId="75086DA6">
                            <wp:extent cx="353060" cy="359410"/>
                            <wp:effectExtent l="0" t="0" r="8890" b="2540"/>
                            <wp:docPr id="71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Καλλιέργεια νέων ιδεών και ανταλλαγή καινοτομιών:</w:t>
                      </w:r>
                    </w:p>
                    <w:p w:rsidR="00272EFF" w:rsidRPr="0079762F" w:rsidRDefault="00272EFF" w:rsidP="008C0B17">
                      <w:pPr>
                        <w:pStyle w:val="HStandard"/>
                        <w:numPr>
                          <w:ilvl w:val="0"/>
                          <w:numId w:val="26"/>
                        </w:numPr>
                        <w:ind w:left="567" w:hanging="567"/>
                        <w:rPr>
                          <w:sz w:val="18"/>
                          <w:szCs w:val="18"/>
                        </w:rPr>
                      </w:pPr>
                      <w:r>
                        <w:rPr>
                          <w:sz w:val="18"/>
                          <w:szCs w:val="18"/>
                        </w:rPr>
                        <w:t>Συγκέντρωση παραδειγμάτων έργων που καλύπτουν όλες τις προτεραιότητες του ΠΑΑ: αυτά μπορεί να επικεντρώνονται, για παράδειγμα, σε καινοτόμα έργα ή στη δημιουργία βάσεων δεδομένων καινοτόμων έργων και, συνεπώς, να συνεισφέρουν στην αναγνώριση και την ανταλλαγή καινοτομιών.</w:t>
                      </w:r>
                    </w:p>
                    <w:p w:rsidR="00272EFF" w:rsidRPr="0079762F" w:rsidRDefault="00272EFF" w:rsidP="008C0B17">
                      <w:pPr>
                        <w:pStyle w:val="HStandard"/>
                        <w:numPr>
                          <w:ilvl w:val="0"/>
                          <w:numId w:val="26"/>
                        </w:numPr>
                        <w:ind w:left="567" w:hanging="567"/>
                        <w:rPr>
                          <w:sz w:val="18"/>
                          <w:szCs w:val="18"/>
                        </w:rPr>
                      </w:pPr>
                      <w:r>
                        <w:rPr>
                          <w:sz w:val="18"/>
                          <w:szCs w:val="18"/>
                        </w:rPr>
                        <w:t>Διευκόλυνση θεματικών και αναλυτικών ανταλλαγών μεταξύ των ενδιαφερόμενων φορέων αγροτικής ανάπτυξης, ανταλλαγή και διάδοση των πορισμάτων. Οι ανταλλαγές αυτές μπορεί επίσης να προωθούν την καινοτομία μέσω της καλλιέργειας και της διάδοσης νέων ιδεών και της δημιουργίας των προϋποθέσεων για την ανάπτυξη νέων γνώσεων.</w:t>
                      </w:r>
                    </w:p>
                    <w:p w:rsidR="00272EFF" w:rsidRDefault="00272EFF" w:rsidP="008C0B17">
                      <w:pPr>
                        <w:pStyle w:val="HStandard"/>
                        <w:numPr>
                          <w:ilvl w:val="0"/>
                          <w:numId w:val="26"/>
                        </w:numPr>
                        <w:ind w:left="567" w:hanging="567"/>
                        <w:rPr>
                          <w:sz w:val="18"/>
                          <w:szCs w:val="18"/>
                        </w:rPr>
                      </w:pPr>
                      <w:r>
                        <w:rPr>
                          <w:sz w:val="18"/>
                          <w:szCs w:val="18"/>
                        </w:rPr>
                        <w:t>Δημοσιότητα και ενημέρωση σχετικά με το ΠΑΑ και δραστηριότητες ενημέρωσης και επικοινωνίας που στοχεύουν στο ευρύτερο κοινό. Σ’ αυτές μπορεί να περιλαμβάνονται, μεταξύ άλλων, η ενημέρωση σχετικά με τα επιτεύγματα του ΠΑΑ που σχετίζονται με την καινοτομία, τα επιτεύγματα των επιχειρησιακών ομάδων της ΕΣΚ, τον τρόπο με τον οποίο οι στρατηγικές CLLD και οι συμπράξεις προωθούν την καινοτομία και παραδείγματα τέτοιων συμπράξεων και καινοτόμων έργων LEADER/CLLD κ.λπ.</w:t>
                      </w:r>
                    </w:p>
                    <w:p w:rsidR="00272EFF" w:rsidRPr="00E05D08" w:rsidRDefault="00272EFF" w:rsidP="008A0CFF">
                      <w:pPr>
                        <w:pStyle w:val="HStandard"/>
                        <w:rPr>
                          <w:b/>
                          <w:color w:val="F07E31"/>
                          <w:sz w:val="18"/>
                          <w:szCs w:val="18"/>
                        </w:rPr>
                      </w:pPr>
                      <w:r>
                        <w:rPr>
                          <w:b/>
                          <w:color w:val="F07E31"/>
                          <w:sz w:val="18"/>
                          <w:szCs w:val="18"/>
                        </w:rPr>
                        <w:t>Ανάπτυξη της ικανότητας για καινοτομία:</w:t>
                      </w:r>
                    </w:p>
                    <w:p w:rsidR="00272EFF" w:rsidRPr="0079762F" w:rsidRDefault="00272EFF" w:rsidP="008A0CFF">
                      <w:pPr>
                        <w:pStyle w:val="HStandard"/>
                        <w:numPr>
                          <w:ilvl w:val="0"/>
                          <w:numId w:val="26"/>
                        </w:numPr>
                        <w:rPr>
                          <w:sz w:val="18"/>
                          <w:szCs w:val="18"/>
                        </w:rPr>
                      </w:pPr>
                      <w:r>
                        <w:rPr>
                          <w:sz w:val="18"/>
                          <w:szCs w:val="18"/>
                        </w:rPr>
                        <w:t>Παροχή δραστηριοτήτων κατάρτισης και δικτύωσης σε συμβούλους και υπηρεσίες υποστήριξης της καινοτομίας, που επικεντρώνονται στην καινοτομία στον τομέα της γεωργίας, της δασοκομίας και άλλους τομείς που αφορούν το ΠΑΑ. Η κατάρτιση συμβούλων και υπηρεσιών υποστήριξης της καινοτομίας, για παράδειγμα, μπορεί να διευκολύνει τη δημιουργία επιχειρησιακών ομάδων της ΕΣΚ και, συνεπώς, να συνεισφέρει στην ανάπτυξη της ικανότητας για καινοτομία στις αγροτικές περιοχές, εφόσον αναμένεται ότι οι επιχειρησιακές ομάδες θα αναπτύξουν καινοτόμα έργα.</w:t>
                      </w:r>
                    </w:p>
                    <w:p w:rsidR="00272EFF" w:rsidRPr="00ED3BAD" w:rsidRDefault="00272EFF" w:rsidP="008A0CFF">
                      <w:pPr>
                        <w:pStyle w:val="HStandard"/>
                        <w:numPr>
                          <w:ilvl w:val="0"/>
                          <w:numId w:val="26"/>
                        </w:numPr>
                        <w:rPr>
                          <w:sz w:val="18"/>
                          <w:szCs w:val="18"/>
                        </w:rPr>
                      </w:pPr>
                      <w:r>
                        <w:rPr>
                          <w:sz w:val="18"/>
                          <w:szCs w:val="18"/>
                        </w:rPr>
                        <w:t>Παροχή δραστηριοτήτων κατάρτισης και δικτύωσης για τις ΟΤΔ και, ιδίως, παροχή τεχνικής βοήθειας για διαπεριφερειακή και διακρατική συνεργασία, διευκόλυνση της συνεργασίας μεταξύ ΟΤΔ και αναζήτηση εταίρων στο πλαίσιο του μέτρου 16 (συνεργασία). Το ΕΑΔ μπορεί, για παράδειγμα, να διευκολύνει τις προσπάθειες συνεργασίας που στηρίζουν τον πειραματισμό και την καινοτομία.</w:t>
                      </w:r>
                    </w:p>
                    <w:p w:rsidR="00272EFF" w:rsidRPr="0079762F" w:rsidRDefault="00272EFF" w:rsidP="008A0CFF">
                      <w:pPr>
                        <w:pStyle w:val="HStandard"/>
                        <w:ind w:left="567" w:hanging="567"/>
                        <w:rPr>
                          <w:i/>
                          <w:sz w:val="18"/>
                          <w:szCs w:val="18"/>
                        </w:rPr>
                      </w:pPr>
                      <w:r>
                        <w:rPr>
                          <w:b/>
                          <w:color w:val="F07E31"/>
                          <w:sz w:val="18"/>
                          <w:szCs w:val="18"/>
                        </w:rPr>
                        <w:t>Ανάπτυξη ευνοϊκού περιβάλλοντος για την καινοτομία:</w:t>
                      </w:r>
                    </w:p>
                    <w:p w:rsidR="00272EFF" w:rsidRPr="00ED3BAD" w:rsidRDefault="00272EFF" w:rsidP="008A0CFF">
                      <w:pPr>
                        <w:pStyle w:val="HStandard"/>
                        <w:numPr>
                          <w:ilvl w:val="0"/>
                          <w:numId w:val="29"/>
                        </w:numPr>
                        <w:ind w:left="567" w:hanging="567"/>
                        <w:rPr>
                          <w:sz w:val="18"/>
                          <w:szCs w:val="18"/>
                        </w:rPr>
                      </w:pPr>
                      <w:r>
                        <w:rPr>
                          <w:sz w:val="18"/>
                          <w:szCs w:val="18"/>
                        </w:rPr>
                        <w:t>Η συμμετοχή και συνεισφορά στις δραστηριότητες των ευρωπαϊκών δικτύων, ιδίως του ΕΔΑΑ και της ΕΣΚ-AGRI, μπορούν να προσφέρουν τη δυνατότητα προώθησης ευνοϊκού περιβάλλοντος για την καινοτομία μέσω των εν λόγω δικτύων.</w:t>
                      </w:r>
                    </w:p>
                    <w:p w:rsidR="00272EFF" w:rsidRPr="00547012" w:rsidRDefault="00272EFF" w:rsidP="00547012">
                      <w:pPr>
                        <w:pStyle w:val="HStandard"/>
                        <w:numPr>
                          <w:ilvl w:val="0"/>
                          <w:numId w:val="29"/>
                        </w:numPr>
                        <w:ind w:left="567" w:hanging="567"/>
                        <w:rPr>
                          <w:sz w:val="18"/>
                          <w:szCs w:val="18"/>
                        </w:rPr>
                      </w:pPr>
                      <w:r>
                        <w:rPr>
                          <w:sz w:val="18"/>
                          <w:szCs w:val="18"/>
                        </w:rPr>
                        <w:t>Τα ΕΑΔ μπορούν να προωθήσουν την καινοτομία, φέρνοντας σε επαφή τους φορείς καινοτομίας (γεωργούς, ερευνητές, ΜΚΟ, ΟΤΔ κ.λπ.), συγκεντρώνοντας πληροφορίες, συντονίζοντας πρωτοβουλίες από τη βάση προς την κορυφή, βοηθώντας στη βελτίωση καινοτόμων ιδεών και παρέχοντας στήριξη στην εύρεση εταίρων και χρηματοδότησης, δράσεις που στο σύνολό τους συνεισφέρουν στη δημιουργία ευνοϊκού περιβάλλοντος για την καινοτομία.</w:t>
                      </w:r>
                    </w:p>
                  </w:txbxContent>
                </v:textbox>
                <w10:wrap type="tight"/>
              </v:shape>
            </w:pict>
          </mc:Fallback>
        </mc:AlternateContent>
      </w:r>
    </w:p>
    <w:p w:rsidR="00A45935" w:rsidRPr="00E05D08" w:rsidRDefault="00A45935" w:rsidP="00E05D08">
      <w:pPr>
        <w:spacing w:before="120"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E05D08" w:rsidRDefault="00A45935" w:rsidP="00E05D08">
      <w:pPr>
        <w:spacing w:before="120" w:after="120" w:line="280" w:lineRule="atLeast"/>
        <w:mirrorIndents/>
        <w:rPr>
          <w:rFonts w:eastAsia="Times New Roman" w:cs="Times New Roman"/>
          <w:szCs w:val="20"/>
        </w:rPr>
      </w:pPr>
      <w:r>
        <w:t>Θα πρέπει να σημειωθεί ότι το εν λόγω ερώτημα αξιολόγησης αναφέρεται στην προώθηση της καινοτομίας από τα ΕΑΔ όχι μόνο στον τομέα της γεωργίας, αλλά καλύπτει τις αγροτικές περιοχές στο σύνολό τους. Τα ΕΑΔ μπορούν να δραστηριοποιούνται με πολλούς τρόπους για την προώθηση της καινοτομίας και για να φέρουν «κάτι νέο» στις αγροτικές κοινότητες, μέσω:</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lastRenderedPageBreak/>
        <w:t>της συνεργασίας με αγροτικές οργανώσεις και επιχειρήσεις για την παραγωγή νέων ιδεών και προσεγγίσεων για την αντιμετώπιση κοινών αναγκών·</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της αξιοποίησης ορθών πρακτικών μέσω της σύνδεσης των συμμετεχόντων στην αγροτική ανάπτυξη με τους σχετικούς εμπειρογνώμονες, την ακαδημαϊκή κοινότητα και τα ερευνητικά ιδρύματα·</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της παροχής κατάρτισης σχετικά με ειδικά θέματα που συνδέονται με την καινοτομία·</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 xml:space="preserve">της παροχής βοήθειας στις ΟΤΔ και τους ενδιαφερόμενους φορείς του LEADER για τη στήριξη της καινοτομίας ως καθοριστικής αρχής στο πλαίσιο των τοπικών τους στρατηγικών ανάπτυξης και την «εκκόλαψη» νέων ιδεών και προσεγγίσεων. </w:t>
      </w:r>
    </w:p>
    <w:p w:rsidR="00A45935" w:rsidRPr="00E05D08" w:rsidRDefault="00A45935" w:rsidP="00E05D08">
      <w:pPr>
        <w:spacing w:after="120" w:line="280" w:lineRule="atLeast"/>
        <w:mirrorIndents/>
        <w:rPr>
          <w:rFonts w:eastAsia="Times New Roman" w:cs="Times New Roman"/>
          <w:szCs w:val="20"/>
        </w:rPr>
      </w:pPr>
      <w:r>
        <w:t>Συνεπώς, πριν προσεγγιστεί το ΚΕΑ αριθ. 21, είναι σημαντικό να διευκρινιστούν αυτές οι πτυχές και να κατανοηθεί σαφώς ο τρόπος με τον οποίο ένα δεδομένο ΕΑΔ μπορεί να προωθήσει την καινοτομία μέσω των δραστηριοτήτων του.</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Ειδικές προκλήσεις </w:t>
      </w:r>
    </w:p>
    <w:p w:rsidR="00A45935" w:rsidRPr="00C9522B" w:rsidRDefault="00A45935" w:rsidP="00547012">
      <w:pPr>
        <w:pStyle w:val="Hlistbullet"/>
      </w:pPr>
      <w:r>
        <w:rPr>
          <w:b/>
          <w:shd w:val="clear" w:color="auto" w:fill="FFFFFF"/>
        </w:rPr>
        <w:t>Ανάπτυξη πρόσθετων και ειδικών ανά πρόγραμμα στοιχείων αξιολόγησης για την αξιολόγηση της καινοτομίας σε σχέση με τα ΕΑΔ</w:t>
      </w:r>
      <w:r>
        <w:rPr>
          <w:shd w:val="clear" w:color="auto" w:fill="FFFFFF"/>
        </w:rPr>
        <w:t xml:space="preserve">. Πώς μπορούν </w:t>
      </w:r>
      <w:r>
        <w:t xml:space="preserve">να σχεδιαστούν και να χρησιμοποιηθούν πρόσθετοι δείκτες (αποτελεσμάτων και επιπτώσεων), πέρα από τους δείκτες εκροών που παρέχει ήδη το ΚΣΠΑ, προκειμένου να </w:t>
      </w:r>
      <w:r>
        <w:rPr>
          <w:shd w:val="clear" w:color="auto" w:fill="FFFFFF"/>
        </w:rPr>
        <w:t>α</w:t>
      </w:r>
      <w:r>
        <w:t xml:space="preserve">παντηθεί το ΚΕΑ αριθ. 21 υπό το πρίσμα της προώθησης της καινοτομίας; </w:t>
      </w:r>
    </w:p>
    <w:p w:rsidR="00A45935" w:rsidRPr="00C9522B" w:rsidRDefault="00A45935" w:rsidP="00547012">
      <w:pPr>
        <w:pStyle w:val="Hlistbullet"/>
      </w:pPr>
      <w:r>
        <w:rPr>
          <w:b/>
          <w:shd w:val="clear" w:color="auto" w:fill="FFFFFF"/>
        </w:rPr>
        <w:t xml:space="preserve">Απόδοση των διαδικασιών καινοτομίας στις παρεμβάσεις του ΕΑΔ. </w:t>
      </w:r>
      <w:r>
        <w:rPr>
          <w:shd w:val="clear" w:color="auto" w:fill="FFFFFF"/>
        </w:rPr>
        <w:t xml:space="preserve">Πώς μπορεί να υπολογιστεί ο βαθμός στον οποίο οι διαδικασίες καινοτομίας που παράγονται στις αγροτικές περιοχές μπορούν να αποδοθούν άμεσα ή </w:t>
      </w:r>
      <w:r>
        <w:t>έμμεσα</w:t>
      </w:r>
      <w:r>
        <w:rPr>
          <w:shd w:val="clear" w:color="auto" w:fill="FFFFFF"/>
        </w:rPr>
        <w:t xml:space="preserve"> στις δραστηριότητες του ΕΑΔ;</w:t>
      </w:r>
    </w:p>
    <w:p w:rsidR="00A45935" w:rsidRPr="00C9522B" w:rsidRDefault="00A45935" w:rsidP="00547012">
      <w:pPr>
        <w:pStyle w:val="Hlistbullet"/>
      </w:pPr>
      <w:r>
        <w:rPr>
          <w:b/>
        </w:rPr>
        <w:t>Απόδοση της καινοτομίας που προωθείται στο πλαίσιο του ΠΑΑ στο ΕΑΔ</w:t>
      </w:r>
      <w:r>
        <w:t xml:space="preserve">, ιδίως μέσω της εκτίμησης του βαθμού στον οποίο η καινοτομία που προωθείται στο πλαίσιο του ΠΑΑ μπορεί να συσχετιστεί με δραστηριότητες του ΕΑΔ. Αυτό συνεπάγεται ότι τα αποτελέσματα των δραστηριοτήτων του ΕΑΔ για την προώθηση της καινοτομίας θα πρέπει να απομονωθούν από τα αποτελέσματα άλλων παρεμβάσεων του ΠΑΑ (άλλα μέτρα κ.λπ.).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Προτεινόμενη προσέγγιση για την απάντηση του ΚΕΑ αριθ. 21</w:t>
      </w:r>
    </w:p>
    <w:p w:rsidR="00A45935" w:rsidRPr="00A304B0" w:rsidRDefault="000A1DD3" w:rsidP="000A1DD3">
      <w:pPr>
        <w:spacing w:before="120" w:after="120" w:line="280" w:lineRule="atLeast"/>
        <w:mirrorIndents/>
        <w:rPr>
          <w:rFonts w:eastAsia="Times New Roman" w:cs="Times New Roman"/>
          <w:b/>
          <w:szCs w:val="20"/>
        </w:rPr>
      </w:pPr>
      <w:r>
        <w:rPr>
          <w:b/>
          <w:szCs w:val="20"/>
        </w:rPr>
        <w:t>α.</w:t>
      </w:r>
      <w:r>
        <w:rPr>
          <w:b/>
          <w:szCs w:val="20"/>
        </w:rPr>
        <w:tab/>
      </w:r>
      <w:r w:rsidR="00A45935">
        <w:rPr>
          <w:b/>
          <w:szCs w:val="20"/>
        </w:rPr>
        <w:t xml:space="preserve">Λογική παρέμβασης </w:t>
      </w:r>
    </w:p>
    <w:p w:rsidR="00A45935" w:rsidRPr="00E05D08" w:rsidRDefault="00A45935" w:rsidP="00E05D08">
      <w:pPr>
        <w:spacing w:after="120" w:line="280" w:lineRule="atLeast"/>
        <w:mirrorIndents/>
        <w:rPr>
          <w:rFonts w:eastAsia="Times New Roman" w:cs="Times New Roman"/>
          <w:szCs w:val="20"/>
        </w:rPr>
      </w:pPr>
      <w:r>
        <w:t>Στην προσέγγιση του ΠΑΑ όσον αφορά την καινοτομία, όπως αυτή στοιχειοθετείται κατά τη διάρκεια του σχεδιασμού του προγράμματος</w:t>
      </w:r>
      <w:r>
        <w:rPr>
          <w:rFonts w:eastAsia="Times New Roman" w:cs="Times New Roman"/>
          <w:szCs w:val="20"/>
          <w:vertAlign w:val="superscript"/>
          <w:lang w:eastAsia="de-DE"/>
        </w:rPr>
        <w:footnoteReference w:id="61"/>
      </w:r>
      <w:r>
        <w:t>, περιλαμβάνεται επίσης το ΕΑΔ. Κατά την εκπόνηση της αξιολόγησης που προορίζεται να υποβληθεί στο πλαίσιο της ΕΕΥ το 2019, εξετάζεται η δέσμη δράσεων του ΕΑΔ που περιλαμβάνεται στο σχέδιο δράσης του ΕΑΔ, όσον αφορά το δυναμικό προώθησης της καινοτομίας που διαθέτει, με τον ίδιο τρόπο όπως και τα μέτρα του ΠΑΑ. Αυτό αναφέρεται στο δυναμικό των ΕΑΔ: α) να αναγνωρίζουν και να ανταλλάσσουν νέες ιδέες, β) να αναπτύσσουν την ικανότητα για καινοτομία, γ) να δημιουργούν ευνοϊκό περιβάλλον για την καινοτομία. Συνεπώς, όλες οι δραστηριότητες που υλοποιούνται στο πλαίσιο της δέσμης δράσεων του ΕΑΔ, οι οποίες έχουν επιδείξει δυναμικό καινοτομίας, θεωρούνται τμήμα της βασικής λογικής παρέμβασης του ΕΑΔ που σχετίζεται με την καινοτομία.</w:t>
      </w:r>
    </w:p>
    <w:p w:rsidR="00A45935" w:rsidRPr="00E05D08" w:rsidRDefault="00A45935" w:rsidP="006E2A31">
      <w:pPr>
        <w:pStyle w:val="HStandard"/>
        <w:rPr>
          <w:b/>
          <w:sz w:val="16"/>
        </w:rPr>
      </w:pPr>
      <w:r>
        <w:t xml:space="preserve">Το κατωτέρω σχήμα απεικονίζει τη λογική παρέμβασης του ΕΑΔ που σχετίζεται με την καινοτομία και τον τρόπο με τον οποίο μπορεί να αναδιαρθρωθεί με αφετηρία την υφιστάμενη λογική παρέμβασης του ΕΑΔ ή το σχέδιο δράσης του ΕΑΔ. </w:t>
      </w:r>
      <w:r>
        <w:br w:type="page"/>
      </w:r>
    </w:p>
    <w:p w:rsidR="00A45935" w:rsidRPr="00CB68D9" w:rsidRDefault="000A1DD3" w:rsidP="000A1DD3">
      <w:pPr>
        <w:pStyle w:val="HHeadingfigures"/>
        <w:numPr>
          <w:ilvl w:val="0"/>
          <w:numId w:val="0"/>
        </w:numPr>
        <w:ind w:left="604"/>
      </w:pPr>
      <w:bookmarkStart w:id="118" w:name="_Toc508964844"/>
      <w:r>
        <w:lastRenderedPageBreak/>
        <w:t>Διάγραμμα 10.</w:t>
      </w:r>
      <w:r>
        <w:tab/>
      </w:r>
      <w:r w:rsidR="00A45935">
        <w:t>Λογική παρέμβασης του ΕΑΔ σε σχέση με την καινοτομία</w:t>
      </w:r>
      <w:bookmarkEnd w:id="118"/>
    </w:p>
    <w:p w:rsidR="00A45935" w:rsidRPr="00E05D08" w:rsidRDefault="00E44ABD" w:rsidP="00E05D08">
      <w:pPr>
        <w:spacing w:before="240" w:after="120" w:line="280" w:lineRule="atLeast"/>
        <w:ind w:left="-142"/>
        <w:mirrorIndents/>
        <w:jc w:val="center"/>
        <w:rPr>
          <w:rFonts w:eastAsia="Times New Roman" w:cs="Times New Roman"/>
          <w:b/>
          <w:szCs w:val="20"/>
        </w:rPr>
      </w:pPr>
      <w:r w:rsidRPr="00E44ABD">
        <w:rPr>
          <w:noProof/>
          <w:lang w:val="en-GB" w:eastAsia="en-GB"/>
        </w:rPr>
        <w:drawing>
          <wp:inline distT="0" distB="0" distL="0" distR="0" wp14:anchorId="19FB2105" wp14:editId="522E6FC4">
            <wp:extent cx="5731510" cy="3218707"/>
            <wp:effectExtent l="0" t="0" r="254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1510" cy="3218707"/>
                    </a:xfrm>
                    <a:prstGeom prst="rect">
                      <a:avLst/>
                    </a:prstGeom>
                    <a:noFill/>
                    <a:ln>
                      <a:noFill/>
                    </a:ln>
                  </pic:spPr>
                </pic:pic>
              </a:graphicData>
            </a:graphic>
          </wp:inline>
        </w:drawing>
      </w:r>
    </w:p>
    <w:p w:rsidR="00A45935" w:rsidRPr="00E05D08" w:rsidRDefault="00A45935" w:rsidP="00177C4F">
      <w:pPr>
        <w:suppressAutoHyphens/>
        <w:spacing w:before="60" w:after="140" w:line="240" w:lineRule="auto"/>
        <w:mirrorIndents/>
        <w:jc w:val="center"/>
        <w:rPr>
          <w:rFonts w:eastAsia="Times New Roman" w:cs="Times New Roman"/>
          <w:i/>
          <w:sz w:val="16"/>
          <w:szCs w:val="20"/>
        </w:rPr>
      </w:pPr>
      <w:r>
        <w:rPr>
          <w:i/>
          <w:sz w:val="16"/>
          <w:szCs w:val="20"/>
        </w:rPr>
        <w:t>Πηγή: Ευρωπαϊκό Helpdesk αξιολόγησης για την αγροτική ανάπτυξη, 2017</w:t>
      </w:r>
    </w:p>
    <w:p w:rsidR="00A45935" w:rsidRPr="00E05D08" w:rsidRDefault="00A45935" w:rsidP="00E05D08">
      <w:pPr>
        <w:spacing w:before="120" w:after="120" w:line="280" w:lineRule="atLeast"/>
        <w:mirrorIndents/>
        <w:rPr>
          <w:rFonts w:eastAsia="Times New Roman" w:cs="Times New Roman"/>
          <w:szCs w:val="20"/>
        </w:rPr>
      </w:pPr>
      <w:r>
        <w:t>Βάσει του σχήματος, η λογική παρέμβασης του ΕΑΔ που σχετίζεται με την καινοτομία μπορεί να αναδιαρθρωθεί με τον ακόλουθο τρόπο:</w:t>
      </w:r>
    </w:p>
    <w:p w:rsidR="00A45935" w:rsidRPr="00BC2432" w:rsidRDefault="00A45935" w:rsidP="00676B41">
      <w:pPr>
        <w:pStyle w:val="Hlistbullet"/>
      </w:pPr>
      <w:r>
        <w:rPr>
          <w:b/>
        </w:rPr>
        <w:t>ΒΗΜΑ 1</w:t>
      </w:r>
      <w:r>
        <w:t xml:space="preserve">: Αναγνώριση των αναγκών καινοτομίας της περιοχής του ΠΑΑ που μπορούν να αντιμετωπιστούν μέσω των αγροτικών δικτύων. </w:t>
      </w:r>
    </w:p>
    <w:p w:rsidR="00A45935" w:rsidRPr="00BC2432" w:rsidRDefault="00A45935" w:rsidP="00676B41">
      <w:pPr>
        <w:pStyle w:val="Hlistbullet"/>
      </w:pPr>
      <w:r>
        <w:rPr>
          <w:b/>
        </w:rPr>
        <w:t>ΒΗΜΑ 2:</w:t>
      </w:r>
      <w:r>
        <w:t xml:space="preserve"> Σύνδεση των δραστηριοτήτων που απαριθμούνται στο σχέδιο δράσης του ΕΑΔ (και προκαθορίζονται στο ρυθμιστικό πλαίσιο της περιόδου προγραμματισμού 2014-2020</w:t>
      </w:r>
      <w:r>
        <w:rPr>
          <w:rFonts w:cs="Arial"/>
          <w:vertAlign w:val="superscript"/>
        </w:rPr>
        <w:footnoteReference w:id="62"/>
      </w:r>
      <w:r>
        <w:t xml:space="preserve">) με τις τρεις διαδρομές και, συνεπώς, με τον συνολικό στόχο προώθησης της καινοτομίας μέσω του ΕΑΔ (βάσει της ανάλυσης του δυναμικού καινοτομίας των μέτρων – βλ. </w:t>
      </w:r>
      <w:hyperlink w:anchor="Screening_Potential" w:history="1">
        <w:r>
          <w:rPr>
            <w:rStyle w:val="Hyperlink"/>
            <w:sz w:val="20"/>
          </w:rPr>
          <w:t>κεφάλαιο 2.2</w:t>
        </w:r>
      </w:hyperlink>
      <w:r>
        <w:t>)</w:t>
      </w:r>
    </w:p>
    <w:p w:rsidR="00A45935" w:rsidRPr="00BC2432" w:rsidRDefault="00A45935" w:rsidP="00676B41">
      <w:pPr>
        <w:pStyle w:val="Hlistbullet"/>
      </w:pPr>
      <w:r>
        <w:rPr>
          <w:b/>
        </w:rPr>
        <w:t>ΒΗΜΑ 3:</w:t>
      </w:r>
      <w:r>
        <w:t xml:space="preserve"> Εφαρμογή της θεωρίας της αλλαγής για να προσδιοριστούν οι αναμενόμενες εκροές που δημιουργούνται μέσω των δραστηριοτήτων, οι οποίες οδηγούν σε αναμενόμενα αποτελέσματα που συνδέονται με τις τρεις διαδρομές. Επιπτώσεις που συνδέονται με τους κοινούς στόχους του ΕΑΔ και τους στόχους του ΠΑΑ. </w:t>
      </w:r>
    </w:p>
    <w:p w:rsidR="00A45935" w:rsidRPr="00E05D08" w:rsidRDefault="000A1DD3" w:rsidP="000A1DD3">
      <w:pPr>
        <w:spacing w:before="120" w:after="120" w:line="280" w:lineRule="atLeast"/>
        <w:ind w:left="360"/>
        <w:mirrorIndents/>
        <w:rPr>
          <w:rFonts w:eastAsia="Times New Roman" w:cs="Times New Roman"/>
          <w:b/>
          <w:szCs w:val="20"/>
        </w:rPr>
      </w:pPr>
      <w:r>
        <w:rPr>
          <w:b/>
          <w:szCs w:val="20"/>
        </w:rPr>
        <w:t>β.</w:t>
      </w:r>
      <w:r>
        <w:rPr>
          <w:b/>
          <w:szCs w:val="20"/>
        </w:rPr>
        <w:tab/>
      </w:r>
      <w:r w:rsidR="00A45935">
        <w:rPr>
          <w:b/>
          <w:szCs w:val="20"/>
        </w:rPr>
        <w:t xml:space="preserve">Στοιχεία αξιολόγησης </w:t>
      </w:r>
    </w:p>
    <w:p w:rsidR="00A45935" w:rsidRPr="00E05D08" w:rsidRDefault="00A45935" w:rsidP="00676B41">
      <w:pPr>
        <w:spacing w:after="120" w:line="280" w:lineRule="atLeast"/>
        <w:ind w:left="142"/>
        <w:mirrorIndents/>
        <w:rPr>
          <w:rFonts w:eastAsia="Times New Roman" w:cs="Times New Roman"/>
          <w:szCs w:val="20"/>
        </w:rPr>
      </w:pPr>
      <w:r>
        <w:t>Υπάρχει ένα κριτήριο απόφασης για την απάντηση του ΚΕΑ αριθ. 21, ήτοι η «Προώθηση της καινοτομίας στη γεωργία, την παραγωγή τροφίμων, τη δασοκομία και τις αγροτικές περιοχές μέσω της δράσης του ΕΑΔ»</w:t>
      </w:r>
      <w:r>
        <w:rPr>
          <w:rFonts w:eastAsia="Times New Roman" w:cs="Times New Roman"/>
          <w:szCs w:val="20"/>
          <w:vertAlign w:val="superscript"/>
          <w:lang w:eastAsia="de-DE"/>
        </w:rPr>
        <w:footnoteReference w:id="63"/>
      </w:r>
      <w:r>
        <w:t>. Αυτό υποστηρίζεται από δύο κοινούς δείκτες εκροών</w:t>
      </w:r>
      <w:r>
        <w:rPr>
          <w:rFonts w:eastAsia="Times New Roman" w:cs="Times New Roman"/>
          <w:szCs w:val="20"/>
          <w:vertAlign w:val="superscript"/>
          <w:lang w:eastAsia="de-DE"/>
        </w:rPr>
        <w:footnoteReference w:id="64"/>
      </w:r>
      <w:r>
        <w:t>:</w:t>
      </w:r>
    </w:p>
    <w:p w:rsidR="00A45935" w:rsidRPr="005D0347" w:rsidRDefault="00A45935" w:rsidP="008C0B17">
      <w:pPr>
        <w:numPr>
          <w:ilvl w:val="0"/>
          <w:numId w:val="95"/>
        </w:numPr>
        <w:tabs>
          <w:tab w:val="left" w:pos="426"/>
        </w:tabs>
        <w:ind w:left="426" w:hanging="284"/>
        <w:mirrorIndents/>
        <w:rPr>
          <w:szCs w:val="20"/>
        </w:rPr>
      </w:pPr>
      <w:r>
        <w:t>Αριθμός υλοποιούμενων θεματικών και αναλυτικών ανταλλαγών με τη στήριξη του ΕΑΔ (Ε.24)</w:t>
      </w:r>
    </w:p>
    <w:p w:rsidR="00A45935" w:rsidRPr="005D0347" w:rsidRDefault="00A45935" w:rsidP="008C0B17">
      <w:pPr>
        <w:numPr>
          <w:ilvl w:val="0"/>
          <w:numId w:val="95"/>
        </w:numPr>
        <w:tabs>
          <w:tab w:val="left" w:pos="426"/>
        </w:tabs>
        <w:ind w:left="426" w:hanging="284"/>
        <w:mirrorIndents/>
        <w:rPr>
          <w:szCs w:val="20"/>
        </w:rPr>
      </w:pPr>
      <w:r>
        <w:t>Αριθμός δραστηριοτήτων ΕΔΑΑ στις οποίες συμμετείχε το ΕΑΔ (Ε.26)</w:t>
      </w:r>
    </w:p>
    <w:p w:rsidR="00A45935" w:rsidRPr="00E05D08" w:rsidRDefault="00A45935" w:rsidP="00E05D08">
      <w:pPr>
        <w:spacing w:after="120" w:line="280" w:lineRule="atLeast"/>
        <w:mirrorIndents/>
        <w:rPr>
          <w:rFonts w:eastAsia="Times New Roman" w:cs="Times New Roman"/>
          <w:szCs w:val="20"/>
        </w:rPr>
      </w:pPr>
      <w:r>
        <w:t>Πρόσθετα κριτήρια απόφασης και δείκτες προτείνονται στον πίνακα 5. Εν προκειμένω, το υφιστάμενο κριτήριο απόφασης έχει υποδιαιρεθεί σε διάφορα κριτήρια, στο πλαίσιο των τριών διαδρομών καινοτομίας.</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412D26" w:rsidRDefault="000A1DD3" w:rsidP="000A1DD3">
      <w:pPr>
        <w:pStyle w:val="HHeadingtables"/>
        <w:numPr>
          <w:ilvl w:val="0"/>
          <w:numId w:val="0"/>
        </w:numPr>
        <w:ind w:left="240"/>
        <w:rPr>
          <w:color w:val="6F6F6F"/>
          <w:sz w:val="18"/>
          <w:szCs w:val="18"/>
        </w:rPr>
      </w:pPr>
      <w:bookmarkStart w:id="119" w:name="_Toc508964830"/>
      <w:r>
        <w:rPr>
          <w:color w:val="6F6F6F"/>
          <w:sz w:val="18"/>
          <w:szCs w:val="18"/>
        </w:rPr>
        <w:lastRenderedPageBreak/>
        <w:t>Πίνακας 5.</w:t>
      </w:r>
      <w:r>
        <w:rPr>
          <w:color w:val="6F6F6F"/>
          <w:sz w:val="18"/>
          <w:szCs w:val="18"/>
        </w:rPr>
        <w:tab/>
      </w:r>
      <w:r w:rsidR="00A45935">
        <w:rPr>
          <w:color w:val="6F6F6F"/>
          <w:sz w:val="18"/>
          <w:szCs w:val="18"/>
        </w:rPr>
        <w:t>Προτεινόμενα πρόσθετα κριτήρια απόφασης, δείκτες και δεδομένα για την απάντηση του ΚΕΑ αριθ. 21</w:t>
      </w:r>
      <w:bookmarkEnd w:id="119"/>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A45935" w:rsidRPr="00E05D08" w:rsidTr="00E05D08">
        <w:trPr>
          <w:tblHeader/>
        </w:trPr>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Κριτήρια απόφασης</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Δείκτες</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Απαιτούμενα δεδομένα</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Πηγές δεδομένων</w:t>
            </w:r>
          </w:p>
        </w:tc>
      </w:tr>
      <w:tr w:rsidR="00A45935" w:rsidRPr="00E05D08" w:rsidTr="00E05D08">
        <w:trPr>
          <w:trHeight w:val="290"/>
        </w:trPr>
        <w:tc>
          <w:tcPr>
            <w:tcW w:w="14032" w:type="dxa"/>
            <w:gridSpan w:val="4"/>
            <w:shd w:val="clear" w:color="auto" w:fill="8BAB80"/>
          </w:tcPr>
          <w:p w:rsidR="00A45935" w:rsidRPr="00E54013" w:rsidRDefault="00A45935" w:rsidP="00E05D08">
            <w:pPr>
              <w:spacing w:after="120" w:line="280" w:lineRule="atLeast"/>
              <w:mirrorIndents/>
              <w:rPr>
                <w:rFonts w:cs="Arial"/>
                <w:b/>
                <w:color w:val="FFFFFF"/>
                <w:sz w:val="18"/>
                <w:szCs w:val="18"/>
              </w:rPr>
            </w:pPr>
            <w:r>
              <w:rPr>
                <w:b/>
                <w:color w:val="FFFFFF"/>
                <w:sz w:val="18"/>
                <w:szCs w:val="18"/>
              </w:rPr>
              <w:t>Κοινά στοιχεία αξιολόγησης [ΚΣΠΑ και προτεινόμενα στο έγγραφο εργασίας «</w:t>
            </w:r>
            <w:r>
              <w:rPr>
                <w:b/>
                <w:i/>
                <w:color w:val="FFFFFF"/>
                <w:sz w:val="18"/>
                <w:szCs w:val="18"/>
              </w:rPr>
              <w:t>Common evaluation questions 2014-2020</w:t>
            </w:r>
            <w:r>
              <w:rPr>
                <w:b/>
                <w:color w:val="FFFFFF"/>
                <w:sz w:val="18"/>
                <w:szCs w:val="18"/>
              </w:rPr>
              <w:t>» (Κοινά ερωτήματα αξιολόγησης 2014-2020)]</w:t>
            </w:r>
          </w:p>
        </w:tc>
      </w:tr>
      <w:tr w:rsidR="00A45935" w:rsidRPr="00E05D08" w:rsidTr="00E05D08">
        <w:trPr>
          <w:trHeight w:val="500"/>
        </w:trPr>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Προώθηση της καινοτομίας στη γεωργία, την παραγωγή τροφίμων, τη δασοκομία και τις αγροτικές περιοχές μέσω του ΕΑΔ.</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Ε.24 – Αριθμός υλοποιούμενων θεματικών και αναλυτικών ανταλλαγών με τη στήριξη του ΕΑΔ (σχετιζόμενων με την καινοτομία).</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Ε.25 – Αριθμός εργαλείων επικοινωνίας ΕΑΔ (σχετιζόμενων με την καινοτομία).</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Ε.26 – Αριθμός δραστηριοτήτων ΕΔΑΑ στις οποίες συμμετείχε το ΕΑΔ (σχετιζόμενων με την καινοτομία). </w:t>
            </w:r>
          </w:p>
          <w:p w:rsidR="00A45935" w:rsidRPr="00385368" w:rsidRDefault="00A45935" w:rsidP="007E63EF">
            <w:pPr>
              <w:spacing w:after="120" w:line="280" w:lineRule="atLeast"/>
              <w:jc w:val="left"/>
              <w:rPr>
                <w:rFonts w:eastAsia="Calibri" w:cs="Arial"/>
                <w:color w:val="57825E"/>
                <w:sz w:val="18"/>
                <w:szCs w:val="18"/>
                <w:u w:val="single"/>
                <w14:textFill>
                  <w14:solidFill>
                    <w14:srgbClr w14:val="57825E">
                      <w14:lumMod w14:val="75000"/>
                      <w14:lumMod w14:val="75000"/>
                    </w14:srgbClr>
                  </w14:solidFill>
                </w14:textFill>
              </w:rPr>
            </w:pPr>
            <w:r>
              <w:rPr>
                <w:color w:val="57825E"/>
                <w:sz w:val="18"/>
                <w:szCs w:val="18"/>
                <w:u w:val="single"/>
                <w14:textFill>
                  <w14:solidFill>
                    <w14:srgbClr w14:val="57825E">
                      <w14:lumMod w14:val="75000"/>
                      <w14:lumMod w14:val="75000"/>
                    </w14:srgbClr>
                  </w14:solidFill>
                </w14:textFill>
              </w:rPr>
              <w:t>Πρόσθετος δείκτης:</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color w:val="57825E"/>
                <w:sz w:val="18"/>
                <w:szCs w:val="18"/>
                <w14:textFill>
                  <w14:solidFill>
                    <w14:srgbClr w14:val="57825E">
                      <w14:lumMod w14:val="75000"/>
                      <w14:lumMod w14:val="75000"/>
                    </w14:srgbClr>
                  </w14:solidFill>
                </w14:textFill>
              </w:rPr>
              <w:t>Ποσοστό (%) καινοτόμων έργων που προωθήθηκαν από το ΕΑΔ επί του συνολικού αριθμού καινοτόμων έργων που λαμβάνουν στήριξη στο πλαίσιο του ΠΑΑ.</w:t>
            </w:r>
            <w:r>
              <w:rPr>
                <w:sz w:val="18"/>
                <w:szCs w:val="18"/>
                <w14:textFill>
                  <w14:solidFill>
                    <w14:srgbClr w14:val="373737">
                      <w14:lumMod w14:val="75000"/>
                    </w14:srgbClr>
                  </w14:solidFill>
                </w14:textFill>
              </w:rPr>
              <w:t xml:space="preserve"> </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Δεδομένα σχετικά με τις υλοποιούμενες θεματικές και αναλυτικές ανταλλαγές με τη στήριξη του ΕΑΔ.</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Δεδομένα σχετικά με τα εργαλεία επικοινωνίας που συνδέονται με την καινοτομία με τη στήριξη του ΕΑΔ.</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Πληροφορίες σχετικά με τις δραστηριότητες του ΕΔΑΑ σε σχέση με την καινοτομία στις οποίες συμμετείχε το ΕΑΔ.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Δεδομένα σχετικά με τα έργα καινοτομίας του ΠΑΑ που δρομολογούνται/στηρίζονται από το ΕΑΔ. </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Σύστημα παρακολούθησης του ΠΑΑ.</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Παρακολούθηση και αυτοαξιολόγηση του ΕΑΔ.</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Παρακολούθηση του ΕΔΑΑ (στατιστικά στοιχεία δικτύου).</w:t>
            </w:r>
          </w:p>
        </w:tc>
      </w:tr>
      <w:tr w:rsidR="00A45935" w:rsidRPr="00E05D08" w:rsidTr="00E05D08">
        <w:trPr>
          <w:trHeight w:val="461"/>
        </w:trPr>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Πρόσθετα στοιχεία αξιολόγησης που συνδέονται με τη συνεισφορά του ΕΑΔ στην αναγνώριση και την ανταλλαγή της καινοτομίας (προαιρετικό)</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Αύξηση των δραστηριοτήτων δημοσιότητας, ενημέρωσης και επικοινωνίας που διεξάγονται από το ΕΑΔ και αφορούν την καινοτομία στο πλαίσιο του ΠΑΑ.</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Αριθμός των δραστηριοτήτων δημοσιότητας, ενημέρωσης και επικοινωνίας που αφορούν την καινοτομία και διεξάγονται από το ΕΑΔ.</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Αριθμός των δραστηριοτήτων δημοσιότητας, ενημέρωσης και επικοινωνίας ανά θέμα.</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Παρακολούθηση και αυτοαξιολόγηση του ΕΑΔ.</w:t>
            </w:r>
          </w:p>
          <w:p w:rsidR="00A45935" w:rsidRPr="00E05D08" w:rsidRDefault="00E54013"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Συνεντεύξεις.</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Δημοσιεύσεις του ΕΑΔ.</w:t>
            </w:r>
          </w:p>
        </w:tc>
      </w:tr>
    </w:tbl>
    <w:p w:rsidR="00E54013" w:rsidRDefault="00E54013">
      <w:r>
        <w:br w:type="page"/>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E54013" w:rsidRPr="00E05D08" w:rsidTr="009F1589">
        <w:trPr>
          <w:tblHeader/>
        </w:trPr>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lastRenderedPageBreak/>
              <w:t>Κριτήρια απόφασης</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Δείκτες</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Απαιτούμενα στοιχεία</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Πηγές δεδομένων</w:t>
            </w:r>
          </w:p>
        </w:tc>
      </w:tr>
      <w:tr w:rsidR="00A45935" w:rsidRPr="00E05D08" w:rsidTr="00E05D08">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Πρόσθετα στοιχεία αξιολόγησης που συνδέονται με τη συνεισφορά του ΕΑΔ στην ικανότητα για καινοτομία (προαιρετικό)</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Αύξηση των δραστηριοτήτων του ΕΑΔ που αφορούν την κατάρτιση και τη δικτύωση για: α) συμβούλους και υπηρεσίες υποστήριξης της καινοτομίας και/ή β) ΟΤΔ.</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Αριθμός των δραστηριοτήτων κατάρτισης και δικτύωσης του ΕΑΔ για: α) συμβούλους και υπηρεσίες υποστήριξης της καινοτομίας και/ή β) ΟΤΔ.</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Αριθμός των δραστηριοτήτων κατάρτισης και δικτύωσης ανά ομάδα-στόχο.</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ΕΑΔ (παρακολούθηση, αυτοαξιολόγηση, συνεντεύξεις, δημοσιεύσεις).</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ΟΤΔ (συνεντεύξεις, έρευνες, ομάδες εστίασης).</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Βελτίωση της ικανότητας των συμβούλων και των υπηρεσιών υποστήριξης της καινοτομίας να διευκολύνουν τη σύσταση επιχειρησιακών ομάδων χάρη στις δραστηριότητες του ΕΑΔ.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Αριθμός επιχειρησιακών ομάδων οι οποίες συστάθηκαν με στήριξη συμβούλων / υπηρεσιών υποστήριξης της καινοτομίας που έχουν συμμετάσχει σε δραστηριότητες κατάρτισης/δικτύωσης του ΕΑΔ.</w:t>
            </w:r>
          </w:p>
        </w:tc>
        <w:tc>
          <w:tcPr>
            <w:tcW w:w="3508" w:type="dxa"/>
          </w:tcPr>
          <w:p w:rsidR="00A45935" w:rsidRPr="00385368"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Αριθμός επιχειρησιακών ομάδων που συστάθηκαν με στήριξη συμβούλων/υπηρεσιών υποστήριξης της καινοτομίας.</w:t>
            </w:r>
          </w:p>
          <w:p w:rsidR="00A45935" w:rsidRPr="00385368"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Αριθμός επιχειρησιακών ομάδων οι οποίες συστάθηκαν με στήριξη συμβούλων/υπηρεσιών υποστήριξης της καινοτομίας που έχουν συμμετάσχει σε δραστηριότητες κατάρτισης/δικτύωσης του ΕΑΔ.</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ΕΑΔ (παρακολούθηση, αυτοαξιολόγηση, συνεντεύξεις, δημοσιεύσεις).</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Έρευνες/ομάδες εστίασης μεταξύ των επιχειρησιακών ομάδων.</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Έρευνες/ομάδες εστίασης μεταξύ των συμβούλων (υπηρεσίες υποστήριξης της καινοτομίας).</w:t>
            </w:r>
          </w:p>
        </w:tc>
      </w:tr>
      <w:tr w:rsidR="00A45935" w:rsidRPr="00E05D08" w:rsidTr="00E05D08">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 xml:space="preserve">Πρόσθετα στοιχεία αξιολόγησης που συνδέονται με τη συνεισφορά του ΕΑΔ στην ανάπτυξη ευνοϊκού περιβάλλοντος για την καινοτομία </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Αύξηση της συμμετοχής του ΕΑΔ σε δραστηριότητες του ΕΔΑΑ που σχετίζονται με την καινοτομία.</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Αριθμός δραστηριοτήτων ΕΔΑΑ στις οποίες συμμετείχε το ΕΑΔ (Ε.26) και ποιες από αυτές αφορούσαν θέματα καινοτομίας.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Αριθμός δραστηριοτήτων ΕΔΑΑ στις οποίες συμμετείχε το ΕΑΔ (στοιχείο δεδομένων Ε.26) ανά θέμα.</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Πίνακες παρακολούθησης.</w:t>
            </w:r>
          </w:p>
          <w:p w:rsidR="00A45935" w:rsidRPr="00385368" w:rsidRDefault="00A45935" w:rsidP="009F1589">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ΕΑΔ (παρακολούθηση, αυτοαξιολόγηση, συνεντεύξεις, δημοσιεύσεις).</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Αύξηση της συμμετοχής του ΕΑΔ στις δραστηριότητες της ΕΣΚ.</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Αριθμός και είδος των συνεισφορών του ΕΑΔ στις δραστηριότητες της ΕΣΚ-AGRI, μεταξύ των οποίων:</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Παρουσίαση παραδειγμάτων έργων/ορθής πρακτικής που στοχεύουν στην καινοτομία·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Διοργάνωση συνεδριάσεων για την καινοτομία·</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Εκδηλώσεις δικτύωσης των ενδιαφερόμενων φορέων καινοτομίας, ιδίως των ΟΤΔ και των επιχειρησιακών ομάδων·</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Διασυνοριακές ανταλλαγές πληροφοριών σχετικά με έργα, ερευνητικές πρωτοβουλίες, θεματικά δίκτυα και δυνατότητες χρηματοδότησης στο πλαίσιο του προγράμματος «Ορίζων 2020»·</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Στήριξη των δραστηριοτήτων των υπηρεσιών υποστήριξης της καινοτομίας για τον συντονισμό καινοτόμων δράσεων και τη σύσταση επιχειρησιακών ομάδων·</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Στήριξη στην αναζήτηση εταίρων.</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Αριθμός συνεισφορών του ΕΑΔ στην ΕΣΚ ανά είδος, βάσει του άρθρου 35 παράγραφος 2 στοιχεία α) έως στ) του κανονισμού (ΕΕ) αριθ. 1305/2013.</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ΕΑΔ (παρακολούθηση, αυτοαξιολόγηση, συνεντεύξεις, δημοσιεύσεις).</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Δομή δικτύωσης των υπηρεσιών υποστήριξης της καινοτομίας σε επίπεδο κράτους μέλους (εφόσον διαχωρίζεται από το ΕΑΔ).</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Σημείο εξυπηρέτησης της ΕΣΚ.</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Έρευνες/ομάδες εστίασης μεταξύ των έργων των επιχειρησιακών ομάδων.</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Ενισχυμένη συνεργασία, ανταλλαγές και δικτύωση μεταξύ των εταίρων έργων καινοτομίας.</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Αριθμός πρόσθετων δικτύων/συμπράξεων/ομάδων συνεργασίας των εταίρων έργων καινοτομίας που προωθήθηκαν από το ΕΑΔ.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Αριθμός δικτύων, συμπράξεων και/ή ομάδων συνεργασίας των εταίρων έργων καινοτομίας που έλαβαν στήριξη από το ΕΑΔ.</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Βάση δεδομένων του ΕΑΔ.</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Έρευνες/ομάδες εστίασης.</w:t>
            </w:r>
          </w:p>
        </w:tc>
      </w:tr>
    </w:tbl>
    <w:p w:rsidR="00A45935" w:rsidRPr="00E05D08" w:rsidRDefault="00A45935" w:rsidP="00E05D08">
      <w:pPr>
        <w:spacing w:after="120" w:line="280" w:lineRule="atLeast"/>
        <w:mirrorIndents/>
        <w:rPr>
          <w:rFonts w:eastAsia="Times New Roman" w:cs="Times New Roman"/>
          <w:sz w:val="18"/>
          <w:szCs w:val="18"/>
          <w:lang w:eastAsia="de-DE"/>
        </w:rPr>
        <w:sectPr w:rsidR="00A45935" w:rsidRPr="00E05D08" w:rsidSect="001F6F07">
          <w:endnotePr>
            <w:numFmt w:val="decimal"/>
          </w:endnotePr>
          <w:pgSz w:w="16840" w:h="11907" w:orient="landscape" w:code="9"/>
          <w:pgMar w:top="1440" w:right="1440" w:bottom="1440" w:left="1134" w:header="567" w:footer="1020" w:gutter="0"/>
          <w:cols w:space="708"/>
          <w:noEndnote/>
          <w:docGrid w:linePitch="435"/>
        </w:sectPr>
      </w:pPr>
    </w:p>
    <w:p w:rsidR="00A45935" w:rsidRPr="00E05D08" w:rsidRDefault="000A1DD3" w:rsidP="000A1DD3">
      <w:pPr>
        <w:spacing w:before="120" w:after="120" w:line="280" w:lineRule="atLeast"/>
        <w:mirrorIndents/>
        <w:rPr>
          <w:rFonts w:eastAsia="Times New Roman" w:cs="Times New Roman"/>
          <w:b/>
          <w:szCs w:val="20"/>
        </w:rPr>
      </w:pPr>
      <w:r>
        <w:rPr>
          <w:b/>
          <w:szCs w:val="20"/>
        </w:rPr>
        <w:lastRenderedPageBreak/>
        <w:t>γ.</w:t>
      </w:r>
      <w:r>
        <w:rPr>
          <w:b/>
          <w:szCs w:val="20"/>
        </w:rPr>
        <w:tab/>
      </w:r>
      <w:r w:rsidR="00A45935">
        <w:rPr>
          <w:b/>
          <w:szCs w:val="20"/>
        </w:rPr>
        <w:t xml:space="preserve">Προτεινόμενη μεθοδολογία αξιολόγησης </w:t>
      </w:r>
    </w:p>
    <w:p w:rsidR="00A45935" w:rsidRPr="00E05D08" w:rsidRDefault="00A45935" w:rsidP="00E05D08">
      <w:pPr>
        <w:spacing w:after="120" w:line="280" w:lineRule="atLeast"/>
        <w:mirrorIndents/>
        <w:rPr>
          <w:rFonts w:eastAsia="Times New Roman" w:cs="Arial"/>
          <w:szCs w:val="20"/>
        </w:rPr>
      </w:pPr>
      <w:r>
        <w:t>Προτείνονται τα ακόλουθα βήματα για την απάντηση του ΚΕΑ αριθ. 21:</w:t>
      </w:r>
    </w:p>
    <w:p w:rsidR="00A45935" w:rsidRPr="007707EC" w:rsidRDefault="00A45935" w:rsidP="00676B41">
      <w:pPr>
        <w:pStyle w:val="Hlistbullet"/>
      </w:pPr>
      <w:r>
        <w:rPr>
          <w:b/>
        </w:rPr>
        <w:t>ΒΗΜΑ 1: Συγκέντρωση στοιχείων για να προσδιοριστεί η συνεισφορά του ΕΑΔ στην προώθηση της καινοτομίας</w:t>
      </w:r>
      <w:r>
        <w:t xml:space="preserve"> από ενδιαφερόμενους φορείς οι οποίοι συμμετέχουν σε δράσεις του ΕΑΔ που διαθέτουν δυναμικό καινοτομίας. Αυτό μπορεί να γίνει μέσω της χρήσης των κριτηρίων απόφασης και των δεικτών, καθώς και της εφαρμογής των μεθόδων που περιλαμβάνονται στον κατωτέρω πίνακα 6.</w:t>
      </w:r>
    </w:p>
    <w:p w:rsidR="00A45935" w:rsidRPr="007707EC" w:rsidRDefault="00A45935" w:rsidP="00676B41">
      <w:pPr>
        <w:pStyle w:val="Hlistbullet"/>
      </w:pPr>
      <w:r>
        <w:rPr>
          <w:b/>
        </w:rPr>
        <w:t>ΒΗΜΑ 2: Ποσοτικοποίηση των δεικτών εκροών και των ειδικών ανά ΕΑΔ δεικτών που σχετίζονται με την καινοτομία</w:t>
      </w:r>
      <w:r>
        <w:t xml:space="preserve">, με χρήση δεδομένων παρακολούθησης των δραστηριοτήτων του ΕΑΔ από τη βάση δεδομένων πράξεων του ΠΑΑ και το σύστημα παρακολούθησης του ΕΑΔ. </w:t>
      </w:r>
    </w:p>
    <w:p w:rsidR="00A45935" w:rsidRPr="007707EC" w:rsidRDefault="00A45935" w:rsidP="00676B41">
      <w:pPr>
        <w:pStyle w:val="Hlistbullet"/>
      </w:pPr>
      <w:r>
        <w:rPr>
          <w:b/>
        </w:rPr>
        <w:t>ΒΗΜΑ 3: Εφαρμογή της θεωρίας της αλλαγής για τη σύγκριση των ευρημάτων όσον αφορά το δυναμικό καινοτομίας</w:t>
      </w:r>
      <w:r>
        <w:t xml:space="preserve"> των δραστηριοτήτων του ΕΑΔ όπως προσδιορίστηκαν κατά την έναρξη της διαδικασίας αξιολόγησης σε σχέση με τις υλοποιηθείσες δραστηριότητες του ΕΑΔ. Αυτό περιλαμβάνει την κατάρτιση χρονικής σειράς αιτίου-αιτιατού και αναλυτικής περιγραφής των αποτελεσμάτων των δραστηριοτήτων του ΕΑΔ όσον αφορά τις διαδρομές καινοτομίας και του τρόπου με τον οποίο προέκυψαν (επίσης με τη χρήση στοιχείων από το σύστημα παρακολούθησης).</w:t>
      </w:r>
      <w:r>
        <w:rPr>
          <w:b/>
        </w:rPr>
        <w:t xml:space="preserve"> Επιβεβαίωση</w:t>
      </w:r>
      <w:r>
        <w:t xml:space="preserve"> των ανωτέρω με τη χρήση τεχνικών τριγωνισμού.</w:t>
      </w:r>
    </w:p>
    <w:p w:rsidR="00A45935" w:rsidRPr="007707EC" w:rsidRDefault="00A45935" w:rsidP="00676B41">
      <w:pPr>
        <w:pStyle w:val="Hlistbullet"/>
      </w:pPr>
      <w:r>
        <w:rPr>
          <w:b/>
        </w:rPr>
        <w:t>ΒΗΜΑ 4: Απάντηση του ΚΕΑ με αξιολόγηση του βαθμού στον οποίο το ΕΑΔ έχει συνεισφέρει στην προώθηση της καινοτομίας</w:t>
      </w:r>
      <w:r>
        <w:t xml:space="preserve"> μέσα από διάφορες δέσμες δραστηριοτήτων με χρήση της κλίμακας Likert</w:t>
      </w:r>
      <w:r>
        <w:rPr>
          <w:rFonts w:cs="Arial"/>
          <w:vertAlign w:val="superscript"/>
        </w:rPr>
        <w:footnoteReference w:id="65"/>
      </w:r>
      <w:r>
        <w:t>. Στο πλαίσιο των πορισμάτων, ο αξιολογητής θα πρέπει επίσης να βαθμολογήσει το επίπεδο αξιοπιστίας των ενδιαφερόμενων φορέων που συμμετέχουν στις έρευνες/συνεντεύξεις με χρήση παρόμοιας κλίμακας πέντε σημείων. Οι βαθμολογίες που δίνονται θα πρέπει να είναι αιτιολογημένες.</w:t>
      </w:r>
    </w:p>
    <w:p w:rsidR="00A45935" w:rsidRPr="00E05D08" w:rsidRDefault="00A45935"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w:lastRenderedPageBreak/>
        <mc:AlternateContent>
          <mc:Choice Requires="wps">
            <w:drawing>
              <wp:inline distT="0" distB="0" distL="0" distR="0" wp14:anchorId="350ACAF5" wp14:editId="58084B3F">
                <wp:extent cx="5733232" cy="3838575"/>
                <wp:effectExtent l="0" t="0" r="20320" b="28575"/>
                <wp:docPr id="550" name="Rectangle: Diagonal Corners Rounded 550"/>
                <wp:cNvGraphicFramePr/>
                <a:graphic xmlns:a="http://schemas.openxmlformats.org/drawingml/2006/main">
                  <a:graphicData uri="http://schemas.microsoft.com/office/word/2010/wordprocessingShape">
                    <wps:wsp>
                      <wps:cNvSpPr/>
                      <wps:spPr>
                        <a:xfrm>
                          <a:off x="0" y="0"/>
                          <a:ext cx="5733232" cy="3838575"/>
                        </a:xfrm>
                        <a:prstGeom prst="round2DiagRect">
                          <a:avLst>
                            <a:gd name="adj1" fmla="val 6942"/>
                            <a:gd name="adj2" fmla="val 0"/>
                          </a:avLst>
                        </a:prstGeom>
                        <a:noFill/>
                        <a:ln w="25400" cap="flat" cmpd="sng" algn="ctr">
                          <a:solidFill>
                            <a:srgbClr val="F07E31"/>
                          </a:solidFill>
                          <a:prstDash val="solid"/>
                        </a:ln>
                        <a:effectLst/>
                      </wps:spPr>
                      <wps:txbx>
                        <w:txbxContent>
                          <w:p w:rsidR="00272EFF" w:rsidRPr="00E05D08" w:rsidRDefault="00272EFF" w:rsidP="00E05D08">
                            <w:pPr>
                              <w:pStyle w:val="HStandard"/>
                              <w:ind w:left="567" w:hanging="567"/>
                              <w:rPr>
                                <w:b/>
                                <w:color w:val="F07E31"/>
                                <w:sz w:val="18"/>
                                <w:szCs w:val="18"/>
                              </w:rPr>
                            </w:pPr>
                            <w:r>
                              <w:rPr>
                                <w:noProof/>
                                <w:sz w:val="18"/>
                                <w:szCs w:val="18"/>
                                <w:lang w:val="en-GB" w:eastAsia="en-GB"/>
                              </w:rPr>
                              <w:drawing>
                                <wp:inline distT="0" distB="0" distL="0" distR="0" wp14:anchorId="0B564B03" wp14:editId="08887827">
                                  <wp:extent cx="353060" cy="359410"/>
                                  <wp:effectExtent l="0" t="0" r="8890" b="2540"/>
                                  <wp:docPr id="71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Παραδείγματα από τις ΕΕΥ που υποβλήθηκαν το 2017</w:t>
                            </w:r>
                          </w:p>
                          <w:p w:rsidR="00272EFF" w:rsidRPr="00EF653F" w:rsidRDefault="00272EFF" w:rsidP="00E05D08">
                            <w:pPr>
                              <w:pStyle w:val="HStandard"/>
                              <w:rPr>
                                <w:sz w:val="18"/>
                                <w:szCs w:val="18"/>
                              </w:rPr>
                            </w:pPr>
                            <w:r>
                              <w:rPr>
                                <w:b/>
                                <w:sz w:val="18"/>
                                <w:szCs w:val="18"/>
                              </w:rPr>
                              <w:t xml:space="preserve">Τσεχική Δημοκρατία – </w:t>
                            </w:r>
                            <w:r>
                              <w:rPr>
                                <w:sz w:val="18"/>
                                <w:szCs w:val="18"/>
                              </w:rPr>
                              <w:t>αναφέρονται μελέτες περιπτώσεων οι οποίες βασίζονται σε στοιχεία που συγκεντρώθηκαν από τους δικαιούχους καινοτόμων έργων. Προτείνεται η παρακολούθηση των δεδομένων σχετικά με τα έργα καινοτομίας για τους δείκτες εκροών Ε.24 και Ε.25, μέσω της βάσης δεδομένων πράξεων και η χρήση τους στην αξιολόγηση του 2019:</w:t>
                            </w:r>
                          </w:p>
                          <w:p w:rsidR="00272EFF" w:rsidRPr="00EF653F" w:rsidRDefault="00272EFF" w:rsidP="008C0B17">
                            <w:pPr>
                              <w:pStyle w:val="HStandard"/>
                              <w:numPr>
                                <w:ilvl w:val="0"/>
                                <w:numId w:val="49"/>
                              </w:numPr>
                              <w:tabs>
                                <w:tab w:val="left" w:pos="5702"/>
                              </w:tabs>
                              <w:ind w:left="567" w:hanging="567"/>
                              <w:rPr>
                                <w:sz w:val="18"/>
                                <w:szCs w:val="18"/>
                              </w:rPr>
                            </w:pPr>
                            <w:r>
                              <w:rPr>
                                <w:sz w:val="18"/>
                                <w:szCs w:val="18"/>
                              </w:rPr>
                              <w:t xml:space="preserve">Ε.24 - Αριθμός υλοποιούμενων θεματικών και αναλυτικών ανταλλαγών μεταξύ ενδιαφερόμενων φορέων αγροτικής ανάπτυξης με τη στήριξη του ΕΑΔ – ανταλλαγές που επικεντρώνονται σε συμβούλους και υπηρεσίες στήριξης της καινοτομίας. </w:t>
                            </w:r>
                          </w:p>
                          <w:p w:rsidR="00272EFF" w:rsidRPr="00EF653F" w:rsidRDefault="00272EFF" w:rsidP="008C0B17">
                            <w:pPr>
                              <w:pStyle w:val="HStandard"/>
                              <w:numPr>
                                <w:ilvl w:val="0"/>
                                <w:numId w:val="49"/>
                              </w:numPr>
                              <w:tabs>
                                <w:tab w:val="left" w:pos="5702"/>
                              </w:tabs>
                              <w:ind w:left="567" w:hanging="567"/>
                              <w:rPr>
                                <w:sz w:val="18"/>
                                <w:szCs w:val="18"/>
                              </w:rPr>
                            </w:pPr>
                            <w:r>
                              <w:rPr>
                                <w:sz w:val="18"/>
                                <w:szCs w:val="18"/>
                              </w:rPr>
                              <w:t>Ε.25 – Αριθμός εργαλείων επικοινωνίας του ΕΑΔ που επικεντρώνονται σε συμβούλους και υπηρεσίες στήριξης της καινοτομίας.</w:t>
                            </w:r>
                          </w:p>
                          <w:p w:rsidR="00272EFF" w:rsidRDefault="00272EFF" w:rsidP="00E05D08">
                            <w:pPr>
                              <w:pStyle w:val="HStandard"/>
                              <w:rPr>
                                <w:sz w:val="18"/>
                                <w:szCs w:val="18"/>
                              </w:rPr>
                            </w:pPr>
                            <w:r>
                              <w:rPr>
                                <w:b/>
                                <w:sz w:val="18"/>
                                <w:szCs w:val="18"/>
                              </w:rPr>
                              <w:t>Σλοβακία –</w:t>
                            </w:r>
                            <w:r>
                              <w:rPr>
                                <w:sz w:val="18"/>
                                <w:szCs w:val="18"/>
                              </w:rPr>
                              <w:t xml:space="preserve"> περιγράφονται οι συνεντεύξεις με συμμετέχοντες φορείς (ΕΑΔ και συμμετέχοντες σε δραστηριότητες του ΕΑΔ) για τη συγκέντρωση δεδομένων για πρόσθετους δείκτες: Ποσοστό (%) καινοτόμων έργων που έλαβαν στήριξη από το ΕΑΔ επί του συνολικού αριθμού καινοτόμων έργων που λαμβάνουν στήριξη στο πλαίσιο του ΠΑΑ. </w:t>
                            </w:r>
                          </w:p>
                          <w:p w:rsidR="00272EFF" w:rsidRPr="00ED3BAD" w:rsidRDefault="00272EFF" w:rsidP="00E05D08">
                            <w:pPr>
                              <w:pStyle w:val="HStandard"/>
                              <w:rPr>
                                <w:sz w:val="18"/>
                                <w:szCs w:val="18"/>
                              </w:rPr>
                            </w:pPr>
                            <w:r>
                              <w:rPr>
                                <w:b/>
                                <w:sz w:val="18"/>
                                <w:szCs w:val="18"/>
                              </w:rPr>
                              <w:t>Castilla y León</w:t>
                            </w:r>
                            <w:r>
                              <w:rPr>
                                <w:sz w:val="18"/>
                                <w:szCs w:val="18"/>
                              </w:rPr>
                              <w:t xml:space="preserve"> </w:t>
                            </w:r>
                            <w:r>
                              <w:rPr>
                                <w:b/>
                                <w:sz w:val="18"/>
                                <w:szCs w:val="18"/>
                              </w:rPr>
                              <w:t>(Ισπανία) –</w:t>
                            </w:r>
                            <w:r>
                              <w:rPr>
                                <w:sz w:val="18"/>
                                <w:szCs w:val="18"/>
                              </w:rPr>
                              <w:t xml:space="preserve"> προτείνεται η εισαγωγή στο σύστημα παρακολούθησης ενός δείκτη που υπολογίζει τον αριθμό των συμμετεχόντων σε έργα στο πλαίσιο του μέτρου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50ACAF5" id="Rectangle: Diagonal Corners Rounded 550" o:spid="_x0000_s1051" style="width:451.45pt;height:302.25pt;visibility:visible;mso-wrap-style:square;mso-left-percent:-10001;mso-top-percent:-10001;mso-position-horizontal:absolute;mso-position-horizontal-relative:char;mso-position-vertical:absolute;mso-position-vertical-relative:line;mso-left-percent:-10001;mso-top-percent:-10001;v-text-anchor:middle" coordsize="5733232,3838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" adj="-11796480,,5400" path="m266474,l5733232,r,l5733232,3572101v,147170,-119304,266474,-266474,266474l,3838575r,l,266474c,119304,119304,,266474,xe" filled="f" strokecolor="#f07e31" strokeweight="2pt">
                <v:stroke joinstyle="miter"/>
                <v:formulas/>
                <v:path arrowok="t" o:connecttype="custom" o:connectlocs="266474,0;5733232,0;5733232,0;5733232,3572101;5466758,3838575;0,3838575;0,3838575;0,266474;266474,0" o:connectangles="0,0,0,0,0,0,0,0,0" textboxrect="0,0,5733232,3838575"/>
                <v:textbox>
                  <w:txbxContent>
                    <w:p w:rsidR="00272EFF" w:rsidRPr="00E05D08" w:rsidRDefault="00272EFF" w:rsidP="00E05D08">
                      <w:pPr>
                        <w:pStyle w:val="HStandard"/>
                        <w:ind w:left="567" w:hanging="567"/>
                        <w:rPr>
                          <w:b/>
                          <w:color w:val="F07E31"/>
                          <w:sz w:val="18"/>
                          <w:szCs w:val="18"/>
                        </w:rPr>
                      </w:pPr>
                      <w:r>
                        <w:rPr>
                          <w:noProof/>
                          <w:sz w:val="18"/>
                          <w:szCs w:val="18"/>
                          <w:lang w:val="en-GB" w:eastAsia="en-GB"/>
                        </w:rPr>
                        <w:drawing>
                          <wp:inline distT="0" distB="0" distL="0" distR="0" wp14:anchorId="0B564B03" wp14:editId="08887827">
                            <wp:extent cx="353060" cy="359410"/>
                            <wp:effectExtent l="0" t="0" r="8890" b="2540"/>
                            <wp:docPr id="71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Παραδείγματα από τις ΕΕΥ που υποβλήθηκαν το 2017</w:t>
                      </w:r>
                    </w:p>
                    <w:p w:rsidR="00272EFF" w:rsidRPr="00EF653F" w:rsidRDefault="00272EFF" w:rsidP="00E05D08">
                      <w:pPr>
                        <w:pStyle w:val="HStandard"/>
                        <w:rPr>
                          <w:sz w:val="18"/>
                          <w:szCs w:val="18"/>
                        </w:rPr>
                      </w:pPr>
                      <w:r>
                        <w:rPr>
                          <w:b/>
                          <w:sz w:val="18"/>
                          <w:szCs w:val="18"/>
                        </w:rPr>
                        <w:t xml:space="preserve">Τσεχική Δημοκρατία – </w:t>
                      </w:r>
                      <w:r>
                        <w:rPr>
                          <w:sz w:val="18"/>
                          <w:szCs w:val="18"/>
                        </w:rPr>
                        <w:t>αναφέρονται μελέτες περιπτώσεων οι οποίες βασίζονται σε στοιχεία που συγκεντρώθηκαν από τους δικαιούχους καινοτόμων έργων. Προτείνεται η παρακολούθηση των δεδομένων σχετικά με τα έργα καινοτομίας για τους δείκτες εκροών Ε.24 και Ε.25, μέσω της βάσης δεδομένων πράξεων και η χρήση τους στην αξιολόγηση του 2019:</w:t>
                      </w:r>
                    </w:p>
                    <w:p w:rsidR="00272EFF" w:rsidRPr="00EF653F" w:rsidRDefault="00272EFF" w:rsidP="008C0B17">
                      <w:pPr>
                        <w:pStyle w:val="HStandard"/>
                        <w:numPr>
                          <w:ilvl w:val="0"/>
                          <w:numId w:val="49"/>
                        </w:numPr>
                        <w:tabs>
                          <w:tab w:val="left" w:pos="5702"/>
                        </w:tabs>
                        <w:ind w:left="567" w:hanging="567"/>
                        <w:rPr>
                          <w:sz w:val="18"/>
                          <w:szCs w:val="18"/>
                        </w:rPr>
                      </w:pPr>
                      <w:r>
                        <w:rPr>
                          <w:sz w:val="18"/>
                          <w:szCs w:val="18"/>
                        </w:rPr>
                        <w:t xml:space="preserve">Ε.24 - Αριθμός υλοποιούμενων θεματικών και αναλυτικών ανταλλαγών μεταξύ ενδιαφερόμενων φορέων αγροτικής ανάπτυξης με τη στήριξη του ΕΑΔ – ανταλλαγές που επικεντρώνονται σε συμβούλους και υπηρεσίες στήριξης της καινοτομίας. </w:t>
                      </w:r>
                    </w:p>
                    <w:p w:rsidR="00272EFF" w:rsidRPr="00EF653F" w:rsidRDefault="00272EFF" w:rsidP="008C0B17">
                      <w:pPr>
                        <w:pStyle w:val="HStandard"/>
                        <w:numPr>
                          <w:ilvl w:val="0"/>
                          <w:numId w:val="49"/>
                        </w:numPr>
                        <w:tabs>
                          <w:tab w:val="left" w:pos="5702"/>
                        </w:tabs>
                        <w:ind w:left="567" w:hanging="567"/>
                        <w:rPr>
                          <w:sz w:val="18"/>
                          <w:szCs w:val="18"/>
                        </w:rPr>
                      </w:pPr>
                      <w:r>
                        <w:rPr>
                          <w:sz w:val="18"/>
                          <w:szCs w:val="18"/>
                        </w:rPr>
                        <w:t>Ε.25 – Αριθμός εργαλείων επικοινωνίας του ΕΑΔ που επικεντρώνονται σε συμβούλους και υπηρεσίες στήριξης της καινοτομίας.</w:t>
                      </w:r>
                    </w:p>
                    <w:p w:rsidR="00272EFF" w:rsidRDefault="00272EFF" w:rsidP="00E05D08">
                      <w:pPr>
                        <w:pStyle w:val="HStandard"/>
                        <w:rPr>
                          <w:sz w:val="18"/>
                          <w:szCs w:val="18"/>
                        </w:rPr>
                      </w:pPr>
                      <w:r>
                        <w:rPr>
                          <w:b/>
                          <w:sz w:val="18"/>
                          <w:szCs w:val="18"/>
                        </w:rPr>
                        <w:t>Σλοβακία –</w:t>
                      </w:r>
                      <w:r>
                        <w:rPr>
                          <w:sz w:val="18"/>
                          <w:szCs w:val="18"/>
                        </w:rPr>
                        <w:t xml:space="preserve"> περιγράφονται οι συνεντεύξεις με συμμετέχοντες φορείς (ΕΑΔ και συμμετέχοντες σε δραστηριότητες του ΕΑΔ) για τη συγκέντρωση δεδομένων για πρόσθετους δείκτες: Ποσοστό (%) καινοτόμων έργων που έλαβαν στήριξη από το ΕΑΔ επί του συνολικού αριθμού καινοτόμων έργων που λαμβάνουν στήριξη στο πλαίσιο του ΠΑΑ. </w:t>
                      </w:r>
                    </w:p>
                    <w:p w:rsidR="00272EFF" w:rsidRPr="00ED3BAD" w:rsidRDefault="00272EFF" w:rsidP="00E05D08">
                      <w:pPr>
                        <w:pStyle w:val="HStandard"/>
                        <w:rPr>
                          <w:sz w:val="18"/>
                          <w:szCs w:val="18"/>
                        </w:rPr>
                      </w:pPr>
                      <w:r>
                        <w:rPr>
                          <w:b/>
                          <w:sz w:val="18"/>
                          <w:szCs w:val="18"/>
                        </w:rPr>
                        <w:t>Castilla y León</w:t>
                      </w:r>
                      <w:r>
                        <w:rPr>
                          <w:sz w:val="18"/>
                          <w:szCs w:val="18"/>
                        </w:rPr>
                        <w:t xml:space="preserve"> </w:t>
                      </w:r>
                      <w:r>
                        <w:rPr>
                          <w:b/>
                          <w:sz w:val="18"/>
                          <w:szCs w:val="18"/>
                        </w:rPr>
                        <w:t>(Ισπανία) –</w:t>
                      </w:r>
                      <w:r>
                        <w:rPr>
                          <w:sz w:val="18"/>
                          <w:szCs w:val="18"/>
                        </w:rPr>
                        <w:t xml:space="preserve"> προτείνεται η εισαγωγή στο σύστημα παρακολούθησης ενός δείκτη που υπολογίζει τον αριθμό των συμμετεχόντων σε έργα στο πλαίσιο του μέτρου 16.</w:t>
                      </w:r>
                    </w:p>
                  </w:txbxContent>
                </v:textbox>
                <w10:anchorlock/>
              </v:shape>
            </w:pict>
          </mc:Fallback>
        </mc:AlternateContent>
      </w:r>
    </w:p>
    <w:p w:rsidR="00A45935" w:rsidRPr="00E05D08" w:rsidRDefault="00A45935" w:rsidP="00E05D08">
      <w:pPr>
        <w:spacing w:after="120" w:line="280" w:lineRule="atLeast"/>
        <w:mirrorIndents/>
        <w:rPr>
          <w:rFonts w:eastAsia="Times New Roman" w:cs="Times New Roman"/>
          <w:szCs w:val="20"/>
        </w:rPr>
      </w:pPr>
      <w:r>
        <w:t>Οι κατευθυντήριες γραμμές</w:t>
      </w:r>
      <w:r>
        <w:rPr>
          <w:i/>
          <w:szCs w:val="20"/>
        </w:rPr>
        <w:t xml:space="preserve"> </w:t>
      </w:r>
      <w:r>
        <w:t>«</w:t>
      </w:r>
      <w:hyperlink r:id="rId60" w:history="1">
        <w:r>
          <w:rPr>
            <w:rStyle w:val="Hyperlink"/>
            <w:sz w:val="20"/>
            <w:szCs w:val="20"/>
          </w:rPr>
          <w:t>Evaluation of NRNs 2014-2020</w:t>
        </w:r>
      </w:hyperlink>
      <w:r>
        <w:t>» (Αξιολόγηση των ΕΑΔ της περιόδου 2014-2020)</w:t>
      </w:r>
      <w:r>
        <w:rPr>
          <w:rFonts w:eastAsia="Times New Roman" w:cs="Times New Roman"/>
          <w:szCs w:val="20"/>
          <w:vertAlign w:val="superscript"/>
          <w:lang w:eastAsia="de-DE"/>
        </w:rPr>
        <w:footnoteReference w:id="66"/>
      </w:r>
      <w:r>
        <w:t xml:space="preserve"> παρέχουν λεπτομερή περιγραφή των μεθόδων και εργαλείων για την αξιολόγηση των ΕΑΔ. Προτείνουν μια μικτή προσέγγιση, που συνδυάζει ποιοτικές και ποσοτικές μεθόδους, οι οποίες, με τη σειρά τους, συνίστανται σε έρευνες, μεθόδους διαλόγου, αναλυτικές και διαγνωστικές μεθόδους. </w:t>
      </w:r>
    </w:p>
    <w:p w:rsidR="00A45935" w:rsidRPr="00E05D08" w:rsidRDefault="00A45935" w:rsidP="00E05D08">
      <w:pPr>
        <w:spacing w:after="120" w:line="280" w:lineRule="atLeast"/>
        <w:mirrorIndents/>
        <w:rPr>
          <w:rFonts w:eastAsia="Times New Roman" w:cs="Times New Roman"/>
          <w:szCs w:val="20"/>
        </w:rPr>
      </w:pPr>
      <w:r>
        <w:t>Ο ακόλουθος πίνακας παρέχει συνοπτική επισκόπηση των μεθόδων για την απάντηση του ΚΕΑ αριθ. 21 όσον αφορά τον στόχο καινοτομίας δ) των ΕΑΔ. Πλήρης περιγραφή των εν λόγω μεθόδων διατίθεται στις κατευθυντήριες γραμμές</w:t>
      </w:r>
      <w:r>
        <w:rPr>
          <w:i/>
          <w:szCs w:val="20"/>
        </w:rPr>
        <w:t xml:space="preserve"> </w:t>
      </w:r>
      <w:hyperlink r:id="rId61" w:history="1">
        <w:r>
          <w:rPr>
            <w:rStyle w:val="Hyperlink"/>
            <w:sz w:val="20"/>
            <w:szCs w:val="20"/>
          </w:rPr>
          <w:t>Evaluation of NRNs 2014-2020</w:t>
        </w:r>
      </w:hyperlink>
      <w:r>
        <w:t xml:space="preserve"> (Αξιολόγηση των ΕΑΔ της περιόδου 2014-2020).</w:t>
      </w:r>
    </w:p>
    <w:p w:rsidR="00A45935" w:rsidRPr="00E05D08" w:rsidRDefault="00A45935" w:rsidP="00B421B9">
      <w:pPr>
        <w:pStyle w:val="HHeading1"/>
        <w:rPr>
          <w:b w:val="0"/>
          <w:color w:val="373737"/>
          <w:sz w:val="16"/>
        </w:rPr>
        <w:sectPr w:rsidR="00A45935" w:rsidRPr="00E05D08" w:rsidSect="001F6F07">
          <w:headerReference w:type="first" r:id="rId62"/>
          <w:endnotePr>
            <w:numFmt w:val="decimal"/>
          </w:endnotePr>
          <w:pgSz w:w="11907" w:h="16840" w:code="9"/>
          <w:pgMar w:top="1440" w:right="1440" w:bottom="1134" w:left="1440" w:header="567" w:footer="1020" w:gutter="0"/>
          <w:cols w:space="708"/>
          <w:noEndnote/>
          <w:docGrid w:linePitch="435"/>
        </w:sectPr>
      </w:pPr>
    </w:p>
    <w:p w:rsidR="00A45935" w:rsidRPr="00D57D0A" w:rsidRDefault="00A45935" w:rsidP="000E1934">
      <w:pPr>
        <w:spacing w:after="0" w:line="240" w:lineRule="auto"/>
        <w:rPr>
          <w:color w:val="6F6F6F"/>
          <w:sz w:val="18"/>
          <w:szCs w:val="18"/>
        </w:rPr>
      </w:pPr>
      <w:r>
        <w:br w:type="page"/>
      </w:r>
      <w:bookmarkStart w:id="120" w:name="_Toc508964831"/>
      <w:r w:rsidR="000A1DD3">
        <w:rPr>
          <w:color w:val="6F6F6F"/>
          <w:sz w:val="18"/>
          <w:szCs w:val="18"/>
        </w:rPr>
        <w:lastRenderedPageBreak/>
        <w:t>Πίνακας 6.</w:t>
      </w:r>
      <w:r w:rsidR="000A1DD3">
        <w:rPr>
          <w:color w:val="6F6F6F"/>
          <w:sz w:val="18"/>
          <w:szCs w:val="18"/>
        </w:rPr>
        <w:tab/>
      </w:r>
      <w:r>
        <w:rPr>
          <w:color w:val="6F6F6F"/>
          <w:sz w:val="18"/>
          <w:szCs w:val="18"/>
        </w:rPr>
        <w:t>Προτεινόμενες μέθοδοι για το ΚΕΑ αριθ. 21</w:t>
      </w:r>
      <w:bookmarkEnd w:id="120"/>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E05D08" w:rsidTr="00E05D08">
        <w:trPr>
          <w:tblHeader/>
        </w:trPr>
        <w:tc>
          <w:tcPr>
            <w:tcW w:w="2405" w:type="dxa"/>
            <w:shd w:val="clear" w:color="auto" w:fill="F07E31"/>
          </w:tcPr>
          <w:p w:rsidR="00A45935" w:rsidRPr="00E05D08" w:rsidRDefault="00A45935" w:rsidP="00E05D08">
            <w:pPr>
              <w:spacing w:after="120" w:line="280" w:lineRule="atLeast"/>
              <w:mirrorIndents/>
              <w:jc w:val="center"/>
              <w:rPr>
                <w:rFonts w:cs="Arial"/>
                <w:b/>
                <w:color w:val="FFFFFF"/>
                <w:sz w:val="18"/>
              </w:rPr>
            </w:pPr>
            <w:r>
              <w:rPr>
                <w:b/>
                <w:color w:val="FFFFFF"/>
                <w:sz w:val="18"/>
              </w:rPr>
              <w:t>Μέθοδος</w:t>
            </w:r>
          </w:p>
        </w:tc>
        <w:tc>
          <w:tcPr>
            <w:tcW w:w="6612" w:type="dxa"/>
            <w:shd w:val="clear" w:color="auto" w:fill="F07E31"/>
          </w:tcPr>
          <w:p w:rsidR="00A45935" w:rsidRPr="00385368" w:rsidRDefault="00A45935" w:rsidP="00E05D08">
            <w:pPr>
              <w:spacing w:after="120" w:line="280" w:lineRule="atLeast"/>
              <w:mirrorIndents/>
              <w:jc w:val="center"/>
              <w:rPr>
                <w:rFonts w:cs="Arial"/>
                <w:b/>
                <w:color w:val="FFFFFF"/>
                <w:sz w:val="18"/>
              </w:rPr>
            </w:pPr>
            <w:r>
              <w:rPr>
                <w:b/>
                <w:color w:val="FFFFFF"/>
                <w:sz w:val="18"/>
              </w:rPr>
              <w:t>Συμβουλές χρήσης κάθε μεθόδου για την παροχή απάντησης στο ΚΕΑ αριθ. 21</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Έρευνες</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Μπορούν να χρησιμοποιηθούν για τη συγκέντρωση δεδομένων και στοιχείων για την καινοτομία, τα οποία δεν υπάρχουν στις βάσεις δεδομένων παρακολούθησης, ιδίως όσον αφορά τους πρόσθετους δείκτες.</w:t>
            </w:r>
          </w:p>
          <w:p w:rsidR="00A45935" w:rsidRPr="00385368" w:rsidRDefault="00A45935" w:rsidP="00E05D08">
            <w:pPr>
              <w:spacing w:after="120" w:line="280" w:lineRule="atLeast"/>
              <w:rPr>
                <w:rFonts w:eastAsia="Calibri" w:cs="Arial"/>
                <w:sz w:val="18"/>
                <w:szCs w:val="18"/>
              </w:rPr>
            </w:pPr>
            <w:r>
              <w:rPr>
                <w:sz w:val="18"/>
                <w:szCs w:val="18"/>
              </w:rPr>
              <w:t>Οι έρευνες μπορεί να απευθύνονται στα ΕΑΔ, τις επιχειρησιακές ομάδες της ΕΣΚ, τους δικαιούχους έργων και άλλους ενδιαφερόμενους φορείς καινοτομίας.</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Ομάδες εστίασης (μέθοδος διαλόγου)</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Χρησιμοποιούνται ως μέσο στις μεθόδους αξιολόγησης βάσει διαλόγου και μπορούν να οργανωθούν ως εξής για το ΚΕΑ αριθ. 21:</w:t>
            </w:r>
          </w:p>
          <w:p w:rsidR="00A45935" w:rsidRPr="00385368" w:rsidRDefault="00A45935" w:rsidP="008C0B17">
            <w:pPr>
              <w:numPr>
                <w:ilvl w:val="0"/>
                <w:numId w:val="40"/>
              </w:numPr>
              <w:spacing w:before="60" w:after="120" w:line="280" w:lineRule="atLeast"/>
              <w:ind w:left="317"/>
              <w:rPr>
                <w:rFonts w:cs="Arial"/>
                <w:sz w:val="18"/>
              </w:rPr>
            </w:pPr>
            <w:r>
              <w:rPr>
                <w:sz w:val="18"/>
              </w:rPr>
              <w:t xml:space="preserve">Στο πλαίσιο μιας αρχιτεκτονικής δύο βαθμίδων, δημιουργούνται ομάδες εστίασης σε διαφορετικά επίπεδα (δηλ. σύμβουλοι/υπηρεσίες υποστήριξης της καινοτομίας και ΟΤΔ). Και τα δύο επίπεδα μπορούν να συμμετέχουν σε δραστηριότητες κατάρτισης και δικτύωσης από το ΕΑΔ. </w:t>
            </w:r>
          </w:p>
          <w:p w:rsidR="00A45935" w:rsidRPr="00385368" w:rsidRDefault="00A45935" w:rsidP="008C0B17">
            <w:pPr>
              <w:numPr>
                <w:ilvl w:val="0"/>
                <w:numId w:val="40"/>
              </w:numPr>
              <w:spacing w:before="60" w:after="120" w:line="280" w:lineRule="atLeast"/>
              <w:ind w:left="317"/>
              <w:rPr>
                <w:rFonts w:cs="Arial"/>
                <w:sz w:val="18"/>
              </w:rPr>
            </w:pPr>
            <w:r>
              <w:rPr>
                <w:sz w:val="18"/>
              </w:rPr>
              <w:t>Επικεντρώνονται στο θεματικό πεδίο της καινοτομίας (π.χ. σύσταση ομάδων ατόμων με διαφορετικές αντιλήψεις, ώστε να προσδίδεται εγκυρότητα στις δραστηριότητες του ΕΑΔ που στοχεύουν στην προώθηση της καινοτομίας).</w:t>
            </w:r>
          </w:p>
        </w:tc>
      </w:tr>
      <w:tr w:rsidR="00A45935" w:rsidRPr="00E05D08" w:rsidTr="00E05D08">
        <w:tc>
          <w:tcPr>
            <w:tcW w:w="2405" w:type="dxa"/>
            <w:vAlign w:val="center"/>
          </w:tcPr>
          <w:p w:rsidR="00A45935" w:rsidRPr="00385368" w:rsidRDefault="00A45935" w:rsidP="00BC211C">
            <w:pPr>
              <w:spacing w:after="120" w:line="280" w:lineRule="atLeast"/>
              <w:jc w:val="left"/>
              <w:rPr>
                <w:rFonts w:eastAsia="Calibri" w:cs="Arial"/>
                <w:b/>
                <w:sz w:val="18"/>
                <w:szCs w:val="18"/>
              </w:rPr>
            </w:pPr>
            <w:r>
              <w:rPr>
                <w:b/>
                <w:sz w:val="18"/>
                <w:szCs w:val="18"/>
              </w:rPr>
              <w:t>Λειτουργική ανάλυση των δικτύων (διαγνωστική μέθοδος)</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Συνδυάζει την επιγραμμική έρευνα μεταξύ των επιχειρησιακών ομάδων (κάνοντας διάκριση μεταξύ, αφενός, αυτών που έχουν λάβει κάποιο είδος στήριξης –λειτουργία διαμεσολάβησης, κατάρτιση κ.λπ.– και, αφετέρου, του ΕΑΔ και όσων δεν έχουν λάβει στήριξη) με σύνολο διεξοδικών συνεντεύξεων με επιλεγμένες επιχειρησιακές ομάδες. Εναλλακτικά, η ομάδα εστίασης μπορεί να συγκροτηθεί ούτως ώστε να αντικατοπτρίζει τα προκαταρκτικά αποτελέσματα της επιγραμμικής έρευνας.</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Ανάλυση των ενδιαφερόμενων φορέων (διαγνωστική μέθοδος)</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 xml:space="preserve">Μπορεί να απευθύνεται σε ενδιαφερόμενους φορείς καινοτομίας σε διάφορα επίπεδα: σε επίπεδο ΕΑΔ ή δομής δικτύου των υπηρεσιών υποστήριξης της καινοτομίας του κράτους μέλους (εφόσον διαχωρίζονται από το ΕΑΔ)· σε επίπεδο συντονιστών των θεματικών δικτύων, συντονιστών των επιχειρησιακών ομάδων ή ακόμα και του σημείου εξυπηρέτησης της ΕΣΚ. </w:t>
            </w:r>
          </w:p>
          <w:p w:rsidR="00A45935" w:rsidRPr="00385368" w:rsidRDefault="00A45935" w:rsidP="00E05D08">
            <w:pPr>
              <w:spacing w:after="120" w:line="280" w:lineRule="atLeast"/>
              <w:rPr>
                <w:rFonts w:eastAsia="Calibri" w:cs="Arial"/>
                <w:sz w:val="18"/>
                <w:szCs w:val="18"/>
              </w:rPr>
            </w:pPr>
            <w:r>
              <w:rPr>
                <w:sz w:val="18"/>
                <w:szCs w:val="18"/>
              </w:rPr>
              <w:t>Η ανάλυση των ενδιαφερόμενων φορέων θα βοηθήσει στη συγκέντρωση πληροφοριών σχετικά με τους δείκτες για τους οποίους δεν συλλέγονται δεδομένα μέσω της βάσης δεδομένων παρακολούθησης. Όσον αφορά το ΚΕΑ αριθ. 21, μόνο τρεις δείκτες εκροών μπορούν να ποσοτικοποιηθούν με τη χρήση των δεδομένων παρακολούθησης, αλλά ακόμα και σε αυτή την περίπτωση, τα δεδομένα πιθανόν να είναι πολύ γενικά και να μην καλύπτουν τα στοιχεία καινοτομίας. Για παράδειγμα, ο αριθμός των υλοποιούμενων θεματικών και αναλυτικών ανταλλαγών με τη στήριξη του ΕΑΔ (Ε.24) μπορεί να καταγράφεται στη βάση δεδομένων παρακολούθησης, αλλά χωρίς να αναφέρεται ποιες από αυτές τις ανταλλαγές επικεντρώνονται σε θέματα καινοτομίας.</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sz w:val="18"/>
                <w:szCs w:val="18"/>
              </w:rPr>
            </w:pPr>
            <w:r>
              <w:rPr>
                <w:b/>
                <w:sz w:val="18"/>
                <w:szCs w:val="18"/>
              </w:rPr>
              <w:t xml:space="preserve">Ανάλυση κοινωνικών δικτύων </w:t>
            </w:r>
            <w:r>
              <w:rPr>
                <w:sz w:val="18"/>
                <w:szCs w:val="18"/>
              </w:rPr>
              <w:t>(διαγνωστική μέθοδος)</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 xml:space="preserve">Η ανάλυση κοινωνικών δικτύων μπορεί να διενεργηθεί σχετικά με μια θεματική πτυχή, ιδίως την προώθηση στόχων καινοτομίας του ΕΑΔ, μέσω της εξέτασης των δομών του δικτύου καινοτομίας (π.χ. προσδιορισμός των βασικών παραγόντων καινοτομίας στο πλαίσιο του δικτύου), της εκτίμησης των διαρθρωτικών τους χαρακτηριστικών (π.χ. κεντρική ή περιφερειακή θέση των </w:t>
            </w:r>
            <w:r>
              <w:rPr>
                <w:sz w:val="18"/>
                <w:szCs w:val="18"/>
              </w:rPr>
              <w:lastRenderedPageBreak/>
              <w:t>ενδιαφερόμενων φορέων καινοτομίας) και των μεταξύ τους αλληλεπικαλύψεων (π.χ. προσδιορισμός των βασικών συνδέσμων), καθώς και της συζήτησής τους στο πλαίσιο μιας ομάδας εστίασης.</w:t>
            </w:r>
          </w:p>
          <w:p w:rsidR="00A45935" w:rsidRPr="00385368" w:rsidRDefault="00A45935" w:rsidP="00E05D08">
            <w:pPr>
              <w:spacing w:after="120" w:line="280" w:lineRule="atLeast"/>
              <w:rPr>
                <w:rFonts w:eastAsia="Calibri" w:cs="Arial"/>
                <w:sz w:val="18"/>
                <w:szCs w:val="18"/>
              </w:rPr>
            </w:pPr>
            <w:r>
              <w:rPr>
                <w:sz w:val="18"/>
                <w:szCs w:val="18"/>
              </w:rPr>
              <w:t>Η ανάλυση κοινωνικών δικτύων βοηθά στον υπολογισμό της συμμετοχής των ενδιαφερόμενων φορέων καινοτομίας στο ΕΑΔ και στην αξιολόγηση της αποτελεσματικότητας των εκροών που σχετίζονται με την καινοτομία (π.χ. θεματικές και αναλυτικές ανταλλαγές για την καινοτομία, δραστηριότητες κατάρτισης και δικτύωσης για την καινοτομία και συγκέντρωση παραδειγμάτων έργων σε σχέση με την καινοτομία).</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lastRenderedPageBreak/>
              <w:t>Μελέτες περιπτώσεων</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Οι μελέτες περιπτώσεων μπορούν να προσαρμοστούν και να αξιοποιηθούν σε κάθε αξιολόγηση. Παρέχουν τη δυνατότητα συνδυασμού διαφόρων μεθόδων και είναι πολύ ευέλικτες στον σχεδιασμό τους. Στην περίπτωση του ΚΕΑ αριθ. 21, προτείνεται η εκπόνηση μελετών περιπτώσεων σε σχέση με τα ακόλουθα θέματα/κριτήρια που συνδέονται με την καινοτομία:</w:t>
            </w:r>
          </w:p>
          <w:p w:rsidR="00A45935" w:rsidRPr="00385368" w:rsidRDefault="00A45935" w:rsidP="008C0B17">
            <w:pPr>
              <w:numPr>
                <w:ilvl w:val="0"/>
                <w:numId w:val="41"/>
              </w:numPr>
              <w:spacing w:before="60" w:after="120" w:line="280" w:lineRule="atLeast"/>
              <w:ind w:left="360"/>
              <w:rPr>
                <w:sz w:val="18"/>
              </w:rPr>
            </w:pPr>
            <w:r>
              <w:rPr>
                <w:sz w:val="18"/>
              </w:rPr>
              <w:t>Ανάλυση του ρόλου του ΕΑΔ στη σύσταση επιχειρησιακών ομάδων και, συνεπώς, στην προώθηση της καινοτομίας στη γεωργία, τη δασοκομία και τις αγροτικές περιοχές.</w:t>
            </w:r>
          </w:p>
          <w:p w:rsidR="00A45935" w:rsidRPr="00385368" w:rsidRDefault="00A45935" w:rsidP="008C0B17">
            <w:pPr>
              <w:numPr>
                <w:ilvl w:val="0"/>
                <w:numId w:val="41"/>
              </w:numPr>
              <w:spacing w:before="60" w:after="120" w:line="280" w:lineRule="atLeast"/>
              <w:ind w:left="360"/>
              <w:rPr>
                <w:sz w:val="18"/>
              </w:rPr>
            </w:pPr>
            <w:r>
              <w:rPr>
                <w:sz w:val="18"/>
              </w:rPr>
              <w:t>Ανάλυση των συνεισφορών του ΕΑΔ στην προώθηση των συμβούλων και των υπηρεσιών υποστήριξης της καινοτομίας σε ρόλο καθοδηγητή στο πλαίσιο των διαδραστικών διαδικασιών καινοτομίας (π.χ. αποτυπώνοντας ιδέες για πρακτικές, λειτουργώντας ως διαμεσολαβητές, προωθώντας και διαδίδοντας τις νέες γνώσεις).</w:t>
            </w:r>
          </w:p>
          <w:p w:rsidR="00A45935" w:rsidRPr="00385368" w:rsidRDefault="00A45935" w:rsidP="008C0B17">
            <w:pPr>
              <w:numPr>
                <w:ilvl w:val="0"/>
                <w:numId w:val="41"/>
              </w:numPr>
              <w:spacing w:before="60" w:after="120" w:line="280" w:lineRule="atLeast"/>
              <w:ind w:left="360"/>
              <w:rPr>
                <w:sz w:val="18"/>
              </w:rPr>
            </w:pPr>
            <w:r>
              <w:rPr>
                <w:sz w:val="18"/>
              </w:rPr>
              <w:t>Ανάλυση του ρόλου του ΕΑΔ στα θεματικά δίκτυα, τα οποία συνδέουν τις επιχειρησιακές ομάδες, και, ως εκ τούτου, εκτίμηση των δεσμών με το πρόγραμμα «Ορίζων 2020».</w:t>
            </w:r>
          </w:p>
        </w:tc>
      </w:tr>
    </w:tbl>
    <w:p w:rsidR="00A45935" w:rsidRPr="00E05D08" w:rsidRDefault="000A1DD3" w:rsidP="000A1DD3">
      <w:pPr>
        <w:spacing w:before="120" w:after="120" w:line="280" w:lineRule="atLeast"/>
        <w:ind w:left="360"/>
        <w:mirrorIndents/>
        <w:rPr>
          <w:rFonts w:eastAsia="Times New Roman" w:cs="Times New Roman"/>
          <w:b/>
          <w:szCs w:val="20"/>
        </w:rPr>
      </w:pPr>
      <w:r>
        <w:rPr>
          <w:b/>
          <w:szCs w:val="20"/>
        </w:rPr>
        <w:t>δ.</w:t>
      </w:r>
      <w:r>
        <w:rPr>
          <w:b/>
          <w:szCs w:val="20"/>
        </w:rPr>
        <w:tab/>
      </w:r>
      <w:r w:rsidR="00A45935">
        <w:rPr>
          <w:b/>
          <w:szCs w:val="20"/>
        </w:rPr>
        <w:t>Κίνδυνοι και λύσεις</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9"/>
      </w:tblGrid>
      <w:tr w:rsidR="00A45935" w:rsidRPr="00E05D08" w:rsidTr="00E05D08">
        <w:tc>
          <w:tcPr>
            <w:tcW w:w="4508"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Κίνδυνοι</w:t>
            </w:r>
          </w:p>
        </w:tc>
        <w:tc>
          <w:tcPr>
            <w:tcW w:w="4509"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Λύσεις</w:t>
            </w:r>
          </w:p>
        </w:tc>
      </w:tr>
      <w:tr w:rsidR="00A45935" w:rsidRPr="00E05D08" w:rsidTr="00E05D08">
        <w:trPr>
          <w:trHeight w:val="699"/>
        </w:trPr>
        <w:tc>
          <w:tcPr>
            <w:tcW w:w="4508" w:type="dxa"/>
          </w:tcPr>
          <w:p w:rsidR="00A45935" w:rsidRPr="00385368" w:rsidRDefault="00A45935" w:rsidP="00E05D08">
            <w:pPr>
              <w:spacing w:after="120" w:line="280" w:lineRule="atLeast"/>
              <w:rPr>
                <w:rFonts w:eastAsia="Calibri" w:cs="Arial"/>
                <w:sz w:val="18"/>
                <w:szCs w:val="18"/>
              </w:rPr>
            </w:pPr>
            <w:r>
              <w:rPr>
                <w:sz w:val="18"/>
                <w:szCs w:val="18"/>
              </w:rPr>
              <w:t>Τα δεδομένα για τους τρεις κοινούς δείκτες εκροών θα είναι διαθέσιμα, αλλά πιθανότατα δεν θα επικεντρώνονται στην καινοτομία. Για παράδειγμα, τα δεδομένα για τις θεματικές και αναλυτικές ανταλλαγές μπορεί να μην έχουν συγκεντρωθεί ανά θέμα, και ειδικότερα το θέμα της καινοτομίας. Ομοίως, τα δεδομένα για τα εργαλεία επικοινωνίας μπορεί να μην έχουν αναλυθεί ανά αντικείμενο (π.χ. κοινοποίηση των αποτελεσμάτων της καινοτομίας).</w:t>
            </w:r>
          </w:p>
        </w:tc>
        <w:tc>
          <w:tcPr>
            <w:tcW w:w="4509" w:type="dxa"/>
          </w:tcPr>
          <w:p w:rsidR="00A45935" w:rsidRPr="00385368" w:rsidRDefault="00A45935" w:rsidP="007E63EF">
            <w:pPr>
              <w:spacing w:after="120" w:line="280" w:lineRule="atLeast"/>
              <w:rPr>
                <w:sz w:val="18"/>
                <w:szCs w:val="18"/>
              </w:rPr>
            </w:pPr>
            <w:r>
              <w:rPr>
                <w:sz w:val="18"/>
                <w:szCs w:val="18"/>
              </w:rPr>
              <w:t>Οι διαχειριστικές αρχές θα μπορούσαν να συμπεριλάβουν τη συνιστώσα καινοτομίας στο πλαίσιο των τριών κοινών δεικτών εκροών στις βάσεις δεδομένων παρακολούθησης</w:t>
            </w:r>
            <w:r>
              <w:rPr>
                <w:rFonts w:eastAsia="Calibri" w:cs="Arial"/>
                <w:sz w:val="18"/>
                <w:szCs w:val="18"/>
                <w:vertAlign w:val="superscript"/>
              </w:rPr>
              <w:footnoteReference w:id="67"/>
            </w:r>
            <w:r>
              <w:rPr>
                <w:sz w:val="18"/>
                <w:szCs w:val="18"/>
              </w:rPr>
              <w:t>.</w:t>
            </w:r>
          </w:p>
        </w:tc>
      </w:tr>
      <w:tr w:rsidR="00A45935" w:rsidRPr="00E05D08" w:rsidTr="00E05D08">
        <w:tc>
          <w:tcPr>
            <w:tcW w:w="4508" w:type="dxa"/>
          </w:tcPr>
          <w:p w:rsidR="00A45935" w:rsidRPr="00385368" w:rsidRDefault="00A45935" w:rsidP="00E05D08">
            <w:pPr>
              <w:spacing w:after="120" w:line="280" w:lineRule="atLeast"/>
              <w:rPr>
                <w:rFonts w:eastAsia="Calibri" w:cs="Arial"/>
                <w:sz w:val="18"/>
                <w:szCs w:val="18"/>
              </w:rPr>
            </w:pPr>
            <w:r>
              <w:rPr>
                <w:sz w:val="18"/>
                <w:szCs w:val="18"/>
              </w:rPr>
              <w:t xml:space="preserve">Για όλους τους άλλους προτεινόμενους δείκτες, τα δεδομένα δεν θα συλλέγονται για σκοπούς παρακολούθησης, εκτός εάν μια διαχειριστική αρχή/ένα ΕΑΔ έχει αποφασίσει να το πράξει και γι’ </w:t>
            </w:r>
            <w:r>
              <w:rPr>
                <w:sz w:val="18"/>
                <w:szCs w:val="18"/>
              </w:rPr>
              <w:lastRenderedPageBreak/>
              <w:t>αυτούς, πέρα από τα κοινά στοιχεία δεδομένων.</w:t>
            </w:r>
          </w:p>
        </w:tc>
        <w:tc>
          <w:tcPr>
            <w:tcW w:w="4509" w:type="dxa"/>
          </w:tcPr>
          <w:p w:rsidR="00A45935" w:rsidRPr="00385368" w:rsidRDefault="00A45935" w:rsidP="00E05D08">
            <w:pPr>
              <w:spacing w:after="120" w:line="280" w:lineRule="atLeast"/>
              <w:rPr>
                <w:rFonts w:eastAsia="Calibri" w:cs="Arial"/>
                <w:sz w:val="18"/>
                <w:szCs w:val="18"/>
              </w:rPr>
            </w:pPr>
            <w:r>
              <w:rPr>
                <w:sz w:val="18"/>
                <w:szCs w:val="18"/>
              </w:rPr>
              <w:lastRenderedPageBreak/>
              <w:t xml:space="preserve">Σε πρώιμο στάδιο της υλοποίησης, τα ΕΑΔ θα πρέπει να επισημαίνουν τις δραστηριότητές τους που προσανατολίζονται στην προώθηση της καινοτομίας (π.χ. κατάρτιση των ενδιαφερόμενων φορέων </w:t>
            </w:r>
            <w:r>
              <w:rPr>
                <w:sz w:val="18"/>
                <w:szCs w:val="18"/>
              </w:rPr>
              <w:lastRenderedPageBreak/>
              <w:t>καινοτομίας, θεματικές ανταλλαγές σχετικά με την καινοτομία, συγκέντρωση ορθών πρακτικών σχετικά με την καινοτομία, στήριξη της σύστασης επιχειρησιακών ομάδων κ.λπ.).</w:t>
            </w:r>
          </w:p>
        </w:tc>
      </w:tr>
      <w:tr w:rsidR="00A45935" w:rsidRPr="00E05D08" w:rsidTr="00E05D08">
        <w:tc>
          <w:tcPr>
            <w:tcW w:w="4508" w:type="dxa"/>
          </w:tcPr>
          <w:p w:rsidR="00A45935" w:rsidRPr="00385368" w:rsidRDefault="00A45935" w:rsidP="00E05D08">
            <w:pPr>
              <w:spacing w:after="120" w:line="280" w:lineRule="atLeast"/>
              <w:rPr>
                <w:rFonts w:eastAsia="Calibri" w:cs="Arial"/>
                <w:sz w:val="18"/>
                <w:szCs w:val="18"/>
              </w:rPr>
            </w:pPr>
            <w:r>
              <w:rPr>
                <w:sz w:val="18"/>
                <w:szCs w:val="18"/>
              </w:rPr>
              <w:lastRenderedPageBreak/>
              <w:t>Η στήριξη αποκλειστικά σε μία μέθοδο (ποιοτική ή ποσοτική) για την ανάλυση των δεδομένων μπορεί να μην αποφέρει αξιόπιστα πορίσματα.</w:t>
            </w:r>
          </w:p>
        </w:tc>
        <w:tc>
          <w:tcPr>
            <w:tcW w:w="4509" w:type="dxa"/>
          </w:tcPr>
          <w:p w:rsidR="00A45935" w:rsidRPr="00385368" w:rsidRDefault="00A45935" w:rsidP="00E05D08">
            <w:pPr>
              <w:spacing w:after="120" w:line="280" w:lineRule="atLeast"/>
              <w:rPr>
                <w:rFonts w:eastAsia="Calibri" w:cs="Arial"/>
                <w:sz w:val="18"/>
                <w:szCs w:val="18"/>
              </w:rPr>
            </w:pPr>
            <w:r>
              <w:rPr>
                <w:sz w:val="18"/>
                <w:szCs w:val="18"/>
              </w:rPr>
              <w:t>Χρήση συνδυασμού μεθόδων αξιολόγησης, για τη συλλογή πληροφοριών σε συνεχή ή εκ των υστέρων βάση, όπως αυτές που προτείνονται ανωτέρω (έρευνες, ομάδες εστίασης, διαγνωστικές μέθοδοι, μελέτες περιπτώσεων) και επιτρέπουν τον τριγωνισμό και την εξασφάλιση αρτιότερων πορισμάτων.</w:t>
            </w:r>
          </w:p>
        </w:tc>
      </w:tr>
    </w:tbl>
    <w:p w:rsidR="00A45935" w:rsidRPr="00E05D08" w:rsidRDefault="000A1DD3" w:rsidP="000A1DD3">
      <w:pPr>
        <w:spacing w:before="120" w:after="120" w:line="280" w:lineRule="atLeast"/>
        <w:mirrorIndents/>
        <w:rPr>
          <w:rFonts w:eastAsia="Times New Roman" w:cs="Times New Roman"/>
          <w:b/>
          <w:szCs w:val="20"/>
        </w:rPr>
      </w:pPr>
      <w:r>
        <w:rPr>
          <w:b/>
          <w:szCs w:val="20"/>
        </w:rPr>
        <w:t>ε.</w:t>
      </w:r>
      <w:r>
        <w:rPr>
          <w:b/>
          <w:szCs w:val="20"/>
        </w:rPr>
        <w:tab/>
      </w:r>
      <w:r w:rsidR="00A45935">
        <w:rPr>
          <w:b/>
          <w:szCs w:val="20"/>
        </w:rPr>
        <w:t>Συμπεράσματα και συστάσεις</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Τα συμπεράσματα και οι συστάσεις θα πρέπει να αφορούν:</w:t>
      </w:r>
    </w:p>
    <w:p w:rsidR="00A45935" w:rsidRPr="00E72529" w:rsidRDefault="00A45935" w:rsidP="00676B41">
      <w:pPr>
        <w:pStyle w:val="Hlistbullet"/>
        <w:rPr>
          <w:rFonts w:eastAsia="Calibri"/>
          <w:shd w:val="clear" w:color="auto" w:fill="FFFFFF"/>
        </w:rPr>
      </w:pPr>
      <w:r>
        <w:rPr>
          <w:b/>
          <w:shd w:val="clear" w:color="auto" w:fill="FFFFFF"/>
        </w:rPr>
        <w:t>Τη συνεισφορά των ΕΑΔ στην προώθηση της καινοτομίας</w:t>
      </w:r>
      <w:r>
        <w:rPr>
          <w:shd w:val="clear" w:color="auto" w:fill="FFFFFF"/>
        </w:rPr>
        <w:t xml:space="preserve"> στη γεωργία, την παραγωγή τροφίμων, τη δασοκομία και τις αγροτικές περιοχές·</w:t>
      </w:r>
    </w:p>
    <w:p w:rsidR="00A45935" w:rsidRPr="00E72529" w:rsidRDefault="00A45935" w:rsidP="00676B41">
      <w:pPr>
        <w:pStyle w:val="Hlistbullet"/>
        <w:rPr>
          <w:rFonts w:eastAsia="Calibri"/>
          <w:shd w:val="clear" w:color="auto" w:fill="FFFFFF"/>
        </w:rPr>
      </w:pPr>
      <w:r>
        <w:rPr>
          <w:b/>
          <w:shd w:val="clear" w:color="auto" w:fill="FFFFFF"/>
        </w:rPr>
        <w:t>Τους κύριους συντελεστές και προϋποθέσεις</w:t>
      </w:r>
      <w:r>
        <w:rPr>
          <w:shd w:val="clear" w:color="auto" w:fill="FFFFFF"/>
        </w:rPr>
        <w:t xml:space="preserve"> που καθιστούν τα ΕΑΔ καθοριστικούς παράγοντες στις διαδραστικές διαδικασίες καινοτομίας·</w:t>
      </w:r>
    </w:p>
    <w:p w:rsidR="00A45935" w:rsidRPr="00E72529" w:rsidRDefault="00A45935" w:rsidP="00676B41">
      <w:pPr>
        <w:pStyle w:val="Hlistbullet"/>
        <w:rPr>
          <w:rFonts w:eastAsia="Calibri"/>
          <w:shd w:val="clear" w:color="auto" w:fill="FFFFFF"/>
        </w:rPr>
      </w:pPr>
      <w:r>
        <w:rPr>
          <w:b/>
          <w:shd w:val="clear" w:color="auto" w:fill="FFFFFF"/>
        </w:rPr>
        <w:t>Τον ρόλο των ΕΑΔ στο σύστημα καινοτομίας</w:t>
      </w:r>
      <w:r>
        <w:rPr>
          <w:shd w:val="clear" w:color="auto" w:fill="FFFFFF"/>
        </w:rPr>
        <w:t>: 1) αναγνώριση της καινοτομίας μέσω της συγκέντρωσης και διάδοσης ορθών πρακτικών, 2) ανάπτυξη της ικανότητας για καινοτομία μέσω κατάρτισης, δικτύωσης, θεματικών και αναλυτικών ανταλλαγών, 3) ανάπτυξη ευνοϊκού περιβάλλοντος για την καινοτομία μέσω της στήριξης και του συντονισμού των επιχειρησιακών ομάδων της ΕΣΚ.</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Περαιτέρω βιβλιογραφία</w:t>
      </w:r>
    </w:p>
    <w:p w:rsidR="00A45935" w:rsidRPr="00E05D08" w:rsidRDefault="00A45935" w:rsidP="00E05D08">
      <w:pPr>
        <w:spacing w:after="120" w:line="280" w:lineRule="atLeast"/>
        <w:mirrorIndents/>
        <w:rPr>
          <w:rFonts w:eastAsia="Calibri" w:cs="Times New Roman"/>
          <w:szCs w:val="20"/>
        </w:rPr>
      </w:pPr>
      <w:r>
        <w:rPr>
          <w:rFonts w:eastAsia="Times New Roman" w:cs="Times New Roman"/>
          <w:noProof/>
          <w:sz w:val="18"/>
          <w:szCs w:val="24"/>
          <w:lang w:val="en-GB" w:eastAsia="en-GB"/>
        </w:rPr>
        <mc:AlternateContent>
          <mc:Choice Requires="wps">
            <w:drawing>
              <wp:inline distT="0" distB="0" distL="0" distR="0" wp14:anchorId="292C2586" wp14:editId="3491ED4B">
                <wp:extent cx="5671524" cy="3752967"/>
                <wp:effectExtent l="0" t="0" r="24765" b="19050"/>
                <wp:docPr id="552" name="Rectangle: Diagonal Corners Rounded 552"/>
                <wp:cNvGraphicFramePr/>
                <a:graphic xmlns:a="http://schemas.openxmlformats.org/drawingml/2006/main">
                  <a:graphicData uri="http://schemas.microsoft.com/office/word/2010/wordprocessingShape">
                    <wps:wsp>
                      <wps:cNvSpPr/>
                      <wps:spPr>
                        <a:xfrm>
                          <a:off x="0" y="0"/>
                          <a:ext cx="5671524" cy="3752967"/>
                        </a:xfrm>
                        <a:prstGeom prst="round2DiagRect">
                          <a:avLst>
                            <a:gd name="adj1" fmla="val 9900"/>
                            <a:gd name="adj2" fmla="val 0"/>
                          </a:avLst>
                        </a:prstGeom>
                        <a:noFill/>
                        <a:ln w="25400" cap="flat" cmpd="sng" algn="ctr">
                          <a:solidFill>
                            <a:srgbClr val="59638E"/>
                          </a:solidFill>
                          <a:prstDash val="solid"/>
                        </a:ln>
                        <a:effectLst/>
                      </wps:spPr>
                      <wps:txbx>
                        <w:txbxContent>
                          <w:p w:rsidR="00272EFF" w:rsidRDefault="00272EFF" w:rsidP="00E05D08">
                            <w:pPr>
                              <w:pStyle w:val="HStandard"/>
                              <w:rPr>
                                <w:color w:val="000000"/>
                                <w:sz w:val="18"/>
                              </w:rPr>
                            </w:pPr>
                            <w:r>
                              <w:rPr>
                                <w:noProof/>
                                <w:lang w:val="en-GB" w:eastAsia="en-GB"/>
                              </w:rPr>
                              <w:drawing>
                                <wp:inline distT="0" distB="0" distL="0" distR="0" wp14:anchorId="76761D46" wp14:editId="2C4DED9C">
                                  <wp:extent cx="360465" cy="360000"/>
                                  <wp:effectExtent l="0" t="0" r="1905" b="2540"/>
                                  <wp:docPr id="713"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272EFF" w:rsidRPr="00651910" w:rsidRDefault="00272EFF" w:rsidP="00E05D08">
                            <w:pPr>
                              <w:pStyle w:val="HStandard"/>
                              <w:rPr>
                                <w:sz w:val="18"/>
                                <w:szCs w:val="18"/>
                              </w:rPr>
                            </w:pPr>
                            <w:r w:rsidRPr="00651910">
                              <w:rPr>
                                <w:sz w:val="18"/>
                                <w:szCs w:val="18"/>
                              </w:rPr>
                              <w:t>Ευρωπαϊκό Helpdesk αξιολόγησης (2016). Κατευθυντήριες γραμμές «</w:t>
                            </w:r>
                            <w:hyperlink r:id="rId63" w:history="1">
                              <w:r w:rsidRPr="00651910">
                                <w:rPr>
                                  <w:color w:val="F07E31"/>
                                  <w:sz w:val="18"/>
                                  <w:szCs w:val="18"/>
                                  <w:u w:val="single"/>
                                </w:rPr>
                                <w:t>Assessment of RDP results:</w:t>
                              </w:r>
                            </w:hyperlink>
                            <w:hyperlink r:id="rId64" w:history="1">
                              <w:r w:rsidRPr="00651910">
                                <w:rPr>
                                  <w:color w:val="F07E31"/>
                                  <w:sz w:val="18"/>
                                  <w:szCs w:val="18"/>
                                  <w:u w:val="single"/>
                                </w:rPr>
                                <w:t>How to prepare for reporting on evaluation in 2017</w:t>
                              </w:r>
                            </w:hyperlink>
                            <w:r w:rsidRPr="00651910">
                              <w:rPr>
                                <w:sz w:val="18"/>
                                <w:szCs w:val="18"/>
                              </w:rPr>
                              <w:t xml:space="preserve">» (Αξιολόγηση των αποτελεσμάτων του ΠΑΑ: Τρόπος προετοιμασίας για την υποβολή εκθέσεων σχετικά με την αξιολόγηση το 2017), παράρτημα 11 </w:t>
                            </w:r>
                          </w:p>
                          <w:p w:rsidR="00272EFF" w:rsidRPr="00651910" w:rsidRDefault="00272EFF" w:rsidP="00E05D08">
                            <w:pPr>
                              <w:pStyle w:val="HStandard"/>
                              <w:rPr>
                                <w:sz w:val="18"/>
                                <w:szCs w:val="18"/>
                              </w:rPr>
                            </w:pPr>
                            <w:r w:rsidRPr="00651910">
                              <w:rPr>
                                <w:sz w:val="18"/>
                                <w:szCs w:val="18"/>
                              </w:rPr>
                              <w:t>ΕΔΑΑ (2014).</w:t>
                            </w:r>
                            <w:hyperlink r:id="rId65" w:history="1">
                              <w:r w:rsidRPr="00651910">
                                <w:rPr>
                                  <w:rStyle w:val="Hyperlink"/>
                                  <w:sz w:val="18"/>
                                  <w:szCs w:val="18"/>
                                </w:rPr>
                                <w:t>NRN Guidebook</w:t>
                              </w:r>
                            </w:hyperlink>
                            <w:r w:rsidRPr="00651910">
                              <w:rPr>
                                <w:sz w:val="18"/>
                                <w:szCs w:val="18"/>
                              </w:rPr>
                              <w:t xml:space="preserve"> (Οδηγός ΕΑΔ). Λουξεμβούργο, Υπηρεσία εκδόσεων</w:t>
                            </w:r>
                          </w:p>
                          <w:p w:rsidR="00272EFF" w:rsidRPr="00651910" w:rsidRDefault="00272EFF" w:rsidP="00E05D08">
                            <w:pPr>
                              <w:pStyle w:val="HStandard"/>
                              <w:rPr>
                                <w:sz w:val="18"/>
                                <w:szCs w:val="18"/>
                              </w:rPr>
                            </w:pPr>
                            <w:r w:rsidRPr="00651910">
                              <w:rPr>
                                <w:sz w:val="18"/>
                                <w:szCs w:val="18"/>
                              </w:rPr>
                              <w:t xml:space="preserve">Ευρωπαϊκό Helpdesk αξιολόγησης (2016), Κατευθυντήριες γραμμές </w:t>
                            </w:r>
                            <w:hyperlink r:id="rId66" w:history="1">
                              <w:r w:rsidRPr="00651910">
                                <w:rPr>
                                  <w:rStyle w:val="Hyperlink"/>
                                  <w:sz w:val="18"/>
                                  <w:szCs w:val="18"/>
                                </w:rPr>
                                <w:t>Evaluation of National Rural Networks 2014-2020</w:t>
                              </w:r>
                            </w:hyperlink>
                            <w:r w:rsidRPr="00651910">
                              <w:rPr>
                                <w:sz w:val="18"/>
                                <w:szCs w:val="18"/>
                              </w:rPr>
                              <w:t xml:space="preserve"> (Αξιολόγηση των προγραμμάτων αγροτικής ανάπτυξης της περιόδου 2014-2020)</w:t>
                            </w:r>
                          </w:p>
                          <w:p w:rsidR="00272EFF" w:rsidRPr="00651910" w:rsidRDefault="00272EFF" w:rsidP="00E05D08">
                            <w:pPr>
                              <w:pStyle w:val="HStandard"/>
                              <w:rPr>
                                <w:sz w:val="18"/>
                                <w:szCs w:val="18"/>
                              </w:rPr>
                            </w:pPr>
                            <w:r w:rsidRPr="00651910">
                              <w:rPr>
                                <w:sz w:val="18"/>
                                <w:szCs w:val="18"/>
                              </w:rPr>
                              <w:t xml:space="preserve">Ευρωπαϊκή Επιτροπή, ΓΔ AGRI (2014). </w:t>
                            </w:r>
                            <w:hyperlink r:id="rId67" w:history="1">
                              <w:r w:rsidRPr="00651910">
                                <w:rPr>
                                  <w:rStyle w:val="Hyperlink"/>
                                  <w:sz w:val="18"/>
                                  <w:szCs w:val="18"/>
                                </w:rPr>
                                <w:t>Guidelines on programming for innovation and the implementation of the EIP for agricultural productivity and sustainability</w:t>
                              </w:r>
                            </w:hyperlink>
                            <w:r w:rsidRPr="00651910">
                              <w:rPr>
                                <w:sz w:val="18"/>
                                <w:szCs w:val="18"/>
                              </w:rPr>
                              <w:t xml:space="preserve"> (Κατευθυντήριες γραμμές σχετικά με τον προγραμματισμό της καινοτομίας και την εφαρμογή της ΕΣΚ για την παραγωγικότητα και τη βιωσιμότητα της γεωργίας)</w:t>
                            </w:r>
                          </w:p>
                          <w:p w:rsidR="00272EFF" w:rsidRPr="00651910" w:rsidRDefault="00272EFF" w:rsidP="00E05D08">
                            <w:pPr>
                              <w:pStyle w:val="HStandard"/>
                              <w:rPr>
                                <w:sz w:val="18"/>
                                <w:szCs w:val="18"/>
                              </w:rPr>
                            </w:pPr>
                            <w:r w:rsidRPr="00651910">
                              <w:rPr>
                                <w:sz w:val="18"/>
                                <w:szCs w:val="18"/>
                              </w:rPr>
                              <w:t xml:space="preserve">Ευρωπαϊκό Helpdesk αξιολόγησης (2014). Λογική παρέμβασης και πλαίσιο αξιολόγησης των εθνικών αγροτικών δικτύων της περιόδου 2014-2020. Έγγραφο αναφοράς που παρουσιάστηκε στο </w:t>
                            </w:r>
                            <w:hyperlink r:id="rId68" w:history="1">
                              <w:r w:rsidRPr="00651910">
                                <w:rPr>
                                  <w:rStyle w:val="Hyperlink"/>
                                  <w:sz w:val="18"/>
                                  <w:szCs w:val="18"/>
                                </w:rPr>
                                <w:t>Εργαστήριο ορθών πρακτικών «National Rural Networks:</w:t>
                              </w:r>
                            </w:hyperlink>
                            <w:hyperlink r:id="rId69" w:history="1">
                              <w:r w:rsidRPr="00651910">
                                <w:rPr>
                                  <w:rStyle w:val="Hyperlink"/>
                                  <w:sz w:val="18"/>
                                  <w:szCs w:val="18"/>
                                </w:rPr>
                                <w:t>How to show their benefits</w:t>
                              </w:r>
                            </w:hyperlink>
                            <w:r w:rsidRPr="00651910">
                              <w:rPr>
                                <w:color w:val="F07E31"/>
                                <w:sz w:val="18"/>
                                <w:szCs w:val="18"/>
                              </w:rPr>
                              <w:t>»</w:t>
                            </w:r>
                            <w:r w:rsidRPr="00651910">
                              <w:rPr>
                                <w:sz w:val="18"/>
                                <w:szCs w:val="18"/>
                              </w:rPr>
                              <w:t xml:space="preserve"> (Εθνικά αγροτικά δίκτυα: Πώς θα αναδειχθούν τα οφέλη τους), Ρώμη (Ιταλία), 10 και 11 Απιριλίου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2C2586" id="Rectangle: Diagonal Corners Rounded 552" o:spid="_x0000_s1052" style="width:446.6pt;height:295.5pt;visibility:visible;mso-wrap-style:square;mso-left-percent:-10001;mso-top-percent:-10001;mso-position-horizontal:absolute;mso-position-horizontal-relative:char;mso-position-vertical:absolute;mso-position-vertical-relative:line;mso-left-percent:-10001;mso-top-percent:-10001;v-text-anchor:middle" coordsize="5671524,37529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" adj="-11796480,,5400" path="m371544,l5671524,r,l5671524,3381423v,205198,-166346,371544,-371544,371544l,3752967r,l,371544c,166346,166346,,371544,xe" filled="f" strokecolor="#59638e" strokeweight="2pt">
                <v:stroke joinstyle="miter"/>
                <v:formulas/>
                <v:path arrowok="t" o:connecttype="custom" o:connectlocs="371544,0;5671524,0;5671524,0;5671524,3381423;5299980,3752967;0,3752967;0,3752967;0,371544;371544,0" o:connectangles="0,0,0,0,0,0,0,0,0" textboxrect="0,0,5671524,3752967"/>
                <v:textbox>
                  <w:txbxContent>
                    <w:p w:rsidR="00272EFF" w:rsidRDefault="00272EFF" w:rsidP="00E05D08">
                      <w:pPr>
                        <w:pStyle w:val="HStandard"/>
                        <w:rPr>
                          <w:color w:val="000000"/>
                          <w:sz w:val="18"/>
                        </w:rPr>
                      </w:pPr>
                      <w:r>
                        <w:rPr>
                          <w:noProof/>
                          <w:lang w:val="en-GB" w:eastAsia="en-GB"/>
                        </w:rPr>
                        <w:drawing>
                          <wp:inline distT="0" distB="0" distL="0" distR="0" wp14:anchorId="76761D46" wp14:editId="2C4DED9C">
                            <wp:extent cx="360465" cy="360000"/>
                            <wp:effectExtent l="0" t="0" r="1905" b="2540"/>
                            <wp:docPr id="713"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272EFF" w:rsidRPr="00651910" w:rsidRDefault="00272EFF" w:rsidP="00E05D08">
                      <w:pPr>
                        <w:pStyle w:val="HStandard"/>
                        <w:rPr>
                          <w:sz w:val="18"/>
                          <w:szCs w:val="18"/>
                        </w:rPr>
                      </w:pPr>
                      <w:r w:rsidRPr="00651910">
                        <w:rPr>
                          <w:sz w:val="18"/>
                          <w:szCs w:val="18"/>
                        </w:rPr>
                        <w:t>Ευρωπαϊκό Helpdesk αξιολόγησης (2016). Κατευθυντήριες γραμμές «</w:t>
                      </w:r>
                      <w:hyperlink r:id="rId70" w:history="1">
                        <w:r w:rsidRPr="00651910">
                          <w:rPr>
                            <w:color w:val="F07E31"/>
                            <w:sz w:val="18"/>
                            <w:szCs w:val="18"/>
                            <w:u w:val="single"/>
                          </w:rPr>
                          <w:t>Assessment of RDP results:</w:t>
                        </w:r>
                      </w:hyperlink>
                      <w:hyperlink r:id="rId71" w:history="1">
                        <w:r w:rsidRPr="00651910">
                          <w:rPr>
                            <w:color w:val="F07E31"/>
                            <w:sz w:val="18"/>
                            <w:szCs w:val="18"/>
                            <w:u w:val="single"/>
                          </w:rPr>
                          <w:t>How to prepare for reporting on evaluation in 2017</w:t>
                        </w:r>
                      </w:hyperlink>
                      <w:r w:rsidRPr="00651910">
                        <w:rPr>
                          <w:sz w:val="18"/>
                          <w:szCs w:val="18"/>
                        </w:rPr>
                        <w:t xml:space="preserve">» (Αξιολόγηση των αποτελεσμάτων του ΠΑΑ: Τρόπος προετοιμασίας για την υποβολή εκθέσεων σχετικά με την αξιολόγηση το 2017), παράρτημα 11 </w:t>
                      </w:r>
                    </w:p>
                    <w:p w:rsidR="00272EFF" w:rsidRPr="00651910" w:rsidRDefault="00272EFF" w:rsidP="00E05D08">
                      <w:pPr>
                        <w:pStyle w:val="HStandard"/>
                        <w:rPr>
                          <w:sz w:val="18"/>
                          <w:szCs w:val="18"/>
                        </w:rPr>
                      </w:pPr>
                      <w:r w:rsidRPr="00651910">
                        <w:rPr>
                          <w:sz w:val="18"/>
                          <w:szCs w:val="18"/>
                        </w:rPr>
                        <w:t>ΕΔΑΑ (2014).</w:t>
                      </w:r>
                      <w:hyperlink r:id="rId72" w:history="1">
                        <w:r w:rsidRPr="00651910">
                          <w:rPr>
                            <w:rStyle w:val="Hyperlink"/>
                            <w:sz w:val="18"/>
                            <w:szCs w:val="18"/>
                          </w:rPr>
                          <w:t>NRN Guidebook</w:t>
                        </w:r>
                      </w:hyperlink>
                      <w:r w:rsidRPr="00651910">
                        <w:rPr>
                          <w:sz w:val="18"/>
                          <w:szCs w:val="18"/>
                        </w:rPr>
                        <w:t xml:space="preserve"> (Οδηγός ΕΑΔ). Λουξεμβούργο, Υπηρεσία εκδόσεων</w:t>
                      </w:r>
                    </w:p>
                    <w:p w:rsidR="00272EFF" w:rsidRPr="00651910" w:rsidRDefault="00272EFF" w:rsidP="00E05D08">
                      <w:pPr>
                        <w:pStyle w:val="HStandard"/>
                        <w:rPr>
                          <w:sz w:val="18"/>
                          <w:szCs w:val="18"/>
                        </w:rPr>
                      </w:pPr>
                      <w:r w:rsidRPr="00651910">
                        <w:rPr>
                          <w:sz w:val="18"/>
                          <w:szCs w:val="18"/>
                        </w:rPr>
                        <w:t xml:space="preserve">Ευρωπαϊκό Helpdesk αξιολόγησης (2016), Κατευθυντήριες γραμμές </w:t>
                      </w:r>
                      <w:hyperlink r:id="rId73" w:history="1">
                        <w:r w:rsidRPr="00651910">
                          <w:rPr>
                            <w:rStyle w:val="Hyperlink"/>
                            <w:sz w:val="18"/>
                            <w:szCs w:val="18"/>
                          </w:rPr>
                          <w:t>Evaluation of National Rural Networks 2014-2020</w:t>
                        </w:r>
                      </w:hyperlink>
                      <w:r w:rsidRPr="00651910">
                        <w:rPr>
                          <w:sz w:val="18"/>
                          <w:szCs w:val="18"/>
                        </w:rPr>
                        <w:t xml:space="preserve"> (Αξιολόγηση των προγραμμάτων αγροτικής ανάπτυξης της περιόδου 2014-2020)</w:t>
                      </w:r>
                    </w:p>
                    <w:p w:rsidR="00272EFF" w:rsidRPr="00651910" w:rsidRDefault="00272EFF" w:rsidP="00E05D08">
                      <w:pPr>
                        <w:pStyle w:val="HStandard"/>
                        <w:rPr>
                          <w:sz w:val="18"/>
                          <w:szCs w:val="18"/>
                        </w:rPr>
                      </w:pPr>
                      <w:r w:rsidRPr="00651910">
                        <w:rPr>
                          <w:sz w:val="18"/>
                          <w:szCs w:val="18"/>
                        </w:rPr>
                        <w:t xml:space="preserve">Ευρωπαϊκή Επιτροπή, ΓΔ AGRI (2014). </w:t>
                      </w:r>
                      <w:hyperlink r:id="rId74" w:history="1">
                        <w:r w:rsidRPr="00651910">
                          <w:rPr>
                            <w:rStyle w:val="Hyperlink"/>
                            <w:sz w:val="18"/>
                            <w:szCs w:val="18"/>
                          </w:rPr>
                          <w:t>Guidelines on programming for innovation and the implementation of the EIP for agricultural productivity and sustainability</w:t>
                        </w:r>
                      </w:hyperlink>
                      <w:r w:rsidRPr="00651910">
                        <w:rPr>
                          <w:sz w:val="18"/>
                          <w:szCs w:val="18"/>
                        </w:rPr>
                        <w:t xml:space="preserve"> (Κατευθυντήριες γραμμές σχετικά με τον προγραμματισμό της καινοτομίας και την εφαρμογή της ΕΣΚ για την παραγωγικότητα και τη βιωσιμότητα της γεωργίας)</w:t>
                      </w:r>
                    </w:p>
                    <w:p w:rsidR="00272EFF" w:rsidRPr="00651910" w:rsidRDefault="00272EFF" w:rsidP="00E05D08">
                      <w:pPr>
                        <w:pStyle w:val="HStandard"/>
                        <w:rPr>
                          <w:sz w:val="18"/>
                          <w:szCs w:val="18"/>
                        </w:rPr>
                      </w:pPr>
                      <w:r w:rsidRPr="00651910">
                        <w:rPr>
                          <w:sz w:val="18"/>
                          <w:szCs w:val="18"/>
                        </w:rPr>
                        <w:t xml:space="preserve">Ευρωπαϊκό Helpdesk αξιολόγησης (2014). Λογική παρέμβασης και πλαίσιο αξιολόγησης των εθνικών αγροτικών δικτύων της περιόδου 2014-2020. Έγγραφο αναφοράς που παρουσιάστηκε στο </w:t>
                      </w:r>
                      <w:hyperlink r:id="rId75" w:history="1">
                        <w:r w:rsidRPr="00651910">
                          <w:rPr>
                            <w:rStyle w:val="Hyperlink"/>
                            <w:sz w:val="18"/>
                            <w:szCs w:val="18"/>
                          </w:rPr>
                          <w:t>Εργαστήριο ορθών πρακτικών «National Rural Networks:</w:t>
                        </w:r>
                      </w:hyperlink>
                      <w:hyperlink r:id="rId76" w:history="1">
                        <w:r w:rsidRPr="00651910">
                          <w:rPr>
                            <w:rStyle w:val="Hyperlink"/>
                            <w:sz w:val="18"/>
                            <w:szCs w:val="18"/>
                          </w:rPr>
                          <w:t>How to show their benefits</w:t>
                        </w:r>
                      </w:hyperlink>
                      <w:r w:rsidRPr="00651910">
                        <w:rPr>
                          <w:color w:val="F07E31"/>
                          <w:sz w:val="18"/>
                          <w:szCs w:val="18"/>
                        </w:rPr>
                        <w:t>»</w:t>
                      </w:r>
                      <w:r w:rsidRPr="00651910">
                        <w:rPr>
                          <w:sz w:val="18"/>
                          <w:szCs w:val="18"/>
                        </w:rPr>
                        <w:t xml:space="preserve"> (Εθνικά αγροτικά δίκτυα: Πώς θα αναδειχθούν τα οφέλη τους), Ρώμη (Ιταλία), 10 και 11 Απιριλίου 2014</w:t>
                      </w:r>
                    </w:p>
                  </w:txbxContent>
                </v:textbox>
                <w10:anchorlock/>
              </v:shape>
            </w:pict>
          </mc:Fallback>
        </mc:AlternateContent>
      </w:r>
    </w:p>
    <w:p w:rsidR="00A45935" w:rsidRPr="006871D2" w:rsidRDefault="00A45935" w:rsidP="00F66623">
      <w:pPr>
        <w:pStyle w:val="HHeading3"/>
        <w:numPr>
          <w:ilvl w:val="2"/>
          <w:numId w:val="124"/>
        </w:numPr>
        <w:tabs>
          <w:tab w:val="clear" w:pos="567"/>
        </w:tabs>
        <w:spacing w:before="480" w:line="280" w:lineRule="exact"/>
        <w:ind w:left="567" w:hanging="567"/>
      </w:pPr>
      <w:bookmarkStart w:id="121" w:name="_Toc501382134"/>
      <w:bookmarkStart w:id="122" w:name="_Toc508964821"/>
      <w:r>
        <w:lastRenderedPageBreak/>
        <w:t>ΚΕΑ αριθ. 23: «Σε ποιο βαθμό έχει συμβάλει το ΠΑΑ στην επίτευξη του πρωταρχικού στόχου της στρατηγικής «Ευρώπη 2020» όσον αφορά την επένδυση του 3 % του ΑΕΠ της ΕΕ στην έρευνα, την ανάπτυξη και την καινοτομία;»</w:t>
      </w:r>
      <w:bookmarkEnd w:id="121"/>
      <w:bookmarkEnd w:id="122"/>
      <w:r>
        <w:t xml:space="preserve">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Κατανόηση του ΚΕΑ</w:t>
      </w:r>
    </w:p>
    <w:p w:rsidR="00A45935" w:rsidRPr="00E05D08" w:rsidRDefault="00A45935" w:rsidP="00E05D08">
      <w:pPr>
        <w:spacing w:after="120" w:line="280" w:lineRule="atLeast"/>
        <w:mirrorIndents/>
        <w:rPr>
          <w:rFonts w:eastAsia="Times New Roman" w:cs="Times New Roman"/>
          <w:szCs w:val="20"/>
        </w:rPr>
      </w:pPr>
      <w:r>
        <w:t xml:space="preserve">Το ΚΕΑ σχετίζεται με έναν από τους πέντε πρωταρχικούς στόχους της στρατηγικής «Ευρώπη 2020»: «επένδυση του 3 % του ΑΕΠ της ΕΕ στην Ε&amp;Α/καινοτομία». Για να κατανοηθεί το ερώτημα, θα πρέπει να αναγνωριστεί το πλαίσιο και οι διαστάσεις του πρωταρχικού στόχου και, προπάντων, ο σκοπός του για βελτίωση των συνθηκών για την καινοτομία, την έρευνα και την ανάπτυξη, με συνδυασμένη χρήση δημόσιων και ιδιωτικών πόρων. </w:t>
      </w:r>
    </w:p>
    <w:p w:rsidR="00A45935" w:rsidRPr="00E05D08" w:rsidRDefault="00A45935" w:rsidP="00E05D08">
      <w:pPr>
        <w:spacing w:after="120" w:line="280" w:lineRule="atLeast"/>
        <w:mirrorIndents/>
        <w:rPr>
          <w:rFonts w:eastAsia="Times New Roman" w:cs="Times New Roman"/>
          <w:szCs w:val="20"/>
        </w:rPr>
      </w:pPr>
      <w:r>
        <w:t xml:space="preserve">Ο πρωταρχικός στόχος συνδέεται με τις προτεραιότητες της στρατηγικής «Ευρώπη 2020» για έξυπνη, βιώσιμη και χωρίς αποκλεισμούς ανάπτυξη που βασίζεται στη γνώση και στην καινοτομία. Η προσοχή επικεντρώνεται στην ανάγκη τόσο ο δημόσιος όσο και ο ιδιωτικός τομέας να επενδύσουν στην Ε&amp;Α, αλλά εστιάζεται </w:t>
      </w:r>
      <w:r>
        <w:rPr>
          <w:b/>
          <w:szCs w:val="20"/>
        </w:rPr>
        <w:t>περισσότερο στις εισροές παρά στις επιπτώσεις</w:t>
      </w:r>
      <w:r>
        <w:rPr>
          <w:rFonts w:eastAsia="Times New Roman" w:cs="Times New Roman"/>
          <w:szCs w:val="20"/>
          <w:vertAlign w:val="superscript"/>
          <w:lang w:eastAsia="de-DE"/>
        </w:rPr>
        <w:footnoteReference w:id="68"/>
      </w:r>
      <w:r>
        <w:t xml:space="preserve">. Υπάρχει σαφής ανάγκη να βελτιωθούν οι συνθήκες για την ιδιωτική Ε&amp;Α στην ΕΕ και πολλά από τα μέτρα που προτείνονται στην εν λόγω στρατηγική θα το πραγματοποιήσουν. Είναι επίσης σαφές ότι αντιμετωπίζοντας από κοινού την Ε&amp;Α και την καινοτομία θα διαθέτουμε ένα ευρύτερο φάσμα δαπάνης το οποίο θα είναι πιο συναφές για τις επιχειρηματικές δραστηριότητες και για τους παράγοντες που ρυθμίζουν την παραγωγικότητα. Η Επιτροπή προτείνει να διατηρηθεί ο στόχος του 3 % και να καθοριστεί παράλληλα δείκτης που θα αντικατοπτρίζει την ένταση Ε&amp;Α και καινοτομίας. </w:t>
      </w:r>
    </w:p>
    <w:p w:rsidR="00A45935" w:rsidRPr="00E05D08" w:rsidRDefault="00A45935" w:rsidP="00E05D08">
      <w:pPr>
        <w:spacing w:after="120" w:line="280" w:lineRule="atLeast"/>
        <w:mirrorIndents/>
        <w:rPr>
          <w:rFonts w:eastAsia="Times New Roman" w:cs="Times New Roman"/>
          <w:szCs w:val="20"/>
        </w:rPr>
      </w:pPr>
      <w:r>
        <w:t>Αυτός ο πρωταρχικός στόχος έχει πάρει τη μορφή εθνικών στόχων στα κράτη μέλη της ΕΕ, οι οποίοι αντικατοπτρίζουν τις διαφορετικές καταστάσεις και συνθήκες, ούτως ώστε κάθε κράτος μέλος να μπορεί να ελέγχει την πρόοδο που επιτυγχάνει σε σχέση με τους στόχους της στρατηγικής «Ευρώπη 2020»</w:t>
      </w:r>
      <w:r>
        <w:rPr>
          <w:rFonts w:eastAsia="Times New Roman" w:cs="Times New Roman"/>
          <w:szCs w:val="20"/>
          <w:vertAlign w:val="superscript"/>
          <w:lang w:eastAsia="de-DE"/>
        </w:rPr>
        <w:footnoteReference w:id="69"/>
      </w:r>
      <w:r>
        <w:t xml:space="preserve">.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 xml:space="preserve">Ειδικές προκλήσεις </w:t>
      </w:r>
    </w:p>
    <w:p w:rsidR="00A45935" w:rsidRPr="006C63CD" w:rsidRDefault="00A45935" w:rsidP="00676B41">
      <w:pPr>
        <w:pStyle w:val="Hlistbullet"/>
      </w:pPr>
      <w:r>
        <w:rPr>
          <w:b/>
        </w:rPr>
        <w:t xml:space="preserve">Διαχείριση δεδομένων για την εξασφάλιση υψηλής ποιότητας δεδομένων για την Ε&amp;Α και την καινοτομία: </w:t>
      </w:r>
      <w:r>
        <w:t>Η Eurostat δημοσιεύει σε τακτική βάση εμπεριστατωμένη έκθεση προόδου σχετικά με τον δείκτη του πρωταρχικού στόχου</w:t>
      </w:r>
      <w:r>
        <w:rPr>
          <w:vertAlign w:val="superscript"/>
        </w:rPr>
        <w:footnoteReference w:id="70"/>
      </w:r>
      <w:r>
        <w:t>. Η συγκέντρωση δεδομένων γίνεται με γνώμονα το εγχειρίδιο Frascati (ΟΟΣΑ)</w:t>
      </w:r>
      <w:r>
        <w:rPr>
          <w:vertAlign w:val="superscript"/>
        </w:rPr>
        <w:footnoteReference w:id="71"/>
      </w:r>
      <w:r>
        <w:t xml:space="preserve"> και ειδικούς κανονισμούς της ΕΕ</w:t>
      </w:r>
      <w:r>
        <w:rPr>
          <w:vertAlign w:val="superscript"/>
        </w:rPr>
        <w:footnoteReference w:id="72"/>
      </w:r>
      <w:r>
        <w:t xml:space="preserve">. Το εγχειρίδιο Frascati συνιστά επίσης τη βάση για τη συγκέντρωση δεδομένων σχετικά με τον υποκατάστατο δείκτη του </w:t>
      </w:r>
      <w:r>
        <w:rPr>
          <w:shd w:val="clear" w:color="auto" w:fill="FFFFFF"/>
        </w:rPr>
        <w:t>πρωταρχικού</w:t>
      </w:r>
      <w:r>
        <w:t xml:space="preserve"> στόχου, τον δείκτη «ακαθάριστη εγχώρια δαπάνη για Ε&amp;Α (GERD)», τα οποία συγκεντρώνονται από τη Eurostat</w:t>
      </w:r>
      <w:r>
        <w:rPr>
          <w:vertAlign w:val="superscript"/>
        </w:rPr>
        <w:footnoteReference w:id="73"/>
      </w:r>
      <w:r>
        <w:t xml:space="preserve">. Ο εν λόγω δείκτης περιλαμβάνει τις δαπάνες </w:t>
      </w:r>
      <w:r>
        <w:rPr>
          <w:color w:val="333333"/>
          <w:shd w:val="clear" w:color="auto" w:fill="FFFFFF"/>
        </w:rPr>
        <w:t>για έρευνα και ανάπτυξη από επιχειρήσεις, ανώτατα εκπαιδευτικά ιδρύματα, καθώς και το δημόσιο και ιδιωτικούς, μη κερδοσκοπικούς οργανισμούς.</w:t>
      </w:r>
      <w:r>
        <w:t xml:space="preserve"> Ο δείκτης GERD παρέχεται από τη Eurostat για τα επίπεδα NUTS 1 και NUTS 2. Ο δείκτης «ποσοστό % του συνολικού GERD» απεικονίζει τα </w:t>
      </w:r>
      <w:r>
        <w:rPr>
          <w:color w:val="333333"/>
          <w:shd w:val="clear" w:color="auto" w:fill="FFFFFF"/>
        </w:rPr>
        <w:t xml:space="preserve">σχετικά μερίδια των διαφόρων πηγών χρηματοδότησης της Ε&amp;Α: βιομηχανία, δημόσιο, ανώτατη εκπαίδευση και ιδιωτικός μη κερδοσκοπικός τομέας. Η πέμπτη πηγή χρηματοδότησης που παρουσιάζεται, είναι η χρηματοδότηση του GERD από το εξωτερικό. </w:t>
      </w:r>
      <w:r>
        <w:t xml:space="preserve">Ο δείκτης </w:t>
      </w:r>
      <w:r>
        <w:rPr>
          <w:color w:val="333333"/>
          <w:shd w:val="clear" w:color="auto" w:fill="FFFFFF"/>
        </w:rPr>
        <w:t>«</w:t>
      </w:r>
      <w:r>
        <w:t>ποσοστό % του συνολικού GERD»</w:t>
      </w:r>
      <w:r>
        <w:rPr>
          <w:color w:val="333333"/>
          <w:shd w:val="clear" w:color="auto" w:fill="FFFFFF"/>
        </w:rPr>
        <w:t xml:space="preserve"> παρέχεται για το επίπεδο NUTS 1. Παρότι η Eurostat δημοσιεύει τα πιο πρόσφατα δεδομένα, υπάρχει χρονική υστέρηση 2 έως 3 ετών. </w:t>
      </w:r>
      <w:r>
        <w:t xml:space="preserve">Η Eurostat δεν παρέχει </w:t>
      </w:r>
      <w:r>
        <w:lastRenderedPageBreak/>
        <w:t xml:space="preserve">δεδομένα για τον GERD και το ποσοστό % του συνολικού GERD ανά οικονομικό τομέα (π.χ. βιομηχανία τροφίμων, γεωργία). Παρότι τα στατιστικά στοιχεία αναφέρονται ρητά στις δαπάνες για έρευνα και ανάπτυξη, στην πραγματικότητα περιλαμβάνουν επίσης </w:t>
      </w:r>
      <w:r>
        <w:rPr>
          <w:b/>
        </w:rPr>
        <w:t>δαπάνες για καινοτομία</w:t>
      </w:r>
      <w:r>
        <w:t xml:space="preserve"> έως έναν βαθμό, όπως ορίζεται από τη στρατηγική «Ευρώπη 2020». Όσον αφορά τα χρηματοδοτικά προγράμματα </w:t>
      </w:r>
      <w:r>
        <w:rPr>
          <w:color w:val="333333"/>
          <w:shd w:val="clear" w:color="auto" w:fill="FFFFFF"/>
        </w:rPr>
        <w:t>που</w:t>
      </w:r>
      <w:r>
        <w:t xml:space="preserve"> προωθούν την καινοτομία, ένα σημείο αναφοράς είναι το εγχειρίδιο Frascati. Καταμετρά τις επιστημονικές, τεχνολογικές δραστηριότητες και δραστηριότητες καινοτομίας, αν και το όριο ανάμεσα στις δραστηριότητες Ε&amp;Α και τις δραστηριότητες καινοτομίας δεν είναι πάντοτε απολύτως ευδιάκριτο. </w:t>
      </w:r>
    </w:p>
    <w:p w:rsidR="00A45935" w:rsidRPr="006C63CD" w:rsidRDefault="00A45935" w:rsidP="00651910">
      <w:pPr>
        <w:pStyle w:val="Hlistbullet"/>
        <w:ind w:left="0" w:firstLine="0"/>
      </w:pPr>
      <w:r>
        <w:rPr>
          <w:b/>
        </w:rPr>
        <w:t xml:space="preserve">Εκτίμηση της συνεισφοράς του ΠΑΑ στον πρωταρχικό στόχο: </w:t>
      </w:r>
      <w:r>
        <w:t>Η πρόκληση είναι να αντικατοπτριστούν με ικανοποιητικό και ρεαλιστικό τρόπο οι συνεισφορές του ΠΑΑ στον πρωταρχικό στόχο, λαμβανομένου υπόψη του προσανατολισμού των προγραμμάτων προς τη στρατηγική «Ευρώπη 2020». Στο πλαίσιο αυτής της εργασίας αξιολόγησης, είναι επίσης απαραίτητο να ληφθούν υπόψη τα χαρακτηριστικά των παρεμβάσεων του ΕΓΤΑΑ και οι ιδιαιτερότητες των αγροτικών περιοχών και τομέων στο πλαίσιο των οποίων λειτουργούν. Δεδομένου ότι οι αγροτικές περιοχές είναι συνήθως διαρθρωτικά πιο αδύναμες από τις αστικές και η στρατηγική «Ευρώπη 2020» βασίζεται σε επενδύσεις σε περιοχές και τομείς ανάπτυξης, αναμένεται σχετικά χαμηλότερη συνεισφορά των ΠΑΑ σε σύγκριση με άλλα επιχειρησιακά προγράμματα</w:t>
      </w:r>
      <w:r>
        <w:rPr>
          <w:vertAlign w:val="superscript"/>
        </w:rPr>
        <w:footnoteReference w:id="74"/>
      </w:r>
      <w:r>
        <w:t xml:space="preserve">. Ωστόσο, ό,τι ενδεχομένως μοιάζει να έχει μικρότερη σπουδαιότητα για τις εθνικές οικονομίες, μπορεί να έχει ιδιαίτερη αξία για το ΑΕΠ των αγροτικών περιοχών και τη μελλοντική τους ανάπτυξη. Συνεπώς, θα πρέπει να υπολογιστούν οι συνεισφορές του ΠΑΑ στον πρωταρχικό στόχο και να απαντηθεί το ΚΕΑ.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Προτεινόμενη προσέγγιση για την απάντηση του ΚΕΑ αριθ. 23</w:t>
      </w:r>
    </w:p>
    <w:p w:rsidR="00A45935" w:rsidRPr="00E05D08" w:rsidRDefault="00651910" w:rsidP="00651910">
      <w:pPr>
        <w:spacing w:before="120" w:after="120" w:line="280" w:lineRule="atLeast"/>
        <w:mirrorIndents/>
        <w:rPr>
          <w:rFonts w:eastAsia="Times New Roman" w:cs="Times New Roman"/>
          <w:b/>
          <w:szCs w:val="20"/>
        </w:rPr>
      </w:pPr>
      <w:r>
        <w:rPr>
          <w:b/>
          <w:szCs w:val="20"/>
        </w:rPr>
        <w:t>α.</w:t>
      </w:r>
      <w:r>
        <w:rPr>
          <w:b/>
          <w:szCs w:val="20"/>
        </w:rPr>
        <w:tab/>
      </w:r>
      <w:r w:rsidR="00A45935">
        <w:rPr>
          <w:b/>
          <w:szCs w:val="20"/>
        </w:rPr>
        <w:t xml:space="preserve">Λογική παρέμβασης </w:t>
      </w:r>
    </w:p>
    <w:p w:rsidR="00697455" w:rsidRDefault="00A45935" w:rsidP="00E05D08">
      <w:pPr>
        <w:spacing w:after="120" w:line="280" w:lineRule="atLeast"/>
        <w:mirrorIndents/>
        <w:rPr>
          <w:rFonts w:eastAsia="Times New Roman" w:cs="Times New Roman"/>
          <w:szCs w:val="20"/>
        </w:rPr>
      </w:pPr>
      <w:r>
        <w:t xml:space="preserve">Όλα τα μέτρα/επιμέρους μέτρα του ΠΑΑ που συνεισφέρουν στην προώθηση της καινοτομίας μέσω των τριών διαδρομών στις αγροτικές περιοχές, όπως ορίζονται κατά την εξέταση του δυναμικού καινοτομίας που διαθέτουν (βλ. </w:t>
      </w:r>
      <w:hyperlink w:anchor="Screening_Potential" w:history="1">
        <w:r>
          <w:rPr>
            <w:rStyle w:val="Hyperlink"/>
            <w:sz w:val="20"/>
            <w:szCs w:val="20"/>
          </w:rPr>
          <w:t>κεφάλαιο 2.2</w:t>
        </w:r>
      </w:hyperlink>
      <w:r>
        <w:t xml:space="preserve">), θα πρέπει να ληφθούν υπόψη στο πλαίσιο της λογικής παρέμβασης που συνδέεται με το ΚΕΑ αριθ. 23. Αυτό υπερβαίνει τα μέτρα που πρωτίστως θεωρούνται μέτρα προώθησης της καινοτομίας –μέτρα 1, 2 και 16– και μπορεί να καλύπτει επίσης άλλες επενδύσεις, μέτρα εμπορικής προώθησης και μέτρα ανά περιοχή, η υλοποίηση των οποίων ενδεχομένως στηρίζει την καινοτομία (π.χ. μέσω κριτηρίων επιλογής για έργα που σχετίζονται με την καινοτομία). Οι πράξεις που υλοποιούνται στο πλαίσιο των εν λόγω μέτρων και επιμέρους μέτρων λαμβάνονται υπόψη για τον υπολογισμό των δαπανών σε Ε&amp;Α και καινοτομία, ενώ χρησιμοποιείται η αξιολόγηση του πρωταρχικού στόχου ή του υποκατάστατού του (GERD), καθώς και πρόσθετων δεικτών για την απάντηση του ΚΕΑ αριθ. 23 (όπως ορίζονται κατά την εξέταση του δυναμικού καινοτομίας – βλ. </w:t>
      </w:r>
      <w:hyperlink w:anchor="Screening_Potential" w:history="1">
        <w:r>
          <w:rPr>
            <w:rStyle w:val="Hyperlink"/>
            <w:sz w:val="20"/>
            <w:szCs w:val="20"/>
          </w:rPr>
          <w:t>κεφάλαιο 2.2</w:t>
        </w:r>
      </w:hyperlink>
      <w:r>
        <w:t xml:space="preserve">). </w:t>
      </w:r>
    </w:p>
    <w:p w:rsidR="00697455" w:rsidRDefault="00697455">
      <w:pPr>
        <w:jc w:val="left"/>
        <w:rPr>
          <w:rFonts w:eastAsia="Times New Roman" w:cs="Times New Roman"/>
          <w:szCs w:val="20"/>
        </w:rPr>
      </w:pPr>
      <w:r>
        <w:br w:type="page"/>
      </w:r>
    </w:p>
    <w:p w:rsidR="00A45935" w:rsidRPr="00E05D08" w:rsidRDefault="00651910" w:rsidP="00651910">
      <w:pPr>
        <w:spacing w:before="120" w:after="120" w:line="280" w:lineRule="atLeast"/>
        <w:ind w:left="360"/>
        <w:mirrorIndents/>
        <w:rPr>
          <w:rFonts w:eastAsia="Times New Roman" w:cs="Times New Roman"/>
          <w:b/>
          <w:szCs w:val="20"/>
        </w:rPr>
      </w:pPr>
      <w:r>
        <w:rPr>
          <w:b/>
          <w:szCs w:val="20"/>
        </w:rPr>
        <w:lastRenderedPageBreak/>
        <w:t>β.</w:t>
      </w:r>
      <w:r>
        <w:rPr>
          <w:b/>
          <w:szCs w:val="20"/>
        </w:rPr>
        <w:tab/>
      </w:r>
      <w:r w:rsidR="00A45935">
        <w:rPr>
          <w:b/>
          <w:szCs w:val="20"/>
        </w:rPr>
        <w:t>Στοιχεία αξιολόγησης που συνδέονται με το ΚΕΑ αριθ. 23</w:t>
      </w:r>
    </w:p>
    <w:p w:rsidR="00A45935" w:rsidRPr="00E05D08" w:rsidRDefault="00A45935" w:rsidP="00E05D08">
      <w:pPr>
        <w:spacing w:after="120" w:line="280" w:lineRule="atLeast"/>
        <w:mirrorIndents/>
        <w:rPr>
          <w:rFonts w:eastAsia="Times New Roman" w:cs="Times New Roman"/>
          <w:szCs w:val="20"/>
        </w:rPr>
      </w:pPr>
      <w:r>
        <w:t xml:space="preserve">Το έγγραφο εργασίας </w:t>
      </w:r>
      <w:hyperlink r:id="rId77" w:history="1">
        <w:r>
          <w:rPr>
            <w:rStyle w:val="Hyperlink"/>
            <w:sz w:val="20"/>
            <w:szCs w:val="20"/>
          </w:rPr>
          <w:t>Common Evaluation questions for RDPs 2014-2020</w:t>
        </w:r>
      </w:hyperlink>
      <w:r>
        <w:t xml:space="preserve"> (Κοινά ερωτήματα αξιολόγησης για τα προγράμματα αγροτικής ανάπτυξης της περιόδου 2014-2020) προτείνει δύο κριτήρια απόφασης (αύξηση των επενδύσεων σε Ε&amp;Α και προώθηση της καινοτομίας), δύο κοινούς δείκτες του ΚΣΠΑ (Τ1 – δαπάνες που σχετίζονται με τα άρθρα 14 και 35, και Τ2 – συνολικός αριθμός στηριζόμενων πράξεων συνεργασίας στο πλαίσιο του μέτρου συνεργασίας) και έναν πρόσθετο δείκτη (δαπάνες του ΠΑΑ σε Ε&amp;Α ως ποσοστό % του ΑΕΠ) για την απάντηση του ΚΕΑ αριθ. 23. Ωστόσο, τα εν λόγω στοιχεία δεν μπορούν να αποτυπώσουν πλήρως τις συνεισφορές του ΠΑΑ στον πρωταρχικό στόχο. </w:t>
      </w:r>
    </w:p>
    <w:p w:rsidR="00A45935" w:rsidRPr="00E05D08" w:rsidRDefault="00A45935" w:rsidP="00E05D08">
      <w:pPr>
        <w:spacing w:after="120" w:line="280" w:lineRule="atLeast"/>
        <w:mirrorIndents/>
        <w:rPr>
          <w:rFonts w:eastAsia="Times New Roman" w:cs="Times New Roman"/>
          <w:szCs w:val="20"/>
        </w:rPr>
      </w:pPr>
      <w:r>
        <w:t xml:space="preserve">Ως εκ τούτου, οι παρούσες κατευθυντήριες γραμμές προτείνουν πρόσθετα στοιχεία αξιολόγησης για την απάντηση του ΚΕΑ αριθ. 23 (βλ. </w:t>
      </w:r>
      <w:hyperlink w:anchor="JC_Indic_data" w:history="1">
        <w:r>
          <w:rPr>
            <w:rStyle w:val="Hyperlink"/>
            <w:sz w:val="20"/>
            <w:szCs w:val="20"/>
          </w:rPr>
          <w:t>πίνακα 7</w:t>
        </w:r>
      </w:hyperlink>
      <w:r>
        <w:t>).</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1F6F07">
          <w:endnotePr>
            <w:numFmt w:val="decimal"/>
          </w:endnotePr>
          <w:type w:val="continuous"/>
          <w:pgSz w:w="11907" w:h="16840" w:code="9"/>
          <w:pgMar w:top="1440" w:right="1440" w:bottom="1134" w:left="1440" w:header="567" w:footer="1020" w:gutter="0"/>
          <w:cols w:space="708"/>
          <w:noEndnote/>
          <w:titlePg/>
          <w:docGrid w:linePitch="435"/>
        </w:sectPr>
      </w:pPr>
    </w:p>
    <w:p w:rsidR="00A45935" w:rsidRPr="00A90171" w:rsidRDefault="00651910" w:rsidP="00651910">
      <w:pPr>
        <w:pStyle w:val="HHeadingtables"/>
        <w:numPr>
          <w:ilvl w:val="0"/>
          <w:numId w:val="0"/>
        </w:numPr>
        <w:ind w:left="240"/>
        <w:rPr>
          <w:color w:val="6F6F6F"/>
          <w:sz w:val="18"/>
          <w:szCs w:val="18"/>
        </w:rPr>
      </w:pPr>
      <w:bookmarkStart w:id="124" w:name="JC_Indic_data"/>
      <w:bookmarkStart w:id="125" w:name="_Toc508964832"/>
      <w:bookmarkEnd w:id="124"/>
      <w:r>
        <w:rPr>
          <w:color w:val="6F6F6F"/>
          <w:sz w:val="18"/>
          <w:szCs w:val="18"/>
        </w:rPr>
        <w:lastRenderedPageBreak/>
        <w:t>Πίνακας 7.</w:t>
      </w:r>
      <w:r>
        <w:rPr>
          <w:color w:val="6F6F6F"/>
          <w:sz w:val="18"/>
          <w:szCs w:val="18"/>
        </w:rPr>
        <w:tab/>
      </w:r>
      <w:r w:rsidR="00A45935">
        <w:rPr>
          <w:color w:val="6F6F6F"/>
          <w:sz w:val="18"/>
          <w:szCs w:val="18"/>
        </w:rPr>
        <w:t>Κριτήρια απόφασης, δείκτες και δεδομένα που απαιτούνται για την απάντηση του ΚΕΑ αριθ. 23</w:t>
      </w:r>
      <w:bookmarkEnd w:id="125"/>
    </w:p>
    <w:tbl>
      <w:tblPr>
        <w:tblW w:w="147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3684"/>
        <w:gridCol w:w="3684"/>
        <w:gridCol w:w="3684"/>
        <w:gridCol w:w="3685"/>
      </w:tblGrid>
      <w:tr w:rsidR="00A45935" w:rsidRPr="00E05D08" w:rsidTr="00E05D08">
        <w:trPr>
          <w:trHeight w:val="294"/>
        </w:trPr>
        <w:tc>
          <w:tcPr>
            <w:tcW w:w="3684" w:type="dxa"/>
            <w:shd w:val="clear" w:color="auto" w:fill="F07E31"/>
            <w:vAlign w:val="center"/>
            <w:hideMark/>
          </w:tcPr>
          <w:p w:rsidR="00A45935" w:rsidRPr="00E05D08" w:rsidRDefault="00734B11" w:rsidP="00E05D08">
            <w:pPr>
              <w:spacing w:before="60" w:after="0" w:line="240" w:lineRule="auto"/>
              <w:jc w:val="center"/>
              <w:rPr>
                <w:rFonts w:eastAsia="Times New Roman" w:cs="Arial"/>
                <w:b/>
                <w:bCs/>
                <w:color w:val="FFFFFF"/>
                <w:sz w:val="18"/>
                <w:szCs w:val="18"/>
              </w:rPr>
            </w:pPr>
            <w:r>
              <w:rPr>
                <w:b/>
                <w:bCs/>
                <w:color w:val="FFFFFF"/>
                <w:sz w:val="18"/>
                <w:szCs w:val="18"/>
              </w:rPr>
              <w:t xml:space="preserve">Κριτήρια απόφασης </w:t>
            </w:r>
          </w:p>
        </w:tc>
        <w:tc>
          <w:tcPr>
            <w:tcW w:w="3684" w:type="dxa"/>
            <w:shd w:val="clear" w:color="auto" w:fill="F07E31"/>
            <w:vAlign w:val="center"/>
            <w:hideMark/>
          </w:tcPr>
          <w:p w:rsidR="00A45935" w:rsidRPr="00E05D08" w:rsidRDefault="00A45935" w:rsidP="00E05D08">
            <w:pPr>
              <w:spacing w:before="60" w:after="0" w:line="240" w:lineRule="auto"/>
              <w:jc w:val="center"/>
              <w:rPr>
                <w:rFonts w:eastAsia="Times New Roman" w:cs="Arial"/>
                <w:color w:val="FFFFFF"/>
                <w:sz w:val="18"/>
                <w:szCs w:val="18"/>
              </w:rPr>
            </w:pPr>
            <w:r>
              <w:rPr>
                <w:b/>
                <w:bCs/>
                <w:color w:val="FFFFFF"/>
                <w:sz w:val="18"/>
                <w:szCs w:val="18"/>
              </w:rPr>
              <w:t>Δείκτες</w:t>
            </w:r>
          </w:p>
        </w:tc>
        <w:tc>
          <w:tcPr>
            <w:tcW w:w="3684" w:type="dxa"/>
            <w:shd w:val="clear" w:color="auto" w:fill="F07E31"/>
            <w:vAlign w:val="center"/>
          </w:tcPr>
          <w:p w:rsidR="00A45935" w:rsidRPr="00E05D08" w:rsidRDefault="00A45935" w:rsidP="00E05D08">
            <w:pPr>
              <w:spacing w:before="60" w:after="0" w:line="240" w:lineRule="auto"/>
              <w:jc w:val="center"/>
              <w:rPr>
                <w:rFonts w:eastAsia="Times New Roman" w:cs="Arial"/>
                <w:b/>
                <w:bCs/>
                <w:color w:val="FFFFFF"/>
                <w:sz w:val="18"/>
                <w:szCs w:val="18"/>
              </w:rPr>
            </w:pPr>
            <w:r>
              <w:rPr>
                <w:b/>
                <w:bCs/>
                <w:color w:val="FFFFFF"/>
                <w:sz w:val="18"/>
                <w:szCs w:val="18"/>
              </w:rPr>
              <w:t>Ανάγκες σε δεδομένα</w:t>
            </w:r>
          </w:p>
        </w:tc>
        <w:tc>
          <w:tcPr>
            <w:tcW w:w="3685" w:type="dxa"/>
            <w:shd w:val="clear" w:color="auto" w:fill="F07E31"/>
            <w:vAlign w:val="center"/>
          </w:tcPr>
          <w:p w:rsidR="00A45935" w:rsidRPr="00E05D08" w:rsidRDefault="00A45935" w:rsidP="00E05D08">
            <w:pPr>
              <w:spacing w:before="60" w:after="0" w:line="240" w:lineRule="auto"/>
              <w:jc w:val="center"/>
              <w:rPr>
                <w:rFonts w:eastAsia="Times New Roman" w:cs="Arial"/>
                <w:b/>
                <w:bCs/>
                <w:color w:val="FFFFFF"/>
                <w:sz w:val="18"/>
                <w:szCs w:val="18"/>
              </w:rPr>
            </w:pPr>
            <w:r>
              <w:rPr>
                <w:b/>
                <w:bCs/>
                <w:color w:val="FFFFFF"/>
                <w:sz w:val="18"/>
                <w:szCs w:val="18"/>
              </w:rPr>
              <w:t>Πηγές δεδομένων</w:t>
            </w:r>
          </w:p>
        </w:tc>
      </w:tr>
      <w:tr w:rsidR="00A45935" w:rsidRPr="00E05D08" w:rsidTr="00E05D08">
        <w:trPr>
          <w:trHeight w:val="418"/>
        </w:trPr>
        <w:tc>
          <w:tcPr>
            <w:tcW w:w="14737" w:type="dxa"/>
            <w:gridSpan w:val="4"/>
            <w:shd w:val="clear" w:color="auto" w:fill="8BAB80"/>
            <w:vAlign w:val="center"/>
          </w:tcPr>
          <w:p w:rsidR="00A45935" w:rsidRPr="00E05D08" w:rsidRDefault="00A45935" w:rsidP="00E05D08">
            <w:pPr>
              <w:spacing w:after="120" w:line="280" w:lineRule="atLeast"/>
              <w:mirrorIndents/>
              <w:rPr>
                <w:rFonts w:eastAsia="Times New Roman" w:cs="Arial"/>
                <w:b/>
                <w:color w:val="FFFFFF"/>
                <w:sz w:val="18"/>
                <w:szCs w:val="18"/>
              </w:rPr>
            </w:pPr>
            <w:r>
              <w:rPr>
                <w:b/>
                <w:color w:val="FFFFFF"/>
                <w:sz w:val="18"/>
                <w:szCs w:val="18"/>
              </w:rPr>
              <w:t>Κοινά στοιχεία αξιολόγησης [ΚΣΠΑ και προτεινόμενα στο έγγραφο εργασίας «Common evaluation questions 2014-2020» (Κοινά ερωτήματα αξιολόγησης 2014-2020)]</w:t>
            </w:r>
          </w:p>
        </w:tc>
      </w:tr>
      <w:tr w:rsidR="00A45935" w:rsidRPr="00E05D08" w:rsidTr="00E05D08">
        <w:trPr>
          <w:trHeight w:val="1928"/>
        </w:trPr>
        <w:tc>
          <w:tcPr>
            <w:tcW w:w="3684" w:type="dxa"/>
            <w:shd w:val="clear" w:color="auto" w:fill="auto"/>
            <w:vAlign w:val="center"/>
          </w:tcPr>
          <w:p w:rsidR="00A45935" w:rsidRPr="00E05D08" w:rsidRDefault="00A45935" w:rsidP="00BA4FCD">
            <w:pPr>
              <w:spacing w:after="120" w:line="280" w:lineRule="atLeast"/>
              <w:jc w:val="left"/>
              <w:rPr>
                <w:rFonts w:eastAsia="Times New Roman" w:cs="Arial"/>
                <w:sz w:val="18"/>
                <w:szCs w:val="18"/>
              </w:rPr>
            </w:pPr>
            <w:r>
              <w:rPr>
                <w:sz w:val="18"/>
                <w:szCs w:val="18"/>
              </w:rPr>
              <w:t>Αύξηση των επενδύσεων σε Ε&amp;Α και καινοτομία</w:t>
            </w:r>
            <w:r>
              <w:rPr>
                <w:rFonts w:eastAsia="Times New Roman" w:cs="Arial"/>
                <w:sz w:val="18"/>
                <w:szCs w:val="18"/>
                <w:vertAlign w:val="superscript"/>
                <w:lang w:eastAsia="de-AT"/>
              </w:rPr>
              <w:footnoteReference w:id="75"/>
            </w:r>
            <w:r>
              <w:rPr>
                <w:sz w:val="18"/>
                <w:szCs w:val="18"/>
              </w:rPr>
              <w:t>.</w:t>
            </w:r>
          </w:p>
          <w:p w:rsidR="00A45935" w:rsidRPr="00E05D08" w:rsidRDefault="00A45935" w:rsidP="00697455">
            <w:pPr>
              <w:spacing w:after="120" w:line="280" w:lineRule="atLeast"/>
              <w:jc w:val="left"/>
              <w:rPr>
                <w:rFonts w:eastAsia="Times New Roman" w:cs="Arial"/>
                <w:sz w:val="18"/>
                <w:szCs w:val="18"/>
              </w:rPr>
            </w:pPr>
            <w:r>
              <w:rPr>
                <w:sz w:val="18"/>
                <w:szCs w:val="18"/>
              </w:rPr>
              <w:t xml:space="preserve">Προώθηση της καινοτομίας. </w:t>
            </w:r>
          </w:p>
        </w:tc>
        <w:tc>
          <w:tcPr>
            <w:tcW w:w="3684" w:type="dxa"/>
            <w:shd w:val="clear" w:color="auto" w:fill="auto"/>
            <w:vAlign w:val="center"/>
            <w:hideMark/>
          </w:tcPr>
          <w:p w:rsidR="00A45935" w:rsidRPr="00E05D08" w:rsidRDefault="00A45935" w:rsidP="00BA4FCD">
            <w:pPr>
              <w:spacing w:after="120" w:line="280" w:lineRule="atLeast"/>
              <w:jc w:val="left"/>
              <w:rPr>
                <w:rFonts w:eastAsia="Times New Roman" w:cs="Arial"/>
                <w:sz w:val="18"/>
                <w:szCs w:val="18"/>
              </w:rPr>
            </w:pPr>
            <w:r>
              <w:rPr>
                <w:sz w:val="18"/>
                <w:szCs w:val="18"/>
              </w:rPr>
              <w:t xml:space="preserve">T1: Ποσοστό των δαπανών στο πλαίσιο των άρθρων 14,15 και 35 του κανονισμού (ΕΕ) αριθ. 1305/2013 ως προς τις συνολικές δαπάνες του ΠΑΑ.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T2: Συνολικός αριθμός πράξεων έργων συνεργασίας που στηρίζονται στο πλαίσιο του μέτρου για τη συνεργασία [άρθρο 35 του κανονισμού (ΕΕ) αριθ. 1305/2013] (ομάδες, δίκτυα, συνεργατικοί σχηματισμοί, πιλοτικά έργα). </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u w:val="single"/>
              </w:rPr>
              <w:t>Πρόσθετος δείκτης:</w:t>
            </w:r>
            <w:r>
              <w:rPr>
                <w:color w:val="57825E"/>
                <w:sz w:val="18"/>
                <w:szCs w:val="18"/>
              </w:rPr>
              <w:t xml:space="preserve"> </w:t>
            </w:r>
          </w:p>
          <w:p w:rsidR="00A45935" w:rsidRPr="00E05D08" w:rsidRDefault="001120E4" w:rsidP="00BA4FCD">
            <w:pPr>
              <w:spacing w:after="120" w:line="280" w:lineRule="atLeast"/>
              <w:jc w:val="left"/>
              <w:rPr>
                <w:rFonts w:eastAsia="Times New Roman" w:cs="Arial"/>
                <w:sz w:val="18"/>
                <w:szCs w:val="18"/>
              </w:rPr>
            </w:pPr>
            <w:r>
              <w:rPr>
                <w:color w:val="57825E"/>
                <w:sz w:val="18"/>
                <w:szCs w:val="18"/>
              </w:rPr>
              <w:t>Δαπάνες του ΠΑΑ σε Ε&amp;Α ως ποσοστό % του ΑΕΠ (GERD «αγροτική ανάπτυξη»).</w:t>
            </w:r>
            <w:r>
              <w:rPr>
                <w:sz w:val="18"/>
                <w:szCs w:val="18"/>
              </w:rPr>
              <w:t xml:space="preserve"> </w:t>
            </w:r>
          </w:p>
        </w:tc>
        <w:tc>
          <w:tcPr>
            <w:tcW w:w="3684" w:type="dxa"/>
          </w:tcPr>
          <w:p w:rsidR="00A45935" w:rsidRPr="00E05D08" w:rsidRDefault="00A45935" w:rsidP="00BA4FCD">
            <w:pPr>
              <w:spacing w:after="120" w:line="280" w:lineRule="atLeast"/>
              <w:jc w:val="left"/>
              <w:rPr>
                <w:rFonts w:eastAsia="Times New Roman" w:cs="Arial"/>
                <w:sz w:val="18"/>
                <w:szCs w:val="18"/>
              </w:rPr>
            </w:pPr>
            <w:r>
              <w:rPr>
                <w:sz w:val="18"/>
                <w:szCs w:val="18"/>
              </w:rPr>
              <w:t>Δεδομένα για τις δαπάνες του ΠΑΑ σε Ε&amp;Α και καινοτομία.</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Δεδομένα για τις συνολικές δαπάνες του ΠΑΑ. </w:t>
            </w:r>
          </w:p>
          <w:p w:rsidR="00A45935" w:rsidRPr="00E05D08" w:rsidRDefault="00A45935" w:rsidP="00BA4FCD">
            <w:pPr>
              <w:spacing w:after="120" w:line="280" w:lineRule="atLeast"/>
              <w:jc w:val="left"/>
              <w:rPr>
                <w:rFonts w:eastAsia="Times New Roman" w:cs="Arial"/>
                <w:sz w:val="18"/>
                <w:szCs w:val="18"/>
              </w:rPr>
            </w:pPr>
            <w:r>
              <w:rPr>
                <w:sz w:val="18"/>
                <w:szCs w:val="18"/>
              </w:rPr>
              <w:t>Δεδομένα για τις δαπάνες του κράτους μέλους/περιφέρειας σε Ε&amp;Α και καινοτομία.</w:t>
            </w:r>
          </w:p>
          <w:p w:rsidR="00A45935" w:rsidRPr="00E05D08" w:rsidRDefault="00A45935" w:rsidP="00BA4FCD">
            <w:pPr>
              <w:spacing w:after="120" w:line="280" w:lineRule="atLeast"/>
              <w:jc w:val="left"/>
              <w:rPr>
                <w:rFonts w:eastAsia="Times New Roman" w:cs="Arial"/>
                <w:sz w:val="18"/>
                <w:szCs w:val="18"/>
              </w:rPr>
            </w:pPr>
            <w:r>
              <w:rPr>
                <w:sz w:val="18"/>
                <w:szCs w:val="18"/>
              </w:rPr>
              <w:t>Δεδομένα για το ΑΕΠ του κράτους μέλους/περιφέρειας.</w:t>
            </w:r>
          </w:p>
        </w:tc>
        <w:tc>
          <w:tcPr>
            <w:tcW w:w="3685" w:type="dxa"/>
          </w:tcPr>
          <w:p w:rsidR="00A45935" w:rsidRPr="00E05D08" w:rsidRDefault="00A45935" w:rsidP="00BA4FCD">
            <w:pPr>
              <w:spacing w:after="120" w:line="280" w:lineRule="atLeast"/>
              <w:jc w:val="left"/>
              <w:rPr>
                <w:rFonts w:eastAsia="Times New Roman" w:cs="Arial"/>
                <w:sz w:val="18"/>
                <w:szCs w:val="18"/>
              </w:rPr>
            </w:pPr>
            <w:r>
              <w:rPr>
                <w:sz w:val="18"/>
                <w:szCs w:val="18"/>
              </w:rPr>
              <w:t>Σύστημα παρακολούθησης του ΠΑΑ.</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Eurostat.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Εθνικά/περιφερειακά στατιστικά στοιχεία. </w:t>
            </w:r>
          </w:p>
        </w:tc>
      </w:tr>
      <w:tr w:rsidR="00A45935" w:rsidRPr="00E05D08" w:rsidTr="00E05D08">
        <w:trPr>
          <w:trHeight w:val="404"/>
        </w:trPr>
        <w:tc>
          <w:tcPr>
            <w:tcW w:w="14737" w:type="dxa"/>
            <w:gridSpan w:val="4"/>
            <w:shd w:val="clear" w:color="auto" w:fill="8BAB80"/>
            <w:vAlign w:val="center"/>
          </w:tcPr>
          <w:p w:rsidR="00A45935" w:rsidRPr="00E05D08" w:rsidRDefault="00A45935" w:rsidP="00E05D08">
            <w:pPr>
              <w:spacing w:after="120" w:line="280" w:lineRule="atLeast"/>
              <w:rPr>
                <w:rFonts w:eastAsia="Times New Roman" w:cs="Arial"/>
                <w:b/>
                <w:color w:val="FFFFFF"/>
                <w:sz w:val="18"/>
                <w:szCs w:val="18"/>
              </w:rPr>
            </w:pPr>
            <w:r>
              <w:rPr>
                <w:b/>
                <w:color w:val="FFFFFF"/>
                <w:sz w:val="18"/>
                <w:szCs w:val="18"/>
              </w:rPr>
              <w:t>Πρόσθετα στοιχεία αξιολόγησης (προαιρετικό)</w:t>
            </w:r>
          </w:p>
        </w:tc>
      </w:tr>
      <w:tr w:rsidR="00A45935" w:rsidRPr="00E05D08" w:rsidTr="00E05D08">
        <w:trPr>
          <w:trHeight w:val="1928"/>
        </w:trPr>
        <w:tc>
          <w:tcPr>
            <w:tcW w:w="3684" w:type="dxa"/>
            <w:shd w:val="clear" w:color="auto" w:fill="auto"/>
            <w:vAlign w:val="center"/>
          </w:tcPr>
          <w:p w:rsidR="00A45935" w:rsidRPr="00E05D08" w:rsidRDefault="00A45935" w:rsidP="00697455">
            <w:pPr>
              <w:spacing w:after="120" w:line="280" w:lineRule="atLeast"/>
              <w:jc w:val="left"/>
              <w:rPr>
                <w:rFonts w:eastAsia="Times New Roman" w:cs="Arial"/>
                <w:sz w:val="18"/>
                <w:szCs w:val="18"/>
              </w:rPr>
            </w:pPr>
            <w:r>
              <w:rPr>
                <w:sz w:val="18"/>
                <w:szCs w:val="18"/>
              </w:rPr>
              <w:t>Αύξηση επενδύσεων σε Ε&amp;Α και καινοτομία.</w:t>
            </w:r>
          </w:p>
        </w:tc>
        <w:tc>
          <w:tcPr>
            <w:tcW w:w="3684" w:type="dxa"/>
            <w:shd w:val="clear" w:color="auto" w:fill="auto"/>
            <w:vAlign w:val="center"/>
          </w:tcPr>
          <w:p w:rsidR="001120E4" w:rsidRPr="001120E4" w:rsidRDefault="001120E4" w:rsidP="00BA4FCD">
            <w:pPr>
              <w:spacing w:after="120" w:line="280" w:lineRule="atLeast"/>
              <w:jc w:val="left"/>
              <w:rPr>
                <w:rFonts w:eastAsia="Times New Roman" w:cs="Arial"/>
                <w:color w:val="57825E"/>
                <w:sz w:val="18"/>
                <w:szCs w:val="18"/>
                <w:u w:val="single"/>
              </w:rPr>
            </w:pPr>
            <w:r>
              <w:rPr>
                <w:color w:val="57825E"/>
                <w:sz w:val="18"/>
                <w:szCs w:val="18"/>
                <w:u w:val="single"/>
              </w:rPr>
              <w:t xml:space="preserve">Πρόσθετοι δείκτες: </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rPr>
              <w:t>Ακαθάριστη εγχώρια δαπάνη σε Ε&amp;Α (GERD) ως προς το ακαθάριστο εγχώριο προϊόν (ΑΕΠ).</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rPr>
              <w:t xml:space="preserve">Δαπάνες του ΠΑΑ σε Ε&amp;Α και καινοτομία ως ποσοστό % των συνολικών δαπανών του ΠΑΑ. </w:t>
            </w:r>
          </w:p>
          <w:p w:rsidR="00A45935" w:rsidRPr="00E05D08" w:rsidRDefault="00942585" w:rsidP="00BA4FCD">
            <w:pPr>
              <w:spacing w:after="120" w:line="280" w:lineRule="atLeast"/>
              <w:jc w:val="left"/>
              <w:rPr>
                <w:rFonts w:eastAsia="Times New Roman" w:cs="Arial"/>
                <w:sz w:val="18"/>
                <w:szCs w:val="18"/>
              </w:rPr>
            </w:pPr>
            <w:r>
              <w:rPr>
                <w:color w:val="57825E"/>
                <w:sz w:val="18"/>
                <w:szCs w:val="18"/>
              </w:rPr>
              <w:t xml:space="preserve">Δαπάνες του ΠΑΑ σε Ε&amp;Α και καινοτομία </w:t>
            </w:r>
            <w:r>
              <w:rPr>
                <w:color w:val="57825E"/>
                <w:sz w:val="18"/>
                <w:szCs w:val="18"/>
              </w:rPr>
              <w:lastRenderedPageBreak/>
              <w:t>ως ποσοστό % των ακαθάριστων εγχώριων δαπανών σε Ε&amp;Α και καινοτομία.</w:t>
            </w:r>
          </w:p>
        </w:tc>
        <w:tc>
          <w:tcPr>
            <w:tcW w:w="3684" w:type="dxa"/>
          </w:tcPr>
          <w:p w:rsidR="001120E4" w:rsidRDefault="001120E4" w:rsidP="00BA4FCD">
            <w:pPr>
              <w:spacing w:after="120" w:line="280" w:lineRule="atLeast"/>
              <w:jc w:val="left"/>
              <w:rPr>
                <w:rFonts w:eastAsia="Times New Roman" w:cs="Arial"/>
                <w:sz w:val="18"/>
                <w:szCs w:val="18"/>
              </w:rPr>
            </w:pPr>
            <w:r>
              <w:rPr>
                <w:sz w:val="18"/>
                <w:szCs w:val="18"/>
              </w:rPr>
              <w:lastRenderedPageBreak/>
              <w:t>Δεδομένα για την Ε&amp;Α και καινοτομία σύμφωνα με το εγχειρίδιο Frascati.</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Δεδομένα για τις δαπάνες του ΠΑΑ σε Ε&amp;Α και καινοτομία αναλυόμενα κατά τύπο δικαιούχου.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Δεδομένα για τις συνολικές δαπάνες του ΠΑΑ.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Δεδομένα για τις δαπάνες του κράτους </w:t>
            </w:r>
            <w:r>
              <w:rPr>
                <w:sz w:val="18"/>
                <w:szCs w:val="18"/>
              </w:rPr>
              <w:lastRenderedPageBreak/>
              <w:t>μέλους/περιφέρειας σε Ε&amp;Α και καινοτομία.</w:t>
            </w:r>
          </w:p>
          <w:p w:rsidR="00A45935" w:rsidRPr="00E05D08" w:rsidRDefault="00A45935" w:rsidP="00BA4FCD">
            <w:pPr>
              <w:spacing w:after="120" w:line="280" w:lineRule="atLeast"/>
              <w:jc w:val="left"/>
              <w:rPr>
                <w:rFonts w:eastAsia="Times New Roman" w:cs="Arial"/>
                <w:sz w:val="18"/>
                <w:szCs w:val="18"/>
              </w:rPr>
            </w:pPr>
            <w:r>
              <w:rPr>
                <w:sz w:val="18"/>
                <w:szCs w:val="18"/>
              </w:rPr>
              <w:t>Δεδομένα για το ΑΕΠ του κράτους μέλους/περιφέρειας.</w:t>
            </w:r>
          </w:p>
        </w:tc>
        <w:tc>
          <w:tcPr>
            <w:tcW w:w="3685" w:type="dxa"/>
          </w:tcPr>
          <w:p w:rsidR="00A45935" w:rsidRPr="00E05D08" w:rsidRDefault="00A45935" w:rsidP="00BA4FCD">
            <w:pPr>
              <w:spacing w:after="120" w:line="280" w:lineRule="atLeast"/>
              <w:jc w:val="left"/>
              <w:rPr>
                <w:rFonts w:eastAsia="Times New Roman" w:cs="Arial"/>
                <w:sz w:val="18"/>
                <w:szCs w:val="18"/>
              </w:rPr>
            </w:pPr>
            <w:r>
              <w:rPr>
                <w:sz w:val="18"/>
                <w:szCs w:val="18"/>
              </w:rPr>
              <w:lastRenderedPageBreak/>
              <w:t>Σύστημα παρακολούθησης του ΠΑΑ.</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Eurostat.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Εθνικά/περιφερειακά στατιστικά στοιχεία. </w:t>
            </w:r>
          </w:p>
        </w:tc>
      </w:tr>
    </w:tbl>
    <w:p w:rsidR="00A45935" w:rsidRPr="00E05D08" w:rsidRDefault="00A45935" w:rsidP="008C0B17">
      <w:pPr>
        <w:numPr>
          <w:ilvl w:val="0"/>
          <w:numId w:val="45"/>
        </w:numPr>
        <w:spacing w:before="60" w:after="120" w:line="280" w:lineRule="atLeast"/>
        <w:rPr>
          <w:rFonts w:eastAsia="Times New Roman" w:cs="Times New Roman"/>
          <w:b/>
          <w:szCs w:val="20"/>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360"/>
        </w:sectPr>
      </w:pPr>
    </w:p>
    <w:p w:rsidR="00A45935" w:rsidRPr="00E05D08" w:rsidRDefault="00651910" w:rsidP="00651910">
      <w:pPr>
        <w:spacing w:before="120" w:after="120" w:line="280" w:lineRule="atLeast"/>
        <w:mirrorIndents/>
        <w:rPr>
          <w:rFonts w:eastAsia="Times New Roman" w:cs="Times New Roman"/>
          <w:b/>
          <w:szCs w:val="20"/>
        </w:rPr>
      </w:pPr>
      <w:r>
        <w:rPr>
          <w:b/>
          <w:szCs w:val="20"/>
        </w:rPr>
        <w:lastRenderedPageBreak/>
        <w:t>γ.</w:t>
      </w:r>
      <w:r>
        <w:rPr>
          <w:b/>
          <w:szCs w:val="20"/>
        </w:rPr>
        <w:tab/>
      </w:r>
      <w:r w:rsidR="00A45935">
        <w:rPr>
          <w:b/>
          <w:szCs w:val="20"/>
        </w:rPr>
        <w:t>Προτεινόμενη μεθοδολογία αξιολόγησης</w:t>
      </w:r>
    </w:p>
    <w:p w:rsidR="00A45935" w:rsidRPr="00E05D08" w:rsidRDefault="00A45935" w:rsidP="00E05D08">
      <w:pPr>
        <w:spacing w:after="120" w:line="280" w:lineRule="atLeast"/>
        <w:mirrorIndents/>
        <w:rPr>
          <w:rFonts w:eastAsia="Times New Roman" w:cs="Times New Roman"/>
          <w:szCs w:val="20"/>
        </w:rPr>
      </w:pPr>
      <w:r>
        <w:t>Ο δείκτης που αφορά τον πρωταρχικό στόχο αποτυπώνεται από τη Eurostat και τα εθνικά στατιστικά στοιχεία και αναφέρεται στην ακαθάριστη εγχώρια δαπάνη σε Ε&amp;Α (GERD), ως υποκατάστατος δείκτης ως προς το ΑΕΠ, γνωστός ως ένταση Ε&amp;Α. Τα στατιστικά στοιχεία συγκεντρώνουν δαπάνες σε Ε&amp;Α στο πλαίσιο τεσσάρων τομέων: 1) του επιχειρηματικού τομέα, 2) του δημόσιου τομέα, 3) του τομέα της ανώτατης εκπαίδευσης και 4) του ιδιωτικού μη κερδοσκοπικού τομέα. Λεπτομερέστερα στοιχεία για τον υπολογισμό καθενός από τους δείκτες παρατίθενται στον πίνακα 8.</w:t>
      </w:r>
    </w:p>
    <w:p w:rsidR="00F73706" w:rsidRPr="0059311F" w:rsidRDefault="00F73706" w:rsidP="00F73706">
      <w:pPr>
        <w:pStyle w:val="Hlistbullet"/>
      </w:pPr>
      <w:r>
        <w:t xml:space="preserve">Τα δεδομένα για τους κοινούς δείκτες Τ1 και Τ2 συγκεντρώνονται απευθείας μέσω του συστήματος παρακολούθησης του ΠΑΑ (βάση δεδομένων πράξεων). </w:t>
      </w:r>
    </w:p>
    <w:p w:rsidR="00F73706" w:rsidRPr="00F73706" w:rsidRDefault="00F73706" w:rsidP="00F73706">
      <w:pPr>
        <w:pStyle w:val="Hlistbullet"/>
      </w:pPr>
      <w:r>
        <w:t xml:space="preserve">Ο πρωταρχικός στόχος </w:t>
      </w:r>
      <w:r>
        <w:rPr>
          <w:i/>
        </w:rPr>
        <w:t>«Ακαθάριστη εγχώρια δαπάνη σε Ε&amp;Α (GERD) ως προς το ακαθάριστο εγχώριο προϊόν (ΑΕΠ)»</w:t>
      </w:r>
      <w:r>
        <w:t xml:space="preserve"> μπορεί να αποτυπωθεί στα επίπεδα NUTS 1 και NUTS 2 από τη Eurostat.</w:t>
      </w:r>
    </w:p>
    <w:p w:rsidR="00F73706" w:rsidRPr="00F73706" w:rsidRDefault="00F73706" w:rsidP="00F73706">
      <w:pPr>
        <w:pStyle w:val="Hlistbullet"/>
      </w:pPr>
      <w:r>
        <w:t xml:space="preserve">Ο πρόσθετος δείκτης </w:t>
      </w:r>
      <w:r>
        <w:rPr>
          <w:i/>
        </w:rPr>
        <w:t>«δαπάνες του ΠΑΑ σε Ε&amp;Α ως ποσοστό % του ΑΕΠ»</w:t>
      </w:r>
      <w:r>
        <w:t xml:space="preserve"> (καλείται ακολούθως GERD «αγροτική ανάπτυξη», GERD</w:t>
      </w:r>
      <w:r>
        <w:rPr>
          <w:sz w:val="24"/>
        </w:rPr>
        <w:t>ΑΑ</w:t>
      </w:r>
      <w:r>
        <w:t>)</w:t>
      </w:r>
      <w:r>
        <w:rPr>
          <w:sz w:val="18"/>
          <w:szCs w:val="18"/>
        </w:rPr>
        <w:t xml:space="preserve"> </w:t>
      </w:r>
      <w:r>
        <w:t xml:space="preserve"> εμφανίζει τις δαπάνες του ΠΑΑ σε Ε&amp;Α μέσω των σχετικών μέτρων/επιμέρους μέτρων ως προς το ΑΕΠ:</w:t>
      </w:r>
    </w:p>
    <w:p w:rsidR="00F73706" w:rsidRPr="00F73706" w:rsidRDefault="00F73706" w:rsidP="00F73706">
      <w:pPr>
        <w:pStyle w:val="Hlistbullet2"/>
      </w:pPr>
      <w:r>
        <w:t xml:space="preserve">Τα δεδομένα για το ΑΕΠ συγκεντρώνονται βάσει των εθνικών στατιστικών στοιχείων και διατίθενται επίσης μέσω πηγών της ΕΕ (Eurostat). </w:t>
      </w:r>
    </w:p>
    <w:p w:rsidR="00F73706" w:rsidRPr="00F73706" w:rsidRDefault="00F73706" w:rsidP="00F73706">
      <w:pPr>
        <w:pStyle w:val="Hlistbullet2"/>
      </w:pPr>
      <w:r>
        <w:t xml:space="preserve">Τα δεδομένα για τις δαπάνες του ΠΑΑ σε έρευνα, ανάπτυξη και καινοτομία μπορούν να εξασφαλιστούν από το σύστημα παρακολούθησης του ΠΑΑ, μέσω της καταμέτρησης των δαπανών που συνδέονται με πράξεις με δυναμικό καινοτομίας (όπως προσδιορίζονται κατά την εξέταση του δυναμικού καινοτομίας – βλ </w:t>
      </w:r>
      <w:hyperlink w:anchor="Screening_Potential" w:history="1">
        <w:r>
          <w:rPr>
            <w:rStyle w:val="Hyperlink"/>
            <w:sz w:val="20"/>
          </w:rPr>
          <w:t>κεφάλαιο 2.2</w:t>
        </w:r>
      </w:hyperlink>
      <w:r>
        <w:t xml:space="preserve">) και να καταμεριστούν κατά δικαιούχους, οι οποίοι κατανέμονται ανά τομείς, όπως προβλέπεται στο εγχειρίδιο Frascati. </w:t>
      </w:r>
    </w:p>
    <w:p w:rsidR="00F73706" w:rsidRPr="00F73706" w:rsidRDefault="00F73706" w:rsidP="00F73706">
      <w:pPr>
        <w:pStyle w:val="Hlistbullet"/>
      </w:pPr>
      <w:r>
        <w:t xml:space="preserve">Ο πρόσθετος δείκτης </w:t>
      </w:r>
      <w:r>
        <w:rPr>
          <w:i/>
        </w:rPr>
        <w:t>«δαπάνες του ΠΑΑ σε Ε&amp;Α και καινοτομία ως ποσοστό % των συνολικών δαπανών του ΠΑΑ»</w:t>
      </w:r>
      <w:r>
        <w:t xml:space="preserve"> εμφανίζει το μέγεθος του προϋπολογισμού του ΠΑΑ που προορίζεται για τη στήριξη της έρευνας, της ανάπτυξης και της καινοτομίας. Τα δεδομένα για τον εν λόγω δείκτη μπορούν επίσης να εξασφαλιστούν μέσω του συστήματος παρακολούθησης του ΠΑΑ, εφόσον η βάση δεδομένων πράξεων είναι προσαρμοσμένη ώστε να παρακολουθεί επίσης τα στοιχεία σχετικά με έργα με υψηλό δυναμικό καινοτομίας, όπως προσδιορίζονται κατά την εξέταση πριν από την αξιολόγηση.</w:t>
      </w:r>
    </w:p>
    <w:p w:rsidR="00A45935" w:rsidRPr="00E05D08" w:rsidRDefault="00F73706" w:rsidP="00F73706">
      <w:pPr>
        <w:pStyle w:val="Hlistbullet"/>
      </w:pPr>
      <w:r>
        <w:t xml:space="preserve">Ο πρόσθετος δείκτης </w:t>
      </w:r>
      <w:r>
        <w:rPr>
          <w:i/>
        </w:rPr>
        <w:t>«δαπάνες του ΠΑΑ σε Ε&amp;Α και καινοτομία ως ποσοστό % των ακαθάριστων εγχώριων δαπανών σε Ε&amp;Α και καινοτομία»</w:t>
      </w:r>
      <w:r>
        <w:t xml:space="preserve"> εμφανίζει τη σχέση μεταξύ των επενδύσεων του ΠΑΑ σε έρευνα, ανάπτυξη και καινοτομία και των ακαθάριστων εγχώριων δαπανών σε Ε&amp;Α. Τα δεδομένα μπορούν να εξασφαλιστούν από το σύστημα παρακολούθησης του ΠΑΑ, τα εθνικά και περιφερειακά στατιστικά στοιχεία, καθώς και τη Eurostat.</w:t>
      </w:r>
    </w:p>
    <w:p w:rsidR="00A45935" w:rsidRPr="00E05D08" w:rsidRDefault="00A45935" w:rsidP="00E05D08">
      <w:pPr>
        <w:spacing w:after="120" w:line="280" w:lineRule="atLeast"/>
        <w:mirrorIndents/>
        <w:rPr>
          <w:rFonts w:eastAsia="Times New Roman" w:cs="Times New Roman"/>
          <w:szCs w:val="20"/>
        </w:rPr>
      </w:pPr>
      <w:r>
        <w:t>Τα στοιχεία για τους δείκτες μπορούν να υπολογιστούν εκ των προτέρων (προβλεπόμενες συνεισφορές) και κατά τον χρόνο της αξιολόγησης στο πλαίσιο της ΕΕΥ που θα υποβληθεί το 2019 και της εκ των υστέρων αξιολόγησης (πραγματικές συνεισφορές κατά τον χρόνο της αξιολόγησης), οπότε θα υπάρχει δυνατότητα σύγκρισης μεταξύ προβλεπόμενων και πραγματικών συνεισφορών. Το παράδειγμα στον πίνακα 8 δείχνει τις προβλεπόμενες και πραγματικές τιμές των κοινών και πρόσθετων δεικτών:</w:t>
      </w:r>
    </w:p>
    <w:p w:rsidR="00A45935" w:rsidRPr="00E05D08" w:rsidRDefault="00A45935" w:rsidP="00E05D08">
      <w:pPr>
        <w:spacing w:after="0" w:line="240" w:lineRule="auto"/>
        <w:rPr>
          <w:rFonts w:eastAsia="Times New Roman" w:cs="Times New Roman"/>
          <w:b/>
          <w:sz w:val="16"/>
          <w:szCs w:val="20"/>
          <w:highlight w:val="yellow"/>
        </w:rPr>
      </w:pPr>
      <w:bookmarkStart w:id="126" w:name="_Hlk501698024"/>
      <w:r>
        <w:br w:type="page"/>
      </w:r>
    </w:p>
    <w:p w:rsidR="00A45935" w:rsidRPr="00D62992" w:rsidRDefault="00651910" w:rsidP="00651910">
      <w:pPr>
        <w:pStyle w:val="HHeadingtables"/>
        <w:numPr>
          <w:ilvl w:val="0"/>
          <w:numId w:val="0"/>
        </w:numPr>
        <w:ind w:left="240"/>
        <w:rPr>
          <w:color w:val="6F6F6F"/>
          <w:sz w:val="18"/>
          <w:szCs w:val="18"/>
        </w:rPr>
      </w:pPr>
      <w:bookmarkStart w:id="127" w:name="_Toc508964833"/>
      <w:r>
        <w:rPr>
          <w:color w:val="6F6F6F"/>
          <w:sz w:val="18"/>
          <w:szCs w:val="18"/>
        </w:rPr>
        <w:lastRenderedPageBreak/>
        <w:t>Πίνακας 8.</w:t>
      </w:r>
      <w:r>
        <w:rPr>
          <w:color w:val="6F6F6F"/>
          <w:sz w:val="18"/>
          <w:szCs w:val="18"/>
        </w:rPr>
        <w:tab/>
      </w:r>
      <w:r w:rsidR="00A45935">
        <w:rPr>
          <w:color w:val="6F6F6F"/>
          <w:sz w:val="18"/>
          <w:szCs w:val="18"/>
        </w:rPr>
        <w:t>Παράδειγμα προβλεπόμενων και πραγματικών τιμών των κοινών και πρόσθετων δεικτών</w:t>
      </w:r>
      <w:bookmarkEnd w:id="127"/>
      <w:r w:rsidR="00A45935">
        <w:rPr>
          <w:color w:val="6F6F6F"/>
          <w:sz w:val="18"/>
          <w:szCs w:val="18"/>
        </w:rPr>
        <w:t xml:space="preserve"> </w:t>
      </w:r>
    </w:p>
    <w:tbl>
      <w:tblPr>
        <w:tblW w:w="91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1411"/>
        <w:gridCol w:w="3945"/>
        <w:gridCol w:w="1510"/>
        <w:gridCol w:w="1494"/>
        <w:gridCol w:w="768"/>
      </w:tblGrid>
      <w:tr w:rsidR="00F73706" w:rsidRPr="00F73706" w:rsidTr="00BC211C">
        <w:trPr>
          <w:trHeight w:val="192"/>
        </w:trPr>
        <w:tc>
          <w:tcPr>
            <w:tcW w:w="1202" w:type="dxa"/>
            <w:shd w:val="clear" w:color="auto" w:fill="F07E31"/>
            <w:vAlign w:val="center"/>
            <w:hideMark/>
          </w:tcPr>
          <w:p w:rsidR="00F73706" w:rsidRPr="00253803" w:rsidRDefault="00F73706" w:rsidP="00F73706">
            <w:pPr>
              <w:spacing w:before="60" w:after="120" w:line="220" w:lineRule="atLeast"/>
              <w:ind w:right="154"/>
              <w:jc w:val="center"/>
              <w:rPr>
                <w:rFonts w:eastAsia="Times New Roman" w:cs="Arial"/>
                <w:b/>
                <w:bCs/>
                <w:color w:val="FFFFFF"/>
                <w:sz w:val="18"/>
                <w:szCs w:val="20"/>
                <w:lang w:eastAsia="de-DE"/>
              </w:rPr>
            </w:pPr>
          </w:p>
        </w:tc>
        <w:tc>
          <w:tcPr>
            <w:tcW w:w="4175"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Δείκτες</w:t>
            </w:r>
          </w:p>
        </w:tc>
        <w:tc>
          <w:tcPr>
            <w:tcW w:w="1495"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Προβλεπόμενες</w:t>
            </w:r>
          </w:p>
        </w:tc>
        <w:tc>
          <w:tcPr>
            <w:tcW w:w="1494"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Πραγματικές</w:t>
            </w:r>
          </w:p>
        </w:tc>
        <w:tc>
          <w:tcPr>
            <w:tcW w:w="762" w:type="dxa"/>
            <w:shd w:val="clear" w:color="auto" w:fill="F07E31"/>
            <w:vAlign w:val="center"/>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Υπολ.</w:t>
            </w:r>
          </w:p>
        </w:tc>
      </w:tr>
      <w:tr w:rsidR="00F73706" w:rsidRPr="00F73706" w:rsidTr="00BC211C">
        <w:trPr>
          <w:trHeight w:val="310"/>
        </w:trPr>
        <w:tc>
          <w:tcPr>
            <w:tcW w:w="1202" w:type="dxa"/>
            <w:vMerge w:val="restart"/>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Καταχωρισμένα δεδομένα ΠΑΑ (βάση δεδομένων πράξεων)</w:t>
            </w: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Συνολικές δαπάνες ΠΑΑ (συγκεντρωτικό).</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800 000 000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790 000 000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α</w:t>
            </w:r>
          </w:p>
        </w:tc>
      </w:tr>
      <w:tr w:rsidR="00F73706" w:rsidRPr="00F73706" w:rsidTr="00BC211C">
        <w:trPr>
          <w:trHeight w:val="363"/>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Δαπάνες του ΠΑΑ στο πλαίσιο των άρθρων 14, 15 και 35 του κανονισμού (ΕΕ) αριθ. 1305/2013 (συγκεντρωτικό).</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40 000 000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30 000 000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β</w:t>
            </w:r>
          </w:p>
        </w:tc>
      </w:tr>
      <w:tr w:rsidR="00F73706" w:rsidRPr="00F73706" w:rsidTr="00BC211C">
        <w:trPr>
          <w:trHeight w:val="631"/>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Δαπάνες του ΠΑΑ για όλα τα μέτρα/επιμέρους μέτρα του ΠΑΑ για επένδυση σε Ε&amp;Α και με δυνατότητα προώθησης της καινοτομίας (συγκεντρωτικό).</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120 000 000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140 000 000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γ</w:t>
            </w:r>
          </w:p>
        </w:tc>
      </w:tr>
      <w:tr w:rsidR="00F73706" w:rsidRPr="00F73706" w:rsidTr="00BC211C">
        <w:trPr>
          <w:trHeight w:val="631"/>
        </w:trPr>
        <w:tc>
          <w:tcPr>
            <w:tcW w:w="1202" w:type="dxa"/>
            <w:vMerge w:val="restart"/>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Δεδομένα πλαισίου</w:t>
            </w:r>
          </w:p>
        </w:tc>
        <w:tc>
          <w:tcPr>
            <w:tcW w:w="4175" w:type="dxa"/>
            <w:shd w:val="clear" w:color="auto" w:fill="auto"/>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Εθνικό/περιφερειακό ΑΕΠ (για όλους τους τομείς) (ετησίως).</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200 000 000 000</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200 000 000 000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δ</w:t>
            </w:r>
          </w:p>
        </w:tc>
      </w:tr>
      <w:tr w:rsidR="00F73706" w:rsidRPr="00F73706" w:rsidTr="00BC211C">
        <w:trPr>
          <w:trHeight w:val="631"/>
        </w:trPr>
        <w:tc>
          <w:tcPr>
            <w:tcW w:w="1202" w:type="dxa"/>
            <w:vMerge/>
            <w:vAlign w:val="center"/>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tcPr>
          <w:p w:rsidR="00F73706" w:rsidRPr="00F73706" w:rsidRDefault="00F31494" w:rsidP="00F73706">
            <w:pPr>
              <w:spacing w:before="60" w:after="120" w:line="220" w:lineRule="atLeast"/>
              <w:jc w:val="left"/>
              <w:rPr>
                <w:rFonts w:eastAsia="Times New Roman" w:cs="Arial"/>
                <w:sz w:val="18"/>
                <w:szCs w:val="20"/>
              </w:rPr>
            </w:pPr>
            <w:r>
              <w:rPr>
                <w:sz w:val="18"/>
                <w:szCs w:val="20"/>
              </w:rPr>
              <w:t>Ακαθάριστες εγχώριες δαπάνες σε Ε&amp;Α (GERD) από όλους τους τομείς (ετησίως).</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3 000 000 000</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3 000 000 000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ε</w:t>
            </w:r>
          </w:p>
        </w:tc>
      </w:tr>
      <w:tr w:rsidR="00F73706" w:rsidRPr="00F73706" w:rsidTr="00BC211C">
        <w:trPr>
          <w:trHeight w:val="542"/>
        </w:trPr>
        <w:tc>
          <w:tcPr>
            <w:tcW w:w="1202" w:type="dxa"/>
            <w:vMerge w:val="restart"/>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 xml:space="preserve">Τιμές των κοινών δεικτών που αφορούν τους στόχους </w:t>
            </w: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T1: Ποσοστό των δαπανών στο πλαίσιο των άρθρων 14,15 και 35 του κανονισμού (ΕΕ) αριθ. 1305/2013 ως προς τις συνολικές δαπάνες του ΠΑΑ.</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5 %</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4 %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στ=</w:t>
            </w:r>
            <w:r>
              <w:rPr>
                <w:color w:val="F07E31"/>
                <w:sz w:val="18"/>
                <w:szCs w:val="20"/>
              </w:rPr>
              <w:br/>
              <w:t>β*100/α</w:t>
            </w:r>
          </w:p>
        </w:tc>
      </w:tr>
      <w:tr w:rsidR="00F73706" w:rsidRPr="00F73706" w:rsidTr="00BC211C">
        <w:trPr>
          <w:trHeight w:val="542"/>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T2: Συνολικός αριθμός πράξεων έργων συνεργασίας που στηρίζονται στο πλαίσιο του μέτρου για τη συνεργασία [άρθρο 35 του κανονισμού (ΕΕ) αριθ. 1305/2013] (ομάδες, δίκτυα, συνεργατικοί σχηματισμοί, πιλοτικά έργα).</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30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50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ζ</w:t>
            </w:r>
          </w:p>
        </w:tc>
      </w:tr>
      <w:tr w:rsidR="00F73706" w:rsidRPr="00F73706" w:rsidTr="00BC211C">
        <w:trPr>
          <w:trHeight w:val="561"/>
        </w:trPr>
        <w:tc>
          <w:tcPr>
            <w:tcW w:w="1202" w:type="dxa"/>
            <w:vMerge w:val="restart"/>
            <w:shd w:val="clear" w:color="auto" w:fill="auto"/>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 xml:space="preserve">Τιμές των πρόσθετων δεικτών αποτελεσμάτων </w:t>
            </w: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Ακαθάριστη εγχώρια δαπάνη σε Ε&amp;Α (GERD) ως προς το ακαθάριστο εγχώριο προϊόν (ΑΕΠ).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η= ε*100/δ</w:t>
            </w:r>
          </w:p>
        </w:tc>
      </w:tr>
      <w:tr w:rsidR="00F73706" w:rsidRPr="00F73706" w:rsidTr="00BC211C">
        <w:trPr>
          <w:trHeight w:val="561"/>
        </w:trPr>
        <w:tc>
          <w:tcPr>
            <w:tcW w:w="1202" w:type="dxa"/>
            <w:vMerge/>
            <w:shd w:val="clear" w:color="auto" w:fill="auto"/>
            <w:vAlign w:val="center"/>
            <w:hideMark/>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after="120" w:line="220" w:lineRule="atLeast"/>
              <w:jc w:val="left"/>
              <w:rPr>
                <w:rFonts w:eastAsia="Times New Roman" w:cs="Arial"/>
                <w:color w:val="57825E"/>
                <w:sz w:val="18"/>
                <w:szCs w:val="20"/>
              </w:rPr>
            </w:pPr>
            <w:r>
              <w:rPr>
                <w:color w:val="57825E"/>
                <w:sz w:val="18"/>
                <w:szCs w:val="18"/>
              </w:rPr>
              <w:t xml:space="preserve">Δαπάνες του ΠΑΑ σε Ε&amp;Α ως ποσοστό % του ΑΕΠ (GERD «αγροτική ανάπτυξη»).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0,06 %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0,07%</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θ=</w:t>
            </w:r>
            <w:r>
              <w:rPr>
                <w:color w:val="F07E31"/>
                <w:sz w:val="18"/>
                <w:szCs w:val="18"/>
              </w:rPr>
              <w:br/>
              <w:t>γ*100/δ</w:t>
            </w:r>
          </w:p>
        </w:tc>
      </w:tr>
      <w:tr w:rsidR="00F73706" w:rsidRPr="00F73706" w:rsidTr="00BC211C">
        <w:trPr>
          <w:trHeight w:val="650"/>
        </w:trPr>
        <w:tc>
          <w:tcPr>
            <w:tcW w:w="1202" w:type="dxa"/>
            <w:vMerge/>
            <w:shd w:val="clear" w:color="auto" w:fill="auto"/>
            <w:vAlign w:val="center"/>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Δαπάνες του ΠΑΑ σε Ε&amp;Α και καινοτομία ως ποσοστό % των συνολικών δαπανών του ΠΑΑ.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17,72 %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ι=</w:t>
            </w:r>
            <w:r>
              <w:rPr>
                <w:color w:val="F07E31"/>
                <w:sz w:val="18"/>
                <w:szCs w:val="18"/>
              </w:rPr>
              <w:br/>
              <w:t>γ*100/α</w:t>
            </w:r>
          </w:p>
        </w:tc>
      </w:tr>
      <w:tr w:rsidR="00F73706" w:rsidRPr="00B1500A" w:rsidTr="00BC211C">
        <w:trPr>
          <w:trHeight w:val="610"/>
        </w:trPr>
        <w:tc>
          <w:tcPr>
            <w:tcW w:w="1202" w:type="dxa"/>
            <w:vMerge/>
            <w:shd w:val="clear" w:color="auto" w:fill="auto"/>
            <w:vAlign w:val="center"/>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Δαπάνες του ΠΑΑ σε Ε&amp;Α και καινοτομία ως ποσοστό % των ακαθάριστων εγχώριων δαπανών σε Ε&amp;Α και καινοτομία.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4,00 %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4,67 %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ια=</w:t>
            </w:r>
            <w:r>
              <w:rPr>
                <w:color w:val="F07E31"/>
                <w:sz w:val="18"/>
                <w:szCs w:val="18"/>
              </w:rPr>
              <w:br/>
              <w:t>γ*100/ε</w:t>
            </w:r>
          </w:p>
        </w:tc>
      </w:tr>
    </w:tbl>
    <w:p w:rsidR="00A45935" w:rsidRPr="00E05D08" w:rsidRDefault="00651910" w:rsidP="00651910">
      <w:pPr>
        <w:spacing w:before="120" w:after="120" w:line="280" w:lineRule="atLeast"/>
        <w:ind w:left="360"/>
        <w:mirrorIndents/>
        <w:rPr>
          <w:rFonts w:eastAsia="Times New Roman" w:cs="Times New Roman"/>
          <w:b/>
          <w:szCs w:val="20"/>
        </w:rPr>
      </w:pPr>
      <w:r>
        <w:rPr>
          <w:b/>
          <w:szCs w:val="20"/>
        </w:rPr>
        <w:t>δ.</w:t>
      </w:r>
      <w:r>
        <w:rPr>
          <w:b/>
          <w:szCs w:val="20"/>
        </w:rPr>
        <w:tab/>
      </w:r>
      <w:r w:rsidR="00A45935">
        <w:rPr>
          <w:b/>
          <w:szCs w:val="20"/>
        </w:rPr>
        <w:t xml:space="preserve">Κίνδυνοι και λύσεις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8"/>
      </w:tblGrid>
      <w:tr w:rsidR="00A45935" w:rsidRPr="00E05D08" w:rsidTr="00F73706">
        <w:trPr>
          <w:tblHeader/>
        </w:trPr>
        <w:tc>
          <w:tcPr>
            <w:tcW w:w="4508" w:type="dxa"/>
            <w:shd w:val="clear" w:color="auto" w:fill="F07E31"/>
          </w:tcPr>
          <w:bookmarkEnd w:id="126"/>
          <w:p w:rsidR="00A45935" w:rsidRPr="00E05D08" w:rsidRDefault="00A45935" w:rsidP="00E05D08">
            <w:pPr>
              <w:spacing w:after="120" w:line="280" w:lineRule="atLeast"/>
              <w:mirrorIndents/>
              <w:jc w:val="center"/>
              <w:rPr>
                <w:b/>
                <w:color w:val="FFFFFF"/>
                <w:sz w:val="18"/>
                <w:szCs w:val="18"/>
              </w:rPr>
            </w:pPr>
            <w:r>
              <w:rPr>
                <w:b/>
                <w:color w:val="FFFFFF"/>
                <w:sz w:val="18"/>
                <w:szCs w:val="18"/>
              </w:rPr>
              <w:t>Κίνδυνος</w:t>
            </w:r>
          </w:p>
        </w:tc>
        <w:tc>
          <w:tcPr>
            <w:tcW w:w="4508"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Λύση</w:t>
            </w:r>
          </w:p>
        </w:tc>
      </w:tr>
      <w:tr w:rsidR="00A45935" w:rsidRPr="00E05D08" w:rsidTr="00E05D08">
        <w:tc>
          <w:tcPr>
            <w:tcW w:w="4508" w:type="dxa"/>
          </w:tcPr>
          <w:p w:rsidR="00A45935" w:rsidRPr="00385368" w:rsidRDefault="00A45935" w:rsidP="00BA4FCD">
            <w:pPr>
              <w:spacing w:after="120" w:line="280" w:lineRule="atLeast"/>
              <w:jc w:val="left"/>
              <w:rPr>
                <w:rFonts w:eastAsia="Calibri" w:cs="Arial"/>
                <w:sz w:val="18"/>
                <w:szCs w:val="18"/>
              </w:rPr>
            </w:pPr>
            <w:r>
              <w:rPr>
                <w:sz w:val="18"/>
                <w:szCs w:val="18"/>
              </w:rPr>
              <w:t>Λανθασμένη εκτίμηση του δυναμικού διαφόρων μέτρων του ΠΑΑ για προώθηση της καινοτομίας στις αγροτικές περιοχές, κυρίως των μέτρων εκτός των συνήθων «μέτρων καινοτομίας» όπως τα μέτρα 1, 2, 16, 19 ή 20, κάτι που μπορεί να προκαλέσει λάθη στον υπολογισμό των δαπανών του ΠΑΑ που συνδέονται με Ε&amp;Α και καινοτομία.</w:t>
            </w:r>
          </w:p>
          <w:p w:rsidR="00A45935" w:rsidRPr="002F229A" w:rsidRDefault="00A45935" w:rsidP="00BA4FCD">
            <w:pPr>
              <w:spacing w:after="120" w:line="280" w:lineRule="atLeast"/>
              <w:jc w:val="left"/>
              <w:rPr>
                <w:rFonts w:eastAsia="Calibri" w:cs="Arial"/>
                <w:b/>
                <w:sz w:val="18"/>
                <w:szCs w:val="18"/>
              </w:rPr>
            </w:pPr>
          </w:p>
        </w:tc>
        <w:tc>
          <w:tcPr>
            <w:tcW w:w="4508" w:type="dxa"/>
          </w:tcPr>
          <w:p w:rsidR="00A45935" w:rsidRPr="00D13817" w:rsidRDefault="00A45935" w:rsidP="00BA4FCD">
            <w:pPr>
              <w:spacing w:after="120" w:line="280" w:lineRule="atLeast"/>
              <w:jc w:val="left"/>
              <w:rPr>
                <w:rFonts w:eastAsia="Calibri" w:cs="Arial"/>
                <w:sz w:val="18"/>
                <w:szCs w:val="18"/>
              </w:rPr>
            </w:pPr>
            <w:r>
              <w:rPr>
                <w:sz w:val="18"/>
                <w:szCs w:val="18"/>
              </w:rPr>
              <w:t xml:space="preserve">Ο κίνδυνος αυτός μπορεί εν μέρει να εξαλειφθεί εάν πριν από την έναρξη της αξιολόγησης έχει πραγματοποιηθεί διεξοδική εκτίμηση του δυναμικού καινοτομίας του ΠΑΑ. Η επισήμανση των μέτρων του ΠΑΑ που μπορεί να εμφανίσουν υψηλό δυναμικό καινοτομίας διευκολύνει την αξιολόγηση της πραγματικής τους ικανότητας να το πραγματοποιήσουν. Για παράδειγμα, εάν οι αξιολογητές γνωρίζουν ποια μέτρα μπορεί να έχουν ισχυρό αντίκτυπο στην παραγωγή νέων ιδεών, θα ελέγξουν την «καινοτόμο απόδοση» αυτών των μέτρων κατά τον χρόνο της αξιολόγησης και θα </w:t>
            </w:r>
            <w:r>
              <w:rPr>
                <w:sz w:val="18"/>
                <w:szCs w:val="18"/>
              </w:rPr>
              <w:lastRenderedPageBreak/>
              <w:t xml:space="preserve">λάβουν υπόψη τις δαπάνες τους κατά τον υπολογισμό των αντίστοιχων δεικτών. </w:t>
            </w:r>
          </w:p>
        </w:tc>
      </w:tr>
      <w:tr w:rsidR="00A45935" w:rsidRPr="00E05D08" w:rsidTr="00E05D08">
        <w:tc>
          <w:tcPr>
            <w:tcW w:w="4508" w:type="dxa"/>
          </w:tcPr>
          <w:p w:rsidR="00A45935" w:rsidRPr="00385368" w:rsidRDefault="00A45935" w:rsidP="00BA4FCD">
            <w:pPr>
              <w:spacing w:after="120" w:line="280" w:lineRule="atLeast"/>
              <w:jc w:val="left"/>
              <w:rPr>
                <w:rFonts w:eastAsia="Calibri" w:cs="Arial"/>
                <w:b/>
                <w:sz w:val="18"/>
                <w:szCs w:val="18"/>
              </w:rPr>
            </w:pPr>
            <w:r>
              <w:rPr>
                <w:sz w:val="18"/>
                <w:szCs w:val="18"/>
              </w:rPr>
              <w:lastRenderedPageBreak/>
              <w:t>Απουσία διαθέσιμων και ποιοτικών δεδομένων (στον απαιτούμενο μορφότυπο) για την Ε&amp;Α και την καινοτομία στα εθνικά και περιφερειακά στατιστικά στοιχεία. Στην περίπτωση απουσίας δεδομένων υψηλής ποιότητας, υπάρχει κίνδυνος οι αξιολογητές να μην χρησιμοποιήσουν τις κατάλληλες τεχνικές για την εκτίμηση των δαπανών που επενδύονται σε Ε&amp;Α και καινοτομία. Αυτό μπορεί να θέσει σε κίνδυνο την εξασφάλιση ρεαλιστικών τιμών για τους προτεινόμενους πρόσθετους δείκτες.</w:t>
            </w:r>
          </w:p>
        </w:tc>
        <w:tc>
          <w:tcPr>
            <w:tcW w:w="4508" w:type="dxa"/>
          </w:tcPr>
          <w:p w:rsidR="00A45935" w:rsidRPr="00385368" w:rsidRDefault="00A45935" w:rsidP="00BA4FCD">
            <w:pPr>
              <w:spacing w:after="120" w:line="280" w:lineRule="atLeast"/>
              <w:jc w:val="left"/>
              <w:rPr>
                <w:rFonts w:eastAsia="Calibri" w:cs="Arial"/>
                <w:b/>
                <w:sz w:val="18"/>
                <w:szCs w:val="18"/>
              </w:rPr>
            </w:pPr>
            <w:r>
              <w:rPr>
                <w:sz w:val="18"/>
                <w:szCs w:val="18"/>
              </w:rPr>
              <w:t>Για να αποφευχθεί ο εν λόγω κίνδυνος, είναι σημαντικό οι αξιολογητές να διαθέτουν τις απαραίτητες ικανότητες και εργαλεία (π.χ. συντελεστές) για την εκτίμηση των στατιστικών τιμών σε εθνικό/περιφερειακό επίπεδο.</w:t>
            </w:r>
          </w:p>
        </w:tc>
      </w:tr>
    </w:tbl>
    <w:p w:rsidR="00A45935" w:rsidRPr="00E05D08" w:rsidRDefault="00651910" w:rsidP="00651910">
      <w:pPr>
        <w:spacing w:before="120" w:after="120" w:line="280" w:lineRule="atLeast"/>
        <w:mirrorIndents/>
        <w:rPr>
          <w:rFonts w:eastAsia="Times New Roman" w:cs="Times New Roman"/>
          <w:b/>
          <w:szCs w:val="20"/>
        </w:rPr>
      </w:pPr>
      <w:r>
        <w:rPr>
          <w:b/>
          <w:szCs w:val="20"/>
        </w:rPr>
        <w:t>ε.</w:t>
      </w:r>
      <w:r>
        <w:rPr>
          <w:b/>
          <w:szCs w:val="20"/>
        </w:rPr>
        <w:tab/>
      </w:r>
      <w:r w:rsidR="00A45935">
        <w:rPr>
          <w:b/>
          <w:szCs w:val="20"/>
        </w:rPr>
        <w:t xml:space="preserve">Συμπεράσματα και συστάσεις </w:t>
      </w:r>
    </w:p>
    <w:p w:rsidR="00A45935" w:rsidRPr="00E05D08" w:rsidRDefault="00A45935" w:rsidP="00E05D08">
      <w:pPr>
        <w:spacing w:after="120" w:line="280" w:lineRule="atLeast"/>
        <w:mirrorIndents/>
        <w:rPr>
          <w:rFonts w:eastAsia="Times New Roman" w:cs="Times New Roman"/>
          <w:szCs w:val="20"/>
        </w:rPr>
      </w:pPr>
      <w:r>
        <w:t>Στα συμπεράσματα και τις συστάσεις που συνδέονται με το ΚΕΑ αριθ. 23 θα πρέπει να λαμβάνονται υπόψη τα ακόλουθα:</w:t>
      </w:r>
    </w:p>
    <w:p w:rsidR="00A45935" w:rsidRPr="00545C6C" w:rsidRDefault="00A45935" w:rsidP="000026C6">
      <w:pPr>
        <w:pStyle w:val="Hlistbullet"/>
      </w:pPr>
      <w:r>
        <w:rPr>
          <w:b/>
        </w:rPr>
        <w:t>Επίπεδο επενδύσεων στην Ε&amp;Α και την καινοτομία</w:t>
      </w:r>
      <w:r>
        <w:t xml:space="preserve"> που υλοποιήθηκαν μέσω του ΠΑΑ σε σχέση με τη συνολική κατάσταση των επενδύσεων στην Ε&amp;Α και την καινοτομία στα κράτη μέλη/στην περιφέρεια.</w:t>
      </w:r>
    </w:p>
    <w:p w:rsidR="00A45935" w:rsidRPr="00545C6C" w:rsidRDefault="00A45935" w:rsidP="000026C6">
      <w:pPr>
        <w:pStyle w:val="Hlistbullet"/>
      </w:pPr>
      <w:r>
        <w:rPr>
          <w:b/>
        </w:rPr>
        <w:t>Δυναμικό μεμονωμένων μέτρων για επενδύσεις στην Ε&amp;Α και την καινοτομία</w:t>
      </w:r>
      <w:r>
        <w:t xml:space="preserve"> στους τομείς της γεωργίας, της μεταποίησης τροφίμων, της δασοκομίας και στις αγροτικές περιοχές. </w:t>
      </w:r>
    </w:p>
    <w:p w:rsidR="00A45935" w:rsidRPr="00E05D08" w:rsidRDefault="00A45935" w:rsidP="00F31494">
      <w:pPr>
        <w:pStyle w:val="HHeading4"/>
        <w:rPr>
          <w:rFonts w:eastAsia="Calibri"/>
        </w:rPr>
      </w:pPr>
      <w:r>
        <w:t>Περαιτέρω βιβλιογραφία</w:t>
      </w:r>
    </w:p>
    <w:p w:rsidR="00A45935" w:rsidRPr="00E05D08" w:rsidRDefault="00A45935" w:rsidP="00F31494">
      <w:pPr>
        <w:pStyle w:val="HStandard"/>
      </w:pPr>
      <w:r>
        <w:rPr>
          <w:noProof/>
          <w:lang w:val="en-GB" w:eastAsia="en-GB"/>
        </w:rPr>
        <mc:AlternateContent>
          <mc:Choice Requires="wps">
            <w:drawing>
              <wp:inline distT="0" distB="0" distL="0" distR="0" wp14:anchorId="430D079D" wp14:editId="4857FB72">
                <wp:extent cx="5991283" cy="3267075"/>
                <wp:effectExtent l="0" t="0" r="28575" b="28575"/>
                <wp:docPr id="559" name="Rectangle: Diagonal Corners Rounded 559"/>
                <wp:cNvGraphicFramePr/>
                <a:graphic xmlns:a="http://schemas.openxmlformats.org/drawingml/2006/main">
                  <a:graphicData uri="http://schemas.microsoft.com/office/word/2010/wordprocessingShape">
                    <wps:wsp>
                      <wps:cNvSpPr/>
                      <wps:spPr>
                        <a:xfrm>
                          <a:off x="0" y="0"/>
                          <a:ext cx="5991283" cy="3267075"/>
                        </a:xfrm>
                        <a:prstGeom prst="round2DiagRect">
                          <a:avLst>
                            <a:gd name="adj1" fmla="val 9341"/>
                            <a:gd name="adj2" fmla="val 0"/>
                          </a:avLst>
                        </a:prstGeom>
                        <a:noFill/>
                        <a:ln w="25400" cap="flat" cmpd="sng" algn="ctr">
                          <a:solidFill>
                            <a:srgbClr val="59638E"/>
                          </a:solidFill>
                          <a:prstDash val="solid"/>
                        </a:ln>
                        <a:effectLst/>
                      </wps:spPr>
                      <wps:txbx>
                        <w:txbxContent>
                          <w:p w:rsidR="00272EFF" w:rsidRDefault="00272EFF" w:rsidP="00E05D08">
                            <w:pPr>
                              <w:pStyle w:val="HStandard"/>
                              <w:rPr>
                                <w:color w:val="000000"/>
                                <w:sz w:val="18"/>
                              </w:rPr>
                            </w:pPr>
                            <w:r>
                              <w:rPr>
                                <w:noProof/>
                                <w:lang w:val="en-GB" w:eastAsia="en-GB"/>
                              </w:rPr>
                              <w:drawing>
                                <wp:inline distT="0" distB="0" distL="0" distR="0" wp14:anchorId="591DB2EE" wp14:editId="636639FD">
                                  <wp:extent cx="360465" cy="360000"/>
                                  <wp:effectExtent l="0" t="0" r="1905" b="2540"/>
                                  <wp:docPr id="714"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272EFF" w:rsidRPr="00651910" w:rsidRDefault="00272EFF" w:rsidP="00E05D08">
                            <w:pPr>
                              <w:pStyle w:val="HStandard"/>
                              <w:rPr>
                                <w:sz w:val="18"/>
                                <w:szCs w:val="18"/>
                              </w:rPr>
                            </w:pPr>
                            <w:r w:rsidRPr="00651910">
                              <w:rPr>
                                <w:sz w:val="18"/>
                                <w:szCs w:val="18"/>
                              </w:rPr>
                              <w:t xml:space="preserve">Ευρωπαϊκή Επιτροπή (2010) ΕΥΡΩΠΗ 2020 – </w:t>
                            </w:r>
                            <w:hyperlink r:id="rId78" w:history="1">
                              <w:r w:rsidRPr="00651910">
                                <w:rPr>
                                  <w:rStyle w:val="Hyperlink"/>
                                  <w:sz w:val="18"/>
                                  <w:szCs w:val="18"/>
                                </w:rPr>
                                <w:t>Στρατηγική για έξυπνη, διατηρήσιμη και χωρίς αποκλεισμούς ανάπτυξη</w:t>
                              </w:r>
                            </w:hyperlink>
                          </w:p>
                          <w:p w:rsidR="00272EFF" w:rsidRPr="00651910" w:rsidRDefault="00272EFF" w:rsidP="00E05D08">
                            <w:pPr>
                              <w:pStyle w:val="HStandard"/>
                              <w:rPr>
                                <w:sz w:val="18"/>
                                <w:szCs w:val="18"/>
                              </w:rPr>
                            </w:pPr>
                            <w:r w:rsidRPr="00651910">
                              <w:rPr>
                                <w:sz w:val="18"/>
                                <w:szCs w:val="18"/>
                                <w:lang w:val="en-GB"/>
                              </w:rPr>
                              <w:t xml:space="preserve">EUROSTAT (2017) </w:t>
                            </w:r>
                            <w:hyperlink r:id="rId79" w:history="1">
                              <w:r w:rsidRPr="00651910">
                                <w:rPr>
                                  <w:rStyle w:val="Hyperlink"/>
                                  <w:sz w:val="18"/>
                                  <w:szCs w:val="18"/>
                                  <w:lang w:val="en-GB"/>
                                </w:rPr>
                                <w:t>Smarter, greener, more inclusive?</w:t>
                              </w:r>
                            </w:hyperlink>
                            <w:hyperlink r:id="rId80" w:history="1">
                              <w:r w:rsidRPr="00651910">
                                <w:rPr>
                                  <w:rStyle w:val="Hyperlink"/>
                                  <w:sz w:val="18"/>
                                  <w:szCs w:val="18"/>
                                  <w:lang w:val="en-GB"/>
                                </w:rPr>
                                <w:t xml:space="preserve"> </w:t>
                              </w:r>
                              <w:r w:rsidRPr="00651910">
                                <w:rPr>
                                  <w:rStyle w:val="Hyperlink"/>
                                  <w:sz w:val="18"/>
                                  <w:szCs w:val="18"/>
                                </w:rPr>
                                <w:t>Indicators to support the Europe 2020 Strategy</w:t>
                              </w:r>
                            </w:hyperlink>
                            <w:r w:rsidRPr="00651910">
                              <w:rPr>
                                <w:sz w:val="18"/>
                                <w:szCs w:val="18"/>
                              </w:rPr>
                              <w:t xml:space="preserve"> (Πιο έξυπνη, πιο πράσινη και με λιγότερους αποκλεισμούς; Δείκτες για την στήριξη της στρατηγικής «Ευρώπη 2020»)</w:t>
                            </w:r>
                          </w:p>
                          <w:p w:rsidR="00272EFF" w:rsidRPr="00651910" w:rsidRDefault="00272EFF" w:rsidP="00E05D08">
                            <w:pPr>
                              <w:pStyle w:val="HStandard"/>
                              <w:rPr>
                                <w:sz w:val="18"/>
                                <w:szCs w:val="18"/>
                              </w:rPr>
                            </w:pPr>
                            <w:r w:rsidRPr="00651910">
                              <w:rPr>
                                <w:sz w:val="18"/>
                                <w:szCs w:val="18"/>
                              </w:rPr>
                              <w:t>Dietz S. (2017) “</w:t>
                            </w:r>
                            <w:hyperlink r:id="rId81" w:history="1">
                              <w:r w:rsidRPr="00651910">
                                <w:rPr>
                                  <w:rStyle w:val="Hyperlink"/>
                                  <w:sz w:val="18"/>
                                  <w:szCs w:val="18"/>
                                </w:rPr>
                                <w:t>ELER im Kontext der Strategie „Europa 2020</w:t>
                              </w:r>
                            </w:hyperlink>
                            <w:r w:rsidRPr="00651910">
                              <w:rPr>
                                <w:sz w:val="18"/>
                                <w:szCs w:val="18"/>
                              </w:rPr>
                              <w:t>”· παρουσίαση στην ετήσια εκδήλωση MEN-D Annual Event 2017</w:t>
                            </w:r>
                          </w:p>
                          <w:p w:rsidR="00272EFF" w:rsidRPr="00651910" w:rsidRDefault="00272EFF" w:rsidP="00E05D08">
                            <w:pPr>
                              <w:pStyle w:val="HStandard"/>
                              <w:rPr>
                                <w:sz w:val="18"/>
                                <w:szCs w:val="18"/>
                                <w:lang w:val="de-DE"/>
                              </w:rPr>
                            </w:pPr>
                            <w:r w:rsidRPr="00651910">
                              <w:rPr>
                                <w:sz w:val="18"/>
                                <w:szCs w:val="18"/>
                                <w:lang w:val="de-DE"/>
                              </w:rPr>
                              <w:t xml:space="preserve">MEN-D (2015) </w:t>
                            </w:r>
                            <w:hyperlink r:id="rId82" w:history="1">
                              <w:r w:rsidRPr="00651910">
                                <w:rPr>
                                  <w:rStyle w:val="Hyperlink"/>
                                  <w:sz w:val="18"/>
                                  <w:szCs w:val="18"/>
                                  <w:lang w:val="de-DE"/>
                                </w:rPr>
                                <w:t>Monitoring und Evaluierung der ELER-Förderperiode 2014 – 2020: Auswertung der Methoden und Erfahrungen der Ex-Ante Bewertung.</w:t>
                              </w:r>
                            </w:hyperlink>
                          </w:p>
                          <w:p w:rsidR="00272EFF" w:rsidRPr="00651910" w:rsidRDefault="00272EFF" w:rsidP="00E05D08">
                            <w:pPr>
                              <w:pStyle w:val="HStandard"/>
                              <w:rPr>
                                <w:sz w:val="18"/>
                                <w:szCs w:val="18"/>
                                <w:lang w:val="de-DE"/>
                              </w:rPr>
                            </w:pPr>
                            <w:r w:rsidRPr="00651910">
                              <w:rPr>
                                <w:sz w:val="18"/>
                                <w:szCs w:val="18"/>
                                <w:lang w:val="de-DE"/>
                              </w:rPr>
                              <w:t xml:space="preserve">MEN-D (2017) </w:t>
                            </w:r>
                            <w:hyperlink r:id="rId83" w:history="1">
                              <w:r w:rsidRPr="00651910">
                                <w:rPr>
                                  <w:rStyle w:val="Hyperlink"/>
                                  <w:sz w:val="18"/>
                                  <w:szCs w:val="18"/>
                                  <w:lang w:val="de-DE"/>
                                </w:rPr>
                                <w:t>EAFRD in the context of the Europe 2020 Strategy - evaluation of contributions and future challenges</w:t>
                              </w:r>
                            </w:hyperlink>
                            <w:r w:rsidRPr="00651910">
                              <w:rPr>
                                <w:sz w:val="18"/>
                                <w:szCs w:val="18"/>
                                <w:lang w:val="de-DE"/>
                              </w:rPr>
                              <w:t xml:space="preserve"> (</w:t>
                            </w:r>
                            <w:r w:rsidRPr="00651910">
                              <w:rPr>
                                <w:sz w:val="18"/>
                                <w:szCs w:val="18"/>
                              </w:rPr>
                              <w:t>Το</w:t>
                            </w:r>
                            <w:r w:rsidRPr="00651910">
                              <w:rPr>
                                <w:sz w:val="18"/>
                                <w:szCs w:val="18"/>
                                <w:lang w:val="de-DE"/>
                              </w:rPr>
                              <w:t xml:space="preserve"> </w:t>
                            </w:r>
                            <w:r w:rsidRPr="00651910">
                              <w:rPr>
                                <w:sz w:val="18"/>
                                <w:szCs w:val="18"/>
                              </w:rPr>
                              <w:t>ΕΓΤΑΑ</w:t>
                            </w:r>
                            <w:r w:rsidRPr="00651910">
                              <w:rPr>
                                <w:sz w:val="18"/>
                                <w:szCs w:val="18"/>
                                <w:lang w:val="de-DE"/>
                              </w:rPr>
                              <w:t xml:space="preserve"> </w:t>
                            </w:r>
                            <w:r w:rsidRPr="00651910">
                              <w:rPr>
                                <w:sz w:val="18"/>
                                <w:szCs w:val="18"/>
                              </w:rPr>
                              <w:t>στο</w:t>
                            </w:r>
                            <w:r w:rsidRPr="00651910">
                              <w:rPr>
                                <w:sz w:val="18"/>
                                <w:szCs w:val="18"/>
                                <w:lang w:val="de-DE"/>
                              </w:rPr>
                              <w:t xml:space="preserve"> </w:t>
                            </w:r>
                            <w:r w:rsidRPr="00651910">
                              <w:rPr>
                                <w:sz w:val="18"/>
                                <w:szCs w:val="18"/>
                              </w:rPr>
                              <w:t>πλαίσιο</w:t>
                            </w:r>
                            <w:r w:rsidRPr="00651910">
                              <w:rPr>
                                <w:sz w:val="18"/>
                                <w:szCs w:val="18"/>
                                <w:lang w:val="de-DE"/>
                              </w:rPr>
                              <w:t xml:space="preserve"> </w:t>
                            </w:r>
                            <w:r w:rsidRPr="00651910">
                              <w:rPr>
                                <w:sz w:val="18"/>
                                <w:szCs w:val="18"/>
                              </w:rPr>
                              <w:t>της</w:t>
                            </w:r>
                            <w:r w:rsidRPr="00651910">
                              <w:rPr>
                                <w:sz w:val="18"/>
                                <w:szCs w:val="18"/>
                                <w:lang w:val="de-DE"/>
                              </w:rPr>
                              <w:t xml:space="preserve"> </w:t>
                            </w:r>
                            <w:r w:rsidRPr="00651910">
                              <w:rPr>
                                <w:sz w:val="18"/>
                                <w:szCs w:val="18"/>
                              </w:rPr>
                              <w:t>στρατηγικής</w:t>
                            </w:r>
                            <w:r w:rsidRPr="00651910">
                              <w:rPr>
                                <w:sz w:val="18"/>
                                <w:szCs w:val="18"/>
                                <w:lang w:val="de-DE"/>
                              </w:rPr>
                              <w:t xml:space="preserve"> «</w:t>
                            </w:r>
                            <w:r w:rsidRPr="00651910">
                              <w:rPr>
                                <w:sz w:val="18"/>
                                <w:szCs w:val="18"/>
                              </w:rPr>
                              <w:t>Ευρώπη</w:t>
                            </w:r>
                            <w:r w:rsidRPr="00651910">
                              <w:rPr>
                                <w:sz w:val="18"/>
                                <w:szCs w:val="18"/>
                                <w:lang w:val="de-DE"/>
                              </w:rPr>
                              <w:t xml:space="preserve"> 2020» – </w:t>
                            </w:r>
                            <w:r w:rsidRPr="00651910">
                              <w:rPr>
                                <w:sz w:val="18"/>
                                <w:szCs w:val="18"/>
                              </w:rPr>
                              <w:t>αξιολόγηση</w:t>
                            </w:r>
                            <w:r w:rsidRPr="00651910">
                              <w:rPr>
                                <w:sz w:val="18"/>
                                <w:szCs w:val="18"/>
                                <w:lang w:val="de-DE"/>
                              </w:rPr>
                              <w:t xml:space="preserve"> </w:t>
                            </w:r>
                            <w:r w:rsidRPr="00651910">
                              <w:rPr>
                                <w:sz w:val="18"/>
                                <w:szCs w:val="18"/>
                              </w:rPr>
                              <w:t>των</w:t>
                            </w:r>
                            <w:r w:rsidRPr="00651910">
                              <w:rPr>
                                <w:sz w:val="18"/>
                                <w:szCs w:val="18"/>
                                <w:lang w:val="de-DE"/>
                              </w:rPr>
                              <w:t xml:space="preserve"> </w:t>
                            </w:r>
                            <w:r w:rsidRPr="00651910">
                              <w:rPr>
                                <w:sz w:val="18"/>
                                <w:szCs w:val="18"/>
                              </w:rPr>
                              <w:t>συνεισφορών</w:t>
                            </w:r>
                            <w:r w:rsidRPr="00651910">
                              <w:rPr>
                                <w:sz w:val="18"/>
                                <w:szCs w:val="18"/>
                                <w:lang w:val="de-DE"/>
                              </w:rPr>
                              <w:t xml:space="preserve"> </w:t>
                            </w:r>
                            <w:r w:rsidRPr="00651910">
                              <w:rPr>
                                <w:sz w:val="18"/>
                                <w:szCs w:val="18"/>
                              </w:rPr>
                              <w:t>και</w:t>
                            </w:r>
                            <w:r w:rsidRPr="00651910">
                              <w:rPr>
                                <w:sz w:val="18"/>
                                <w:szCs w:val="18"/>
                                <w:lang w:val="de-DE"/>
                              </w:rPr>
                              <w:t xml:space="preserve"> </w:t>
                            </w:r>
                            <w:r w:rsidRPr="00651910">
                              <w:rPr>
                                <w:sz w:val="18"/>
                                <w:szCs w:val="18"/>
                              </w:rPr>
                              <w:t>μελλοντικές</w:t>
                            </w:r>
                            <w:r w:rsidRPr="00651910">
                              <w:rPr>
                                <w:sz w:val="18"/>
                                <w:szCs w:val="18"/>
                                <w:lang w:val="de-DE"/>
                              </w:rPr>
                              <w:t xml:space="preserve"> </w:t>
                            </w:r>
                            <w:r w:rsidRPr="00651910">
                              <w:rPr>
                                <w:sz w:val="18"/>
                                <w:szCs w:val="18"/>
                              </w:rPr>
                              <w:t>προκλήσεις</w:t>
                            </w:r>
                            <w:r w:rsidRPr="00651910">
                              <w:rPr>
                                <w:sz w:val="18"/>
                                <w:szCs w:val="18"/>
                                <w:lang w:val="de-D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0D079D" id="Rectangle: Diagonal Corners Rounded 559" o:spid="_x0000_s1053" style="width:471.75pt;height:257.25pt;visibility:visible;mso-wrap-style:square;mso-left-percent:-10001;mso-top-percent:-10001;mso-position-horizontal:absolute;mso-position-horizontal-relative:char;mso-position-vertical:absolute;mso-position-vertical-relative:line;mso-left-percent:-10001;mso-top-percent:-10001;v-text-anchor:middle" coordsize="5991283,3267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" adj="-11796480,,5400" path="m305177,l5991283,r,l5991283,2961898v,168545,-136632,305177,-305177,305177l,3267075r,l,305177c,136632,136632,,305177,xe" filled="f" strokecolor="#59638e" strokeweight="2pt">
                <v:stroke joinstyle="miter"/>
                <v:formulas/>
                <v:path arrowok="t" o:connecttype="custom" o:connectlocs="305177,0;5991283,0;5991283,0;5991283,2961898;5686106,3267075;0,3267075;0,3267075;0,305177;305177,0" o:connectangles="0,0,0,0,0,0,0,0,0" textboxrect="0,0,5991283,3267075"/>
                <v:textbox>
                  <w:txbxContent>
                    <w:p w:rsidR="00272EFF" w:rsidRDefault="00272EFF" w:rsidP="00E05D08">
                      <w:pPr>
                        <w:pStyle w:val="HStandard"/>
                        <w:rPr>
                          <w:color w:val="000000"/>
                          <w:sz w:val="18"/>
                        </w:rPr>
                      </w:pPr>
                      <w:r>
                        <w:rPr>
                          <w:noProof/>
                          <w:lang w:val="en-GB" w:eastAsia="en-GB"/>
                        </w:rPr>
                        <w:drawing>
                          <wp:inline distT="0" distB="0" distL="0" distR="0" wp14:anchorId="591DB2EE" wp14:editId="636639FD">
                            <wp:extent cx="360465" cy="360000"/>
                            <wp:effectExtent l="0" t="0" r="1905" b="2540"/>
                            <wp:docPr id="714"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272EFF" w:rsidRPr="00651910" w:rsidRDefault="00272EFF" w:rsidP="00E05D08">
                      <w:pPr>
                        <w:pStyle w:val="HStandard"/>
                        <w:rPr>
                          <w:sz w:val="18"/>
                          <w:szCs w:val="18"/>
                        </w:rPr>
                      </w:pPr>
                      <w:r w:rsidRPr="00651910">
                        <w:rPr>
                          <w:sz w:val="18"/>
                          <w:szCs w:val="18"/>
                        </w:rPr>
                        <w:t xml:space="preserve">Ευρωπαϊκή Επιτροπή (2010) ΕΥΡΩΠΗ 2020 – </w:t>
                      </w:r>
                      <w:hyperlink r:id="rId84" w:history="1">
                        <w:r w:rsidRPr="00651910">
                          <w:rPr>
                            <w:rStyle w:val="Hyperlink"/>
                            <w:sz w:val="18"/>
                            <w:szCs w:val="18"/>
                          </w:rPr>
                          <w:t>Στρατηγική για έξυπνη, διατηρήσιμη και χωρίς αποκλεισμούς ανάπτυξη</w:t>
                        </w:r>
                      </w:hyperlink>
                    </w:p>
                    <w:p w:rsidR="00272EFF" w:rsidRPr="00651910" w:rsidRDefault="00272EFF" w:rsidP="00E05D08">
                      <w:pPr>
                        <w:pStyle w:val="HStandard"/>
                        <w:rPr>
                          <w:sz w:val="18"/>
                          <w:szCs w:val="18"/>
                        </w:rPr>
                      </w:pPr>
                      <w:r w:rsidRPr="00651910">
                        <w:rPr>
                          <w:sz w:val="18"/>
                          <w:szCs w:val="18"/>
                          <w:lang w:val="en-GB"/>
                        </w:rPr>
                        <w:t xml:space="preserve">EUROSTAT (2017) </w:t>
                      </w:r>
                      <w:hyperlink r:id="rId85" w:history="1">
                        <w:r w:rsidRPr="00651910">
                          <w:rPr>
                            <w:rStyle w:val="Hyperlink"/>
                            <w:sz w:val="18"/>
                            <w:szCs w:val="18"/>
                            <w:lang w:val="en-GB"/>
                          </w:rPr>
                          <w:t>Smarter, greener, more inclusive?</w:t>
                        </w:r>
                      </w:hyperlink>
                      <w:hyperlink r:id="rId86" w:history="1">
                        <w:r w:rsidRPr="00651910">
                          <w:rPr>
                            <w:rStyle w:val="Hyperlink"/>
                            <w:sz w:val="18"/>
                            <w:szCs w:val="18"/>
                            <w:lang w:val="en-GB"/>
                          </w:rPr>
                          <w:t xml:space="preserve"> </w:t>
                        </w:r>
                        <w:r w:rsidRPr="00651910">
                          <w:rPr>
                            <w:rStyle w:val="Hyperlink"/>
                            <w:sz w:val="18"/>
                            <w:szCs w:val="18"/>
                          </w:rPr>
                          <w:t>Indicators to support the Europe 2020 Strategy</w:t>
                        </w:r>
                      </w:hyperlink>
                      <w:r w:rsidRPr="00651910">
                        <w:rPr>
                          <w:sz w:val="18"/>
                          <w:szCs w:val="18"/>
                        </w:rPr>
                        <w:t xml:space="preserve"> (Πιο έξυπνη, πιο πράσινη και με λιγότερους αποκλεισμούς; Δείκτες για την στήριξη της στρατηγικής «Ευρώπη 2020»)</w:t>
                      </w:r>
                    </w:p>
                    <w:p w:rsidR="00272EFF" w:rsidRPr="00651910" w:rsidRDefault="00272EFF" w:rsidP="00E05D08">
                      <w:pPr>
                        <w:pStyle w:val="HStandard"/>
                        <w:rPr>
                          <w:sz w:val="18"/>
                          <w:szCs w:val="18"/>
                        </w:rPr>
                      </w:pPr>
                      <w:r w:rsidRPr="00651910">
                        <w:rPr>
                          <w:sz w:val="18"/>
                          <w:szCs w:val="18"/>
                        </w:rPr>
                        <w:t>Dietz S. (2017) “</w:t>
                      </w:r>
                      <w:hyperlink r:id="rId87" w:history="1">
                        <w:r w:rsidRPr="00651910">
                          <w:rPr>
                            <w:rStyle w:val="Hyperlink"/>
                            <w:sz w:val="18"/>
                            <w:szCs w:val="18"/>
                          </w:rPr>
                          <w:t>ELER im Kontext der Strategie „Europa 2020</w:t>
                        </w:r>
                      </w:hyperlink>
                      <w:r w:rsidRPr="00651910">
                        <w:rPr>
                          <w:sz w:val="18"/>
                          <w:szCs w:val="18"/>
                        </w:rPr>
                        <w:t>”· παρουσίαση στην ετήσια εκδήλωση MEN-D Annual Event 2017</w:t>
                      </w:r>
                    </w:p>
                    <w:p w:rsidR="00272EFF" w:rsidRPr="00651910" w:rsidRDefault="00272EFF" w:rsidP="00E05D08">
                      <w:pPr>
                        <w:pStyle w:val="HStandard"/>
                        <w:rPr>
                          <w:sz w:val="18"/>
                          <w:szCs w:val="18"/>
                          <w:lang w:val="de-DE"/>
                        </w:rPr>
                      </w:pPr>
                      <w:r w:rsidRPr="00651910">
                        <w:rPr>
                          <w:sz w:val="18"/>
                          <w:szCs w:val="18"/>
                          <w:lang w:val="de-DE"/>
                        </w:rPr>
                        <w:t xml:space="preserve">MEN-D (2015) </w:t>
                      </w:r>
                      <w:hyperlink r:id="rId88" w:history="1">
                        <w:r w:rsidRPr="00651910">
                          <w:rPr>
                            <w:rStyle w:val="Hyperlink"/>
                            <w:sz w:val="18"/>
                            <w:szCs w:val="18"/>
                            <w:lang w:val="de-DE"/>
                          </w:rPr>
                          <w:t>Monitoring und Evaluierung der ELER-Förderperiode 2014 – 2020: Auswertung der Methoden und Erfahrungen der Ex-Ante Bewertung.</w:t>
                        </w:r>
                      </w:hyperlink>
                    </w:p>
                    <w:p w:rsidR="00272EFF" w:rsidRPr="00651910" w:rsidRDefault="00272EFF" w:rsidP="00E05D08">
                      <w:pPr>
                        <w:pStyle w:val="HStandard"/>
                        <w:rPr>
                          <w:sz w:val="18"/>
                          <w:szCs w:val="18"/>
                          <w:lang w:val="de-DE"/>
                        </w:rPr>
                      </w:pPr>
                      <w:r w:rsidRPr="00651910">
                        <w:rPr>
                          <w:sz w:val="18"/>
                          <w:szCs w:val="18"/>
                          <w:lang w:val="de-DE"/>
                        </w:rPr>
                        <w:t xml:space="preserve">MEN-D (2017) </w:t>
                      </w:r>
                      <w:hyperlink r:id="rId89" w:history="1">
                        <w:r w:rsidRPr="00651910">
                          <w:rPr>
                            <w:rStyle w:val="Hyperlink"/>
                            <w:sz w:val="18"/>
                            <w:szCs w:val="18"/>
                            <w:lang w:val="de-DE"/>
                          </w:rPr>
                          <w:t>EAFRD in the context of the Europe 2020 Strategy - evaluation of contributions and future challenges</w:t>
                        </w:r>
                      </w:hyperlink>
                      <w:r w:rsidRPr="00651910">
                        <w:rPr>
                          <w:sz w:val="18"/>
                          <w:szCs w:val="18"/>
                          <w:lang w:val="de-DE"/>
                        </w:rPr>
                        <w:t xml:space="preserve"> (</w:t>
                      </w:r>
                      <w:r w:rsidRPr="00651910">
                        <w:rPr>
                          <w:sz w:val="18"/>
                          <w:szCs w:val="18"/>
                        </w:rPr>
                        <w:t>Το</w:t>
                      </w:r>
                      <w:r w:rsidRPr="00651910">
                        <w:rPr>
                          <w:sz w:val="18"/>
                          <w:szCs w:val="18"/>
                          <w:lang w:val="de-DE"/>
                        </w:rPr>
                        <w:t xml:space="preserve"> </w:t>
                      </w:r>
                      <w:r w:rsidRPr="00651910">
                        <w:rPr>
                          <w:sz w:val="18"/>
                          <w:szCs w:val="18"/>
                        </w:rPr>
                        <w:t>ΕΓΤΑΑ</w:t>
                      </w:r>
                      <w:r w:rsidRPr="00651910">
                        <w:rPr>
                          <w:sz w:val="18"/>
                          <w:szCs w:val="18"/>
                          <w:lang w:val="de-DE"/>
                        </w:rPr>
                        <w:t xml:space="preserve"> </w:t>
                      </w:r>
                      <w:r w:rsidRPr="00651910">
                        <w:rPr>
                          <w:sz w:val="18"/>
                          <w:szCs w:val="18"/>
                        </w:rPr>
                        <w:t>στο</w:t>
                      </w:r>
                      <w:r w:rsidRPr="00651910">
                        <w:rPr>
                          <w:sz w:val="18"/>
                          <w:szCs w:val="18"/>
                          <w:lang w:val="de-DE"/>
                        </w:rPr>
                        <w:t xml:space="preserve"> </w:t>
                      </w:r>
                      <w:r w:rsidRPr="00651910">
                        <w:rPr>
                          <w:sz w:val="18"/>
                          <w:szCs w:val="18"/>
                        </w:rPr>
                        <w:t>πλαίσιο</w:t>
                      </w:r>
                      <w:r w:rsidRPr="00651910">
                        <w:rPr>
                          <w:sz w:val="18"/>
                          <w:szCs w:val="18"/>
                          <w:lang w:val="de-DE"/>
                        </w:rPr>
                        <w:t xml:space="preserve"> </w:t>
                      </w:r>
                      <w:r w:rsidRPr="00651910">
                        <w:rPr>
                          <w:sz w:val="18"/>
                          <w:szCs w:val="18"/>
                        </w:rPr>
                        <w:t>της</w:t>
                      </w:r>
                      <w:r w:rsidRPr="00651910">
                        <w:rPr>
                          <w:sz w:val="18"/>
                          <w:szCs w:val="18"/>
                          <w:lang w:val="de-DE"/>
                        </w:rPr>
                        <w:t xml:space="preserve"> </w:t>
                      </w:r>
                      <w:r w:rsidRPr="00651910">
                        <w:rPr>
                          <w:sz w:val="18"/>
                          <w:szCs w:val="18"/>
                        </w:rPr>
                        <w:t>στρατηγικής</w:t>
                      </w:r>
                      <w:r w:rsidRPr="00651910">
                        <w:rPr>
                          <w:sz w:val="18"/>
                          <w:szCs w:val="18"/>
                          <w:lang w:val="de-DE"/>
                        </w:rPr>
                        <w:t xml:space="preserve"> «</w:t>
                      </w:r>
                      <w:r w:rsidRPr="00651910">
                        <w:rPr>
                          <w:sz w:val="18"/>
                          <w:szCs w:val="18"/>
                        </w:rPr>
                        <w:t>Ευρώπη</w:t>
                      </w:r>
                      <w:r w:rsidRPr="00651910">
                        <w:rPr>
                          <w:sz w:val="18"/>
                          <w:szCs w:val="18"/>
                          <w:lang w:val="de-DE"/>
                        </w:rPr>
                        <w:t xml:space="preserve"> 2020» – </w:t>
                      </w:r>
                      <w:r w:rsidRPr="00651910">
                        <w:rPr>
                          <w:sz w:val="18"/>
                          <w:szCs w:val="18"/>
                        </w:rPr>
                        <w:t>αξιολόγηση</w:t>
                      </w:r>
                      <w:r w:rsidRPr="00651910">
                        <w:rPr>
                          <w:sz w:val="18"/>
                          <w:szCs w:val="18"/>
                          <w:lang w:val="de-DE"/>
                        </w:rPr>
                        <w:t xml:space="preserve"> </w:t>
                      </w:r>
                      <w:r w:rsidRPr="00651910">
                        <w:rPr>
                          <w:sz w:val="18"/>
                          <w:szCs w:val="18"/>
                        </w:rPr>
                        <w:t>των</w:t>
                      </w:r>
                      <w:r w:rsidRPr="00651910">
                        <w:rPr>
                          <w:sz w:val="18"/>
                          <w:szCs w:val="18"/>
                          <w:lang w:val="de-DE"/>
                        </w:rPr>
                        <w:t xml:space="preserve"> </w:t>
                      </w:r>
                      <w:r w:rsidRPr="00651910">
                        <w:rPr>
                          <w:sz w:val="18"/>
                          <w:szCs w:val="18"/>
                        </w:rPr>
                        <w:t>συνεισφορών</w:t>
                      </w:r>
                      <w:r w:rsidRPr="00651910">
                        <w:rPr>
                          <w:sz w:val="18"/>
                          <w:szCs w:val="18"/>
                          <w:lang w:val="de-DE"/>
                        </w:rPr>
                        <w:t xml:space="preserve"> </w:t>
                      </w:r>
                      <w:r w:rsidRPr="00651910">
                        <w:rPr>
                          <w:sz w:val="18"/>
                          <w:szCs w:val="18"/>
                        </w:rPr>
                        <w:t>και</w:t>
                      </w:r>
                      <w:r w:rsidRPr="00651910">
                        <w:rPr>
                          <w:sz w:val="18"/>
                          <w:szCs w:val="18"/>
                          <w:lang w:val="de-DE"/>
                        </w:rPr>
                        <w:t xml:space="preserve"> </w:t>
                      </w:r>
                      <w:r w:rsidRPr="00651910">
                        <w:rPr>
                          <w:sz w:val="18"/>
                          <w:szCs w:val="18"/>
                        </w:rPr>
                        <w:t>μελλοντικές</w:t>
                      </w:r>
                      <w:r w:rsidRPr="00651910">
                        <w:rPr>
                          <w:sz w:val="18"/>
                          <w:szCs w:val="18"/>
                          <w:lang w:val="de-DE"/>
                        </w:rPr>
                        <w:t xml:space="preserve"> </w:t>
                      </w:r>
                      <w:r w:rsidRPr="00651910">
                        <w:rPr>
                          <w:sz w:val="18"/>
                          <w:szCs w:val="18"/>
                        </w:rPr>
                        <w:t>προκλήσεις</w:t>
                      </w:r>
                      <w:r w:rsidRPr="00651910">
                        <w:rPr>
                          <w:sz w:val="18"/>
                          <w:szCs w:val="18"/>
                          <w:lang w:val="de-DE"/>
                        </w:rPr>
                        <w:t xml:space="preserve">). </w:t>
                      </w:r>
                    </w:p>
                  </w:txbxContent>
                </v:textbox>
                <w10:anchorlock/>
              </v:shape>
            </w:pict>
          </mc:Fallback>
        </mc:AlternateContent>
      </w:r>
    </w:p>
    <w:p w:rsidR="00A45935" w:rsidRPr="00324C42" w:rsidRDefault="00A45935" w:rsidP="00D13817">
      <w:pPr>
        <w:pStyle w:val="HHeading3"/>
        <w:numPr>
          <w:ilvl w:val="2"/>
          <w:numId w:val="125"/>
        </w:numPr>
        <w:tabs>
          <w:tab w:val="clear" w:pos="567"/>
        </w:tabs>
        <w:spacing w:before="480" w:line="280" w:lineRule="exact"/>
        <w:ind w:left="567" w:hanging="567"/>
      </w:pPr>
      <w:bookmarkStart w:id="128" w:name="_Toc501382135"/>
      <w:bookmarkStart w:id="129" w:name="_Toc508964822"/>
      <w:r>
        <w:lastRenderedPageBreak/>
        <w:t>ΚΕΑ αριθ. 30: «Σε ποιο βαθμό έχουν συμβάλει οι παρεμβάσεις στο πλαίσιο του ΠΑΑ στην προώθηση της καινοτομίας;»</w:t>
      </w:r>
      <w:bookmarkEnd w:id="128"/>
      <w:bookmarkEnd w:id="129"/>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Κατανόηση του ΚΕΑ</w:t>
      </w:r>
    </w:p>
    <w:p w:rsidR="00A45935" w:rsidRPr="00E05D08" w:rsidRDefault="00A45935" w:rsidP="00E05D08">
      <w:pPr>
        <w:spacing w:after="120" w:line="280" w:lineRule="atLeast"/>
        <w:mirrorIndents/>
        <w:rPr>
          <w:rFonts w:eastAsia="Times New Roman" w:cs="Arial"/>
          <w:szCs w:val="20"/>
        </w:rPr>
      </w:pPr>
      <w:r>
        <w:t xml:space="preserve">Το ΚΕΑ αριθ. 30 σχετίζεται με τη διαδικασία προώθησης της καινοτομίας. Αυτό προσδίδει στο ερώτημα έναν ιδιαίτερα ευρύ χαρακτήρα από εννοιολογική άποψη, δεδομένου ότι η </w:t>
      </w:r>
      <w:r>
        <w:rPr>
          <w:b/>
          <w:szCs w:val="20"/>
        </w:rPr>
        <w:t>καινοτομία</w:t>
      </w:r>
      <w:r>
        <w:t xml:space="preserve"> </w:t>
      </w:r>
      <w:r>
        <w:rPr>
          <w:b/>
          <w:szCs w:val="20"/>
        </w:rPr>
        <w:t xml:space="preserve">προκύπτει από τις αλληλεπιδράσεις των φορέων του συστήματος καινοτομίας. </w:t>
      </w:r>
      <w:r>
        <w:t xml:space="preserve">Η αξιολόγηση των διαδικασιών απαιτεί χρόνο και, κατά συνέπεια, το ερώτημα μπορεί να απαντηθεί μόνο αφού η παρέμβαση στο πλαίσιο του ΠΑΑ σημειώσει σημαντική πρόοδο (στην ΕΕΥ που θα υποβληθεί το 2019) ή ολοκληρωθεί (εκ των υστέρων αξιολόγηση). </w:t>
      </w:r>
    </w:p>
    <w:p w:rsidR="00A45935" w:rsidRPr="00E05D08" w:rsidRDefault="00A45935" w:rsidP="00E05D08">
      <w:pPr>
        <w:spacing w:after="120" w:line="280" w:lineRule="atLeast"/>
        <w:mirrorIndents/>
        <w:rPr>
          <w:rFonts w:eastAsia="Times New Roman" w:cs="Arial"/>
          <w:szCs w:val="20"/>
        </w:rPr>
      </w:pPr>
      <w:r>
        <w:t xml:space="preserve">Η ΕΕ ενδιαφέρεται για τη συνεισφορά του ΠΑΑ στην καινοτομία κλίμακας, δηλαδή επιτυχείς διαδικασίες καινοτομίας που οδήγησαν σε σχετικά μεγάλες αλλαγές (π.χ. σχετικά μεγάλος αριθμός γεωργών που υιοθετούν μια νέα τεχνολογία). Συνεπώς, το σημείο εκκίνησης για την παροχή απάντησης στο ΚΕΑ αριθ. 30 είναι ο προσδιορισμός των μεγάλων αλλαγών στις οποίες υποστηρίζεται ότι συνέβαλε το ΠΑΑ και στις οποίες τουλάχιστον ένα τμήμα της συμβολής έγινε μέσω της προώθησης της καινοτομίας. Οι εν λόγω μεγάλες αλλαγές μπορούν να προσδιοριστούν μέσω αξιολόγησης των δεικτών αντικτύπου και μέσω συλλογής περαιτέρω πληροφοριών (π.χ. μέσω ελέγχων βάσει εγγράφων και συνεντεύξεων με ενδιαφερόμενους φορείς μετά από τα αποτελέσματα που προκύπτουν από τον προσδιορισμό του δυναμικού καινοτομίας, βλ. </w:t>
      </w:r>
      <w:r>
        <w:rPr>
          <w:color w:val="F07E31"/>
          <w:szCs w:val="20"/>
        </w:rPr>
        <w:t>κεφάλαιο 2.2</w:t>
      </w:r>
      <w:r>
        <w:t xml:space="preserve">). Τα πορίσματα θα χρησιμοποιηθούν επίσης για την παροχή απαντήσεων σε άλλα ΚΕΑ, πέραν του ΚΕΑ αριθ. 30 (ΚΕΑ αριθ. 24 έως 29). </w:t>
      </w:r>
    </w:p>
    <w:p w:rsidR="00A45935" w:rsidRPr="00E05D08" w:rsidRDefault="00A45935" w:rsidP="00E05D08">
      <w:pPr>
        <w:spacing w:after="120" w:line="280" w:lineRule="atLeast"/>
        <w:mirrorIndents/>
        <w:rPr>
          <w:rFonts w:eastAsia="Times New Roman" w:cs="Arial"/>
          <w:szCs w:val="20"/>
        </w:rPr>
      </w:pPr>
      <w:r>
        <w:t xml:space="preserve">Μια εκ των προτέρων παραδοχή από το κεφάλαιο 1.1 είναι ότι τα μέτρα/επιμέρους μέτρα του ΠΑΑ συμβάλλουν στην </w:t>
      </w:r>
      <w:r>
        <w:rPr>
          <w:b/>
          <w:szCs w:val="20"/>
        </w:rPr>
        <w:t>προώθηση της καινοτομίας</w:t>
      </w:r>
      <w:r>
        <w:t xml:space="preserve"> μέσω τριών αλληλένδετων διαδρομών (βλ. </w:t>
      </w:r>
      <w:hyperlink w:anchor="Pathways" w:history="1">
        <w:r>
          <w:rPr>
            <w:rStyle w:val="Hyperlink"/>
            <w:sz w:val="20"/>
            <w:szCs w:val="20"/>
          </w:rPr>
          <w:t>σχήμα 1</w:t>
        </w:r>
      </w:hyperlink>
      <w:r>
        <w:t xml:space="preserve">). Η αξία των τριών διαδρομών έγκειται στο ότι βοηθούν τον αξιολογητή να αναλύσει και να κατανοήσει καλύτερα τη διαδικασία καινοτομίας. Ως εκ τούτου, στις κατευθυντήριες γραμμές προτείνονται τρία υποερωτήματα για το ΚΕΑ αριθ. 30, τα οποία αντιστοιχούν στις εν λόγω διαδρομές: </w:t>
      </w:r>
    </w:p>
    <w:p w:rsidR="00A45935" w:rsidRPr="00BE70EE" w:rsidRDefault="00A45935" w:rsidP="000026C6">
      <w:pPr>
        <w:pStyle w:val="Hlistbullet"/>
      </w:pPr>
      <w:r>
        <w:t>Σε ποιο βαθμό το ΠΑΑ προώθησε την καινοτομία μέσω της ενίσχυσης του δυναμικού καινοτομίας; (Διαδρομή 1)</w:t>
      </w:r>
    </w:p>
    <w:p w:rsidR="00A45935" w:rsidRPr="00BE70EE" w:rsidRDefault="00A45935" w:rsidP="000026C6">
      <w:pPr>
        <w:pStyle w:val="Hlistbullet"/>
      </w:pPr>
      <w:r>
        <w:t>Σε ποιο βαθμό το ΠΑΑ προώθησε την καινοτομία μέσω της ανάπτυξης της ικανότητας για καινοτομία; (Διαδρομή 2)</w:t>
      </w:r>
    </w:p>
    <w:p w:rsidR="00A45935" w:rsidRPr="00BE70EE" w:rsidRDefault="00A45935" w:rsidP="000026C6">
      <w:pPr>
        <w:pStyle w:val="Hlistbullet"/>
      </w:pPr>
      <w:r>
        <w:t>Σε ποιο βαθμό το ΠΑΑ προώθησε την καινοτομία μέσω της δημιουργίας ευνοϊκού περιβάλλοντος για την καινοτομία; (Διαδρομή 3)</w:t>
      </w:r>
    </w:p>
    <w:p w:rsidR="00A45935" w:rsidRPr="00E05D08" w:rsidRDefault="00A45935" w:rsidP="00690E70">
      <w:pPr>
        <w:spacing w:after="120" w:line="280" w:lineRule="atLeast"/>
        <w:mirrorIndents/>
        <w:rPr>
          <w:rFonts w:eastAsia="Times New Roman" w:cs="Arial"/>
          <w:szCs w:val="20"/>
        </w:rPr>
      </w:pPr>
      <w:r>
        <w:t xml:space="preserve">Εξίσου σημαντικές είναι και οι αλληλεπιδράσεις μεταξύ των διαδρομών. Η διαδικασία ενίσχυσης του δυναμικού καινοτομίας με συνεργατικό τρόπο (π.χ. ανάπτυξη και καθιέρωση μιας νέας τεχνολογίας) συμβάλλει στην ανάπτυξη της ικανότητας για καινοτομία των σχετικών ατόμων και οργανισμών, καθώς και του ίδιου του συστήματος καινοτομίας. Η αλληλεπίδραση μεταξύ των διαδρομών θα πρέπει να εξετάζεται κατά την παροχή απαντήσεων στα τρία υποερωτήματα και στο ΚΕΑ αριθ. 30.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Ειδικές προκλήσεις </w:t>
      </w:r>
    </w:p>
    <w:p w:rsidR="00A45935" w:rsidRPr="00241663" w:rsidRDefault="00A45935" w:rsidP="000026C6">
      <w:pPr>
        <w:pStyle w:val="Hlistbullet"/>
      </w:pPr>
      <w:r>
        <w:rPr>
          <w:b/>
        </w:rPr>
        <w:t>Ανάπτυξη πρόσθετων στοιχείων αξιολόγησης</w:t>
      </w:r>
      <w:r>
        <w:t xml:space="preserve"> για την παροχή απάντησης στο ΚΕΑ αριθ. 30 (κριτήρια απόφασης και δείκτες, τόσο ποιοτικοί όσο και ποσοτικοί). </w:t>
      </w:r>
    </w:p>
    <w:p w:rsidR="00A45935" w:rsidRPr="00241663" w:rsidRDefault="00A45935" w:rsidP="000026C6">
      <w:pPr>
        <w:pStyle w:val="Hlistbullet"/>
      </w:pPr>
      <w:r>
        <w:rPr>
          <w:b/>
        </w:rPr>
        <w:t>Εφαρμογή μεθόδων αξιολόγησης</w:t>
      </w:r>
      <w:r>
        <w:t xml:space="preserve"> που θα δώσουν τη δυνατότητα οι παρατηρηθείσες αλλαγές που προέκυψαν </w:t>
      </w:r>
      <w:r>
        <w:rPr>
          <w:u w:val="single"/>
        </w:rPr>
        <w:t>και από τις τρεις</w:t>
      </w:r>
      <w:r>
        <w:t xml:space="preserve"> διαδρομές του συστήματος καινοτομίας στις αγροτικές περιοχές να αποδοθούν στις παρεμβάσεις στο πλαίσιο του ΠΑΑ. </w:t>
      </w:r>
    </w:p>
    <w:p w:rsidR="00A45935" w:rsidRPr="00241663" w:rsidRDefault="00A45935" w:rsidP="000026C6">
      <w:pPr>
        <w:pStyle w:val="Hlistbullet"/>
      </w:pPr>
      <w:r>
        <w:rPr>
          <w:b/>
        </w:rPr>
        <w:lastRenderedPageBreak/>
        <w:t>Αξιολόγηση των αλλαγών</w:t>
      </w:r>
      <w:r>
        <w:t xml:space="preserve"> που επήλθαν λόγω των καινοτομιών που στηρίχθηκαν από το ΠΑΑ.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Προτεινόμενη προσέγγιση για την απάντηση του ΚΕΑ αριθ. 30</w:t>
      </w:r>
    </w:p>
    <w:p w:rsidR="00A45935" w:rsidRPr="00237EDF" w:rsidRDefault="00651910" w:rsidP="00651910">
      <w:pPr>
        <w:spacing w:before="120" w:after="120" w:line="280" w:lineRule="atLeast"/>
        <w:mirrorIndents/>
        <w:rPr>
          <w:rFonts w:eastAsia="Calibri" w:cs="Times New Roman"/>
          <w:b/>
          <w:szCs w:val="20"/>
        </w:rPr>
      </w:pPr>
      <w:r>
        <w:rPr>
          <w:b/>
          <w:szCs w:val="20"/>
        </w:rPr>
        <w:t>α.</w:t>
      </w:r>
      <w:r>
        <w:rPr>
          <w:b/>
          <w:szCs w:val="20"/>
        </w:rPr>
        <w:tab/>
      </w:r>
      <w:r w:rsidR="00A45935">
        <w:rPr>
          <w:b/>
          <w:szCs w:val="20"/>
        </w:rPr>
        <w:t xml:space="preserve">Λογική παρέμβασης </w:t>
      </w:r>
    </w:p>
    <w:p w:rsidR="00A45935" w:rsidRDefault="00A45935" w:rsidP="00E05D08">
      <w:pPr>
        <w:spacing w:after="120" w:line="280" w:lineRule="atLeast"/>
        <w:mirrorIndents/>
        <w:rPr>
          <w:rFonts w:eastAsia="Times New Roman" w:cs="Arial"/>
          <w:szCs w:val="20"/>
        </w:rPr>
      </w:pPr>
      <w:r>
        <w:t>Η προσέγγιση του ΠΑΑ όσον αφορά την καινοτομία στοιχειοθετείται κατά τη διάρκεια του σχεδιασμού του προγράμματος</w:t>
      </w:r>
      <w:r>
        <w:rPr>
          <w:rFonts w:eastAsia="Times New Roman" w:cs="Times New Roman"/>
          <w:szCs w:val="20"/>
          <w:vertAlign w:val="superscript"/>
          <w:lang w:eastAsia="de-DE"/>
        </w:rPr>
        <w:footnoteReference w:id="76"/>
      </w:r>
      <w:r>
        <w:t xml:space="preserve">. Στο πλαίσιο της εξέτασης του δυναμικού καινοτομίας των μέτρων/επιμέρους μέτρων του ΠΑΑ κατά το προπαρασκευαστικό στάδιο της αξιολόγησης, όλα τα μέτρα/επιμέρους μέτρα (όχι μόνο τα μέτρα 1, 2, 16, 19 και η τεχνική βοήθεια) εξετάζονται και δοκιμάζονται ως προς το δυναμικό τους για καλλιέργεια ιδεών, ανάπτυξη ικανοτήτων και δημιουργία ευνοϊκού περιβάλλοντος. Στη συνέχεια, </w:t>
      </w:r>
      <w:r>
        <w:rPr>
          <w:b/>
          <w:szCs w:val="20"/>
        </w:rPr>
        <w:t>όλα τα μέτρα και επιμέρους μέτρα του ΠΑΑ που επιδεικνύουν σημαντικό δυναμικό καινοτομίας</w:t>
      </w:r>
      <w:r>
        <w:t xml:space="preserve"> αναμένεται να αποτελέσουν μέρος της συναφούς με την καινοτομία λογικής παρέμβασης του ΠΑΑ, η οποία καθοδηγεί την υλοποίηση του ΠΑΑ όσον αφορά την καινοτομία. Ο αξιολογητής χρησιμοποιεί την εν λόγω λογική ως εισροή για να διαπιστώσει τον τρόπο με τον οποίο το ΠΑΑ συνέβαλε στην καινοτομία (βλ. </w:t>
      </w:r>
      <w:hyperlink w:anchor="Example_IL" w:history="1">
        <w:r>
          <w:rPr>
            <w:rStyle w:val="Hyperlink"/>
            <w:sz w:val="20"/>
            <w:szCs w:val="20"/>
          </w:rPr>
          <w:t>σχήμα 11</w:t>
        </w:r>
      </w:hyperlink>
      <w:r>
        <w:t>).</w:t>
      </w:r>
    </w:p>
    <w:p w:rsidR="00A45935" w:rsidRPr="00916AB5" w:rsidRDefault="00651910" w:rsidP="00651910">
      <w:pPr>
        <w:pStyle w:val="HHeadingfigures"/>
        <w:numPr>
          <w:ilvl w:val="0"/>
          <w:numId w:val="0"/>
        </w:numPr>
        <w:ind w:left="604"/>
      </w:pPr>
      <w:bookmarkStart w:id="130" w:name="Example_IL"/>
      <w:bookmarkStart w:id="131" w:name="_Toc508964845"/>
      <w:bookmarkEnd w:id="130"/>
      <w:r>
        <w:t>Διάγραμμα 11.</w:t>
      </w:r>
      <w:r>
        <w:tab/>
      </w:r>
      <w:r w:rsidR="00BE1F31">
        <w:t>Παράδειγμα λογικής παρέμβασης για το ΚΕΑ αριθ. 30</w:t>
      </w:r>
      <w:bookmarkEnd w:id="131"/>
    </w:p>
    <w:p w:rsidR="00A45935" w:rsidRPr="00E05D08" w:rsidRDefault="00E44ABD" w:rsidP="002C2C15">
      <w:pPr>
        <w:suppressAutoHyphens/>
        <w:spacing w:before="60" w:after="140" w:line="240" w:lineRule="auto"/>
        <w:mirrorIndents/>
        <w:jc w:val="center"/>
        <w:rPr>
          <w:rFonts w:eastAsia="Times New Roman" w:cs="Times New Roman"/>
          <w:i/>
          <w:noProof/>
          <w:sz w:val="16"/>
          <w:szCs w:val="20"/>
          <w:lang w:eastAsia="en-GB"/>
        </w:rPr>
      </w:pPr>
      <w:r w:rsidRPr="00E44ABD">
        <w:rPr>
          <w:noProof/>
          <w:lang w:val="en-GB" w:eastAsia="en-GB"/>
        </w:rPr>
        <w:drawing>
          <wp:inline distT="0" distB="0" distL="0" distR="0" wp14:anchorId="59CC88A4" wp14:editId="16A2EFDF">
            <wp:extent cx="5732145" cy="3219064"/>
            <wp:effectExtent l="0" t="0" r="190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32145" cy="3219064"/>
                    </a:xfrm>
                    <a:prstGeom prst="rect">
                      <a:avLst/>
                    </a:prstGeom>
                    <a:noFill/>
                    <a:ln>
                      <a:noFill/>
                    </a:ln>
                  </pic:spPr>
                </pic:pic>
              </a:graphicData>
            </a:graphic>
          </wp:inline>
        </w:drawing>
      </w:r>
    </w:p>
    <w:p w:rsidR="00A45935" w:rsidRPr="00E05D08" w:rsidRDefault="00A45935" w:rsidP="00916AB5">
      <w:pPr>
        <w:suppressAutoHyphens/>
        <w:spacing w:before="60" w:after="140" w:line="240" w:lineRule="auto"/>
        <w:mirrorIndents/>
        <w:jc w:val="center"/>
        <w:rPr>
          <w:rFonts w:eastAsia="Times New Roman" w:cs="Times New Roman"/>
          <w:i/>
          <w:sz w:val="16"/>
          <w:szCs w:val="20"/>
        </w:rPr>
      </w:pPr>
      <w:r>
        <w:rPr>
          <w:i/>
          <w:sz w:val="16"/>
          <w:szCs w:val="20"/>
        </w:rPr>
        <w:t>Πηγή: Ευρωπαϊκό Helpdesk αξιολόγησης για την αγροτική ανάπτυξη, 2017</w:t>
      </w:r>
    </w:p>
    <w:p w:rsidR="00A45935" w:rsidRPr="00E05D08" w:rsidRDefault="00A45935" w:rsidP="00E05D08">
      <w:pPr>
        <w:spacing w:after="120" w:line="280" w:lineRule="atLeast"/>
        <w:mirrorIndents/>
        <w:rPr>
          <w:rFonts w:eastAsia="Times New Roman" w:cs="Arial"/>
          <w:szCs w:val="20"/>
        </w:rPr>
      </w:pPr>
      <w:r>
        <w:rPr>
          <w:rFonts w:eastAsia="Times New Roman" w:cs="Times New Roman"/>
          <w:noProof/>
          <w:sz w:val="18"/>
          <w:szCs w:val="24"/>
          <w:lang w:val="en-GB" w:eastAsia="en-GB"/>
        </w:rPr>
        <w:lastRenderedPageBreak/>
        <mc:AlternateContent>
          <mc:Choice Requires="wps">
            <w:drawing>
              <wp:inline distT="0" distB="0" distL="0" distR="0" wp14:anchorId="08563829" wp14:editId="6EB5207C">
                <wp:extent cx="5940957" cy="2676525"/>
                <wp:effectExtent l="0" t="0" r="22225" b="28575"/>
                <wp:docPr id="560" name="Rectangle: Diagonal Corners Rounded 560"/>
                <wp:cNvGraphicFramePr/>
                <a:graphic xmlns:a="http://schemas.openxmlformats.org/drawingml/2006/main">
                  <a:graphicData uri="http://schemas.microsoft.com/office/word/2010/wordprocessingShape">
                    <wps:wsp>
                      <wps:cNvSpPr/>
                      <wps:spPr>
                        <a:xfrm>
                          <a:off x="0" y="0"/>
                          <a:ext cx="5940957" cy="2676525"/>
                        </a:xfrm>
                        <a:prstGeom prst="round2DiagRect">
                          <a:avLst>
                            <a:gd name="adj1" fmla="val 11556"/>
                            <a:gd name="adj2" fmla="val 0"/>
                          </a:avLst>
                        </a:prstGeom>
                        <a:noFill/>
                        <a:ln w="25400" cap="flat" cmpd="sng" algn="ctr">
                          <a:solidFill>
                            <a:srgbClr val="F07E31"/>
                          </a:solidFill>
                          <a:prstDash val="solid"/>
                        </a:ln>
                        <a:effectLst/>
                      </wps:spPr>
                      <wps:txbx>
                        <w:txbxContent>
                          <w:p w:rsidR="00272EFF" w:rsidRPr="0079762F" w:rsidRDefault="00272EFF" w:rsidP="00E05D08">
                            <w:pPr>
                              <w:pStyle w:val="HStandard"/>
                              <w:rPr>
                                <w:rFonts w:cs="Arial"/>
                                <w:sz w:val="18"/>
                              </w:rPr>
                            </w:pPr>
                            <w:r>
                              <w:rPr>
                                <w:noProof/>
                                <w:sz w:val="18"/>
                                <w:szCs w:val="18"/>
                                <w:lang w:val="en-GB" w:eastAsia="en-GB"/>
                              </w:rPr>
                              <w:drawing>
                                <wp:inline distT="0" distB="0" distL="0" distR="0" wp14:anchorId="63CB7D78" wp14:editId="10994747">
                                  <wp:extent cx="353060" cy="359410"/>
                                  <wp:effectExtent l="0" t="0" r="8890" b="2540"/>
                                  <wp:docPr id="71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 xml:space="preserve"> </w:t>
                            </w:r>
                            <w:r>
                              <w:rPr>
                                <w:sz w:val="18"/>
                              </w:rPr>
                              <w:t xml:space="preserve">Σε αυτό το παράδειγμα, τα μέτρα (κύκλοι) στο πλαίσιο των ΤΕ (ορθογώνια) αναμένεται να προωθήσουν την καινοτομία μεμονωμένα ή σε συνδυασμό με άλλα μέτρα με διαφορετικούς τρόπους (τρεις διαδρομές που απεικονίζονται ως εικονογράμματα). Για παράδειγμα, τα μέτρα 16 και 2 που έχουν προγραμματιστεί στο πλαίσιο του ΤΕ 3Α – ενσωμάτωση παραγωγών του πρωτογενούς τομέα στην αλυσίδα τροφίμων, και στο πλαίσιο του ΤΕ 5A – αποδοτική χρήση του νερού, αναμένεται να προωθήσουν από κοινού την καινοτομία μέσω και των τριών διαδρομών. Στην περίπτωση του ΤΕ 5Β, αμφότερα τα μέτρα σε συνδυασμό με το μέτρο 4 αναμένεται να προωθήσουν την καινοτομία μέσω της ανάπτυξης ικανοτήτων με συνεργατικό τρόπο.  </w:t>
                            </w:r>
                          </w:p>
                          <w:p w:rsidR="00272EFF" w:rsidRPr="00ED3BAD" w:rsidRDefault="00272EFF" w:rsidP="00E05D08">
                            <w:pPr>
                              <w:pStyle w:val="HStandard"/>
                              <w:rPr>
                                <w:sz w:val="18"/>
                                <w:szCs w:val="18"/>
                              </w:rPr>
                            </w:pPr>
                            <w:r>
                              <w:rPr>
                                <w:sz w:val="18"/>
                              </w:rPr>
                              <w:t>Τα μέτρα που διαθέτουν δυναμικό καινοτομίας αναμένεται να δημιουργήσουν εκροές οι οποίες οδηγούν σε αποτελέσματα ως προς την προώθηση της καινοτομίας μέσω των τριών διαδρομών και, τελικά, έχουν αντίκτυπο στην επίτευξη των στόχων πολιτικής.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563829" id="Rectangle: Diagonal Corners Rounded 560" o:spid="_x0000_s1054" style="width:467.8pt;height:210.75pt;visibility:visible;mso-wrap-style:square;mso-left-percent:-10001;mso-top-percent:-10001;mso-position-horizontal:absolute;mso-position-horizontal-relative:char;mso-position-vertical:absolute;mso-position-vertical-relative:line;mso-left-percent:-10001;mso-top-percent:-10001;v-text-anchor:middle" coordsize="5940957,267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" adj="-11796480,,5400" path="m309299,l5940957,r,l5940957,2367226v,170821,-138478,309299,-309299,309299l,2676525r,l,309299c,138478,138478,,309299,xe" filled="f" strokecolor="#f07e31" strokeweight="2pt">
                <v:stroke joinstyle="miter"/>
                <v:formulas/>
                <v:path arrowok="t" o:connecttype="custom" o:connectlocs="309299,0;5940957,0;5940957,0;5940957,2367226;5631658,2676525;0,2676525;0,2676525;0,309299;309299,0" o:connectangles="0,0,0,0,0,0,0,0,0" textboxrect="0,0,5940957,2676525"/>
                <v:textbox>
                  <w:txbxContent>
                    <w:p w:rsidR="00272EFF" w:rsidRPr="0079762F" w:rsidRDefault="00272EFF" w:rsidP="00E05D08">
                      <w:pPr>
                        <w:pStyle w:val="HStandard"/>
                        <w:rPr>
                          <w:rFonts w:cs="Arial"/>
                          <w:sz w:val="18"/>
                        </w:rPr>
                      </w:pPr>
                      <w:r>
                        <w:rPr>
                          <w:noProof/>
                          <w:sz w:val="18"/>
                          <w:szCs w:val="18"/>
                          <w:lang w:val="en-GB" w:eastAsia="en-GB"/>
                        </w:rPr>
                        <w:drawing>
                          <wp:inline distT="0" distB="0" distL="0" distR="0" wp14:anchorId="63CB7D78" wp14:editId="10994747">
                            <wp:extent cx="353060" cy="359410"/>
                            <wp:effectExtent l="0" t="0" r="8890" b="2540"/>
                            <wp:docPr id="71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 xml:space="preserve"> </w:t>
                      </w:r>
                      <w:r>
                        <w:rPr>
                          <w:sz w:val="18"/>
                        </w:rPr>
                        <w:t xml:space="preserve">Σε αυτό το παράδειγμα, τα μέτρα (κύκλοι) στο πλαίσιο των ΤΕ (ορθογώνια) αναμένεται να προωθήσουν την καινοτομία μεμονωμένα ή σε συνδυασμό με άλλα μέτρα με διαφορετικούς τρόπους (τρεις διαδρομές που απεικονίζονται ως εικονογράμματα). Για παράδειγμα, τα μέτρα 16 και 2 που έχουν προγραμματιστεί στο πλαίσιο του ΤΕ 3Α – ενσωμάτωση παραγωγών του πρωτογενούς τομέα στην αλυσίδα τροφίμων, και στο πλαίσιο του ΤΕ 5A – αποδοτική χρήση του νερού, αναμένεται να προωθήσουν από κοινού την καινοτομία μέσω και των τριών διαδρομών. Στην περίπτωση του ΤΕ 5Β, αμφότερα τα μέτρα σε συνδυασμό με το μέτρο 4 αναμένεται να προωθήσουν την καινοτομία μέσω της ανάπτυξης ικανοτήτων με συνεργατικό τρόπο.  </w:t>
                      </w:r>
                    </w:p>
                    <w:p w:rsidR="00272EFF" w:rsidRPr="00ED3BAD" w:rsidRDefault="00272EFF" w:rsidP="00E05D08">
                      <w:pPr>
                        <w:pStyle w:val="HStandard"/>
                        <w:rPr>
                          <w:sz w:val="18"/>
                          <w:szCs w:val="18"/>
                        </w:rPr>
                      </w:pPr>
                      <w:r>
                        <w:rPr>
                          <w:sz w:val="18"/>
                        </w:rPr>
                        <w:t>Τα μέτρα που διαθέτουν δυναμικό καινοτομίας αναμένεται να δημιουργήσουν εκροές οι οποίες οδηγούν σε αποτελέσματα ως προς την προώθηση της καινοτομίας μέσω των τριών διαδρομών και, τελικά, έχουν αντίκτυπο στην επίτευξη των στόχων πολιτικής.</w:t>
                      </w:r>
                    </w:p>
                  </w:txbxContent>
                </v:textbox>
                <w10:anchorlock/>
              </v:shape>
            </w:pict>
          </mc:Fallback>
        </mc:AlternateContent>
      </w:r>
    </w:p>
    <w:p w:rsidR="00A45935" w:rsidRPr="00E05D08" w:rsidRDefault="00A45935" w:rsidP="00E05D08">
      <w:pPr>
        <w:spacing w:after="120" w:line="280" w:lineRule="atLeast"/>
        <w:mirrorIndents/>
        <w:rPr>
          <w:rFonts w:eastAsia="Times New Roman" w:cs="Arial"/>
          <w:szCs w:val="20"/>
          <w:lang w:eastAsia="de-DE"/>
        </w:rPr>
        <w:sectPr w:rsidR="00A45935" w:rsidRPr="00E05D08" w:rsidSect="001F6F07">
          <w:headerReference w:type="even" r:id="rId91"/>
          <w:headerReference w:type="first" r:id="rId92"/>
          <w:endnotePr>
            <w:numFmt w:val="decimal"/>
          </w:endnotePr>
          <w:pgSz w:w="11907" w:h="16840" w:code="9"/>
          <w:pgMar w:top="1134" w:right="1440" w:bottom="1440" w:left="1440" w:header="567" w:footer="1020" w:gutter="0"/>
          <w:cols w:space="708"/>
          <w:noEndnote/>
          <w:titlePg/>
          <w:docGrid w:linePitch="435"/>
        </w:sectPr>
      </w:pPr>
    </w:p>
    <w:p w:rsidR="00A45935" w:rsidRPr="00E05D08" w:rsidRDefault="00A45935" w:rsidP="00E05D08">
      <w:pPr>
        <w:spacing w:after="120" w:line="280" w:lineRule="atLeast"/>
        <w:mirrorIndents/>
        <w:rPr>
          <w:rFonts w:eastAsia="Times New Roman" w:cs="Arial"/>
          <w:szCs w:val="20"/>
        </w:rPr>
      </w:pPr>
      <w:r>
        <w:t>Δεδομένου του περίπλοκου και αναδυόμενου χαρακτήρα της καινοτομίας, θεωρείται ότι θα υπάρξει ατελής αντιστοίχιση μεταξύ του προβλεφθέντος δυναμικού καινοτομίας και των παρεμβάσεων του ΠΑΑ που επέφεραν αλλαγές. Επομένως, κατά τον χρόνο της αξιολόγησης, ο αξιολογητής οφείλει να συγκρίνει το προβλεφθέν δυναμικό καινοτομίας του ΠΑΑ με τις πραγματικές συμβολές στην αλλαγή.</w:t>
      </w:r>
    </w:p>
    <w:p w:rsidR="00A45935" w:rsidRPr="00E05D08" w:rsidRDefault="00651910" w:rsidP="00651910">
      <w:pPr>
        <w:spacing w:before="120" w:after="120" w:line="280" w:lineRule="atLeast"/>
        <w:ind w:left="360"/>
        <w:mirrorIndents/>
        <w:rPr>
          <w:rFonts w:eastAsia="Times New Roman" w:cs="Times New Roman"/>
          <w:b/>
          <w:szCs w:val="20"/>
        </w:rPr>
      </w:pPr>
      <w:r>
        <w:rPr>
          <w:b/>
          <w:szCs w:val="20"/>
        </w:rPr>
        <w:t>β.</w:t>
      </w:r>
      <w:r>
        <w:rPr>
          <w:b/>
          <w:szCs w:val="20"/>
        </w:rPr>
        <w:tab/>
      </w:r>
      <w:r w:rsidR="00A45935">
        <w:rPr>
          <w:b/>
          <w:szCs w:val="20"/>
        </w:rPr>
        <w:t xml:space="preserve">Στοιχεία αξιολόγησης </w:t>
      </w:r>
    </w:p>
    <w:p w:rsidR="00A45935" w:rsidRPr="00E05D08" w:rsidRDefault="00A45935" w:rsidP="00E05D08">
      <w:pPr>
        <w:spacing w:after="120" w:line="280" w:lineRule="atLeast"/>
        <w:mirrorIndents/>
        <w:rPr>
          <w:rFonts w:eastAsia="Times New Roman" w:cs="Times New Roman"/>
          <w:szCs w:val="20"/>
        </w:rPr>
      </w:pPr>
      <w:r>
        <w:t xml:space="preserve">Στο έγγραφο εργασίας </w:t>
      </w:r>
      <w:hyperlink r:id="rId93" w:history="1">
        <w:r>
          <w:rPr>
            <w:rStyle w:val="Hyperlink"/>
            <w:sz w:val="20"/>
            <w:szCs w:val="20"/>
          </w:rPr>
          <w:t>Common Evaluation Questions for RDPs 2014-2020</w:t>
        </w:r>
      </w:hyperlink>
      <w:r>
        <w:t xml:space="preserve"> (Κοινά ερωτήματα αξιολόγησης για τα προγράμματα αγροτικής ανάπτυξης της περιόδου 2014-2020)</w:t>
      </w:r>
      <w:r>
        <w:rPr>
          <w:i/>
          <w:szCs w:val="20"/>
        </w:rPr>
        <w:t>,</w:t>
      </w:r>
      <w:r>
        <w:t xml:space="preserve"> προτείνεται ένα κριτήριο απόφασης (προώθηση της καινοτομίας στις αγροτικές περιοχές και τομείς) και ένας κοινός δείκτης (Σ1 – δαπάνες που σχετίζονται με τα άρθρα 14, 15 και 35). Συνιστάται επίσης η συλλογή πρόσθετων ποσοτικών και ποιοτικών πληροφοριών σχετικά με την καινοτομία για την παροχή απάντησης στο ΚΕΑ αριθ. 30. Ωστόσο, τα εν λόγω στοιχεία δεν μπορούν να αποτυπώσουν πλήρως τις συνεισφορές του ΠΑΑ στην προώθηση καινοτομιών. </w:t>
      </w:r>
    </w:p>
    <w:p w:rsidR="00A45935" w:rsidRPr="00E05D08" w:rsidRDefault="00A45935" w:rsidP="00E05D08">
      <w:pPr>
        <w:spacing w:after="120" w:line="280" w:lineRule="atLeast"/>
        <w:mirrorIndents/>
        <w:rPr>
          <w:rFonts w:eastAsia="Times New Roman" w:cs="Times New Roman"/>
          <w:szCs w:val="20"/>
        </w:rPr>
      </w:pPr>
      <w:r>
        <w:t xml:space="preserve">Ως εκ τούτου, οι παρούσες κατευθυντήριες γραμμές προτείνουν να εξεταστεί η χρήση πρόσθετων στοιχείων αξιολόγησης για την απάντηση του ΚΕΑ αριθ. 30 (βλ. </w:t>
      </w:r>
      <w:hyperlink w:anchor="CEQ_fostering" w:history="1">
        <w:r>
          <w:rPr>
            <w:rStyle w:val="Hyperlink"/>
            <w:sz w:val="20"/>
            <w:szCs w:val="20"/>
          </w:rPr>
          <w:t>πίνακα 9</w:t>
        </w:r>
      </w:hyperlink>
      <w:r>
        <w:t xml:space="preserve">). Στην περίπτωση του ΚΕΑ αριθ. 30, τα στοιχεία αξιολόγησης συνδέονται με τα τρία υποερωτήματα που αντιστοιχούν στις τρεις διαδρομές της διαδικασίας καινοτομίας. Τα προτεινόμενα κριτήρια απόφασης συνδέονται με τα χαρακτηριστικά της κάθε διαδρομής. Έτσι, δίνεται η δυνατότητα να διαπιστωθεί εάν η διαδρομή ακολουθήθηκε μέσω της υλοποίησης των μέτρων του ΠΑΑ όπως προσδιορίστηκε κατά την εξέταση του δυναμικού καινοτομίας. </w:t>
      </w:r>
    </w:p>
    <w:p w:rsidR="00A45935" w:rsidRPr="00E05D08" w:rsidRDefault="00A45935" w:rsidP="00E05D08">
      <w:pPr>
        <w:spacing w:after="120" w:line="280" w:lineRule="atLeast"/>
        <w:mirrorIndents/>
        <w:rPr>
          <w:rFonts w:eastAsia="Times New Roman" w:cs="Times New Roman"/>
          <w:szCs w:val="20"/>
        </w:rPr>
      </w:pPr>
      <w:r>
        <w:t xml:space="preserve">Πέραν των κοινών δεικτών, τα προτεινόμενα στοιχεία δεν είναι δεσμευτικά και οι ενδιαφερόμενοι φορείς στα κράτη μέλη μπορούν να αναπτύξουν δικά τους κριτήρια απόφασης και πρόσθετους δείκτες. </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1F6F07">
          <w:endnotePr>
            <w:numFmt w:val="decimal"/>
          </w:endnotePr>
          <w:type w:val="continuous"/>
          <w:pgSz w:w="11907" w:h="16840" w:code="9"/>
          <w:pgMar w:top="1134" w:right="1440" w:bottom="1440" w:left="1440" w:header="567" w:footer="1020" w:gutter="0"/>
          <w:cols w:space="708"/>
          <w:noEndnote/>
          <w:titlePg/>
          <w:docGrid w:linePitch="435"/>
        </w:sectPr>
      </w:pPr>
    </w:p>
    <w:p w:rsidR="00A45935" w:rsidRPr="009C734C" w:rsidRDefault="00651910" w:rsidP="00651910">
      <w:pPr>
        <w:pStyle w:val="HHeadingtables"/>
        <w:numPr>
          <w:ilvl w:val="0"/>
          <w:numId w:val="0"/>
        </w:numPr>
        <w:ind w:left="840" w:hanging="840"/>
        <w:rPr>
          <w:color w:val="6F6F6F"/>
          <w:sz w:val="18"/>
          <w:szCs w:val="18"/>
        </w:rPr>
      </w:pPr>
      <w:bookmarkStart w:id="132" w:name="CEQ_fostering"/>
      <w:bookmarkStart w:id="133" w:name="_Toc508964834"/>
      <w:bookmarkEnd w:id="132"/>
      <w:r>
        <w:rPr>
          <w:color w:val="6F6F6F"/>
          <w:sz w:val="18"/>
          <w:szCs w:val="18"/>
        </w:rPr>
        <w:lastRenderedPageBreak/>
        <w:t>Πίνακας 9.</w:t>
      </w:r>
      <w:r>
        <w:rPr>
          <w:color w:val="6F6F6F"/>
          <w:sz w:val="18"/>
          <w:szCs w:val="18"/>
        </w:rPr>
        <w:tab/>
      </w:r>
      <w:r w:rsidR="00A45935">
        <w:rPr>
          <w:color w:val="6F6F6F"/>
          <w:sz w:val="18"/>
          <w:szCs w:val="18"/>
        </w:rPr>
        <w:t>Στοιχεία αξιολόγησης που συνδέονται με το ΚΕΑ αριθ. 30</w:t>
      </w:r>
      <w:bookmarkEnd w:id="133"/>
      <w:r w:rsidR="00A45935">
        <w:rPr>
          <w:color w:val="6F6F6F"/>
          <w:sz w:val="18"/>
          <w:szCs w:val="18"/>
        </w:rPr>
        <w:t xml:space="preserve"> </w:t>
      </w:r>
    </w:p>
    <w:p w:rsidR="00A45935" w:rsidRPr="00E05D08" w:rsidRDefault="00A45935" w:rsidP="00E05D08">
      <w:pPr>
        <w:spacing w:after="120" w:line="280" w:lineRule="atLeast"/>
        <w:mirrorIndents/>
        <w:rPr>
          <w:rFonts w:eastAsia="Times New Roman" w:cs="Arial"/>
          <w:i/>
          <w:szCs w:val="20"/>
        </w:rPr>
      </w:pPr>
      <w:r>
        <w:rPr>
          <w:i/>
          <w:szCs w:val="20"/>
        </w:rPr>
        <w:t xml:space="preserve">Τα στοιχεία αξιολόγησης (υποερωτήματα, κριτήρια απόφασης και δείκτες) που παρέχονται ως προσθήκη σε αυτά που αντιγράφηκαν από το έγγραφο εργασίας: </w:t>
      </w:r>
      <w:hyperlink r:id="rId94" w:history="1">
        <w:r>
          <w:rPr>
            <w:rStyle w:val="Hyperlink"/>
            <w:sz w:val="20"/>
            <w:szCs w:val="20"/>
          </w:rPr>
          <w:t>Common Evaluation questions for RDPs 2014-2020</w:t>
        </w:r>
      </w:hyperlink>
      <w:r>
        <w:t xml:space="preserve"> (Κοινά ερωτήματα αξιολόγησης για τα ΠΑΑ της περιόδου 2014-2020), </w:t>
      </w:r>
      <w:r>
        <w:rPr>
          <w:i/>
          <w:szCs w:val="20"/>
        </w:rPr>
        <w:t>αναφέρονται με πλάγιους χαρακτήρες</w:t>
      </w:r>
      <w:r>
        <w:t>.</w:t>
      </w:r>
      <w:r>
        <w:rPr>
          <w:i/>
          <w:szCs w:val="20"/>
        </w:rPr>
        <w:t xml:space="preserve"> </w:t>
      </w:r>
    </w:p>
    <w:tbl>
      <w:tblPr>
        <w:tblStyle w:val="TableGrid1"/>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988"/>
        <w:gridCol w:w="2127"/>
        <w:gridCol w:w="3302"/>
        <w:gridCol w:w="2715"/>
        <w:gridCol w:w="2715"/>
      </w:tblGrid>
      <w:tr w:rsidR="00A45935" w:rsidRPr="00E05D08" w:rsidTr="00F73706">
        <w:trPr>
          <w:tblHeader/>
        </w:trPr>
        <w:tc>
          <w:tcPr>
            <w:tcW w:w="2988"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Υποερωτήματα</w:t>
            </w:r>
          </w:p>
        </w:tc>
        <w:tc>
          <w:tcPr>
            <w:tcW w:w="2127"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Κριτήρια απόφασης</w:t>
            </w:r>
          </w:p>
        </w:tc>
        <w:tc>
          <w:tcPr>
            <w:tcW w:w="3302"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Δείκτες αποτελεσμάτων</w:t>
            </w:r>
          </w:p>
        </w:tc>
        <w:tc>
          <w:tcPr>
            <w:tcW w:w="2715"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Ανάγκες σε δεδομένα και πληροφορίες</w:t>
            </w:r>
          </w:p>
        </w:tc>
        <w:tc>
          <w:tcPr>
            <w:tcW w:w="2715"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Πηγές δεδομένων</w:t>
            </w:r>
          </w:p>
        </w:tc>
      </w:tr>
      <w:tr w:rsidR="00A45935" w:rsidRPr="00E05D08" w:rsidTr="00F73706">
        <w:trPr>
          <w:trHeight w:val="1408"/>
        </w:trPr>
        <w:tc>
          <w:tcPr>
            <w:tcW w:w="2988" w:type="dxa"/>
          </w:tcPr>
          <w:p w:rsidR="00A45935" w:rsidRPr="00385368" w:rsidRDefault="00A45935" w:rsidP="00F73706">
            <w:pPr>
              <w:spacing w:line="220" w:lineRule="atLeast"/>
              <w:jc w:val="left"/>
              <w:rPr>
                <w:rFonts w:cs="Arial"/>
                <w:i/>
                <w:sz w:val="18"/>
                <w:szCs w:val="16"/>
              </w:rPr>
            </w:pPr>
            <w:r>
              <w:rPr>
                <w:i/>
                <w:sz w:val="18"/>
                <w:szCs w:val="16"/>
              </w:rPr>
              <w:t>Σε ποιο βαθμό το ΠΑΑ προώθησε την καινοτομία μέσω της ενίσχυσης του δυναμικού καινοτομίας (διαδρομή 1);</w:t>
            </w:r>
          </w:p>
        </w:tc>
        <w:tc>
          <w:tcPr>
            <w:tcW w:w="2127" w:type="dxa"/>
          </w:tcPr>
          <w:p w:rsidR="00A45935" w:rsidRPr="00385368" w:rsidRDefault="00A45935" w:rsidP="008A260B">
            <w:pPr>
              <w:spacing w:line="220" w:lineRule="atLeast"/>
              <w:jc w:val="left"/>
              <w:rPr>
                <w:rFonts w:ascii="Helvetica" w:hAnsi="Helvetica"/>
                <w:sz w:val="18"/>
              </w:rPr>
            </w:pPr>
            <w:r>
              <w:rPr>
                <w:i/>
                <w:sz w:val="18"/>
                <w:szCs w:val="16"/>
              </w:rPr>
              <w:t>Πρόσθετο κριτήριο απόφασης: Υιοθέτηση καινοτόμων ιδεών, διαδικασιών, μοντέλων και/ή τεχνολογιών που εισήχθησαν με το ΠΑΑ.</w:t>
            </w:r>
          </w:p>
        </w:tc>
        <w:tc>
          <w:tcPr>
            <w:tcW w:w="3302" w:type="dxa"/>
          </w:tcPr>
          <w:p w:rsidR="00A45935" w:rsidRPr="00385368" w:rsidRDefault="00A45935" w:rsidP="00F73706">
            <w:pPr>
              <w:spacing w:line="220" w:lineRule="atLeast"/>
              <w:jc w:val="left"/>
              <w:rPr>
                <w:rFonts w:cs="Arial"/>
                <w:sz w:val="18"/>
                <w:szCs w:val="16"/>
              </w:rPr>
            </w:pPr>
            <w:r>
              <w:rPr>
                <w:sz w:val="18"/>
                <w:szCs w:val="16"/>
              </w:rPr>
              <w:t xml:space="preserve">Σ1: Ποσοστό των δαπανών στο πλαίσιο των άρθρων 14,15 και 35 του κανονισμού (ΕΕ) αριθ. 1305/2013 ως προς τις συνολικές δαπάνες του ΠΑΑ. </w:t>
            </w:r>
          </w:p>
          <w:p w:rsidR="001275FF" w:rsidRPr="002F229A" w:rsidRDefault="001275FF" w:rsidP="00F73706">
            <w:pPr>
              <w:spacing w:line="220" w:lineRule="atLeast"/>
              <w:jc w:val="left"/>
              <w:rPr>
                <w:rFonts w:cs="Arial"/>
                <w:sz w:val="18"/>
                <w:szCs w:val="16"/>
              </w:rPr>
            </w:pPr>
          </w:p>
          <w:p w:rsidR="00A45935" w:rsidRPr="002F229A"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Αριθμός στηριζόμενων καινοτόμων δράσεων που έχουν υλοποιηθεί και διαδοθεί από επιχειρησιακές ομάδες της ΕΣΚ.</w:t>
            </w:r>
          </w:p>
          <w:p w:rsidR="001275FF" w:rsidRPr="002F229A" w:rsidRDefault="001275FF" w:rsidP="00F73706">
            <w:pPr>
              <w:spacing w:line="220" w:lineRule="atLeast"/>
              <w:jc w:val="left"/>
              <w:rPr>
                <w:rFonts w:cs="Arial"/>
                <w:sz w:val="18"/>
                <w:szCs w:val="16"/>
              </w:rPr>
            </w:pPr>
          </w:p>
          <w:p w:rsidR="00A45935" w:rsidRPr="002F229A"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i/>
                <w:sz w:val="18"/>
                <w:szCs w:val="16"/>
              </w:rPr>
            </w:pPr>
            <w:r>
              <w:rPr>
                <w:i/>
                <w:color w:val="57825E"/>
                <w:sz w:val="18"/>
                <w:szCs w:val="16"/>
                <w:u w:val="single"/>
              </w:rPr>
              <w:t>Πρόσθετος δείκτης αποτελεσμάτων</w:t>
            </w:r>
            <w:r>
              <w:rPr>
                <w:i/>
                <w:color w:val="57825E"/>
                <w:sz w:val="18"/>
                <w:szCs w:val="16"/>
              </w:rPr>
              <w:t xml:space="preserve">: Επίπεδο υιοθέτησης καινοτόμων ιδεών, διαδικασιών, μοντέλων και/ή τεχνολογιών που εισήχθησαν από τους ενδιαφερόμενους φορείς. </w:t>
            </w:r>
          </w:p>
        </w:tc>
        <w:tc>
          <w:tcPr>
            <w:tcW w:w="2715" w:type="dxa"/>
          </w:tcPr>
          <w:p w:rsidR="00A45935" w:rsidRPr="00385368" w:rsidRDefault="00A45935" w:rsidP="00F73706">
            <w:pPr>
              <w:spacing w:line="220" w:lineRule="atLeast"/>
              <w:jc w:val="left"/>
              <w:rPr>
                <w:rFonts w:cs="Arial"/>
                <w:sz w:val="18"/>
                <w:szCs w:val="16"/>
              </w:rPr>
            </w:pPr>
            <w:r>
              <w:rPr>
                <w:sz w:val="18"/>
                <w:szCs w:val="16"/>
              </w:rPr>
              <w:t>Δεδομένα σχετικά με τις δαπάνες για τις πράξεις που υλοποιήθηκαν στο πλαίσιο των μέτρων 1, 2 και 16.</w:t>
            </w:r>
          </w:p>
          <w:p w:rsidR="00A45935" w:rsidRPr="002F229A" w:rsidRDefault="00A45935" w:rsidP="00F73706">
            <w:pPr>
              <w:spacing w:line="220" w:lineRule="atLeast"/>
              <w:jc w:val="left"/>
              <w:rPr>
                <w:rFonts w:cs="Arial"/>
                <w:sz w:val="18"/>
                <w:szCs w:val="16"/>
              </w:rPr>
            </w:pPr>
          </w:p>
          <w:p w:rsidR="00A45935" w:rsidRPr="002F229A" w:rsidRDefault="00A45935" w:rsidP="00F73706">
            <w:pPr>
              <w:spacing w:line="220" w:lineRule="atLeast"/>
              <w:jc w:val="left"/>
              <w:rPr>
                <w:rFonts w:cs="Arial"/>
                <w:sz w:val="18"/>
                <w:szCs w:val="16"/>
              </w:rPr>
            </w:pPr>
          </w:p>
          <w:p w:rsidR="00A45935" w:rsidRPr="002F229A"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 xml:space="preserve">Δεδομένα σχετικά με τις καινοτόμες δράσεις που υλοποιήθηκαν από την επιχειρησιακή ομάδα της ΕΣΚ. </w:t>
            </w:r>
          </w:p>
          <w:p w:rsidR="00A45935" w:rsidRPr="002F229A" w:rsidRDefault="00A45935" w:rsidP="00F73706">
            <w:pPr>
              <w:spacing w:line="220" w:lineRule="atLeast"/>
              <w:jc w:val="left"/>
              <w:rPr>
                <w:rFonts w:cs="Arial"/>
                <w:sz w:val="18"/>
                <w:szCs w:val="16"/>
              </w:rPr>
            </w:pPr>
          </w:p>
          <w:p w:rsidR="00A45935" w:rsidRPr="002F229A" w:rsidRDefault="00A45935" w:rsidP="00F73706">
            <w:pPr>
              <w:spacing w:line="220" w:lineRule="atLeast"/>
              <w:jc w:val="left"/>
              <w:rPr>
                <w:rFonts w:cs="Arial"/>
                <w:sz w:val="18"/>
                <w:szCs w:val="16"/>
              </w:rPr>
            </w:pPr>
          </w:p>
          <w:p w:rsidR="00A45935" w:rsidRPr="002F229A"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 xml:space="preserve">Δεδομένα και πληροφορίες σχετικά με τις καινοτόμες ιδέες, μοντέλα και τεχνολογίες που παράχθηκαν. </w:t>
            </w:r>
          </w:p>
          <w:p w:rsidR="00A45935" w:rsidRPr="002F229A" w:rsidRDefault="00A45935" w:rsidP="00F73706">
            <w:pPr>
              <w:spacing w:line="220" w:lineRule="atLeast"/>
              <w:jc w:val="left"/>
              <w:rPr>
                <w:rFonts w:cs="Arial"/>
                <w:sz w:val="18"/>
                <w:szCs w:val="16"/>
              </w:rPr>
            </w:pPr>
          </w:p>
          <w:p w:rsidR="00A45935" w:rsidRPr="002F229A" w:rsidRDefault="00A45935" w:rsidP="00F73706">
            <w:pPr>
              <w:spacing w:line="220" w:lineRule="atLeast"/>
              <w:jc w:val="left"/>
              <w:rPr>
                <w:rFonts w:cs="Arial"/>
                <w:sz w:val="18"/>
                <w:szCs w:val="16"/>
              </w:rPr>
            </w:pPr>
          </w:p>
        </w:tc>
        <w:tc>
          <w:tcPr>
            <w:tcW w:w="2715" w:type="dxa"/>
          </w:tcPr>
          <w:p w:rsidR="00A45935" w:rsidRPr="00385368" w:rsidRDefault="00A45935" w:rsidP="00F73706">
            <w:pPr>
              <w:spacing w:line="220" w:lineRule="atLeast"/>
              <w:jc w:val="left"/>
              <w:rPr>
                <w:rFonts w:cs="Arial"/>
                <w:sz w:val="18"/>
                <w:szCs w:val="16"/>
              </w:rPr>
            </w:pPr>
            <w:r>
              <w:rPr>
                <w:sz w:val="18"/>
                <w:szCs w:val="16"/>
              </w:rPr>
              <w:t xml:space="preserve">Σύστημα παρακολούθησης του ΠΑΑ. </w:t>
            </w:r>
          </w:p>
          <w:p w:rsidR="00A45935" w:rsidRPr="002F229A" w:rsidRDefault="00A45935" w:rsidP="00F73706">
            <w:pPr>
              <w:spacing w:line="220" w:lineRule="atLeast"/>
              <w:jc w:val="left"/>
              <w:rPr>
                <w:rFonts w:cs="Arial"/>
                <w:sz w:val="18"/>
                <w:szCs w:val="16"/>
              </w:rPr>
            </w:pPr>
          </w:p>
          <w:p w:rsidR="00A45935" w:rsidRPr="002F229A" w:rsidRDefault="00A45935" w:rsidP="00F73706">
            <w:pPr>
              <w:spacing w:line="220" w:lineRule="atLeast"/>
              <w:jc w:val="left"/>
              <w:rPr>
                <w:rFonts w:cs="Arial"/>
                <w:sz w:val="18"/>
                <w:szCs w:val="16"/>
              </w:rPr>
            </w:pPr>
          </w:p>
          <w:p w:rsidR="00A45935" w:rsidRPr="002F229A" w:rsidRDefault="00A45935" w:rsidP="00F73706">
            <w:pPr>
              <w:spacing w:line="220" w:lineRule="atLeast"/>
              <w:jc w:val="left"/>
              <w:rPr>
                <w:rFonts w:cs="Arial"/>
                <w:sz w:val="18"/>
                <w:szCs w:val="16"/>
              </w:rPr>
            </w:pPr>
          </w:p>
          <w:p w:rsidR="00A45935" w:rsidRPr="002F229A" w:rsidRDefault="00A45935" w:rsidP="00F73706">
            <w:pPr>
              <w:spacing w:line="220" w:lineRule="atLeast"/>
              <w:jc w:val="left"/>
              <w:rPr>
                <w:rFonts w:cs="Arial"/>
                <w:sz w:val="18"/>
                <w:szCs w:val="16"/>
              </w:rPr>
            </w:pPr>
          </w:p>
          <w:p w:rsidR="00A45935" w:rsidRPr="002F229A"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Σύστημα παρακολούθησης του ΠΑΑ και συνεντεύξεις.</w:t>
            </w:r>
          </w:p>
          <w:p w:rsidR="00A45935" w:rsidRPr="002F229A" w:rsidRDefault="00A45935" w:rsidP="00F73706">
            <w:pPr>
              <w:spacing w:line="220" w:lineRule="atLeast"/>
              <w:jc w:val="left"/>
              <w:rPr>
                <w:rFonts w:cs="Arial"/>
                <w:sz w:val="18"/>
                <w:szCs w:val="16"/>
              </w:rPr>
            </w:pPr>
          </w:p>
          <w:p w:rsidR="00A45935" w:rsidRPr="002F229A" w:rsidRDefault="00A45935" w:rsidP="00F73706">
            <w:pPr>
              <w:spacing w:line="220" w:lineRule="atLeast"/>
              <w:jc w:val="left"/>
              <w:rPr>
                <w:rFonts w:cs="Arial"/>
                <w:sz w:val="18"/>
                <w:szCs w:val="16"/>
              </w:rPr>
            </w:pPr>
          </w:p>
          <w:p w:rsidR="00A45935" w:rsidRPr="002F229A"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Σύστημα παρακολούθησης του ΠΑΑ και έρευνα, συνεντεύξεις.</w:t>
            </w:r>
          </w:p>
        </w:tc>
      </w:tr>
      <w:tr w:rsidR="00A45935" w:rsidRPr="00E05D08" w:rsidTr="00F73706">
        <w:tc>
          <w:tcPr>
            <w:tcW w:w="2988" w:type="dxa"/>
          </w:tcPr>
          <w:p w:rsidR="00A45935" w:rsidRPr="00385368" w:rsidRDefault="00A45935" w:rsidP="00F73706">
            <w:pPr>
              <w:spacing w:line="220" w:lineRule="atLeast"/>
              <w:jc w:val="left"/>
              <w:rPr>
                <w:rFonts w:cs="Arial"/>
                <w:i/>
                <w:sz w:val="18"/>
                <w:szCs w:val="16"/>
              </w:rPr>
            </w:pPr>
            <w:r>
              <w:rPr>
                <w:i/>
                <w:sz w:val="18"/>
                <w:szCs w:val="16"/>
              </w:rPr>
              <w:t>Σε ποιο βαθμό το ΠΑΑ προώθησε την καινοτομία μέσω της ανάπτυξης της ικανότητας για καινοτομία (διαδρομή 2);</w:t>
            </w:r>
          </w:p>
        </w:tc>
        <w:tc>
          <w:tcPr>
            <w:tcW w:w="2127" w:type="dxa"/>
          </w:tcPr>
          <w:p w:rsidR="00A45935" w:rsidRPr="00E05D08" w:rsidRDefault="00A45935" w:rsidP="00F73706">
            <w:pPr>
              <w:spacing w:line="220" w:lineRule="atLeast"/>
              <w:jc w:val="left"/>
              <w:rPr>
                <w:rFonts w:eastAsia="Calibri" w:cs="Arial"/>
                <w:i/>
                <w:sz w:val="18"/>
                <w:szCs w:val="16"/>
              </w:rPr>
            </w:pPr>
            <w:r>
              <w:rPr>
                <w:i/>
                <w:sz w:val="18"/>
                <w:szCs w:val="16"/>
              </w:rPr>
              <w:t xml:space="preserve">Πρόσθετο κριτήριο απόφασης: Το ΠΑΑ αύξησε τους λειτουργικούς δεσμούς μεταξύ των διαφόρων τύπων φορέων. </w:t>
            </w:r>
          </w:p>
          <w:p w:rsidR="00A45935" w:rsidRPr="002F229A" w:rsidRDefault="00A45935" w:rsidP="00F73706">
            <w:pPr>
              <w:spacing w:line="220" w:lineRule="atLeast"/>
              <w:jc w:val="left"/>
              <w:rPr>
                <w:rFonts w:eastAsia="Calibri" w:cs="Arial"/>
                <w:i/>
                <w:sz w:val="18"/>
                <w:szCs w:val="16"/>
              </w:rPr>
            </w:pPr>
          </w:p>
          <w:p w:rsidR="00A45935" w:rsidRPr="002F229A" w:rsidRDefault="00A45935" w:rsidP="00F73706">
            <w:pPr>
              <w:spacing w:line="220" w:lineRule="atLeast"/>
              <w:jc w:val="left"/>
              <w:rPr>
                <w:rFonts w:eastAsia="Calibri" w:cs="Arial"/>
                <w:i/>
                <w:sz w:val="18"/>
                <w:szCs w:val="16"/>
              </w:rPr>
            </w:pPr>
          </w:p>
          <w:p w:rsidR="00A45935" w:rsidRPr="002F229A" w:rsidRDefault="00A45935" w:rsidP="00F73706">
            <w:pPr>
              <w:spacing w:line="220" w:lineRule="atLeast"/>
              <w:jc w:val="left"/>
              <w:rPr>
                <w:rFonts w:eastAsia="Calibri" w:cs="Arial"/>
                <w:i/>
                <w:sz w:val="18"/>
                <w:szCs w:val="16"/>
              </w:rPr>
            </w:pPr>
          </w:p>
          <w:p w:rsidR="00A45935" w:rsidRPr="002F229A" w:rsidRDefault="00A45935" w:rsidP="00F73706">
            <w:pPr>
              <w:spacing w:line="220" w:lineRule="atLeast"/>
              <w:jc w:val="left"/>
              <w:rPr>
                <w:rFonts w:eastAsia="Calibri" w:cs="Arial"/>
                <w:i/>
                <w:sz w:val="18"/>
                <w:szCs w:val="16"/>
              </w:rPr>
            </w:pPr>
          </w:p>
          <w:p w:rsidR="00A45935" w:rsidRPr="002F229A" w:rsidRDefault="00A45935" w:rsidP="00F73706">
            <w:pPr>
              <w:spacing w:line="220" w:lineRule="atLeast"/>
              <w:jc w:val="left"/>
              <w:rPr>
                <w:rFonts w:eastAsia="Calibri" w:cs="Arial"/>
                <w:i/>
                <w:sz w:val="18"/>
                <w:szCs w:val="16"/>
              </w:rPr>
            </w:pPr>
          </w:p>
          <w:p w:rsidR="00A45935" w:rsidRPr="002F229A"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Πρόσθετο κριτήριο </w:t>
            </w:r>
            <w:r>
              <w:rPr>
                <w:i/>
                <w:sz w:val="18"/>
                <w:szCs w:val="16"/>
              </w:rPr>
              <w:lastRenderedPageBreak/>
              <w:t>απόφασης: Δημιουργήθηκαν και ενισχύθηκαν μαθησιακές πλατφόρμες και άλλοι τύποι θεσμικού χώρου που επιτρέπουν την ανταλλαγή, τον στοχασμό και τη μάθηση.</w:t>
            </w:r>
          </w:p>
          <w:p w:rsidR="00A45935" w:rsidRPr="002F229A" w:rsidRDefault="00A45935" w:rsidP="00F73706">
            <w:pPr>
              <w:spacing w:line="220" w:lineRule="atLeast"/>
              <w:jc w:val="left"/>
              <w:rPr>
                <w:rFonts w:eastAsia="Calibri" w:cs="Arial"/>
                <w:i/>
                <w:sz w:val="18"/>
                <w:szCs w:val="16"/>
              </w:rPr>
            </w:pPr>
          </w:p>
          <w:p w:rsidR="00A45935" w:rsidRPr="00385368" w:rsidRDefault="00A45935" w:rsidP="00F73706">
            <w:pPr>
              <w:spacing w:line="220" w:lineRule="atLeast"/>
              <w:jc w:val="left"/>
              <w:rPr>
                <w:rFonts w:cs="Arial"/>
                <w:sz w:val="18"/>
                <w:szCs w:val="16"/>
              </w:rPr>
            </w:pPr>
            <w:r>
              <w:rPr>
                <w:i/>
                <w:sz w:val="18"/>
                <w:szCs w:val="16"/>
              </w:rPr>
              <w:t xml:space="preserve">Πρόσθετο κριτήριο απόφασης: Βελτιώθηκε η ροή πληροφοριών μεταξύ ποικίλων φορέων του συστήματος καινοτομίας στο οποίο επήλθε η αλλαγή. </w:t>
            </w:r>
          </w:p>
        </w:tc>
        <w:tc>
          <w:tcPr>
            <w:tcW w:w="3302" w:type="dxa"/>
          </w:tcPr>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lastRenderedPageBreak/>
              <w:t>Πρόσθετος δείκτης αποτελεσμάτων:</w:t>
            </w:r>
            <w:r>
              <w:rPr>
                <w:i/>
                <w:color w:val="57825E"/>
                <w:sz w:val="18"/>
                <w:szCs w:val="16"/>
              </w:rPr>
              <w:t xml:space="preserve"> Αριθμός επίσημων συμπράξεων που προέκυψαν λόγω του ΠΑΑ, όπως συνδέονται με τις αλλαγές που επήλθαν στις προτεραιότητες αγροτικής ανάπτυξης στις οποίες συνέβαλε το ΠΑΑ. </w:t>
            </w:r>
          </w:p>
          <w:p w:rsidR="00A45935" w:rsidRPr="002F229A"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cs="Arial"/>
                <w:sz w:val="18"/>
                <w:szCs w:val="16"/>
              </w:rPr>
            </w:pPr>
            <w:r>
              <w:rPr>
                <w:sz w:val="18"/>
                <w:szCs w:val="16"/>
              </w:rPr>
              <w:t xml:space="preserve">Ποσοστό αύξησης του αριθμού και των τύπων εταίρων που συμμετέχουν σε έργα συνεργασίας (έγγραφο εργασίας σχετικά με τα ΚΕΑ για τα ΠΑΑ της περιόδου 2014-2020). </w:t>
            </w:r>
          </w:p>
          <w:p w:rsidR="00A45935" w:rsidRPr="002F229A" w:rsidRDefault="00A45935" w:rsidP="00F73706">
            <w:pPr>
              <w:spacing w:line="220" w:lineRule="atLeast"/>
              <w:jc w:val="left"/>
              <w:rPr>
                <w:rFonts w:cs="Arial"/>
                <w:color w:val="57825E"/>
                <w:sz w:val="18"/>
                <w:szCs w:val="16"/>
              </w:rPr>
            </w:pPr>
          </w:p>
          <w:p w:rsidR="00A45935" w:rsidRPr="00385368" w:rsidRDefault="00A45935" w:rsidP="00F73706">
            <w:pPr>
              <w:spacing w:line="220" w:lineRule="atLeast"/>
              <w:jc w:val="left"/>
              <w:rPr>
                <w:rFonts w:eastAsia="Calibri" w:cs="Arial"/>
                <w:color w:val="57825E"/>
                <w:sz w:val="18"/>
                <w:szCs w:val="16"/>
              </w:rPr>
            </w:pPr>
            <w:r>
              <w:rPr>
                <w:i/>
                <w:color w:val="57825E"/>
                <w:sz w:val="18"/>
                <w:szCs w:val="16"/>
                <w:u w:val="single"/>
              </w:rPr>
              <w:t>Πρόσθετος δείκτης αποτελεσμάτων:</w:t>
            </w:r>
            <w:r>
              <w:rPr>
                <w:i/>
                <w:color w:val="57825E"/>
                <w:sz w:val="18"/>
                <w:szCs w:val="16"/>
              </w:rPr>
              <w:t xml:space="preserve"> Αριθμός και ποιότητα των πλατφορμών και «χώρων» υποστήριξης της καινοτομίας που δημιουργήθηκαν ή ενισχύθηκαν από το ΠΑΑ, π.χ. κοινότητες πρακτικής, πλατφόρμες καινοτομίας, εκδηλώσεις που πραγματοποιήθηκαν για στοχασμό και μάθηση. </w:t>
            </w:r>
          </w:p>
          <w:p w:rsidR="00A45935" w:rsidRPr="002F229A" w:rsidRDefault="00A45935" w:rsidP="00F73706">
            <w:pPr>
              <w:spacing w:line="220" w:lineRule="atLeast"/>
              <w:jc w:val="left"/>
              <w:rPr>
                <w:rFonts w:eastAsia="Calibri" w:cs="Arial"/>
                <w:color w:val="57825E"/>
                <w:sz w:val="18"/>
                <w:szCs w:val="16"/>
              </w:rPr>
            </w:pPr>
          </w:p>
          <w:p w:rsidR="00560E46" w:rsidRPr="002F229A" w:rsidRDefault="00560E46" w:rsidP="00F73706">
            <w:pPr>
              <w:spacing w:line="220" w:lineRule="atLeast"/>
              <w:jc w:val="left"/>
              <w:rPr>
                <w:rFonts w:eastAsia="Calibri" w:cs="Arial"/>
                <w:color w:val="57825E"/>
                <w:sz w:val="18"/>
                <w:szCs w:val="16"/>
              </w:rPr>
            </w:pPr>
          </w:p>
          <w:p w:rsidR="00560E46" w:rsidRPr="002F229A" w:rsidRDefault="00560E46" w:rsidP="00F73706">
            <w:pPr>
              <w:spacing w:line="220" w:lineRule="atLeast"/>
              <w:jc w:val="left"/>
              <w:rPr>
                <w:rFonts w:eastAsia="Calibri" w:cs="Arial"/>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 xml:space="preserve">Πρόσθετος δείκτης αποτελεσμάτων: </w:t>
            </w:r>
            <w:r>
              <w:rPr>
                <w:i/>
                <w:color w:val="57825E"/>
                <w:sz w:val="18"/>
                <w:szCs w:val="16"/>
              </w:rPr>
              <w:t xml:space="preserve">Μείωση του μέσου μήκους της διαδρομής δικτύου και της πολυμορφίας του δικτύου (μέτρα ανάλυσης κοινωνικών δικτύων). </w:t>
            </w:r>
          </w:p>
        </w:tc>
        <w:tc>
          <w:tcPr>
            <w:tcW w:w="2715" w:type="dxa"/>
          </w:tcPr>
          <w:p w:rsidR="00A45935" w:rsidRPr="00385368" w:rsidRDefault="00A45935" w:rsidP="00F73706">
            <w:pPr>
              <w:spacing w:line="220" w:lineRule="atLeast"/>
              <w:jc w:val="left"/>
              <w:rPr>
                <w:rFonts w:eastAsia="Calibri" w:cs="Arial"/>
                <w:sz w:val="18"/>
                <w:szCs w:val="16"/>
              </w:rPr>
            </w:pPr>
            <w:r>
              <w:rPr>
                <w:sz w:val="18"/>
                <w:szCs w:val="16"/>
              </w:rPr>
              <w:lastRenderedPageBreak/>
              <w:t>Πληροφορίες για τις επίσημες εταιρικές σχέσεις.</w:t>
            </w:r>
          </w:p>
          <w:p w:rsidR="00A45935" w:rsidRPr="002F229A" w:rsidRDefault="00A45935" w:rsidP="00F73706">
            <w:pPr>
              <w:spacing w:line="220" w:lineRule="atLeast"/>
              <w:jc w:val="left"/>
              <w:rPr>
                <w:rFonts w:eastAsia="Calibri" w:cs="Arial"/>
                <w:sz w:val="18"/>
                <w:szCs w:val="16"/>
              </w:rPr>
            </w:pPr>
          </w:p>
          <w:p w:rsidR="00A45935" w:rsidRPr="002F229A" w:rsidRDefault="00A45935" w:rsidP="00F73706">
            <w:pPr>
              <w:spacing w:line="220" w:lineRule="atLeast"/>
              <w:jc w:val="left"/>
              <w:rPr>
                <w:rFonts w:eastAsia="Calibri" w:cs="Arial"/>
                <w:sz w:val="18"/>
                <w:szCs w:val="16"/>
              </w:rPr>
            </w:pPr>
          </w:p>
          <w:p w:rsidR="00A45935" w:rsidRPr="002F229A" w:rsidRDefault="00A45935" w:rsidP="00F73706">
            <w:pPr>
              <w:spacing w:line="220" w:lineRule="atLeast"/>
              <w:jc w:val="left"/>
              <w:rPr>
                <w:rFonts w:eastAsia="Calibri" w:cs="Arial"/>
                <w:sz w:val="18"/>
                <w:szCs w:val="16"/>
              </w:rPr>
            </w:pPr>
          </w:p>
          <w:p w:rsidR="00A45935" w:rsidRPr="002F229A"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 xml:space="preserve">Δεδομένα για τον αριθμό και τύπο εταίρων στα έργα συνεργασίας. </w:t>
            </w:r>
          </w:p>
          <w:p w:rsidR="00A45935" w:rsidRPr="002F229A" w:rsidRDefault="00A45935" w:rsidP="00F73706">
            <w:pPr>
              <w:spacing w:line="220" w:lineRule="atLeast"/>
              <w:jc w:val="left"/>
              <w:rPr>
                <w:rFonts w:eastAsia="Calibri" w:cs="Arial"/>
                <w:sz w:val="18"/>
                <w:szCs w:val="16"/>
              </w:rPr>
            </w:pPr>
          </w:p>
          <w:p w:rsidR="00A45935" w:rsidRPr="002F229A"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 xml:space="preserve">Πληροφορίες σχετικά με τις πλατφόρμες που </w:t>
            </w:r>
            <w:r>
              <w:rPr>
                <w:sz w:val="18"/>
                <w:szCs w:val="16"/>
              </w:rPr>
              <w:lastRenderedPageBreak/>
              <w:t>δημιουργήθηκαν από το ΠΑΑ.</w:t>
            </w:r>
          </w:p>
          <w:p w:rsidR="00A45935" w:rsidRPr="002F229A" w:rsidRDefault="00A45935" w:rsidP="00F73706">
            <w:pPr>
              <w:spacing w:line="220" w:lineRule="atLeast"/>
              <w:jc w:val="left"/>
              <w:rPr>
                <w:rFonts w:eastAsia="Calibri" w:cs="Arial"/>
                <w:sz w:val="18"/>
                <w:szCs w:val="16"/>
              </w:rPr>
            </w:pPr>
          </w:p>
          <w:p w:rsidR="00A45935" w:rsidRPr="002F229A" w:rsidRDefault="00A45935" w:rsidP="00F73706">
            <w:pPr>
              <w:spacing w:line="220" w:lineRule="atLeast"/>
              <w:jc w:val="left"/>
              <w:rPr>
                <w:rFonts w:eastAsia="Calibri" w:cs="Arial"/>
                <w:sz w:val="18"/>
                <w:szCs w:val="16"/>
              </w:rPr>
            </w:pPr>
          </w:p>
          <w:p w:rsidR="00A45935" w:rsidRPr="002F229A" w:rsidRDefault="00A45935" w:rsidP="00F73706">
            <w:pPr>
              <w:spacing w:line="220" w:lineRule="atLeast"/>
              <w:jc w:val="left"/>
              <w:rPr>
                <w:rFonts w:eastAsia="Calibri" w:cs="Arial"/>
                <w:sz w:val="18"/>
                <w:szCs w:val="16"/>
              </w:rPr>
            </w:pPr>
          </w:p>
          <w:p w:rsidR="00A45935" w:rsidRPr="002F229A" w:rsidRDefault="00A45935" w:rsidP="00F73706">
            <w:pPr>
              <w:spacing w:line="220" w:lineRule="atLeast"/>
              <w:jc w:val="left"/>
              <w:rPr>
                <w:rFonts w:eastAsia="Calibri" w:cs="Arial"/>
                <w:sz w:val="18"/>
                <w:szCs w:val="16"/>
              </w:rPr>
            </w:pPr>
          </w:p>
          <w:p w:rsidR="00A45935" w:rsidRPr="002F229A" w:rsidRDefault="00A45935" w:rsidP="00F73706">
            <w:pPr>
              <w:spacing w:line="220" w:lineRule="atLeast"/>
              <w:jc w:val="left"/>
              <w:rPr>
                <w:rFonts w:eastAsia="Calibri" w:cs="Arial"/>
                <w:sz w:val="18"/>
                <w:szCs w:val="16"/>
              </w:rPr>
            </w:pPr>
          </w:p>
          <w:p w:rsidR="00A45935" w:rsidRPr="002F229A" w:rsidRDefault="00A45935" w:rsidP="00F73706">
            <w:pPr>
              <w:spacing w:line="220" w:lineRule="atLeast"/>
              <w:jc w:val="left"/>
              <w:rPr>
                <w:rFonts w:eastAsia="Calibri" w:cs="Arial"/>
                <w:sz w:val="18"/>
                <w:szCs w:val="16"/>
              </w:rPr>
            </w:pPr>
          </w:p>
          <w:p w:rsidR="00560E46" w:rsidRPr="002F229A" w:rsidRDefault="00560E46" w:rsidP="00F73706">
            <w:pPr>
              <w:spacing w:line="220" w:lineRule="atLeast"/>
              <w:jc w:val="left"/>
              <w:rPr>
                <w:rFonts w:eastAsia="Calibri" w:cs="Arial"/>
                <w:sz w:val="18"/>
                <w:szCs w:val="16"/>
              </w:rPr>
            </w:pPr>
          </w:p>
          <w:p w:rsidR="00560E46" w:rsidRPr="002F229A" w:rsidRDefault="00560E46" w:rsidP="00F73706">
            <w:pPr>
              <w:spacing w:line="220" w:lineRule="atLeast"/>
              <w:jc w:val="left"/>
              <w:rPr>
                <w:rFonts w:eastAsia="Calibri" w:cs="Arial"/>
                <w:sz w:val="18"/>
                <w:szCs w:val="16"/>
              </w:rPr>
            </w:pPr>
          </w:p>
          <w:p w:rsidR="00A45935" w:rsidRPr="00E05D08" w:rsidRDefault="00A45935" w:rsidP="00560E46">
            <w:pPr>
              <w:spacing w:line="220" w:lineRule="atLeast"/>
              <w:jc w:val="left"/>
              <w:rPr>
                <w:rFonts w:eastAsia="Calibri" w:cs="Arial"/>
                <w:sz w:val="18"/>
                <w:szCs w:val="16"/>
              </w:rPr>
            </w:pPr>
            <w:r>
              <w:rPr>
                <w:sz w:val="18"/>
                <w:szCs w:val="16"/>
              </w:rPr>
              <w:t xml:space="preserve">Πληροφορίες σχετικά με τα δίκτυα. </w:t>
            </w:r>
          </w:p>
        </w:tc>
        <w:tc>
          <w:tcPr>
            <w:tcW w:w="2715" w:type="dxa"/>
          </w:tcPr>
          <w:p w:rsidR="00A45935" w:rsidRPr="00385368" w:rsidRDefault="00A45935" w:rsidP="00F73706">
            <w:pPr>
              <w:spacing w:line="220" w:lineRule="atLeast"/>
              <w:jc w:val="left"/>
              <w:rPr>
                <w:rFonts w:eastAsia="Calibri" w:cs="Arial"/>
                <w:sz w:val="18"/>
                <w:szCs w:val="16"/>
              </w:rPr>
            </w:pPr>
            <w:r>
              <w:rPr>
                <w:sz w:val="18"/>
                <w:szCs w:val="16"/>
              </w:rPr>
              <w:lastRenderedPageBreak/>
              <w:t xml:space="preserve">Συνεντεύξεις και ομάδες εστίασης. </w:t>
            </w:r>
          </w:p>
          <w:p w:rsidR="00A45935" w:rsidRPr="002F229A" w:rsidRDefault="00A45935" w:rsidP="00F73706">
            <w:pPr>
              <w:spacing w:line="220" w:lineRule="atLeast"/>
              <w:jc w:val="left"/>
              <w:rPr>
                <w:rFonts w:eastAsia="Calibri" w:cs="Arial"/>
                <w:sz w:val="18"/>
                <w:szCs w:val="16"/>
              </w:rPr>
            </w:pPr>
          </w:p>
          <w:p w:rsidR="00A45935" w:rsidRPr="002F229A" w:rsidRDefault="00A45935" w:rsidP="00F73706">
            <w:pPr>
              <w:spacing w:line="220" w:lineRule="atLeast"/>
              <w:jc w:val="left"/>
              <w:rPr>
                <w:rFonts w:eastAsia="Calibri" w:cs="Arial"/>
                <w:sz w:val="18"/>
                <w:szCs w:val="16"/>
              </w:rPr>
            </w:pPr>
          </w:p>
          <w:p w:rsidR="00A45935" w:rsidRPr="002F229A" w:rsidRDefault="00A45935" w:rsidP="00F73706">
            <w:pPr>
              <w:spacing w:line="220" w:lineRule="atLeast"/>
              <w:jc w:val="left"/>
              <w:rPr>
                <w:rFonts w:eastAsia="Calibri" w:cs="Arial"/>
                <w:sz w:val="18"/>
                <w:szCs w:val="16"/>
              </w:rPr>
            </w:pPr>
          </w:p>
          <w:p w:rsidR="00A45935" w:rsidRPr="002F229A" w:rsidRDefault="00A45935" w:rsidP="00F73706">
            <w:pPr>
              <w:spacing w:line="220" w:lineRule="atLeast"/>
              <w:jc w:val="left"/>
              <w:rPr>
                <w:rFonts w:eastAsia="Calibri" w:cs="Arial"/>
                <w:sz w:val="18"/>
                <w:szCs w:val="16"/>
              </w:rPr>
            </w:pPr>
          </w:p>
          <w:p w:rsidR="00A45935" w:rsidRPr="002F229A" w:rsidRDefault="00A45935" w:rsidP="00F73706">
            <w:pPr>
              <w:spacing w:line="220" w:lineRule="atLeast"/>
              <w:jc w:val="left"/>
              <w:rPr>
                <w:rFonts w:eastAsia="Calibri" w:cs="Arial"/>
                <w:sz w:val="18"/>
                <w:szCs w:val="16"/>
              </w:rPr>
            </w:pPr>
          </w:p>
          <w:p w:rsidR="00A45935" w:rsidRPr="002F229A"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Σύστημα παρακολούθησης του ΠΑΑ.</w:t>
            </w:r>
          </w:p>
          <w:p w:rsidR="00A45935" w:rsidRPr="002F229A" w:rsidRDefault="00A45935" w:rsidP="00F73706">
            <w:pPr>
              <w:spacing w:line="220" w:lineRule="atLeast"/>
              <w:jc w:val="left"/>
              <w:rPr>
                <w:rFonts w:eastAsia="Calibri" w:cs="Arial"/>
                <w:sz w:val="18"/>
                <w:szCs w:val="16"/>
              </w:rPr>
            </w:pPr>
          </w:p>
          <w:p w:rsidR="00A45935" w:rsidRPr="002F229A" w:rsidRDefault="00A45935" w:rsidP="00F73706">
            <w:pPr>
              <w:spacing w:line="220" w:lineRule="atLeast"/>
              <w:jc w:val="left"/>
              <w:rPr>
                <w:rFonts w:eastAsia="Calibri" w:cs="Arial"/>
                <w:sz w:val="18"/>
                <w:szCs w:val="16"/>
              </w:rPr>
            </w:pPr>
          </w:p>
          <w:p w:rsidR="00A45935" w:rsidRPr="002F229A"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lastRenderedPageBreak/>
              <w:t xml:space="preserve">Συνεντεύξεις και ομάδες εστίασης. </w:t>
            </w:r>
          </w:p>
          <w:p w:rsidR="00A45935" w:rsidRPr="002F229A" w:rsidRDefault="00A45935" w:rsidP="00F73706">
            <w:pPr>
              <w:spacing w:line="220" w:lineRule="atLeast"/>
              <w:jc w:val="left"/>
              <w:rPr>
                <w:rFonts w:eastAsia="Calibri" w:cs="Arial"/>
                <w:sz w:val="18"/>
                <w:szCs w:val="16"/>
              </w:rPr>
            </w:pPr>
          </w:p>
          <w:p w:rsidR="00A45935" w:rsidRPr="002F229A" w:rsidRDefault="00A45935" w:rsidP="00F73706">
            <w:pPr>
              <w:spacing w:line="220" w:lineRule="atLeast"/>
              <w:jc w:val="left"/>
              <w:rPr>
                <w:rFonts w:eastAsia="Calibri" w:cs="Arial"/>
                <w:sz w:val="18"/>
                <w:szCs w:val="16"/>
              </w:rPr>
            </w:pPr>
          </w:p>
          <w:p w:rsidR="00A45935" w:rsidRPr="002F229A" w:rsidRDefault="00A45935" w:rsidP="00F73706">
            <w:pPr>
              <w:spacing w:line="220" w:lineRule="atLeast"/>
              <w:jc w:val="left"/>
              <w:rPr>
                <w:rFonts w:eastAsia="Calibri" w:cs="Arial"/>
                <w:sz w:val="18"/>
                <w:szCs w:val="16"/>
              </w:rPr>
            </w:pPr>
          </w:p>
          <w:p w:rsidR="00A45935" w:rsidRPr="002F229A" w:rsidRDefault="00A45935" w:rsidP="00F73706">
            <w:pPr>
              <w:spacing w:line="220" w:lineRule="atLeast"/>
              <w:jc w:val="left"/>
              <w:rPr>
                <w:rFonts w:eastAsia="Calibri" w:cs="Arial"/>
                <w:sz w:val="18"/>
                <w:szCs w:val="16"/>
              </w:rPr>
            </w:pPr>
          </w:p>
          <w:p w:rsidR="00A45935" w:rsidRPr="002F229A" w:rsidRDefault="00A45935" w:rsidP="00F73706">
            <w:pPr>
              <w:spacing w:line="220" w:lineRule="atLeast"/>
              <w:jc w:val="left"/>
              <w:rPr>
                <w:rFonts w:eastAsia="Calibri" w:cs="Arial"/>
                <w:sz w:val="18"/>
                <w:szCs w:val="16"/>
              </w:rPr>
            </w:pPr>
          </w:p>
          <w:p w:rsidR="00A45935" w:rsidRPr="002F229A" w:rsidRDefault="00A45935" w:rsidP="00F73706">
            <w:pPr>
              <w:spacing w:line="220" w:lineRule="atLeast"/>
              <w:jc w:val="left"/>
              <w:rPr>
                <w:rFonts w:eastAsia="Calibri" w:cs="Arial"/>
                <w:sz w:val="18"/>
                <w:szCs w:val="16"/>
              </w:rPr>
            </w:pPr>
          </w:p>
          <w:p w:rsidR="00A45935" w:rsidRPr="002F229A" w:rsidRDefault="00A45935" w:rsidP="00F73706">
            <w:pPr>
              <w:spacing w:line="220" w:lineRule="atLeast"/>
              <w:jc w:val="left"/>
              <w:rPr>
                <w:rFonts w:eastAsia="Calibri" w:cs="Arial"/>
                <w:sz w:val="18"/>
                <w:szCs w:val="16"/>
              </w:rPr>
            </w:pPr>
          </w:p>
          <w:p w:rsidR="00560E46" w:rsidRPr="002F229A" w:rsidRDefault="00560E46" w:rsidP="00F73706">
            <w:pPr>
              <w:spacing w:line="220" w:lineRule="atLeast"/>
              <w:jc w:val="left"/>
              <w:rPr>
                <w:rFonts w:eastAsia="Calibri" w:cs="Arial"/>
                <w:sz w:val="18"/>
                <w:szCs w:val="16"/>
              </w:rPr>
            </w:pPr>
          </w:p>
          <w:p w:rsidR="00560E46" w:rsidRPr="002F229A" w:rsidRDefault="00560E46" w:rsidP="00F73706">
            <w:pPr>
              <w:spacing w:line="220" w:lineRule="atLeast"/>
              <w:jc w:val="left"/>
              <w:rPr>
                <w:rFonts w:eastAsia="Calibri" w:cs="Arial"/>
                <w:sz w:val="18"/>
                <w:szCs w:val="16"/>
              </w:rPr>
            </w:pPr>
          </w:p>
          <w:p w:rsidR="00A45935" w:rsidRPr="00385368" w:rsidRDefault="00A45935" w:rsidP="00560E46">
            <w:pPr>
              <w:spacing w:line="220" w:lineRule="atLeast"/>
              <w:jc w:val="left"/>
              <w:rPr>
                <w:rFonts w:eastAsia="Calibri" w:cs="Arial"/>
                <w:sz w:val="18"/>
                <w:szCs w:val="16"/>
              </w:rPr>
            </w:pPr>
            <w:r>
              <w:rPr>
                <w:sz w:val="18"/>
                <w:szCs w:val="16"/>
              </w:rPr>
              <w:t>Πληροφορίες από την ανάλυση κοινωνικών δικτύων.</w:t>
            </w:r>
          </w:p>
        </w:tc>
      </w:tr>
      <w:tr w:rsidR="00A45935" w:rsidRPr="00E05D08" w:rsidTr="00F73706">
        <w:trPr>
          <w:trHeight w:val="4850"/>
        </w:trPr>
        <w:tc>
          <w:tcPr>
            <w:tcW w:w="2988" w:type="dxa"/>
          </w:tcPr>
          <w:p w:rsidR="00A45935" w:rsidRPr="00385368" w:rsidRDefault="00A45935" w:rsidP="00F73706">
            <w:pPr>
              <w:spacing w:line="220" w:lineRule="atLeast"/>
              <w:jc w:val="left"/>
              <w:rPr>
                <w:rFonts w:cs="Arial"/>
                <w:i/>
                <w:sz w:val="18"/>
                <w:szCs w:val="16"/>
              </w:rPr>
            </w:pPr>
            <w:r>
              <w:rPr>
                <w:i/>
                <w:sz w:val="18"/>
                <w:szCs w:val="16"/>
              </w:rPr>
              <w:lastRenderedPageBreak/>
              <w:t>Σε ποιο βαθμό το ΠΑΑ προώθησε την καινοτομία μέσω της δημιουργίας ευνοϊκού περιβάλλοντος για την καινοτομία (διαδρομή 3);</w:t>
            </w:r>
          </w:p>
        </w:tc>
        <w:tc>
          <w:tcPr>
            <w:tcW w:w="2127" w:type="dxa"/>
          </w:tcPr>
          <w:p w:rsidR="00A45935" w:rsidRPr="00E05D08" w:rsidRDefault="00A45935" w:rsidP="00F73706">
            <w:pPr>
              <w:spacing w:line="220" w:lineRule="atLeast"/>
              <w:jc w:val="left"/>
              <w:rPr>
                <w:rFonts w:eastAsia="Calibri" w:cs="Arial"/>
                <w:i/>
                <w:sz w:val="18"/>
                <w:szCs w:val="16"/>
              </w:rPr>
            </w:pPr>
            <w:r>
              <w:rPr>
                <w:i/>
                <w:sz w:val="18"/>
                <w:szCs w:val="16"/>
              </w:rPr>
              <w:t>Πρόσθετο κριτήριο απόφασης: Μέσω του ΠΑΑ τεκμηριώθηκαν πολιτικές που υποστηρίζουν τις αλλαγές στις οποίες συνέβαλε το ΠΑΑ.</w:t>
            </w:r>
          </w:p>
          <w:p w:rsidR="00A45935" w:rsidRPr="002F229A"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Πρόσθετο κριτήριο απόφασης: Μέσω του ΠΑΑ δόθηκαν ευκαιρίες κατάρτισης και ανταλλαγής καινοτόμων πρακτικών. </w:t>
            </w:r>
          </w:p>
          <w:p w:rsidR="00A45935" w:rsidRPr="002F229A"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Πρόσθετο κριτήριο απόφασης: Μέσω του ΠΑΑ δόθηκε η δυνατότητα αλληλεπιδράσεων μεταξύ των φορέων (σε εθνικό/διασυνοριακό επίπεδο) για την προώθηση καινοτομιών. </w:t>
            </w:r>
          </w:p>
          <w:p w:rsidR="00A45935" w:rsidRPr="002F229A" w:rsidRDefault="00A45935" w:rsidP="00F73706">
            <w:pPr>
              <w:spacing w:line="220" w:lineRule="atLeast"/>
              <w:jc w:val="left"/>
              <w:rPr>
                <w:rFonts w:eastAsia="Calibri" w:cs="Arial"/>
                <w:i/>
                <w:sz w:val="18"/>
                <w:szCs w:val="16"/>
              </w:rPr>
            </w:pPr>
          </w:p>
          <w:p w:rsidR="00A45935" w:rsidRPr="00385368" w:rsidRDefault="00A45935" w:rsidP="00F73706">
            <w:pPr>
              <w:spacing w:line="220" w:lineRule="atLeast"/>
              <w:jc w:val="left"/>
              <w:rPr>
                <w:rFonts w:cs="Arial"/>
                <w:i/>
                <w:sz w:val="18"/>
                <w:szCs w:val="16"/>
              </w:rPr>
            </w:pPr>
            <w:r>
              <w:rPr>
                <w:i/>
                <w:sz w:val="18"/>
                <w:szCs w:val="16"/>
              </w:rPr>
              <w:t xml:space="preserve">Πρόσθετο κριτήριο απόφασης: Το ΠΑΑ υποστήριξε τις νέες τεχνολογίες στις αγροτικές περιοχές. </w:t>
            </w:r>
          </w:p>
        </w:tc>
        <w:tc>
          <w:tcPr>
            <w:tcW w:w="3302" w:type="dxa"/>
          </w:tcPr>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Πρόσθετος δείκτης αποτελεσμάτων:</w:t>
            </w:r>
            <w:r>
              <w:rPr>
                <w:i/>
                <w:color w:val="57825E"/>
                <w:sz w:val="18"/>
                <w:szCs w:val="16"/>
              </w:rPr>
              <w:t xml:space="preserve"> Αριθμός και τύπος πολιτικών που επηρεάστηκαν από το ΠΑΑ σε επίπεδο συμμετεχόντων οργανισμών και ευρύτερου ευνοϊκού περιβάλλοντος. </w:t>
            </w:r>
          </w:p>
          <w:p w:rsidR="00A45935" w:rsidRPr="002F229A"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Πρόσθετος δείκτης αποτελεσμάτων:</w:t>
            </w:r>
            <w:r>
              <w:rPr>
                <w:i/>
                <w:color w:val="57825E"/>
                <w:sz w:val="18"/>
                <w:szCs w:val="16"/>
              </w:rPr>
              <w:t xml:space="preserve"> Αριθμός προγραμμάτων κατάρτισης και εκδηλώσεων για την ανταλλαγή καινοτόμων πρακτικών και μερίδιό τους στον συνολικό αριθμό προγραμμάτων κατάρτισης / εκδηλώσεων που στηρίχθηκαν από το ΠΑΑ. </w:t>
            </w:r>
          </w:p>
          <w:p w:rsidR="00A45935" w:rsidRPr="002F229A"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Πρόσθετος δείκτης αποτελεσμάτων:</w:t>
            </w:r>
            <w:r>
              <w:rPr>
                <w:i/>
                <w:color w:val="57825E"/>
                <w:sz w:val="18"/>
                <w:szCs w:val="16"/>
              </w:rPr>
              <w:t xml:space="preserve"> Αριθμός εκδηλώσεων που επικεντρώνονται στην ανάπτυξη επαφών μεταξύ φορέων καινοτομίας, οι οποίες στηρίχθηκαν από το ΠΑΑ. </w:t>
            </w:r>
          </w:p>
          <w:p w:rsidR="00A45935" w:rsidRPr="002F229A" w:rsidRDefault="00A45935" w:rsidP="00F73706">
            <w:pPr>
              <w:spacing w:line="220" w:lineRule="atLeast"/>
              <w:jc w:val="left"/>
              <w:rPr>
                <w:rFonts w:eastAsia="Calibri" w:cs="Arial"/>
                <w:i/>
                <w:color w:val="57825E"/>
                <w:sz w:val="18"/>
                <w:szCs w:val="16"/>
              </w:rPr>
            </w:pPr>
          </w:p>
          <w:p w:rsidR="00A45935" w:rsidRPr="002F229A" w:rsidRDefault="00A45935" w:rsidP="00F73706">
            <w:pPr>
              <w:spacing w:line="220" w:lineRule="atLeast"/>
              <w:jc w:val="left"/>
              <w:rPr>
                <w:rFonts w:eastAsia="Calibri" w:cs="Arial"/>
                <w:i/>
                <w:color w:val="57825E"/>
                <w:sz w:val="18"/>
                <w:szCs w:val="16"/>
              </w:rPr>
            </w:pPr>
          </w:p>
          <w:p w:rsidR="00560E46" w:rsidRPr="002F229A" w:rsidRDefault="00560E46"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color w:val="57825E"/>
                <w:sz w:val="18"/>
                <w:szCs w:val="16"/>
              </w:rPr>
            </w:pPr>
            <w:r>
              <w:rPr>
                <w:i/>
                <w:color w:val="57825E"/>
                <w:sz w:val="18"/>
                <w:szCs w:val="16"/>
                <w:u w:val="single"/>
              </w:rPr>
              <w:t>Πρόσθετος δείκτης αποτελεσμάτων:</w:t>
            </w:r>
            <w:r>
              <w:rPr>
                <w:i/>
                <w:color w:val="57825E"/>
                <w:sz w:val="18"/>
                <w:szCs w:val="16"/>
              </w:rPr>
              <w:t xml:space="preserve"> Αριθμός νέων τεχνολογιών στις αγροτικές περιοχές που στηρίχθηκαν από το ΠΑΑ, ανά τύπο. </w:t>
            </w:r>
          </w:p>
        </w:tc>
        <w:tc>
          <w:tcPr>
            <w:tcW w:w="2715" w:type="dxa"/>
          </w:tcPr>
          <w:p w:rsidR="00A45935" w:rsidRPr="00385368" w:rsidRDefault="00A45935" w:rsidP="00560E46">
            <w:pPr>
              <w:spacing w:line="220" w:lineRule="atLeast"/>
              <w:jc w:val="left"/>
              <w:rPr>
                <w:rFonts w:eastAsia="Calibri" w:cs="Arial"/>
                <w:sz w:val="18"/>
                <w:szCs w:val="16"/>
              </w:rPr>
            </w:pPr>
            <w:r>
              <w:rPr>
                <w:sz w:val="18"/>
                <w:szCs w:val="16"/>
              </w:rPr>
              <w:t xml:space="preserve">Πληροφορίες σχετικά με πολιτικές. </w:t>
            </w:r>
          </w:p>
          <w:p w:rsidR="00A45935" w:rsidRPr="002F229A" w:rsidRDefault="00A45935" w:rsidP="00560E46">
            <w:pPr>
              <w:spacing w:line="220" w:lineRule="atLeast"/>
              <w:jc w:val="left"/>
              <w:rPr>
                <w:rFonts w:eastAsia="Calibri" w:cs="Arial"/>
                <w:sz w:val="18"/>
                <w:szCs w:val="16"/>
              </w:rPr>
            </w:pPr>
          </w:p>
          <w:p w:rsidR="00A45935" w:rsidRPr="002F229A" w:rsidRDefault="00A45935" w:rsidP="00560E46">
            <w:pPr>
              <w:spacing w:line="220" w:lineRule="atLeast"/>
              <w:jc w:val="left"/>
              <w:rPr>
                <w:rFonts w:eastAsia="Calibri" w:cs="Arial"/>
                <w:sz w:val="18"/>
                <w:szCs w:val="16"/>
              </w:rPr>
            </w:pPr>
          </w:p>
          <w:p w:rsidR="00560E46" w:rsidRPr="002F229A" w:rsidRDefault="00560E46" w:rsidP="00560E46">
            <w:pPr>
              <w:spacing w:line="220" w:lineRule="atLeast"/>
              <w:jc w:val="left"/>
              <w:rPr>
                <w:rFonts w:eastAsia="Calibri" w:cs="Arial"/>
                <w:sz w:val="18"/>
                <w:szCs w:val="16"/>
              </w:rPr>
            </w:pPr>
          </w:p>
          <w:p w:rsidR="00560E46" w:rsidRPr="002F229A" w:rsidRDefault="00560E46" w:rsidP="00560E46">
            <w:pPr>
              <w:spacing w:line="220" w:lineRule="atLeast"/>
              <w:jc w:val="left"/>
              <w:rPr>
                <w:rFonts w:eastAsia="Calibri" w:cs="Arial"/>
                <w:sz w:val="18"/>
                <w:szCs w:val="16"/>
              </w:rPr>
            </w:pPr>
          </w:p>
          <w:p w:rsidR="00560E46" w:rsidRPr="002F229A" w:rsidRDefault="00560E46" w:rsidP="00560E46">
            <w:pPr>
              <w:spacing w:line="220" w:lineRule="atLeast"/>
              <w:jc w:val="left"/>
              <w:rPr>
                <w:rFonts w:eastAsia="Calibri" w:cs="Arial"/>
                <w:sz w:val="18"/>
                <w:szCs w:val="16"/>
              </w:rPr>
            </w:pPr>
          </w:p>
          <w:p w:rsidR="00A45935" w:rsidRPr="00385368" w:rsidRDefault="00A45935" w:rsidP="00560E46">
            <w:pPr>
              <w:spacing w:line="220" w:lineRule="atLeast"/>
              <w:jc w:val="left"/>
              <w:rPr>
                <w:rFonts w:eastAsia="Calibri" w:cs="Arial"/>
                <w:sz w:val="18"/>
                <w:szCs w:val="16"/>
              </w:rPr>
            </w:pPr>
            <w:r>
              <w:rPr>
                <w:sz w:val="18"/>
                <w:szCs w:val="16"/>
              </w:rPr>
              <w:t>Πληροφορίες σχετικά με προγράμματα κατάρτισης και εκδηλώσεις.</w:t>
            </w:r>
          </w:p>
          <w:p w:rsidR="00A45935" w:rsidRPr="002F229A" w:rsidRDefault="00A45935" w:rsidP="00560E46">
            <w:pPr>
              <w:spacing w:line="220" w:lineRule="atLeast"/>
              <w:jc w:val="left"/>
              <w:rPr>
                <w:rFonts w:eastAsia="Calibri" w:cs="Arial"/>
                <w:sz w:val="18"/>
                <w:szCs w:val="16"/>
              </w:rPr>
            </w:pPr>
          </w:p>
          <w:p w:rsidR="00A45935" w:rsidRPr="002F229A" w:rsidRDefault="00A45935" w:rsidP="00560E46">
            <w:pPr>
              <w:spacing w:line="220" w:lineRule="atLeast"/>
              <w:jc w:val="left"/>
              <w:rPr>
                <w:rFonts w:eastAsia="Calibri" w:cs="Arial"/>
                <w:sz w:val="18"/>
                <w:szCs w:val="16"/>
              </w:rPr>
            </w:pPr>
          </w:p>
          <w:p w:rsidR="00A45935" w:rsidRPr="002F229A" w:rsidRDefault="00A45935" w:rsidP="00560E46">
            <w:pPr>
              <w:spacing w:line="220" w:lineRule="atLeast"/>
              <w:jc w:val="left"/>
              <w:rPr>
                <w:rFonts w:eastAsia="Calibri" w:cs="Arial"/>
                <w:sz w:val="18"/>
                <w:szCs w:val="16"/>
              </w:rPr>
            </w:pPr>
          </w:p>
          <w:p w:rsidR="00A45935" w:rsidRPr="002F229A" w:rsidRDefault="00A45935" w:rsidP="00560E46">
            <w:pPr>
              <w:spacing w:line="220" w:lineRule="atLeast"/>
              <w:jc w:val="left"/>
              <w:rPr>
                <w:rFonts w:eastAsia="Calibri" w:cs="Arial"/>
                <w:sz w:val="18"/>
                <w:szCs w:val="16"/>
              </w:rPr>
            </w:pPr>
          </w:p>
          <w:p w:rsidR="00A45935" w:rsidRPr="00E05D08" w:rsidRDefault="00A45935" w:rsidP="00560E46">
            <w:pPr>
              <w:spacing w:line="220" w:lineRule="atLeast"/>
              <w:jc w:val="left"/>
              <w:rPr>
                <w:rFonts w:eastAsia="Calibri" w:cs="Arial"/>
                <w:sz w:val="18"/>
                <w:szCs w:val="16"/>
              </w:rPr>
            </w:pPr>
            <w:r>
              <w:rPr>
                <w:sz w:val="18"/>
                <w:szCs w:val="16"/>
              </w:rPr>
              <w:t xml:space="preserve">Πληροφορίες σχετικά με νέες τεχνολογίες. </w:t>
            </w:r>
          </w:p>
        </w:tc>
        <w:tc>
          <w:tcPr>
            <w:tcW w:w="2715" w:type="dxa"/>
          </w:tcPr>
          <w:p w:rsidR="00A45935" w:rsidRPr="00385368" w:rsidRDefault="00A45935" w:rsidP="00560E46">
            <w:pPr>
              <w:spacing w:line="220" w:lineRule="atLeast"/>
              <w:jc w:val="left"/>
              <w:rPr>
                <w:rFonts w:eastAsia="Calibri" w:cs="Arial"/>
                <w:sz w:val="18"/>
                <w:szCs w:val="16"/>
              </w:rPr>
            </w:pPr>
            <w:r>
              <w:rPr>
                <w:sz w:val="18"/>
                <w:szCs w:val="16"/>
              </w:rPr>
              <w:t xml:space="preserve">Συνεντεύξεις και ομάδες εστίασης [π.χ. συγκομιδή αποτελεσμάτων (outcome harvesting)]. </w:t>
            </w:r>
          </w:p>
          <w:p w:rsidR="00A45935" w:rsidRPr="002F229A" w:rsidRDefault="00A45935" w:rsidP="00560E46">
            <w:pPr>
              <w:spacing w:line="220" w:lineRule="atLeast"/>
              <w:jc w:val="left"/>
              <w:rPr>
                <w:rFonts w:eastAsia="Calibri" w:cs="Arial"/>
                <w:sz w:val="18"/>
                <w:szCs w:val="18"/>
              </w:rPr>
            </w:pPr>
          </w:p>
          <w:p w:rsidR="00A45935" w:rsidRPr="002F229A" w:rsidRDefault="00A45935" w:rsidP="00560E46">
            <w:pPr>
              <w:spacing w:line="220" w:lineRule="atLeast"/>
              <w:jc w:val="left"/>
              <w:rPr>
                <w:rFonts w:eastAsia="Calibri" w:cs="Arial"/>
                <w:sz w:val="18"/>
                <w:szCs w:val="18"/>
              </w:rPr>
            </w:pPr>
          </w:p>
          <w:p w:rsidR="00560E46" w:rsidRPr="002F229A" w:rsidRDefault="00560E46" w:rsidP="00560E46">
            <w:pPr>
              <w:spacing w:line="220" w:lineRule="atLeast"/>
              <w:jc w:val="left"/>
              <w:rPr>
                <w:rFonts w:eastAsia="Calibri" w:cs="Arial"/>
                <w:sz w:val="18"/>
                <w:szCs w:val="18"/>
              </w:rPr>
            </w:pPr>
          </w:p>
          <w:p w:rsidR="00560E46" w:rsidRPr="002F229A" w:rsidRDefault="00560E46" w:rsidP="00560E46">
            <w:pPr>
              <w:spacing w:line="220" w:lineRule="atLeast"/>
              <w:jc w:val="left"/>
              <w:rPr>
                <w:rFonts w:eastAsia="Calibri" w:cs="Arial"/>
                <w:sz w:val="18"/>
                <w:szCs w:val="18"/>
              </w:rPr>
            </w:pPr>
          </w:p>
          <w:p w:rsidR="00A45935" w:rsidRPr="00E05D08" w:rsidRDefault="00A45935" w:rsidP="00560E46">
            <w:pPr>
              <w:spacing w:line="220" w:lineRule="atLeast"/>
              <w:jc w:val="left"/>
              <w:rPr>
                <w:rFonts w:eastAsia="Calibri" w:cs="Arial"/>
                <w:sz w:val="18"/>
                <w:szCs w:val="18"/>
              </w:rPr>
            </w:pPr>
            <w:r>
              <w:rPr>
                <w:sz w:val="18"/>
                <w:szCs w:val="18"/>
              </w:rPr>
              <w:t>Σύστημα παρακολούθησης του ΠΑΑ.</w:t>
            </w:r>
          </w:p>
        </w:tc>
      </w:tr>
    </w:tbl>
    <w:p w:rsidR="00A45935" w:rsidRPr="00E05D08" w:rsidRDefault="00A45935" w:rsidP="00E05D08">
      <w:pPr>
        <w:spacing w:before="240" w:after="120" w:line="280" w:lineRule="atLeast"/>
        <w:ind w:left="720"/>
        <w:mirrorIndents/>
        <w:rPr>
          <w:rFonts w:eastAsia="Times New Roman" w:cs="Arial"/>
          <w:b/>
          <w:szCs w:val="18"/>
          <w:lang w:eastAsia="de-DE"/>
        </w:rPr>
      </w:pPr>
    </w:p>
    <w:p w:rsidR="00A45935" w:rsidRPr="00E05D08" w:rsidRDefault="00A45935" w:rsidP="00E05D08">
      <w:pPr>
        <w:spacing w:before="240" w:after="120" w:line="280" w:lineRule="atLeast"/>
        <w:ind w:left="720"/>
        <w:mirrorIndents/>
        <w:rPr>
          <w:rFonts w:eastAsia="Times New Roman" w:cs="Arial"/>
          <w:b/>
          <w:szCs w:val="18"/>
          <w:lang w:eastAsia="de-DE"/>
        </w:rPr>
      </w:pPr>
    </w:p>
    <w:p w:rsidR="00A45935" w:rsidRPr="00E05D08" w:rsidRDefault="00A45935" w:rsidP="008C0B17">
      <w:pPr>
        <w:numPr>
          <w:ilvl w:val="0"/>
          <w:numId w:val="46"/>
        </w:numPr>
        <w:spacing w:before="240" w:after="120" w:line="280" w:lineRule="atLeast"/>
        <w:rPr>
          <w:rFonts w:eastAsia="Times New Roman" w:cs="Arial"/>
          <w:b/>
          <w:szCs w:val="18"/>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435"/>
        </w:sectPr>
      </w:pPr>
    </w:p>
    <w:p w:rsidR="00A45935" w:rsidRPr="00E05D08" w:rsidRDefault="00651910" w:rsidP="00651910">
      <w:pPr>
        <w:spacing w:before="120" w:after="120" w:line="280" w:lineRule="atLeast"/>
        <w:ind w:left="360"/>
        <w:mirrorIndents/>
        <w:rPr>
          <w:rFonts w:eastAsia="Times New Roman" w:cs="Times New Roman"/>
          <w:b/>
          <w:szCs w:val="20"/>
        </w:rPr>
      </w:pPr>
      <w:r>
        <w:rPr>
          <w:b/>
          <w:szCs w:val="20"/>
        </w:rPr>
        <w:lastRenderedPageBreak/>
        <w:t>γ.</w:t>
      </w:r>
      <w:r>
        <w:rPr>
          <w:b/>
          <w:szCs w:val="20"/>
        </w:rPr>
        <w:tab/>
      </w:r>
      <w:r w:rsidR="00A45935">
        <w:rPr>
          <w:b/>
          <w:szCs w:val="20"/>
        </w:rPr>
        <w:t>Προτεινόμενη μεθοδολογία αξιολόγησης</w:t>
      </w:r>
    </w:p>
    <w:p w:rsidR="00A45935" w:rsidRPr="00E05D08" w:rsidRDefault="00A45935" w:rsidP="00E05D08">
      <w:pPr>
        <w:spacing w:after="120" w:line="280" w:lineRule="atLeast"/>
        <w:mirrorIndents/>
        <w:rPr>
          <w:rFonts w:eastAsia="Times New Roman" w:cs="Arial"/>
          <w:szCs w:val="20"/>
        </w:rPr>
      </w:pPr>
      <w:r>
        <w:t xml:space="preserve">Η προτεινόμενη μέθοδος αξιολόγησης για την παροχή απάντησης στο ΚΕΑ αριθ. 30 είναι η </w:t>
      </w:r>
      <w:r>
        <w:rPr>
          <w:b/>
          <w:szCs w:val="20"/>
        </w:rPr>
        <w:t>μέθοδος μελέτης περίπτωσης</w:t>
      </w:r>
      <w:r>
        <w:t>. Για τη διεξαγωγή της αξιολόγησης, συνιστώνται στους αξιολογητές τα ακόλουθα βήματα:</w:t>
      </w:r>
    </w:p>
    <w:p w:rsidR="00A45935" w:rsidRDefault="00A45935" w:rsidP="000026C6">
      <w:pPr>
        <w:pStyle w:val="Hlistbullet"/>
      </w:pPr>
      <w:r>
        <w:rPr>
          <w:b/>
        </w:rPr>
        <w:t>ΒΗΜΑ 1 –</w:t>
      </w:r>
      <w:r>
        <w:t xml:space="preserve"> </w:t>
      </w:r>
      <w:r>
        <w:rPr>
          <w:b/>
        </w:rPr>
        <w:t>Προσδιορισμός της σημαντικής αλλαγής ή των σημαντικών αλλαγών στην/στις οποία/οποίες μπορεί να υποστηριχτεί ότι συνέβαλε το ΠΑΑ μέσω προώθησης της καινοτομίας ακολουθώντας μία ή περισσότερες από τις τρεις διαδρομές</w:t>
      </w:r>
      <w:r>
        <w:t>. Αυτό μπορεί να γίνει με αναφορά στις απαντήσεις στα ΚΕΑ αριθ. 22 έως 29 (ΚΕΑ αναφορικά με τους συνολικούς στόχους της στρατηγικής «Ευρώπη 2020» και της ΚΓΠ), μέσω συνεντεύξεων με το προσωπικό και/ή ελέγχου των εγγράφων τεκμηρίωσης των έργων. Για παράδειγμα, το ΠΑΑ μπορεί να υποστηρίξει ότι συνέβαλε σε μια σημαντική αλλαγή όσον αφορά την απόδοση των εκμεταλλεύσεων αναπτύσσοντας ένα νέο γεωργικό μηχάνημα που στη συνέχεια έτυχε ευρείας αποδοχής και χρήσης από τους γεωργούς. Κατά την αναζήτηση σημαντικών αλλαγών θα πρέπει να λαμβάνονται υπόψη οι προβλέψεις σχετικά με την πιθανή αποδοχή που πραγματοποιήθηκαν όταν προσδιορίστηκε το δυναμικό καινοτομίας κατά την έναρξη του προγράμματος.</w:t>
      </w:r>
    </w:p>
    <w:p w:rsidR="00320AA0" w:rsidRPr="00F74623" w:rsidRDefault="00320AA0" w:rsidP="00320AA0">
      <w:pPr>
        <w:pStyle w:val="Hlistbullet"/>
        <w:numPr>
          <w:ilvl w:val="0"/>
          <w:numId w:val="0"/>
        </w:numPr>
        <w:ind w:left="567"/>
      </w:pPr>
      <w:r>
        <w:rPr>
          <w:noProof/>
          <w:sz w:val="18"/>
          <w:lang w:val="en-GB" w:eastAsia="en-GB"/>
        </w:rPr>
        <mc:AlternateContent>
          <mc:Choice Requires="wps">
            <w:drawing>
              <wp:inline distT="0" distB="0" distL="0" distR="0" wp14:anchorId="79AB952F" wp14:editId="6467B5CE">
                <wp:extent cx="5441522" cy="3514725"/>
                <wp:effectExtent l="0" t="0" r="26035" b="28575"/>
                <wp:docPr id="719" name="Rectangle: Diagonal Corners Rounded 719"/>
                <wp:cNvGraphicFramePr/>
                <a:graphic xmlns:a="http://schemas.openxmlformats.org/drawingml/2006/main">
                  <a:graphicData uri="http://schemas.microsoft.com/office/word/2010/wordprocessingShape">
                    <wps:wsp>
                      <wps:cNvSpPr/>
                      <wps:spPr>
                        <a:xfrm>
                          <a:off x="0" y="0"/>
                          <a:ext cx="5441522" cy="3514725"/>
                        </a:xfrm>
                        <a:prstGeom prst="round2DiagRect">
                          <a:avLst>
                            <a:gd name="adj1" fmla="val 3961"/>
                            <a:gd name="adj2" fmla="val 0"/>
                          </a:avLst>
                        </a:prstGeom>
                        <a:noFill/>
                        <a:ln w="25400" cap="flat" cmpd="sng" algn="ctr">
                          <a:solidFill>
                            <a:srgbClr val="F07E31"/>
                          </a:solidFill>
                          <a:prstDash val="solid"/>
                        </a:ln>
                        <a:effectLst/>
                      </wps:spPr>
                      <wps:txbx>
                        <w:txbxContent>
                          <w:p w:rsidR="00272EFF" w:rsidRPr="00253803" w:rsidRDefault="00272EFF" w:rsidP="00320AA0">
                            <w:pPr>
                              <w:ind w:left="567" w:hanging="567"/>
                              <w:rPr>
                                <w:rFonts w:cs="Arial"/>
                                <w:color w:val="F07E31"/>
                                <w:sz w:val="18"/>
                                <w:szCs w:val="18"/>
                              </w:rPr>
                            </w:pPr>
                            <w:r>
                              <w:rPr>
                                <w:noProof/>
                                <w:szCs w:val="18"/>
                                <w:lang w:val="en-GB" w:eastAsia="en-GB"/>
                              </w:rPr>
                              <w:drawing>
                                <wp:inline distT="0" distB="0" distL="0" distR="0" wp14:anchorId="35FA43F7" wp14:editId="5D0E35D8">
                                  <wp:extent cx="353060" cy="359410"/>
                                  <wp:effectExtent l="0" t="0" r="8890" b="2540"/>
                                  <wp:docPr id="72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Θεματικό δίκτυο για τη γεωργία υψηλής φυσικής αξίας.</w:t>
                            </w:r>
                            <w:r>
                              <w:rPr>
                                <w:color w:val="F07E31"/>
                                <w:sz w:val="18"/>
                                <w:szCs w:val="18"/>
                              </w:rPr>
                              <w:t xml:space="preserve"> </w:t>
                            </w:r>
                          </w:p>
                          <w:p w:rsidR="00272EFF" w:rsidRPr="00253803" w:rsidRDefault="00272EFF" w:rsidP="00320AA0">
                            <w:pPr>
                              <w:spacing w:line="280" w:lineRule="atLeast"/>
                              <w:rPr>
                                <w:rFonts w:cs="Arial"/>
                                <w:sz w:val="18"/>
                                <w:szCs w:val="18"/>
                              </w:rPr>
                            </w:pPr>
                            <w:r>
                              <w:rPr>
                                <w:sz w:val="18"/>
                                <w:szCs w:val="18"/>
                              </w:rPr>
                              <w:t xml:space="preserve">Στο πλαίσιο του ερευνητικού έργου </w:t>
                            </w:r>
                            <w:hyperlink r:id="rId95" w:history="1">
                              <w:r>
                                <w:rPr>
                                  <w:rStyle w:val="Hyperlink"/>
                                  <w:sz w:val="18"/>
                                  <w:szCs w:val="18"/>
                                </w:rPr>
                                <w:t>«HNV-Link</w:t>
                              </w:r>
                            </w:hyperlink>
                            <w:r>
                              <w:rPr>
                                <w:rStyle w:val="Hyperlink"/>
                                <w:sz w:val="18"/>
                                <w:szCs w:val="18"/>
                              </w:rPr>
                              <w:t>»</w:t>
                            </w:r>
                            <w:r>
                              <w:rPr>
                                <w:sz w:val="18"/>
                                <w:szCs w:val="18"/>
                              </w:rPr>
                              <w:t xml:space="preserve"> του προγράμματος «Ορίζων 2020», μια ομάδα ερευνητών ανέπτυξε ένα πλαίσιο αξιολόγησης προκειμένου να αναλύσει την κατάσταση αναφοράς των περιοχών ΥΦΑ στις οποίες η καινοτομία μπορεί δυνητικά να συμβάλλει. Η εν λόγω βασική αξιολόγηση περιλαμβάνει την ανάλυση διαφόρων χαρακτηριστικών που σχετίζονται με: </w:t>
                            </w:r>
                          </w:p>
                          <w:p w:rsidR="00272EFF" w:rsidRPr="00253803" w:rsidRDefault="00272EFF" w:rsidP="00320AA0">
                            <w:pPr>
                              <w:numPr>
                                <w:ilvl w:val="0"/>
                                <w:numId w:val="63"/>
                              </w:numPr>
                              <w:ind w:left="567" w:hanging="567"/>
                              <w:contextualSpacing/>
                              <w:rPr>
                                <w:rFonts w:cs="Arial"/>
                                <w:sz w:val="18"/>
                                <w:szCs w:val="18"/>
                              </w:rPr>
                            </w:pPr>
                            <w:r>
                              <w:rPr>
                                <w:sz w:val="18"/>
                                <w:szCs w:val="18"/>
                              </w:rPr>
                              <w:t>το γεωργικό οικοσύστημα (έδαφος, κλίμα και μορφολογία)·</w:t>
                            </w:r>
                          </w:p>
                          <w:p w:rsidR="00272EFF" w:rsidRPr="00253803" w:rsidRDefault="00272EFF" w:rsidP="00320AA0">
                            <w:pPr>
                              <w:numPr>
                                <w:ilvl w:val="0"/>
                                <w:numId w:val="63"/>
                              </w:numPr>
                              <w:ind w:left="567" w:hanging="567"/>
                              <w:contextualSpacing/>
                              <w:rPr>
                                <w:rFonts w:cs="Arial"/>
                                <w:sz w:val="18"/>
                                <w:szCs w:val="18"/>
                              </w:rPr>
                            </w:pPr>
                            <w:r>
                              <w:rPr>
                                <w:sz w:val="18"/>
                                <w:szCs w:val="18"/>
                              </w:rPr>
                              <w:t>τα γεωργικά συστήματα και τη δυναμική τους στα αγροτικά συστήματα·</w:t>
                            </w:r>
                          </w:p>
                          <w:p w:rsidR="00272EFF" w:rsidRPr="00253803" w:rsidRDefault="00272EFF" w:rsidP="00320AA0">
                            <w:pPr>
                              <w:numPr>
                                <w:ilvl w:val="0"/>
                                <w:numId w:val="63"/>
                              </w:numPr>
                              <w:ind w:left="567" w:hanging="567"/>
                              <w:contextualSpacing/>
                              <w:rPr>
                                <w:rFonts w:cs="Arial"/>
                                <w:sz w:val="18"/>
                                <w:szCs w:val="18"/>
                              </w:rPr>
                            </w:pPr>
                            <w:r>
                              <w:rPr>
                                <w:sz w:val="18"/>
                                <w:szCs w:val="18"/>
                              </w:rPr>
                              <w:t xml:space="preserve">το αγροτικό πλαίσιο και ευρύτερες κινητήριες δυνάμεις (πολιτικές, τεχνολογίες, κοινωνιακές μεταβολές)· </w:t>
                            </w:r>
                          </w:p>
                          <w:p w:rsidR="00272EFF" w:rsidRPr="00253803" w:rsidRDefault="00272EFF" w:rsidP="00320AA0">
                            <w:pPr>
                              <w:numPr>
                                <w:ilvl w:val="0"/>
                                <w:numId w:val="63"/>
                              </w:numPr>
                              <w:ind w:left="567" w:hanging="567"/>
                              <w:contextualSpacing/>
                              <w:rPr>
                                <w:rFonts w:cs="Arial"/>
                                <w:sz w:val="18"/>
                                <w:szCs w:val="18"/>
                              </w:rPr>
                            </w:pPr>
                            <w:r>
                              <w:rPr>
                                <w:sz w:val="18"/>
                                <w:szCs w:val="18"/>
                              </w:rPr>
                              <w:t>οριζόντια θέματα (φορείς και κοινωνική οργάνωση).</w:t>
                            </w:r>
                          </w:p>
                          <w:p w:rsidR="00272EFF" w:rsidRPr="000E5745" w:rsidRDefault="00272EFF" w:rsidP="00320AA0">
                            <w:pPr>
                              <w:pStyle w:val="Hlistbullet"/>
                              <w:numPr>
                                <w:ilvl w:val="0"/>
                                <w:numId w:val="0"/>
                              </w:numPr>
                              <w:rPr>
                                <w:sz w:val="18"/>
                                <w:szCs w:val="18"/>
                              </w:rPr>
                            </w:pPr>
                            <w:r>
                              <w:rPr>
                                <w:sz w:val="18"/>
                                <w:szCs w:val="18"/>
                              </w:rPr>
                              <w:t xml:space="preserve">Συνδυάστηκαν διάφορες μέθοδοι για την ανάπτυξη της κατάστασης αναφοράς: 1) αξιολόγηση του γεωργικού οικοσυστήματος 2) ανάλυση του αγροτικού και γεωργικού συστήματος 3) αγροτική ανάλυση 4) ανάλυση φορέων. Η μεθοδολογία συμβάλλει στην ανάπτυξη αντιπαραδειγματικής κατάστασης για την αξιολόγηση τόσο της διαδικασίας όσο και των αποτελεσμάτων των καινοτομιών που αναπτύσσονται στις περιοχές ΥΦΑ. Παράδειγμα της εφαρμογής της εν λόγω μεθοδολογίας διατίθεται εδώ: </w:t>
                            </w:r>
                            <w:hyperlink r:id="rId96" w:history="1">
                              <w:r>
                                <w:rPr>
                                  <w:rStyle w:val="Hyperlink"/>
                                  <w:sz w:val="18"/>
                                  <w:szCs w:val="18"/>
                                </w:rPr>
                                <w:t>http://www.hnvlink.eu/download/D1.3BAcomplete.pdf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AB952F" id="Rectangle: Diagonal Corners Rounded 719" o:spid="_x0000_s1055" style="width:428.45pt;height:276.75pt;visibility:visible;mso-wrap-style:square;mso-left-percent:-10001;mso-top-percent:-10001;mso-position-horizontal:absolute;mso-position-horizontal-relative:char;mso-position-vertical:absolute;mso-position-vertical-relative:line;mso-left-percent:-10001;mso-top-percent:-10001;v-text-anchor:middle" coordsize="5441522,3514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" adj="-11796480,,5400" path="m139218,l5441522,r,l5441522,3375507v,76888,-62330,139218,-139218,139218l,3514725r,l,139218c,62330,62330,,139218,xe" filled="f" strokecolor="#f07e31" strokeweight="2pt">
                <v:stroke joinstyle="miter"/>
                <v:formulas/>
                <v:path arrowok="t" o:connecttype="custom" o:connectlocs="139218,0;5441522,0;5441522,0;5441522,3375507;5302304,3514725;0,3514725;0,3514725;0,139218;139218,0" o:connectangles="0,0,0,0,0,0,0,0,0" textboxrect="0,0,5441522,3514725"/>
                <v:textbox>
                  <w:txbxContent>
                    <w:p w:rsidR="00272EFF" w:rsidRPr="00253803" w:rsidRDefault="00272EFF" w:rsidP="00320AA0">
                      <w:pPr>
                        <w:ind w:left="567" w:hanging="567"/>
                        <w:rPr>
                          <w:rFonts w:cs="Arial"/>
                          <w:color w:val="F07E31"/>
                          <w:sz w:val="18"/>
                          <w:szCs w:val="18"/>
                        </w:rPr>
                      </w:pPr>
                      <w:r>
                        <w:rPr>
                          <w:noProof/>
                          <w:szCs w:val="18"/>
                          <w:lang w:val="en-GB" w:eastAsia="en-GB"/>
                        </w:rPr>
                        <w:drawing>
                          <wp:inline distT="0" distB="0" distL="0" distR="0" wp14:anchorId="35FA43F7" wp14:editId="5D0E35D8">
                            <wp:extent cx="353060" cy="359410"/>
                            <wp:effectExtent l="0" t="0" r="8890" b="2540"/>
                            <wp:docPr id="72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Θεματικό δίκτυο για τη γεωργία υψηλής φυσικής αξίας.</w:t>
                      </w:r>
                      <w:r>
                        <w:rPr>
                          <w:color w:val="F07E31"/>
                          <w:sz w:val="18"/>
                          <w:szCs w:val="18"/>
                        </w:rPr>
                        <w:t xml:space="preserve"> </w:t>
                      </w:r>
                    </w:p>
                    <w:p w:rsidR="00272EFF" w:rsidRPr="00253803" w:rsidRDefault="00272EFF" w:rsidP="00320AA0">
                      <w:pPr>
                        <w:spacing w:line="280" w:lineRule="atLeast"/>
                        <w:rPr>
                          <w:rFonts w:cs="Arial"/>
                          <w:sz w:val="18"/>
                          <w:szCs w:val="18"/>
                        </w:rPr>
                      </w:pPr>
                      <w:r>
                        <w:rPr>
                          <w:sz w:val="18"/>
                          <w:szCs w:val="18"/>
                        </w:rPr>
                        <w:t xml:space="preserve">Στο πλαίσιο του ερευνητικού έργου </w:t>
                      </w:r>
                      <w:hyperlink r:id="rId97" w:history="1">
                        <w:r>
                          <w:rPr>
                            <w:rStyle w:val="Hyperlink"/>
                            <w:sz w:val="18"/>
                            <w:szCs w:val="18"/>
                          </w:rPr>
                          <w:t>«HNV-Link</w:t>
                        </w:r>
                      </w:hyperlink>
                      <w:r>
                        <w:rPr>
                          <w:rStyle w:val="Hyperlink"/>
                          <w:sz w:val="18"/>
                          <w:szCs w:val="18"/>
                        </w:rPr>
                        <w:t>»</w:t>
                      </w:r>
                      <w:r>
                        <w:rPr>
                          <w:sz w:val="18"/>
                          <w:szCs w:val="18"/>
                        </w:rPr>
                        <w:t xml:space="preserve"> του προγράμματος «Ορίζων 2020», μια ομάδα ερευνητών ανέπτυξε ένα πλαίσιο αξιολόγησης προκειμένου να αναλύσει την κατάσταση αναφοράς των περιοχών ΥΦΑ στις οποίες η καινοτομία μπορεί δυνητικά να συμβάλλει. Η εν λόγω βασική αξιολόγηση περιλαμβάνει την ανάλυση διαφόρων χαρακτηριστικών που σχετίζονται με: </w:t>
                      </w:r>
                    </w:p>
                    <w:p w:rsidR="00272EFF" w:rsidRPr="00253803" w:rsidRDefault="00272EFF" w:rsidP="00320AA0">
                      <w:pPr>
                        <w:numPr>
                          <w:ilvl w:val="0"/>
                          <w:numId w:val="63"/>
                        </w:numPr>
                        <w:ind w:left="567" w:hanging="567"/>
                        <w:contextualSpacing/>
                        <w:rPr>
                          <w:rFonts w:cs="Arial"/>
                          <w:sz w:val="18"/>
                          <w:szCs w:val="18"/>
                        </w:rPr>
                      </w:pPr>
                      <w:r>
                        <w:rPr>
                          <w:sz w:val="18"/>
                          <w:szCs w:val="18"/>
                        </w:rPr>
                        <w:t>το γεωργικό οικοσύστημα (έδαφος, κλίμα και μορφολογία)·</w:t>
                      </w:r>
                    </w:p>
                    <w:p w:rsidR="00272EFF" w:rsidRPr="00253803" w:rsidRDefault="00272EFF" w:rsidP="00320AA0">
                      <w:pPr>
                        <w:numPr>
                          <w:ilvl w:val="0"/>
                          <w:numId w:val="63"/>
                        </w:numPr>
                        <w:ind w:left="567" w:hanging="567"/>
                        <w:contextualSpacing/>
                        <w:rPr>
                          <w:rFonts w:cs="Arial"/>
                          <w:sz w:val="18"/>
                          <w:szCs w:val="18"/>
                        </w:rPr>
                      </w:pPr>
                      <w:r>
                        <w:rPr>
                          <w:sz w:val="18"/>
                          <w:szCs w:val="18"/>
                        </w:rPr>
                        <w:t>τα γεωργικά συστήματα και τη δυναμική τους στα αγροτικά συστήματα·</w:t>
                      </w:r>
                    </w:p>
                    <w:p w:rsidR="00272EFF" w:rsidRPr="00253803" w:rsidRDefault="00272EFF" w:rsidP="00320AA0">
                      <w:pPr>
                        <w:numPr>
                          <w:ilvl w:val="0"/>
                          <w:numId w:val="63"/>
                        </w:numPr>
                        <w:ind w:left="567" w:hanging="567"/>
                        <w:contextualSpacing/>
                        <w:rPr>
                          <w:rFonts w:cs="Arial"/>
                          <w:sz w:val="18"/>
                          <w:szCs w:val="18"/>
                        </w:rPr>
                      </w:pPr>
                      <w:r>
                        <w:rPr>
                          <w:sz w:val="18"/>
                          <w:szCs w:val="18"/>
                        </w:rPr>
                        <w:t xml:space="preserve">το αγροτικό πλαίσιο και ευρύτερες κινητήριες δυνάμεις (πολιτικές, τεχνολογίες, κοινωνιακές μεταβολές)· </w:t>
                      </w:r>
                    </w:p>
                    <w:p w:rsidR="00272EFF" w:rsidRPr="00253803" w:rsidRDefault="00272EFF" w:rsidP="00320AA0">
                      <w:pPr>
                        <w:numPr>
                          <w:ilvl w:val="0"/>
                          <w:numId w:val="63"/>
                        </w:numPr>
                        <w:ind w:left="567" w:hanging="567"/>
                        <w:contextualSpacing/>
                        <w:rPr>
                          <w:rFonts w:cs="Arial"/>
                          <w:sz w:val="18"/>
                          <w:szCs w:val="18"/>
                        </w:rPr>
                      </w:pPr>
                      <w:r>
                        <w:rPr>
                          <w:sz w:val="18"/>
                          <w:szCs w:val="18"/>
                        </w:rPr>
                        <w:t>οριζόντια θέματα (φορείς και κοινωνική οργάνωση).</w:t>
                      </w:r>
                    </w:p>
                    <w:p w:rsidR="00272EFF" w:rsidRPr="000E5745" w:rsidRDefault="00272EFF" w:rsidP="00320AA0">
                      <w:pPr>
                        <w:pStyle w:val="Hlistbullet"/>
                        <w:numPr>
                          <w:ilvl w:val="0"/>
                          <w:numId w:val="0"/>
                        </w:numPr>
                        <w:rPr>
                          <w:sz w:val="18"/>
                          <w:szCs w:val="18"/>
                        </w:rPr>
                      </w:pPr>
                      <w:r>
                        <w:rPr>
                          <w:sz w:val="18"/>
                          <w:szCs w:val="18"/>
                        </w:rPr>
                        <w:t xml:space="preserve">Συνδυάστηκαν διάφορες μέθοδοι για την ανάπτυξη της κατάστασης αναφοράς: 1) αξιολόγηση του γεωργικού οικοσυστήματος 2) ανάλυση του αγροτικού και γεωργικού συστήματος 3) αγροτική ανάλυση 4) ανάλυση φορέων. Η μεθοδολογία συμβάλλει στην ανάπτυξη αντιπαραδειγματικής κατάστασης για την αξιολόγηση τόσο της διαδικασίας όσο και των αποτελεσμάτων των καινοτομιών που αναπτύσσονται στις περιοχές ΥΦΑ. Παράδειγμα της εφαρμογής της εν λόγω μεθοδολογίας διατίθεται εδώ: </w:t>
                      </w:r>
                      <w:hyperlink r:id="rId98" w:history="1">
                        <w:r>
                          <w:rPr>
                            <w:rStyle w:val="Hyperlink"/>
                            <w:sz w:val="18"/>
                            <w:szCs w:val="18"/>
                          </w:rPr>
                          <w:t>http://www.hnvlink.eu/download/D1.3BAcomplete.pdf</w:t>
                        </w:r>
                      </w:hyperlink>
                    </w:p>
                  </w:txbxContent>
                </v:textbox>
                <w10:anchorlock/>
              </v:shape>
            </w:pict>
          </mc:Fallback>
        </mc:AlternateContent>
      </w:r>
    </w:p>
    <w:p w:rsidR="00A45935" w:rsidRPr="00F74623" w:rsidRDefault="00A45935" w:rsidP="000026C6">
      <w:pPr>
        <w:pStyle w:val="Hlistbullet"/>
      </w:pPr>
      <w:r>
        <w:rPr>
          <w:b/>
        </w:rPr>
        <w:t>ΒΗΜΑ 2 – Συλλογή πληροφοριών σχετικά με την επίδοση του ΠΑΑ σε σχέση με τα κριτήρια απόφασης και τους δείκτες</w:t>
      </w:r>
      <w:r>
        <w:t xml:space="preserve"> (όπως προτείνονται στον πίνακα 9 με τα στοιχεία αξιολόγησης ανωτέρω) για τα τρία υποερωτήματα που αφορούν τον βαθμό στον οποίο το ΠΑΑ είχε αντίκτυπο στις τρεις διαδρομές. </w:t>
      </w:r>
    </w:p>
    <w:p w:rsidR="00D55978" w:rsidRDefault="00037CA6" w:rsidP="000026C6">
      <w:pPr>
        <w:pStyle w:val="Hlistbullet2"/>
      </w:pPr>
      <w:r>
        <w:t xml:space="preserve">Η </w:t>
      </w:r>
      <w:r>
        <w:rPr>
          <w:b/>
        </w:rPr>
        <w:t>διαδρομή 1</w:t>
      </w:r>
      <w:r>
        <w:t xml:space="preserve"> έχει το κριτήριο απόφασης «υιοθέτηση καινοτόμων ιδεών, διαδικασιών, μοντέλων και/ή τεχνολογιών που εισήχθησαν με το ΠΑΑ». Μπορεί να μετρηθεί με κοινούς και πρόσθετους δείκτες, όπως προτείνεται στον πίνακα 9. Για τους κοινούς δείκτες, τα δεδομένα μπορούν να συλλεχθούν μέσω της βάσης δεδομένων πράξεων. Για τους πρόσθετους δείκτες, μπορούν να συλλεχθούν δεδομένα και πληροφορίες μέσω έρευνας που θα διοργανώσει και θα διεξαγάγει ο αξιολογητής (βλ. παράδειγμα κατωτέρω).</w:t>
      </w:r>
    </w:p>
    <w:p w:rsidR="00D55978" w:rsidRDefault="00D55978" w:rsidP="00D55978">
      <w:pPr>
        <w:pStyle w:val="HStandard"/>
      </w:pPr>
      <w:r>
        <w:br w:type="page"/>
      </w:r>
    </w:p>
    <w:p w:rsidR="00A45935" w:rsidRPr="00717885" w:rsidRDefault="00D55978" w:rsidP="00D55978">
      <w:pPr>
        <w:pStyle w:val="Hlistbullet2"/>
        <w:numPr>
          <w:ilvl w:val="0"/>
          <w:numId w:val="0"/>
        </w:numPr>
        <w:ind w:left="567"/>
      </w:pPr>
      <w:r>
        <w:rPr>
          <w:noProof/>
          <w:highlight w:val="yellow"/>
          <w:lang w:val="en-GB" w:eastAsia="en-GB"/>
        </w:rPr>
        <w:lastRenderedPageBreak/>
        <mc:AlternateContent>
          <mc:Choice Requires="wps">
            <w:drawing>
              <wp:anchor distT="0" distB="0" distL="114300" distR="114300" simplePos="0" relativeHeight="251663872" behindDoc="0" locked="0" layoutInCell="1" allowOverlap="1" wp14:anchorId="40EE34AE" wp14:editId="0D67C9EF">
                <wp:simplePos x="0" y="0"/>
                <wp:positionH relativeFrom="column">
                  <wp:posOffset>333375</wp:posOffset>
                </wp:positionH>
                <wp:positionV relativeFrom="paragraph">
                  <wp:posOffset>-419100</wp:posOffset>
                </wp:positionV>
                <wp:extent cx="5435600" cy="3000375"/>
                <wp:effectExtent l="0" t="0" r="12700" b="28575"/>
                <wp:wrapSquare wrapText="bothSides"/>
                <wp:docPr id="562" name="Rectangle: Diagonal Corners Rounded 562"/>
                <wp:cNvGraphicFramePr/>
                <a:graphic xmlns:a="http://schemas.openxmlformats.org/drawingml/2006/main">
                  <a:graphicData uri="http://schemas.microsoft.com/office/word/2010/wordprocessingShape">
                    <wps:wsp>
                      <wps:cNvSpPr/>
                      <wps:spPr>
                        <a:xfrm>
                          <a:off x="0" y="0"/>
                          <a:ext cx="5435600" cy="3000375"/>
                        </a:xfrm>
                        <a:prstGeom prst="round2DiagRect">
                          <a:avLst>
                            <a:gd name="adj1" fmla="val 7843"/>
                            <a:gd name="adj2" fmla="val 0"/>
                          </a:avLst>
                        </a:prstGeom>
                        <a:noFill/>
                        <a:ln w="25400" cap="flat" cmpd="sng" algn="ctr">
                          <a:solidFill>
                            <a:srgbClr val="BE4A35"/>
                          </a:solidFill>
                          <a:prstDash val="solid"/>
                        </a:ln>
                        <a:effectLst/>
                      </wps:spPr>
                      <wps:txbx>
                        <w:txbxContent>
                          <w:p w:rsidR="00272EFF" w:rsidRPr="003D7EC4" w:rsidRDefault="00272EFF" w:rsidP="00E05D08">
                            <w:pPr>
                              <w:pStyle w:val="HStandard"/>
                              <w:rPr>
                                <w:rFonts w:cs="Arial"/>
                                <w:sz w:val="18"/>
                              </w:rPr>
                            </w:pPr>
                            <w:r>
                              <w:rPr>
                                <w:noProof/>
                                <w:lang w:val="en-GB" w:eastAsia="en-GB"/>
                              </w:rPr>
                              <w:drawing>
                                <wp:inline distT="0" distB="0" distL="0" distR="0" wp14:anchorId="68D0B742" wp14:editId="2A136014">
                                  <wp:extent cx="664845" cy="487680"/>
                                  <wp:effectExtent l="0" t="0" r="0" b="7620"/>
                                  <wp:docPr id="716"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 xml:space="preserve">Η υιοθέτηση καινοτόμων ιδεών, διαδικασιών, μοντέλων και/ή τεχνολογιών που εισήχθησαν με το ΠΑΑ μπορεί να αξιολογηθεί μέσω </w:t>
                            </w:r>
                            <w:r>
                              <w:rPr>
                                <w:b/>
                                <w:sz w:val="18"/>
                              </w:rPr>
                              <w:t>ερευνών</w:t>
                            </w:r>
                            <w:r>
                              <w:rPr>
                                <w:sz w:val="18"/>
                              </w:rPr>
                              <w:t xml:space="preserve"> που μετρούν το επίπεδο και τον βαθμό αποδοχής νεωτερισμών και προσδιορίζουν την πηγή του νεωτερισμού. Στις έρευνες θα πρέπει:</w:t>
                            </w:r>
                          </w:p>
                          <w:p w:rsidR="00272EFF" w:rsidRPr="003D7EC4" w:rsidRDefault="00272EFF" w:rsidP="008C0B17">
                            <w:pPr>
                              <w:pStyle w:val="HStandard"/>
                              <w:numPr>
                                <w:ilvl w:val="3"/>
                                <w:numId w:val="43"/>
                              </w:numPr>
                            </w:pPr>
                            <w:r>
                              <w:rPr>
                                <w:sz w:val="18"/>
                              </w:rPr>
                              <w:t>να συμμετέχουν οι παράγοντες που υιοθέτησαν τον νεωτερισμό, αλλά και αυτοί που δεν τον υιοθέτησαν και θα πρέπει να καταβάλλεται κάθε προσπάθεια για: α) να κατανοηθούν οι λόγοι για τη μη υιοθέτηση και β) να προσδιορίζεται εάν υπάρχουν εναλλακτικοί τρόποι αντιμετώπισης του ζητήματος που αφορά ο νεωτερισμός·</w:t>
                            </w:r>
                          </w:p>
                          <w:p w:rsidR="00272EFF" w:rsidRPr="000E5745" w:rsidRDefault="00272EFF" w:rsidP="008C0B17">
                            <w:pPr>
                              <w:pStyle w:val="HStandard"/>
                              <w:numPr>
                                <w:ilvl w:val="3"/>
                                <w:numId w:val="43"/>
                              </w:numPr>
                            </w:pPr>
                            <w:r>
                              <w:rPr>
                                <w:sz w:val="18"/>
                              </w:rPr>
                              <w:t xml:space="preserve">να γίνεται απαρίθμηση των παραγόντων που υιοθέτησαν και των παραγόντων που δεν υιοθέτησαν μια νέα ιδέα στις περιπτώσεις όπου είναι γνωστό ότι υπήρξε αποδοχή, καθώς και σε περιοχές οι οποίες προσδιορίστηκαν ως ελπιδοφόρες κατά την αξιολόγηση του δυναμικού καινοτομίας (βλ. </w:t>
                            </w:r>
                            <w:hyperlink w:anchor="Screening_Potential" w:history="1">
                              <w:r>
                                <w:rPr>
                                  <w:rStyle w:val="Hyperlink"/>
                                  <w:sz w:val="18"/>
                                </w:rPr>
                                <w:t>κεφάλαιο 2.2</w:t>
                              </w:r>
                            </w:hyperlink>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E34AE" id="Rectangle: Diagonal Corners Rounded 562" o:spid="_x0000_s1056" style="position:absolute;left:0;text-align:left;margin-left:26.25pt;margin-top:-33pt;width:428pt;height:236.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35600,3000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" adj="-11796480,,5400" path="m235319,l5435600,r,l5435600,2765056v,129963,-105356,235319,-235319,235319l,3000375r,l,235319c,105356,105356,,235319,xe" filled="f" strokecolor="#be4a35" strokeweight="2pt">
                <v:stroke joinstyle="miter"/>
                <v:formulas/>
                <v:path arrowok="t" o:connecttype="custom" o:connectlocs="235319,0;5435600,0;5435600,0;5435600,2765056;5200281,3000375;0,3000375;0,3000375;0,235319;235319,0" o:connectangles="0,0,0,0,0,0,0,0,0" textboxrect="0,0,5435600,3000375"/>
                <v:textbox>
                  <w:txbxContent>
                    <w:p w:rsidR="00272EFF" w:rsidRPr="003D7EC4" w:rsidRDefault="00272EFF" w:rsidP="00E05D08">
                      <w:pPr>
                        <w:pStyle w:val="HStandard"/>
                        <w:rPr>
                          <w:rFonts w:cs="Arial"/>
                          <w:sz w:val="18"/>
                        </w:rPr>
                      </w:pPr>
                      <w:r>
                        <w:rPr>
                          <w:noProof/>
                          <w:lang w:val="en-GB" w:eastAsia="en-GB"/>
                        </w:rPr>
                        <w:drawing>
                          <wp:inline distT="0" distB="0" distL="0" distR="0" wp14:anchorId="68D0B742" wp14:editId="2A136014">
                            <wp:extent cx="664845" cy="487680"/>
                            <wp:effectExtent l="0" t="0" r="0" b="7620"/>
                            <wp:docPr id="716"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 xml:space="preserve">Η υιοθέτηση καινοτόμων ιδεών, διαδικασιών, μοντέλων και/ή τεχνολογιών που εισήχθησαν με το ΠΑΑ μπορεί να αξιολογηθεί μέσω </w:t>
                      </w:r>
                      <w:r>
                        <w:rPr>
                          <w:b/>
                          <w:sz w:val="18"/>
                        </w:rPr>
                        <w:t>ερευνών</w:t>
                      </w:r>
                      <w:r>
                        <w:rPr>
                          <w:sz w:val="18"/>
                        </w:rPr>
                        <w:t xml:space="preserve"> που μετρούν το επίπεδο και τον βαθμό αποδοχής νεωτερισμών και προσδιορίζουν την πηγή του νεωτερισμού. Στις έρευνες θα πρέπει:</w:t>
                      </w:r>
                    </w:p>
                    <w:p w:rsidR="00272EFF" w:rsidRPr="003D7EC4" w:rsidRDefault="00272EFF" w:rsidP="008C0B17">
                      <w:pPr>
                        <w:pStyle w:val="HStandard"/>
                        <w:numPr>
                          <w:ilvl w:val="3"/>
                          <w:numId w:val="43"/>
                        </w:numPr>
                      </w:pPr>
                      <w:r>
                        <w:rPr>
                          <w:sz w:val="18"/>
                        </w:rPr>
                        <w:t>να συμμετέχουν οι παράγοντες που υιοθέτησαν τον νεωτερισμό, αλλά και αυτοί που δεν τον υιοθέτησαν και θα πρέπει να καταβάλλεται κάθε προσπάθεια για: α) να κατανοηθούν οι λόγοι για τη μη υιοθέτηση και β) να προσδιορίζεται εάν υπάρχουν εναλλακτικοί τρόποι αντιμετώπισης του ζητήματος που αφορά ο νεωτερισμός·</w:t>
                      </w:r>
                    </w:p>
                    <w:p w:rsidR="00272EFF" w:rsidRPr="000E5745" w:rsidRDefault="00272EFF" w:rsidP="008C0B17">
                      <w:pPr>
                        <w:pStyle w:val="HStandard"/>
                        <w:numPr>
                          <w:ilvl w:val="3"/>
                          <w:numId w:val="43"/>
                        </w:numPr>
                      </w:pPr>
                      <w:r>
                        <w:rPr>
                          <w:sz w:val="18"/>
                        </w:rPr>
                        <w:t xml:space="preserve">να γίνεται απαρίθμηση των παραγόντων που υιοθέτησαν και των παραγόντων που δεν υιοθέτησαν μια νέα ιδέα στις περιπτώσεις όπου είναι γνωστό ότι υπήρξε αποδοχή, καθώς και σε περιοχές οι οποίες προσδιορίστηκαν ως ελπιδοφόρες κατά την αξιολόγηση του δυναμικού καινοτομίας (βλ. </w:t>
                      </w:r>
                      <w:hyperlink w:anchor="Screening_Potential" w:history="1">
                        <w:r>
                          <w:rPr>
                            <w:rStyle w:val="Hyperlink"/>
                            <w:sz w:val="18"/>
                          </w:rPr>
                          <w:t>κεφάλαιο 2.2</w:t>
                        </w:r>
                      </w:hyperlink>
                      <w:r>
                        <w:rPr>
                          <w:sz w:val="18"/>
                        </w:rPr>
                        <w:t xml:space="preserve">). </w:t>
                      </w:r>
                    </w:p>
                  </w:txbxContent>
                </v:textbox>
                <w10:wrap type="square"/>
              </v:shape>
            </w:pict>
          </mc:Fallback>
        </mc:AlternateContent>
      </w:r>
    </w:p>
    <w:p w:rsidR="00A45935" w:rsidRPr="00717885" w:rsidRDefault="00A45935" w:rsidP="000026C6">
      <w:pPr>
        <w:pStyle w:val="Hlistbullet2"/>
      </w:pPr>
      <w:r>
        <w:t xml:space="preserve">Η </w:t>
      </w:r>
      <w:r>
        <w:rPr>
          <w:b/>
        </w:rPr>
        <w:t>διαδρομή 2</w:t>
      </w:r>
      <w:r>
        <w:t xml:space="preserve"> διαθέτει τρία κριτήρια απόφασης, τα οποία συνοδεύονται από δείκτες αποτελεσμάτων: </w:t>
      </w:r>
    </w:p>
    <w:p w:rsidR="00A45935" w:rsidRPr="00E05D08" w:rsidRDefault="00A45935" w:rsidP="000026C6">
      <w:pPr>
        <w:numPr>
          <w:ilvl w:val="3"/>
          <w:numId w:val="44"/>
        </w:numPr>
        <w:spacing w:before="60" w:after="120" w:line="280" w:lineRule="atLeast"/>
        <w:ind w:left="1701" w:hanging="567"/>
        <w:rPr>
          <w:rFonts w:eastAsia="Times New Roman" w:cs="Arial"/>
          <w:szCs w:val="20"/>
        </w:rPr>
      </w:pPr>
      <w:r>
        <w:t xml:space="preserve">Το πρώτο είναι η αυξημένη συνεργασία και ανταλλαγή μεταξύ των συμμετεχόντων φορέων ώστε να επέλθει η αλλαγή στην οποία συνέβαλε το ΠΑΑ. Σε αυτό περιλαμβάνεται ο εντοπισμός των συμφωνιών μεταξύ εταίρων οι οποίες προέκυψαν λόγω του ΠΑΑ με τη βοήθεια των πρόσθετων δεικτών αποτελεσμάτων: «Αριθμός επίσημων συμπράξεων που προέκυψαν λόγω του ΠΑΑ, όπως συνδέονται με τις αλλαγές που επήλθαν στις προτεραιότητες αγροτικής ανάπτυξης στις οποίες συνέβαλε το ΠΑΑ» και «Ποσοστό αύξησης του αριθμού και των τύπων εταίρων που συμμετέχουν σε έργα συνεργασίας» [βλ. έγγραφο εργασίας </w:t>
      </w:r>
      <w:hyperlink r:id="rId99" w:history="1">
        <w:r>
          <w:rPr>
            <w:color w:val="F07E31"/>
            <w:szCs w:val="20"/>
            <w:u w:val="single"/>
          </w:rPr>
          <w:t>CEQs for RDPs 2014-2020</w:t>
        </w:r>
      </w:hyperlink>
      <w:r>
        <w:t xml:space="preserve">(ΚΕΑ για τα ΠΑΑ της περιόδου 2014-2020)]. Δεδομένα και πληροφορίες για τον πρώτο πρόσθετο δείκτη μπορούν να συλλέγονται από τους αξιολογητές κατά την αξιολόγηση μέσω συνεντεύξεων και ομάδων εστίασης με εταίρους που συμμετέχουν στις συμπράξεις που συνήφθηκαν. Για τον δεύτερο πρόσθετο δείκτη, τα δεδομένα μπορούν να συλλεχθούν απευθείας από τη βάση δεδομένων πράξεων. </w:t>
      </w:r>
    </w:p>
    <w:p w:rsidR="00A45935" w:rsidRPr="00E05D08" w:rsidRDefault="00A45935" w:rsidP="000026C6">
      <w:pPr>
        <w:numPr>
          <w:ilvl w:val="3"/>
          <w:numId w:val="44"/>
        </w:numPr>
        <w:spacing w:before="60" w:after="120" w:line="280" w:lineRule="atLeast"/>
        <w:ind w:left="1701" w:hanging="567"/>
        <w:rPr>
          <w:rFonts w:eastAsia="Times New Roman" w:cs="Arial"/>
          <w:szCs w:val="20"/>
        </w:rPr>
      </w:pPr>
      <w:r>
        <w:t>Το δεύτερο αφορά τη συμβολή του ΠΑΑ στην αύξηση της μάθησης, του στοχασμού και της ανταλλαγής. Αυτό περιλαμβάνει τον προσδιορισμό πλατφορμών (π.χ. κοινότητα πρακτικής), ομάδων και άλλων μορφών θεσμικού «χώρου» (π.χ. διαδικασίες επανεξέτασης μετά τις δράσεις), τόσο εικονικού όσο και πραγματικού, που δίνουν τη δυνατότητα στους συμμετέχοντες στη διαδικασία καινοτομίας να ανταλλάξουν εμπειρίες, να στοχαστούν σχετικά με τη σημασία και την αξία τους, να αποκτήσουν γνώσεις και να προχωρήσουν σε επακόλουθες ενέργειες. Ο πρόσθετος δείκτης αποτελεσμάτων: «Αριθμός και ποιότητα των πλατφορμών και “χώρων” υποστήριξης της καινοτομίας που δημιουργήθηκαν ή ενισχύθηκαν από το ΠΑΑ», προτείνεται να χρησιμοποιηθεί για τη μέτρηση της επιτυχίας όπως προσδιορίζεται με τα εν λόγω κριτήρια απόφασης</w:t>
      </w:r>
      <w:r>
        <w:rPr>
          <w:i/>
          <w:sz w:val="18"/>
          <w:szCs w:val="16"/>
        </w:rPr>
        <w:t xml:space="preserve">. </w:t>
      </w:r>
      <w:r>
        <w:t xml:space="preserve">Κατά την αξιολόγηση, συλλέγονται ποσοτικές και ποιοτικές πληροφορίες από τους αξιολογητές (π.χ. με χρήση συνεντεύξεων ομάδων εστίασης με συμμετέχοντες στις ως άνω πλατφόρμες/χώρους). </w:t>
      </w:r>
    </w:p>
    <w:p w:rsidR="00A45935" w:rsidRPr="00253803" w:rsidRDefault="003B44A9" w:rsidP="000026C6">
      <w:pPr>
        <w:numPr>
          <w:ilvl w:val="3"/>
          <w:numId w:val="44"/>
        </w:numPr>
        <w:spacing w:before="60" w:after="120" w:line="280" w:lineRule="atLeast"/>
        <w:ind w:left="1701" w:hanging="567"/>
        <w:rPr>
          <w:rFonts w:eastAsia="Times New Roman" w:cs="Arial"/>
          <w:szCs w:val="20"/>
        </w:rPr>
      </w:pPr>
      <w:r>
        <w:rPr>
          <w:rFonts w:eastAsia="Times New Roman" w:cs="Times New Roman"/>
          <w:noProof/>
          <w:szCs w:val="20"/>
          <w:highlight w:val="yellow"/>
          <w:lang w:val="en-GB" w:eastAsia="en-GB"/>
        </w:rPr>
        <w:lastRenderedPageBreak/>
        <mc:AlternateContent>
          <mc:Choice Requires="wps">
            <w:drawing>
              <wp:anchor distT="0" distB="0" distL="114300" distR="114300" simplePos="0" relativeHeight="251664896" behindDoc="0" locked="0" layoutInCell="1" allowOverlap="1" wp14:anchorId="24A1BA36" wp14:editId="295E4E0C">
                <wp:simplePos x="0" y="0"/>
                <wp:positionH relativeFrom="column">
                  <wp:posOffset>3324225</wp:posOffset>
                </wp:positionH>
                <wp:positionV relativeFrom="paragraph">
                  <wp:posOffset>1190625</wp:posOffset>
                </wp:positionV>
                <wp:extent cx="2496185" cy="2743200"/>
                <wp:effectExtent l="0" t="0" r="18415" b="19050"/>
                <wp:wrapSquare wrapText="bothSides"/>
                <wp:docPr id="564" name="Rectangle: Diagonal Corners Rounded 564"/>
                <wp:cNvGraphicFramePr/>
                <a:graphic xmlns:a="http://schemas.openxmlformats.org/drawingml/2006/main">
                  <a:graphicData uri="http://schemas.microsoft.com/office/word/2010/wordprocessingShape">
                    <wps:wsp>
                      <wps:cNvSpPr/>
                      <wps:spPr>
                        <a:xfrm>
                          <a:off x="0" y="0"/>
                          <a:ext cx="2496185" cy="2743200"/>
                        </a:xfrm>
                        <a:prstGeom prst="round2DiagRect">
                          <a:avLst>
                            <a:gd name="adj1" fmla="val 7843"/>
                            <a:gd name="adj2" fmla="val 0"/>
                          </a:avLst>
                        </a:prstGeom>
                        <a:noFill/>
                        <a:ln w="25400" cap="flat" cmpd="sng" algn="ctr">
                          <a:solidFill>
                            <a:srgbClr val="BE4A35"/>
                          </a:solidFill>
                          <a:prstDash val="solid"/>
                        </a:ln>
                        <a:effectLst/>
                      </wps:spPr>
                      <wps:txbx>
                        <w:txbxContent>
                          <w:p w:rsidR="00272EFF" w:rsidRPr="000E5745" w:rsidRDefault="00272EFF" w:rsidP="00E05D08">
                            <w:pPr>
                              <w:pStyle w:val="HStandard"/>
                            </w:pPr>
                            <w:r>
                              <w:rPr>
                                <w:noProof/>
                                <w:lang w:val="en-GB" w:eastAsia="en-GB"/>
                              </w:rPr>
                              <w:drawing>
                                <wp:inline distT="0" distB="0" distL="0" distR="0" wp14:anchorId="109C23B3" wp14:editId="511235DC">
                                  <wp:extent cx="664845" cy="487680"/>
                                  <wp:effectExtent l="0" t="0" r="0" b="7620"/>
                                  <wp:docPr id="717"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 xml:space="preserve">Η </w:t>
                            </w:r>
                            <w:r>
                              <w:rPr>
                                <w:b/>
                                <w:color w:val="BE4A35"/>
                                <w:sz w:val="18"/>
                              </w:rPr>
                              <w:t>συγκομιδή αποτελεσμάτων (outcome harvesting)</w:t>
                            </w:r>
                            <w:r>
                              <w:rPr>
                                <w:color w:val="BE4A35"/>
                                <w:sz w:val="18"/>
                              </w:rPr>
                              <w:t xml:space="preserve"> </w:t>
                            </w:r>
                            <w:r>
                              <w:rPr>
                                <w:sz w:val="18"/>
                              </w:rPr>
                              <w:t>είναι μια μέθοδος στο πλαίσιο της οποίας ζητείται από τους φορείς αλλαγής του ΠΑΑ (οι οποίοι συμμετέχουν στη δέσμευση πολιτικής του ΠΑΑ) να προσδιορίσουν τις αλλαγές πολιτικής στις οποίες συνέβαλε το ΠΑΑ και, στη συνέχεια, ζητείται από ανεξάρτητα άτομα που διαθέτουν συναφείς γνώσεις να επιβεβαιώσουν αυτούς τους ισχυρισμούς.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1BA36" id="Rectangle: Diagonal Corners Rounded 564" o:spid="_x0000_s1057" style="position:absolute;left:0;text-align:left;margin-left:261.75pt;margin-top:93.75pt;width:196.55pt;height:3in;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6185,27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" adj="-11796480,,5400" path="m195776,l2496185,r,l2496185,2547424v,108124,-87652,195776,-195776,195776l,2743200r,l,195776c,87652,87652,,195776,xe" filled="f" strokecolor="#be4a35" strokeweight="2pt">
                <v:stroke joinstyle="miter"/>
                <v:formulas/>
                <v:path arrowok="t" o:connecttype="custom" o:connectlocs="195776,0;2496185,0;2496185,0;2496185,2547424;2300409,2743200;0,2743200;0,2743200;0,195776;195776,0" o:connectangles="0,0,0,0,0,0,0,0,0" textboxrect="0,0,2496185,2743200"/>
                <v:textbox>
                  <w:txbxContent>
                    <w:p w:rsidR="00272EFF" w:rsidRPr="000E5745" w:rsidRDefault="00272EFF" w:rsidP="00E05D08">
                      <w:pPr>
                        <w:pStyle w:val="HStandard"/>
                      </w:pPr>
                      <w:r>
                        <w:rPr>
                          <w:noProof/>
                          <w:lang w:val="en-GB" w:eastAsia="en-GB"/>
                        </w:rPr>
                        <w:drawing>
                          <wp:inline distT="0" distB="0" distL="0" distR="0" wp14:anchorId="109C23B3" wp14:editId="511235DC">
                            <wp:extent cx="664845" cy="487680"/>
                            <wp:effectExtent l="0" t="0" r="0" b="7620"/>
                            <wp:docPr id="717"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 xml:space="preserve">Η </w:t>
                      </w:r>
                      <w:r>
                        <w:rPr>
                          <w:b/>
                          <w:color w:val="BE4A35"/>
                          <w:sz w:val="18"/>
                        </w:rPr>
                        <w:t>συγκομιδή αποτελεσμάτων (outcome harvesting)</w:t>
                      </w:r>
                      <w:r>
                        <w:rPr>
                          <w:color w:val="BE4A35"/>
                          <w:sz w:val="18"/>
                        </w:rPr>
                        <w:t xml:space="preserve"> </w:t>
                      </w:r>
                      <w:r>
                        <w:rPr>
                          <w:sz w:val="18"/>
                        </w:rPr>
                        <w:t>είναι μια μέθοδος στο πλαίσιο της οποίας ζητείται από τους φορείς αλλαγής του ΠΑΑ (οι οποίοι συμμετέχουν στη δέσμευση πολιτικής του ΠΑΑ) να προσδιορίσουν τις αλλαγές πολιτικής στις οποίες συνέβαλε το ΠΑΑ και, στη συνέχεια, ζητείται από ανεξάρτητα άτομα που διαθέτουν συναφείς γνώσεις να επιβεβαιώσουν αυτούς τους ισχυρισμούς.</w:t>
                      </w:r>
                    </w:p>
                  </w:txbxContent>
                </v:textbox>
                <w10:wrap type="square"/>
              </v:shape>
            </w:pict>
          </mc:Fallback>
        </mc:AlternateContent>
      </w:r>
      <w:r>
        <w:t>Το τρίτο αφορά βελτιώσεις στη ροή των πληροφοριών και την πολυμορφία των τύπων οργάνωσης στο σύστημα καινοτομίας στο οποίο επήλθε η αλλαγή. Μπορούν να συλλεχθούν στοιχεία με τον πρόσθετο δείκτη αποτελεσμάτων: «Μείωση του μέσου μήκους της διαδρομής δικτύου και της πολυμορφίας του δικτύου». Μπορεί να μετρηθεί με ανάλυση κοινωνικών δικτύων (Social Network Analysis – SNA) που θα διεξάγει ο αξιολογητής κατά τον χρόνο της αξιολόγησης.</w:t>
      </w:r>
      <w:r>
        <w:rPr>
          <w:b/>
          <w:i/>
          <w:color w:val="BE4A35"/>
          <w:szCs w:val="20"/>
        </w:rPr>
        <w:t xml:space="preserve"> </w:t>
      </w:r>
      <w:r>
        <w:t xml:space="preserve">Η </w:t>
      </w:r>
      <w:r>
        <w:rPr>
          <w:b/>
          <w:i/>
          <w:color w:val="BE4A35"/>
          <w:szCs w:val="20"/>
        </w:rPr>
        <w:t>ανάλυση κοινωνικών δικτύων</w:t>
      </w:r>
      <w:r>
        <w:rPr>
          <w:rFonts w:eastAsia="Calibri" w:cs="Times New Roman"/>
          <w:szCs w:val="20"/>
          <w:vertAlign w:val="superscript"/>
        </w:rPr>
        <w:footnoteReference w:id="77"/>
      </w:r>
      <w:r>
        <w:t xml:space="preserve"> είναι η μέθοδος που πρέπει να χρησιμοποιείται για τη συλλογή στοιχείων για συναφείς δείκτες σε δύο χρονικές στιγμές, με τη μέτρηση των αλλαγών στο μέσο μήκος της διαδρομής και τους αριθμούς των διαφόρων τύπων συμμετεχόντων φορέων. Στη συνέχεια, οι αλλαγές πρέπει να αποδοθούν στην παρέμβαση του ΠΑΑ μέσω </w:t>
      </w:r>
      <w:r>
        <w:rPr>
          <w:b/>
          <w:i/>
          <w:szCs w:val="20"/>
        </w:rPr>
        <w:t>συνεντεύξεων</w:t>
      </w:r>
      <w:r>
        <w:t xml:space="preserve"> με βασικούς πληροφοριοδότες, ανεξάρτητα άτομα που διαθέτουν συναφείς γνώσεις και μπορούν να επιβεβαιώσουν ή να απορρίψουν ισχυρισμούς για την ύπαρξη αιτιώδους σχέσης. Ιδανικά, η τιμή αναφοράς προσδιορίζεται στο πλαίσιο της εκτίμησης του δυναμικού καινοτομίας κατά την έναρξη του ΠΑΑ.</w:t>
      </w:r>
    </w:p>
    <w:p w:rsidR="00A45935" w:rsidRPr="00E34FAC" w:rsidRDefault="00A45935" w:rsidP="00A847F8">
      <w:pPr>
        <w:pStyle w:val="Hlistbullet2"/>
      </w:pPr>
      <w:r>
        <w:t xml:space="preserve">Η </w:t>
      </w:r>
      <w:r>
        <w:rPr>
          <w:b/>
        </w:rPr>
        <w:t>διαδρομή 3</w:t>
      </w:r>
      <w:r>
        <w:t xml:space="preserve"> διαθέτει διάφορα κριτήρια απόφασης που συνδέονται με διάφορους τύπους ευνοϊκού περιβάλλοντος όπως περιγράφεται στο κεφάλαιο 1.1:</w:t>
      </w:r>
    </w:p>
    <w:p w:rsidR="00A45935" w:rsidRPr="00E05D08" w:rsidRDefault="00A45935" w:rsidP="00A847F8">
      <w:pPr>
        <w:numPr>
          <w:ilvl w:val="0"/>
          <w:numId w:val="48"/>
        </w:numPr>
        <w:spacing w:before="240" w:after="120" w:line="280" w:lineRule="atLeast"/>
        <w:ind w:left="1701" w:hanging="567"/>
        <w:rPr>
          <w:rFonts w:eastAsia="Times New Roman" w:cs="Arial"/>
          <w:szCs w:val="20"/>
        </w:rPr>
      </w:pPr>
      <w:r>
        <w:t>Το πρώτο σχετίζεται με τον βαθμό στον οποίο μέσω του ΠΑΑ τεκμηριώθηκαν πολιτικές που υποστήριζαν την αλλαγή στην οποία συνέβαλε το ΠΑΑ. Αυτό απαιτεί τον προσδιορισμό των πολιτικών τις οποίες μπορεί να υποστηριχτεί ότι επηρέασε το ΠΑΑ και στη συνέχεια μια διαδικασία τεκμηρίωσης ώστε να αποδειχτεί η νομιμοποίηση των εν λόγω ισχυρισμών. Κατά την αξιολόγηση, τα αποδεικτικά στοιχεία μπορούν να συλλεχθούν μέσω του πρόσθετου δείκτη αποτελεσμάτων «αριθμός και τύπος πολιτικών που επηρεάστηκαν από το ΠΑΑ σε επίπεδο συμμετεχόντων οργανισμών και ευρύτερου ευνοϊκού περιβάλλοντος». Η συγκομιδή αποτελεσμάτων (outcome harvesting)</w:t>
      </w:r>
      <w:r>
        <w:rPr>
          <w:rFonts w:eastAsia="Times New Roman" w:cs="Arial"/>
          <w:szCs w:val="20"/>
          <w:vertAlign w:val="superscript"/>
          <w:lang w:eastAsia="de-DE"/>
        </w:rPr>
        <w:footnoteReference w:id="78"/>
      </w:r>
      <w:r>
        <w:t xml:space="preserve"> είναι μια προσέγγιση που ανταποκρίνεται επαρκώς στην αξιολόγηση της δέσμευσης στην πολιτική του ΠΑΑ. </w:t>
      </w:r>
    </w:p>
    <w:p w:rsidR="00A45935" w:rsidRPr="00E05D08" w:rsidRDefault="00A45935" w:rsidP="00A847F8">
      <w:pPr>
        <w:numPr>
          <w:ilvl w:val="0"/>
          <w:numId w:val="48"/>
        </w:numPr>
        <w:spacing w:before="240" w:after="120" w:line="280" w:lineRule="atLeast"/>
        <w:ind w:left="1701" w:hanging="567"/>
        <w:rPr>
          <w:rFonts w:eastAsia="Times New Roman" w:cs="Arial"/>
          <w:szCs w:val="20"/>
        </w:rPr>
      </w:pPr>
      <w:r>
        <w:t>Το δεύτερο κριτήριο απόφασης αφορά τις ευκαιρίες για κατάρτιση και ανταλλαγή καινοτόμων πρακτικών που στηρίζονται από το ΠΑΑ. Ο προτεινόμενος πρόσθετος δείκτης αποτελεσμάτων για τη συλλογή στοιχείων είναι ο «αριθμός προγραμμάτων κατάρτισης και εκδηλώσεων για την ανταλλαγή καινοτόμων πρακτικών και μερίδιό τους στον συνολικό αριθμό προγραμμάτων κατάρτισης / εκδηλώσεων που στηρίχθηκαν από το ΠΑΑ». Τα δεδομένα για τον δείκτη μπορούν να συλλεχθούν μέσω της βάσης δεδομένων πράξεων κατόπιν σύνδεσης των πληροφοριών για τις δραστηριότητες κατάρτισης και τις εκδηλώσεις με την καινοτομία.</w:t>
      </w:r>
    </w:p>
    <w:p w:rsidR="00A45935" w:rsidRPr="00E05D08" w:rsidRDefault="00A45935" w:rsidP="00A847F8">
      <w:pPr>
        <w:numPr>
          <w:ilvl w:val="0"/>
          <w:numId w:val="48"/>
        </w:numPr>
        <w:spacing w:before="60" w:after="120" w:line="280" w:lineRule="atLeast"/>
        <w:ind w:left="1701" w:hanging="567"/>
        <w:rPr>
          <w:rFonts w:eastAsia="Times New Roman" w:cs="Arial"/>
          <w:szCs w:val="20"/>
        </w:rPr>
      </w:pPr>
      <w:r>
        <w:lastRenderedPageBreak/>
        <w:t xml:space="preserve">Το τρίτο κριτήριο απόφασης συνδέεται με τις ευνοϊκές αλληλεπιδράσεις μεταξύ των φορέων καινοτομίας. Για τη μέτρηση της επιτυχίας που συνδέεται με το εν λόγω κριτήριο απόφασης, συνιστάται η χρήση του πρόσθετου δείκτη αποτελεσμάτων: «αριθμός εκδηλώσεων που επικεντρώνονται στην ανάπτυξη επαφών μεταξύ φορέων καινοτομίας, οι οποίες στηρίχθηκαν από το ΠΑΑ». Τα δεδομένα για αυτόν τον δείκτη μπορούν να συλλεχθούν μέσω της βάσης δεδομένων πράξεων (π.χ. προσθέτοντας στην παρακολούθηση των εκδηλώσεων πληροφορίες σχετικά με τους φορείς καινοτομίας που στηρίχθηκαν από το ΠΑΑ). </w:t>
      </w:r>
    </w:p>
    <w:p w:rsidR="001275FF" w:rsidRDefault="00A45935" w:rsidP="00A847F8">
      <w:pPr>
        <w:numPr>
          <w:ilvl w:val="0"/>
          <w:numId w:val="48"/>
        </w:numPr>
        <w:spacing w:before="60" w:after="120" w:line="280" w:lineRule="atLeast"/>
        <w:ind w:left="1701" w:hanging="567"/>
        <w:rPr>
          <w:rFonts w:eastAsia="Calibri" w:cs="Arial"/>
          <w:szCs w:val="20"/>
        </w:rPr>
      </w:pPr>
      <w:r>
        <w:t xml:space="preserve">Το τέταρτο κριτήριο απόφασης αφορά το ΠΑΑ ως δημιουργό ευνοϊκού περιβάλλοντος για την εισαγωγή νέων τεχνολογιών. Μπορεί να μετρηθεί με τον πρόσθετο δείκτη αποτελεσμάτων «αριθμός νέων τεχνολογιών στις αγροτικές περιοχές που στηρίχθηκαν από το ΠΑΑ, ανά τύπο». Οι πληροφορίες που απαιτούνται για τον εν λόγω δείκτη μπορούν να συλλεχθούν από τη βάση δεδομένων πράξεων, εφόσον προσαρμοστεί αναλόγως. </w:t>
      </w:r>
    </w:p>
    <w:p w:rsidR="00A45935" w:rsidRPr="001275FF" w:rsidRDefault="001275FF" w:rsidP="001275FF">
      <w:pPr>
        <w:jc w:val="left"/>
        <w:rPr>
          <w:rFonts w:eastAsia="Calibri" w:cs="Arial"/>
          <w:szCs w:val="20"/>
        </w:rPr>
      </w:pPr>
      <w:r>
        <w:br w:type="page"/>
      </w:r>
    </w:p>
    <w:p w:rsidR="00A45935" w:rsidRPr="000E1023" w:rsidRDefault="00A847F8" w:rsidP="00A847F8">
      <w:pPr>
        <w:pStyle w:val="Hlistbullet"/>
        <w:rPr>
          <w:color w:val="FFFFFF" w:themeColor="background1"/>
        </w:rPr>
      </w:pPr>
      <w:r>
        <w:rPr>
          <w:b/>
          <w:noProof/>
          <w:highlight w:val="yellow"/>
          <w:lang w:val="en-GB" w:eastAsia="en-GB"/>
        </w:rPr>
        <w:lastRenderedPageBreak/>
        <mc:AlternateContent>
          <mc:Choice Requires="wps">
            <w:drawing>
              <wp:anchor distT="0" distB="0" distL="114300" distR="114300" simplePos="0" relativeHeight="251648512" behindDoc="0" locked="0" layoutInCell="1" allowOverlap="1" wp14:anchorId="7C1AB931" wp14:editId="3771719A">
                <wp:simplePos x="0" y="0"/>
                <wp:positionH relativeFrom="column">
                  <wp:posOffset>-57150</wp:posOffset>
                </wp:positionH>
                <wp:positionV relativeFrom="paragraph">
                  <wp:posOffset>2676525</wp:posOffset>
                </wp:positionV>
                <wp:extent cx="6237605" cy="3048000"/>
                <wp:effectExtent l="0" t="0" r="10795" b="19050"/>
                <wp:wrapSquare wrapText="bothSides"/>
                <wp:docPr id="566" name="Rectangle: Diagonal Corners Rounded 566"/>
                <wp:cNvGraphicFramePr/>
                <a:graphic xmlns:a="http://schemas.openxmlformats.org/drawingml/2006/main">
                  <a:graphicData uri="http://schemas.microsoft.com/office/word/2010/wordprocessingShape">
                    <wps:wsp>
                      <wps:cNvSpPr/>
                      <wps:spPr>
                        <a:xfrm>
                          <a:off x="0" y="0"/>
                          <a:ext cx="6237605" cy="3048000"/>
                        </a:xfrm>
                        <a:prstGeom prst="round2DiagRect">
                          <a:avLst>
                            <a:gd name="adj1" fmla="val 7843"/>
                            <a:gd name="adj2" fmla="val 0"/>
                          </a:avLst>
                        </a:prstGeom>
                        <a:noFill/>
                        <a:ln w="25400" cap="flat" cmpd="sng" algn="ctr">
                          <a:solidFill>
                            <a:srgbClr val="BE4A35"/>
                          </a:solidFill>
                          <a:prstDash val="solid"/>
                        </a:ln>
                        <a:effectLst/>
                      </wps:spPr>
                      <wps:txbx>
                        <w:txbxContent>
                          <w:p w:rsidR="00272EFF" w:rsidRPr="00EF653F" w:rsidRDefault="00272EFF" w:rsidP="00E05D08">
                            <w:pPr>
                              <w:pStyle w:val="HStandard"/>
                              <w:rPr>
                                <w:rFonts w:cs="Arial"/>
                                <w:b/>
                                <w:sz w:val="18"/>
                                <w:szCs w:val="18"/>
                              </w:rPr>
                            </w:pPr>
                            <w:r>
                              <w:rPr>
                                <w:noProof/>
                                <w:lang w:val="en-GB" w:eastAsia="en-GB"/>
                              </w:rPr>
                              <w:drawing>
                                <wp:inline distT="0" distB="0" distL="0" distR="0" wp14:anchorId="42A91CBA" wp14:editId="6CBFE34F">
                                  <wp:extent cx="664845" cy="487680"/>
                                  <wp:effectExtent l="0" t="0" r="0" b="7620"/>
                                  <wp:docPr id="718"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szCs w:val="18"/>
                              </w:rPr>
                              <w:t>Τεχνικές για την ανάπτυξη της αναλυτικής περιγραφής και τη βαθμολόγηση των αποτελεσμάτων</w:t>
                            </w:r>
                          </w:p>
                          <w:p w:rsidR="00272EFF" w:rsidRPr="00EF653F" w:rsidRDefault="00272EFF" w:rsidP="00E05D08">
                            <w:pPr>
                              <w:pStyle w:val="HStandard"/>
                              <w:rPr>
                                <w:rFonts w:cs="Arial"/>
                                <w:sz w:val="18"/>
                                <w:szCs w:val="18"/>
                              </w:rPr>
                            </w:pPr>
                            <w:r>
                              <w:rPr>
                                <w:sz w:val="18"/>
                                <w:szCs w:val="18"/>
                              </w:rPr>
                              <w:t>Κατά την ανάπτυξη της αναλυτικής περιγραφής, ο αξιολογητής μπορεί να εφαρμόσει διάφορες</w:t>
                            </w:r>
                            <w:r>
                              <w:rPr>
                                <w:b/>
                                <w:sz w:val="18"/>
                                <w:szCs w:val="18"/>
                              </w:rPr>
                              <w:t xml:space="preserve"> τεχνικές για τον τριγωνισμό και την τεκμηρίωση της υπόθεσης. </w:t>
                            </w:r>
                            <w:r>
                              <w:rPr>
                                <w:sz w:val="18"/>
                                <w:szCs w:val="18"/>
                              </w:rPr>
                              <w:t xml:space="preserve">Σε αυτές τις τεχνικές περιλαμβάνονται οι εξής: ανάλυση της συνεισφοράς στην οποία ο αξιολογητής εντοπίζει μια αναγκαία και επαρκή αιτιώδη δέσμη για την επεξήγηση της αλλαγής </w:t>
                            </w:r>
                            <w:r>
                              <w:rPr>
                                <w:sz w:val="18"/>
                                <w:szCs w:val="18"/>
                                <w:vertAlign w:val="superscript"/>
                              </w:rPr>
                              <w:t>82</w:t>
                            </w:r>
                            <w:r>
                              <w:rPr>
                                <w:sz w:val="18"/>
                                <w:szCs w:val="18"/>
                              </w:rPr>
                              <w:t>· προσδιορισμός και απόρριψη εναλλακτικών αιτιωδών επεξηγήσεων</w:t>
                            </w:r>
                            <w:r>
                              <w:rPr>
                                <w:sz w:val="18"/>
                                <w:szCs w:val="18"/>
                                <w:vertAlign w:val="superscript"/>
                              </w:rPr>
                              <w:t>83</w:t>
                            </w:r>
                            <w:r>
                              <w:rPr>
                                <w:sz w:val="18"/>
                                <w:szCs w:val="18"/>
                              </w:rPr>
                              <w:t xml:space="preserve"> και/ή προσδιορισμός και τεκμηρίωση των κρίσιμων τμημάτων της αλυσίδας συγκεντρωθέντων αποδεικτικών στοιχείων για να στοιχειοθετηθεί η συνεισφορά του ΠΑΑ</w:t>
                            </w:r>
                            <w:r>
                              <w:rPr>
                                <w:sz w:val="18"/>
                                <w:szCs w:val="18"/>
                                <w:vertAlign w:val="superscript"/>
                              </w:rPr>
                              <w:t>84</w:t>
                            </w:r>
                            <w:r>
                              <w:rPr>
                                <w:sz w:val="18"/>
                                <w:szCs w:val="18"/>
                              </w:rPr>
                              <w:t>.</w:t>
                            </w:r>
                          </w:p>
                          <w:p w:rsidR="00272EFF" w:rsidRPr="000E5745" w:rsidRDefault="00272EFF" w:rsidP="00E05D08">
                            <w:pPr>
                              <w:pStyle w:val="HStandard"/>
                            </w:pPr>
                            <w:r>
                              <w:rPr>
                                <w:sz w:val="18"/>
                                <w:szCs w:val="18"/>
                              </w:rPr>
                              <w:t xml:space="preserve">Η έκταση της συνεισφοράς του ΠΑΑ θα πρέπει να εκτιμάται σε κλίμακα Likert </w:t>
                            </w:r>
                            <w:r>
                              <w:rPr>
                                <w:sz w:val="18"/>
                                <w:szCs w:val="18"/>
                                <w:vertAlign w:val="superscript"/>
                              </w:rPr>
                              <w:t>85</w:t>
                            </w:r>
                            <w:r>
                              <w:rPr>
                                <w:sz w:val="18"/>
                                <w:szCs w:val="18"/>
                              </w:rPr>
                              <w:t>, όπως Μηδενική, Ελάχιστη, Μερική, Βασικός παράγοντας συμβολής, Μοναδικός παράγοντας συμβολής. Ο αξιολογητής θα πρέπει επίσης να βαθμολογήσει το επίπεδο αξιοπιστίας των πορισμάτων με χρήση παρόμοιας κλίμακας πέντε σημείων. Η βαθμολογία που δίνεται θα πρέπει να είναι αιτιολογημένη.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AB931" id="Rectangle: Diagonal Corners Rounded 566" o:spid="_x0000_s1058" style="position:absolute;left:0;text-align:left;margin-left:-4.5pt;margin-top:210.75pt;width:491.15pt;height:240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37605,304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" adj="-11796480,,5400" path="m239055,l6237605,r,l6237605,2808945v,132026,-107029,239055,-239055,239055l,3048000r,l,239055c,107029,107029,,239055,xe" filled="f" strokecolor="#be4a35" strokeweight="2pt">
                <v:stroke joinstyle="miter"/>
                <v:formulas/>
                <v:path arrowok="t" o:connecttype="custom" o:connectlocs="239055,0;6237605,0;6237605,0;6237605,2808945;5998550,3048000;0,3048000;0,3048000;0,239055;239055,0" o:connectangles="0,0,0,0,0,0,0,0,0" textboxrect="0,0,6237605,3048000"/>
                <v:textbox>
                  <w:txbxContent>
                    <w:p w:rsidR="00272EFF" w:rsidRPr="00EF653F" w:rsidRDefault="00272EFF" w:rsidP="00E05D08">
                      <w:pPr>
                        <w:pStyle w:val="HStandard"/>
                        <w:rPr>
                          <w:rFonts w:cs="Arial"/>
                          <w:b/>
                          <w:sz w:val="18"/>
                          <w:szCs w:val="18"/>
                        </w:rPr>
                      </w:pPr>
                      <w:r>
                        <w:rPr>
                          <w:noProof/>
                          <w:lang w:val="en-GB" w:eastAsia="en-GB"/>
                        </w:rPr>
                        <w:drawing>
                          <wp:inline distT="0" distB="0" distL="0" distR="0" wp14:anchorId="42A91CBA" wp14:editId="6CBFE34F">
                            <wp:extent cx="664845" cy="487680"/>
                            <wp:effectExtent l="0" t="0" r="0" b="7620"/>
                            <wp:docPr id="718"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szCs w:val="18"/>
                        </w:rPr>
                        <w:t>Τεχνικές για την ανάπτυξη της αναλυτικής περιγραφής και τη βαθμολόγηση των αποτελεσμάτων</w:t>
                      </w:r>
                    </w:p>
                    <w:p w:rsidR="00272EFF" w:rsidRPr="00EF653F" w:rsidRDefault="00272EFF" w:rsidP="00E05D08">
                      <w:pPr>
                        <w:pStyle w:val="HStandard"/>
                        <w:rPr>
                          <w:rFonts w:cs="Arial"/>
                          <w:sz w:val="18"/>
                          <w:szCs w:val="18"/>
                        </w:rPr>
                      </w:pPr>
                      <w:r>
                        <w:rPr>
                          <w:sz w:val="18"/>
                          <w:szCs w:val="18"/>
                        </w:rPr>
                        <w:t>Κατά την ανάπτυξη της αναλυτικής περιγραφής, ο αξιολογητής μπορεί να εφαρμόσει διάφορες</w:t>
                      </w:r>
                      <w:r>
                        <w:rPr>
                          <w:b/>
                          <w:sz w:val="18"/>
                          <w:szCs w:val="18"/>
                        </w:rPr>
                        <w:t xml:space="preserve"> τεχνικές για τον τριγωνισμό και την τεκμηρίωση της υπόθεσης. </w:t>
                      </w:r>
                      <w:r>
                        <w:rPr>
                          <w:sz w:val="18"/>
                          <w:szCs w:val="18"/>
                        </w:rPr>
                        <w:t xml:space="preserve">Σε αυτές τις τεχνικές περιλαμβάνονται οι εξής: ανάλυση της συνεισφοράς στην οποία ο αξιολογητής εντοπίζει μια αναγκαία και επαρκή αιτιώδη δέσμη για την επεξήγηση της αλλαγής </w:t>
                      </w:r>
                      <w:r>
                        <w:rPr>
                          <w:sz w:val="18"/>
                          <w:szCs w:val="18"/>
                          <w:vertAlign w:val="superscript"/>
                        </w:rPr>
                        <w:t>82</w:t>
                      </w:r>
                      <w:r>
                        <w:rPr>
                          <w:sz w:val="18"/>
                          <w:szCs w:val="18"/>
                        </w:rPr>
                        <w:t>· προσδιορισμός και απόρριψη εναλλακτικών αιτιωδών επεξηγήσεων</w:t>
                      </w:r>
                      <w:r>
                        <w:rPr>
                          <w:sz w:val="18"/>
                          <w:szCs w:val="18"/>
                          <w:vertAlign w:val="superscript"/>
                        </w:rPr>
                        <w:t>83</w:t>
                      </w:r>
                      <w:r>
                        <w:rPr>
                          <w:sz w:val="18"/>
                          <w:szCs w:val="18"/>
                        </w:rPr>
                        <w:t xml:space="preserve"> και/ή προσδιορισμός και τεκμηρίωση των κρίσιμων τμημάτων της αλυσίδας συγκεντρωθέντων αποδεικτικών στοιχείων για να στοιχειοθετηθεί η συνεισφορά του ΠΑΑ</w:t>
                      </w:r>
                      <w:r>
                        <w:rPr>
                          <w:sz w:val="18"/>
                          <w:szCs w:val="18"/>
                          <w:vertAlign w:val="superscript"/>
                        </w:rPr>
                        <w:t>84</w:t>
                      </w:r>
                      <w:r>
                        <w:rPr>
                          <w:sz w:val="18"/>
                          <w:szCs w:val="18"/>
                        </w:rPr>
                        <w:t>.</w:t>
                      </w:r>
                    </w:p>
                    <w:p w:rsidR="00272EFF" w:rsidRPr="000E5745" w:rsidRDefault="00272EFF" w:rsidP="00E05D08">
                      <w:pPr>
                        <w:pStyle w:val="HStandard"/>
                      </w:pPr>
                      <w:r>
                        <w:rPr>
                          <w:sz w:val="18"/>
                          <w:szCs w:val="18"/>
                        </w:rPr>
                        <w:t xml:space="preserve">Η έκταση της συνεισφοράς του ΠΑΑ θα πρέπει να εκτιμάται σε κλίμακα Likert </w:t>
                      </w:r>
                      <w:r>
                        <w:rPr>
                          <w:sz w:val="18"/>
                          <w:szCs w:val="18"/>
                          <w:vertAlign w:val="superscript"/>
                        </w:rPr>
                        <w:t>85</w:t>
                      </w:r>
                      <w:r>
                        <w:rPr>
                          <w:sz w:val="18"/>
                          <w:szCs w:val="18"/>
                        </w:rPr>
                        <w:t>, όπως Μηδενική, Ελάχιστη, Μερική, Βασικός παράγοντας συμβολής, Μοναδικός παράγοντας συμβολής. Ο αξιολογητής θα πρέπει επίσης να βαθμολογήσει το επίπεδο αξιοπιστίας των πορισμάτων με χρήση παρόμοιας κλίμακας πέντε σημείων. Η βαθμολογία που δίνεται θα πρέπει να είναι αιτιολογημένη.</w:t>
                      </w:r>
                    </w:p>
                  </w:txbxContent>
                </v:textbox>
                <w10:wrap type="square"/>
              </v:shape>
            </w:pict>
          </mc:Fallback>
        </mc:AlternateContent>
      </w:r>
      <w:r>
        <w:rPr>
          <w:b/>
        </w:rPr>
        <w:t>ΒΗΜΑ 3 – Κατάρτιση χρονικής σειράς αιτίου-αιτιατού και αναλυτικής περιγραφής</w:t>
      </w:r>
      <w:r>
        <w:t xml:space="preserve"> για το πώς προέκυψε(-αν) η(οι) αλλαγή(-ές) που προσδιορίστηκε(-αν) στο βήμα 1. Στην αναλυτική περιγραφή θεωρείται εκ των προτέρων ότι η(οι) αλλαγή(-ές) προέκυψε(-αν) μέσω μίας ή περισσότερων από τις τρεις διαδρομές και τις αλληλεπιδράσεις τους (βλ. </w:t>
      </w:r>
      <w:hyperlink w:anchor="Pathways" w:history="1">
        <w:r>
          <w:rPr>
            <w:rStyle w:val="Hyperlink"/>
            <w:sz w:val="20"/>
          </w:rPr>
          <w:t>σχήμα 1</w:t>
        </w:r>
      </w:hyperlink>
      <w:r>
        <w:t>). Η χρονική σειρά και η αναλυτική περιγραφή θα πρέπει να περιλαμβάνουν όλα τα βασικά γεγονότα και διαδικασίες που οδήγησαν στην αλλαγή και όχι μόνο αυτά που προέκυψαν από τη δραστηριότητα στο πλαίσιο του ΠΑΑ. Αυτή η προσέγγιση βασίζεται στη μεθοδολογία μελέτης περίπτωσης</w:t>
      </w:r>
      <w:r>
        <w:rPr>
          <w:rFonts w:cs="Arial"/>
          <w:vertAlign w:val="superscript"/>
        </w:rPr>
        <w:footnoteReference w:id="79"/>
      </w:r>
      <w:r>
        <w:t>. Ειδικές μέθοδοι που ενδέχεται να φανούν χρήσιμες είναι η ιχνηλάτηση διαδικασιών (προσδιορισμός μιας θεωρητικής διαδρομής από το αποτέλεσμα στις αιτίες του εξετάζοντας διάφορες εναλλακτικές δυνατότητες)</w:t>
      </w:r>
      <w:r>
        <w:rPr>
          <w:rFonts w:cs="Arial"/>
          <w:vertAlign w:val="superscript"/>
        </w:rPr>
        <w:footnoteReference w:id="80"/>
      </w:r>
      <w:r>
        <w:t xml:space="preserve"> και η δημιουργία ιστορικών καινοτομίας (μέθοδος καταγραφής και στοχασμού σχετικά με μια διαδικασία καινοτομίας)</w:t>
      </w:r>
      <w:r>
        <w:rPr>
          <w:vertAlign w:val="superscript"/>
        </w:rPr>
        <w:t xml:space="preserve"> </w:t>
      </w:r>
      <w:r>
        <w:rPr>
          <w:rFonts w:cs="Arial"/>
          <w:vertAlign w:val="superscript"/>
        </w:rPr>
        <w:footnoteReference w:id="81"/>
      </w:r>
      <w:r>
        <w:t>. Τα δεδομένα προέρχονται από τα προηγούμενα βήματα, την επανεξέταση των εγγράφων τεκμηρίωσης του ΠΑΑ και/ή συνεντεύξεις από τους βασικούς πληροφοριοδότες στο προσωπικό και τους ενδιαφερόμενους φορείς του προγράμματος</w:t>
      </w:r>
      <w:r>
        <w:rPr>
          <w:rStyle w:val="FootnoteReference"/>
          <w:color w:val="FFFFFF" w:themeColor="background1"/>
        </w:rPr>
        <w:footnoteReference w:id="82"/>
      </w:r>
      <w:r>
        <w:rPr>
          <w:rStyle w:val="FootnoteReference"/>
          <w:color w:val="FFFFFF" w:themeColor="background1"/>
        </w:rPr>
        <w:footnoteReference w:id="83"/>
      </w:r>
      <w:r>
        <w:rPr>
          <w:rStyle w:val="FootnoteReference"/>
          <w:color w:val="FFFFFF" w:themeColor="background1"/>
        </w:rPr>
        <w:footnoteReference w:id="84"/>
      </w:r>
      <w:r>
        <w:t>.</w:t>
      </w:r>
      <w:r>
        <w:rPr>
          <w:rStyle w:val="FootnoteReference"/>
          <w:color w:val="FFFFFF" w:themeColor="background1"/>
        </w:rPr>
        <w:footnoteReference w:id="85"/>
      </w:r>
    </w:p>
    <w:p w:rsidR="00E05D08" w:rsidRPr="00E30E27" w:rsidRDefault="00E05D08" w:rsidP="00F31494">
      <w:pPr>
        <w:pStyle w:val="Hlistbullet"/>
        <w:spacing w:before="240"/>
      </w:pPr>
      <w:r>
        <w:rPr>
          <w:b/>
        </w:rPr>
        <w:t>ΒΗΜΑ 4 – Σύγκριση του δυναμικού καινοτομίας που προσδιορίστηκε πριν από την αξιολόγηση με τη συνεισφορά που επιτεύχθηκε μέσω του ΠΑΑ.</w:t>
      </w:r>
      <w:r>
        <w:t xml:space="preserve"> Η υπόθεση εργασίας μας είναι ότι θα υπάρξουν διαφορές που βοηθούν τους συμμετέχοντες να κατανοήσουν καλύτερα την καινοτομία ως αναδυόμενη διαδικασία που δεν μπορεί να προβλεφθεί, η οποία ωστόσο </w:t>
      </w:r>
      <w:r>
        <w:lastRenderedPageBreak/>
        <w:t>μπορεί να καλλιεργηθεί με τη θέσπιση μηχανισμών μάθησης και προσαρμοστικής διαχείρισης στο πλαίσιο του ΠΑΑ.</w:t>
      </w:r>
    </w:p>
    <w:p w:rsidR="00AB6603" w:rsidRDefault="00521CD4" w:rsidP="00521CD4">
      <w:pPr>
        <w:spacing w:before="120" w:after="120" w:line="280" w:lineRule="atLeast"/>
        <w:mirrorIndents/>
        <w:rPr>
          <w:rFonts w:eastAsia="Times New Roman" w:cs="Times New Roman"/>
          <w:b/>
          <w:szCs w:val="20"/>
        </w:rPr>
      </w:pPr>
      <w:r>
        <w:rPr>
          <w:b/>
          <w:szCs w:val="20"/>
        </w:rPr>
        <w:t>δ.</w:t>
      </w:r>
      <w:r>
        <w:rPr>
          <w:b/>
          <w:szCs w:val="20"/>
        </w:rPr>
        <w:tab/>
      </w:r>
      <w:r w:rsidR="00F64797">
        <w:rPr>
          <w:b/>
          <w:szCs w:val="20"/>
        </w:rPr>
        <w:t>Κίνδυνοι και λύσεις</w:t>
      </w:r>
      <w:r w:rsidR="00F64797">
        <w:t xml:space="preserve"> </w:t>
      </w:r>
    </w:p>
    <w:p w:rsidR="00E05D08" w:rsidRPr="00AB6603" w:rsidRDefault="00AB6603" w:rsidP="00A847F8">
      <w:pPr>
        <w:spacing w:before="120" w:after="120" w:line="280" w:lineRule="atLeast"/>
        <w:mirrorIndents/>
        <w:rPr>
          <w:rFonts w:eastAsia="Times New Roman" w:cs="Times New Roman"/>
          <w:b/>
          <w:szCs w:val="20"/>
        </w:rPr>
      </w:pPr>
      <w:r>
        <w:t>Ο βασικός κίνδυνος είναι ότι η αξιολόγηση βάσει μελέτης περίπτωσης που περιγράφηκε ανωτέρω δεν διεξάγεται βάσει επαρκώς υψηλών προτύπων ώστε να εξάγονται πειστικά συμπεράσματα.</w:t>
      </w:r>
    </w:p>
    <w:p w:rsidR="00E05D08" w:rsidRDefault="00E05D08" w:rsidP="00E05D08">
      <w:pPr>
        <w:spacing w:after="120" w:line="280" w:lineRule="atLeast"/>
        <w:mirrorIndents/>
        <w:rPr>
          <w:rFonts w:eastAsia="Times New Roman" w:cs="Arial"/>
          <w:szCs w:val="20"/>
        </w:rPr>
      </w:pPr>
      <w:r>
        <w:t xml:space="preserve">Από την άλλη πλευρά, εάν δεν χρησιμοποιηθεί προσέγγιση βάσει μελέτης περίπτωσης, τότε υπάρχει κίνδυνος να αξιολογηθεί το ΚΕΑ αριθ. 30 μόνο σε σχέση με τα κριτήρια απόφασης και τους δείκτες, γεγονός που δεν θα επιτρέψει την αξιολόγηση της έκτασης των συνεισφορών του ΠΑΑ, ούτε θα βοηθήσει τους συμμετέχοντες να μάθουν πώς προκύπτει η αλλαγή σε σύνθετα συστήματα. </w:t>
      </w:r>
    </w:p>
    <w:p w:rsidR="00E05D08" w:rsidRPr="00E05D08" w:rsidRDefault="00521CD4" w:rsidP="00521CD4">
      <w:pPr>
        <w:spacing w:before="120" w:after="120" w:line="280" w:lineRule="atLeast"/>
        <w:mirrorIndents/>
        <w:rPr>
          <w:rFonts w:eastAsia="Times New Roman" w:cs="Times New Roman"/>
          <w:b/>
          <w:szCs w:val="20"/>
        </w:rPr>
      </w:pPr>
      <w:r>
        <w:rPr>
          <w:b/>
          <w:szCs w:val="20"/>
        </w:rPr>
        <w:t>ε.</w:t>
      </w:r>
      <w:r>
        <w:rPr>
          <w:b/>
          <w:szCs w:val="20"/>
        </w:rPr>
        <w:tab/>
      </w:r>
      <w:r w:rsidR="00E05D08">
        <w:rPr>
          <w:b/>
          <w:szCs w:val="20"/>
        </w:rPr>
        <w:t>Συμπεράσματα και συστάσεις</w:t>
      </w:r>
    </w:p>
    <w:p w:rsidR="00E05D08" w:rsidRPr="00E05D08" w:rsidRDefault="00E05D08" w:rsidP="00E05D08">
      <w:pPr>
        <w:spacing w:after="120" w:line="280" w:lineRule="atLeast"/>
        <w:mirrorIndents/>
        <w:rPr>
          <w:rFonts w:eastAsia="Times New Roman" w:cs="Arial"/>
          <w:szCs w:val="20"/>
        </w:rPr>
      </w:pPr>
      <w:r>
        <w:t>Στα συμπεράσματα και τις συστάσεις που συνδέονται με το ΚΕΑ αριθ. 30 θα πρέπει να λαμβάνονται υπόψη τα ακόλουθα:</w:t>
      </w:r>
    </w:p>
    <w:p w:rsidR="00E05D08" w:rsidRPr="00812586" w:rsidRDefault="00E05D08" w:rsidP="00320AA0">
      <w:pPr>
        <w:pStyle w:val="Hlistbullet"/>
      </w:pPr>
      <w:r>
        <w:t xml:space="preserve">Ειδικά μέτρα (και ο συνδυασμός τους) που ήταν ιδιαίτερα αποτελεσματικά και αποδοτικά για την προώθηση της καινοτομίας στις αγροτικές περιοχές μέσω του ΠΑΑ. </w:t>
      </w:r>
    </w:p>
    <w:p w:rsidR="00E05D08" w:rsidRPr="00812586" w:rsidRDefault="00E05D08" w:rsidP="00320AA0">
      <w:pPr>
        <w:pStyle w:val="Hlistbullet"/>
      </w:pPr>
      <w:r>
        <w:t xml:space="preserve">Τρόποι με τους οποίους το ΠΑΑ συνέβαλε στην προώθηση καινοτομιών, που συνδέονται με τις τρεις διαδρομές. </w:t>
      </w:r>
    </w:p>
    <w:p w:rsidR="00E05D08" w:rsidRPr="00812586" w:rsidRDefault="00E05D08" w:rsidP="00320AA0">
      <w:pPr>
        <w:pStyle w:val="Hlistbullet"/>
      </w:pPr>
      <w:r>
        <w:t xml:space="preserve">Στόχοι πολιτικής στους οποίους συνέβαλε σε πολύ σημαντικό βαθμό η καινοτομία που προωθήθηκε. </w:t>
      </w:r>
    </w:p>
    <w:p w:rsidR="000E0FE4" w:rsidRDefault="00E05D08" w:rsidP="00320AA0">
      <w:pPr>
        <w:pStyle w:val="Hlistbullet"/>
      </w:pPr>
      <w:r>
        <w:t xml:space="preserve">Ενδιαφερόμενοι φορείς και δικαιούχοι του ΠΑΑ που αποτέλεσαν τους πλέον αποτελεσματικούς φορείς καινοτομίας. </w:t>
      </w:r>
      <w:r>
        <w:br w:type="page"/>
      </w:r>
    </w:p>
    <w:p w:rsidR="000E0FE4" w:rsidRDefault="000E0FE4" w:rsidP="000E0FE4">
      <w:pPr>
        <w:ind w:left="720"/>
        <w:mirrorIndents/>
        <w:rPr>
          <w:szCs w:val="20"/>
        </w:rPr>
        <w:sectPr w:rsidR="000E0FE4" w:rsidSect="001F6F07">
          <w:headerReference w:type="first" r:id="rId100"/>
          <w:pgSz w:w="11907" w:h="16840" w:code="9"/>
          <w:pgMar w:top="1440" w:right="1440" w:bottom="1134" w:left="1440" w:header="567" w:footer="1020" w:gutter="0"/>
          <w:cols w:space="708"/>
          <w:titlePg/>
          <w:docGrid w:linePitch="435"/>
        </w:sectPr>
      </w:pPr>
    </w:p>
    <w:p w:rsidR="00E05D08" w:rsidRPr="00E05D08" w:rsidRDefault="00BA450C" w:rsidP="00E05D08">
      <w:pPr>
        <w:keepNext/>
        <w:keepLines/>
        <w:tabs>
          <w:tab w:val="left" w:pos="680"/>
        </w:tabs>
        <w:spacing w:before="240" w:after="240" w:line="280" w:lineRule="atLeast"/>
        <w:mirrorIndents/>
        <w:outlineLvl w:val="3"/>
        <w:rPr>
          <w:rFonts w:eastAsia="Times New Roman" w:cs="Times New Roman"/>
          <w:b/>
          <w:color w:val="57825E"/>
          <w:szCs w:val="20"/>
        </w:rPr>
      </w:pPr>
      <w:r>
        <w:rPr>
          <w:rFonts w:eastAsia="Times New Roman" w:cs="Times New Roman"/>
          <w:b/>
          <w:noProof/>
          <w:color w:val="57825E"/>
          <w:sz w:val="18"/>
          <w:szCs w:val="24"/>
          <w:lang w:val="en-GB" w:eastAsia="en-GB"/>
        </w:rPr>
        <w:lastRenderedPageBreak/>
        <mc:AlternateContent>
          <mc:Choice Requires="wps">
            <w:drawing>
              <wp:anchor distT="0" distB="0" distL="114300" distR="114300" simplePos="0" relativeHeight="251649536" behindDoc="0" locked="0" layoutInCell="1" allowOverlap="1" wp14:anchorId="2604CA04" wp14:editId="29E715E4">
                <wp:simplePos x="0" y="0"/>
                <wp:positionH relativeFrom="column">
                  <wp:posOffset>-57150</wp:posOffset>
                </wp:positionH>
                <wp:positionV relativeFrom="paragraph">
                  <wp:posOffset>323850</wp:posOffset>
                </wp:positionV>
                <wp:extent cx="5811864" cy="4143375"/>
                <wp:effectExtent l="0" t="0" r="17780" b="28575"/>
                <wp:wrapNone/>
                <wp:docPr id="582" name="Rectangle: Diagonal Corners Rounded 582"/>
                <wp:cNvGraphicFramePr/>
                <a:graphic xmlns:a="http://schemas.openxmlformats.org/drawingml/2006/main">
                  <a:graphicData uri="http://schemas.microsoft.com/office/word/2010/wordprocessingShape">
                    <wps:wsp>
                      <wps:cNvSpPr/>
                      <wps:spPr>
                        <a:xfrm>
                          <a:off x="0" y="0"/>
                          <a:ext cx="5811864" cy="4143375"/>
                        </a:xfrm>
                        <a:prstGeom prst="round2DiagRect">
                          <a:avLst>
                            <a:gd name="adj1" fmla="val 6996"/>
                            <a:gd name="adj2" fmla="val 0"/>
                          </a:avLst>
                        </a:prstGeom>
                        <a:noFill/>
                        <a:ln w="25400" cap="flat" cmpd="sng" algn="ctr">
                          <a:solidFill>
                            <a:srgbClr val="59638E"/>
                          </a:solidFill>
                          <a:prstDash val="solid"/>
                        </a:ln>
                        <a:effectLst/>
                      </wps:spPr>
                      <wps:txbx>
                        <w:txbxContent>
                          <w:p w:rsidR="00272EFF" w:rsidRDefault="00272EFF" w:rsidP="00BA450C">
                            <w:pPr>
                              <w:pStyle w:val="HStandard"/>
                              <w:rPr>
                                <w:sz w:val="18"/>
                                <w:szCs w:val="18"/>
                              </w:rPr>
                            </w:pPr>
                            <w:r>
                              <w:rPr>
                                <w:noProof/>
                                <w:lang w:val="en-GB" w:eastAsia="en-GB"/>
                              </w:rPr>
                              <w:drawing>
                                <wp:inline distT="0" distB="0" distL="0" distR="0" wp14:anchorId="065EB8B8" wp14:editId="7AE11DDE">
                                  <wp:extent cx="360465" cy="360000"/>
                                  <wp:effectExtent l="0" t="0" r="1905" b="2540"/>
                                  <wp:docPr id="760"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272EFF" w:rsidRPr="002F229A" w:rsidRDefault="00272EFF" w:rsidP="00BA450C">
                            <w:pPr>
                              <w:pStyle w:val="HStandard"/>
                              <w:rPr>
                                <w:sz w:val="18"/>
                                <w:szCs w:val="18"/>
                                <w:lang w:val="en-GB"/>
                              </w:rPr>
                            </w:pPr>
                            <w:r w:rsidRPr="002F229A">
                              <w:rPr>
                                <w:sz w:val="18"/>
                                <w:szCs w:val="18"/>
                                <w:lang w:val="en-GB"/>
                              </w:rPr>
                              <w:t xml:space="preserve">Allen, I.E. and Seaman, C.A. (2007). </w:t>
                            </w:r>
                            <w:hyperlink r:id="rId101" w:history="1">
                              <w:r w:rsidRPr="002F229A">
                                <w:rPr>
                                  <w:rStyle w:val="Hyperlink"/>
                                  <w:sz w:val="18"/>
                                  <w:szCs w:val="18"/>
                                  <w:lang w:val="en-GB"/>
                                </w:rPr>
                                <w:t>Likert scales and data analyses</w:t>
                              </w:r>
                            </w:hyperlink>
                            <w:r w:rsidRPr="002F229A">
                              <w:rPr>
                                <w:sz w:val="18"/>
                                <w:szCs w:val="18"/>
                                <w:lang w:val="en-GB"/>
                              </w:rPr>
                              <w:t xml:space="preserve">. Quality progress, 40(7), </w:t>
                            </w:r>
                            <w:r>
                              <w:rPr>
                                <w:sz w:val="18"/>
                                <w:szCs w:val="18"/>
                              </w:rPr>
                              <w:t>σ</w:t>
                            </w:r>
                            <w:r w:rsidRPr="002F229A">
                              <w:rPr>
                                <w:sz w:val="18"/>
                                <w:szCs w:val="18"/>
                                <w:lang w:val="en-GB"/>
                              </w:rPr>
                              <w:t>.64.</w:t>
                            </w:r>
                          </w:p>
                          <w:p w:rsidR="00272EFF" w:rsidRPr="002F229A" w:rsidRDefault="00272EFF" w:rsidP="00BA450C">
                            <w:pPr>
                              <w:pStyle w:val="HStandard"/>
                              <w:jc w:val="left"/>
                              <w:rPr>
                                <w:sz w:val="18"/>
                                <w:szCs w:val="18"/>
                                <w:lang w:val="en-GB"/>
                              </w:rPr>
                            </w:pPr>
                            <w:r w:rsidRPr="002F229A">
                              <w:rPr>
                                <w:sz w:val="18"/>
                                <w:szCs w:val="18"/>
                                <w:lang w:val="en-GB"/>
                              </w:rPr>
                              <w:t>Collier, D., 2011. «</w:t>
                            </w:r>
                            <w:hyperlink r:id="rId102" w:history="1">
                              <w:r w:rsidRPr="002F229A">
                                <w:rPr>
                                  <w:rStyle w:val="Hyperlink"/>
                                  <w:sz w:val="18"/>
                                  <w:szCs w:val="18"/>
                                  <w:lang w:val="en-GB"/>
                                </w:rPr>
                                <w:t>Understanding process tracing.</w:t>
                              </w:r>
                            </w:hyperlink>
                            <w:r w:rsidRPr="002F229A">
                              <w:rPr>
                                <w:sz w:val="18"/>
                                <w:szCs w:val="18"/>
                                <w:lang w:val="en-GB"/>
                              </w:rPr>
                              <w:t>» PS: Political Science &amp; Politics 44.04: 823 -830.</w:t>
                            </w:r>
                          </w:p>
                          <w:p w:rsidR="00272EFF" w:rsidRPr="002F229A" w:rsidRDefault="00272EFF" w:rsidP="00BA450C">
                            <w:pPr>
                              <w:pStyle w:val="HStandard"/>
                              <w:jc w:val="left"/>
                              <w:rPr>
                                <w:sz w:val="18"/>
                                <w:szCs w:val="18"/>
                                <w:lang w:val="en-GB"/>
                              </w:rPr>
                            </w:pPr>
                            <w:r w:rsidRPr="002F229A">
                              <w:rPr>
                                <w:sz w:val="18"/>
                                <w:szCs w:val="18"/>
                                <w:lang w:val="en-GB"/>
                              </w:rPr>
                              <w:t xml:space="preserve">Douthwaite, B. and Ashby, J., 2005. Innovation histories: a method from learning from experience. Institutional Learning and Change Initiative. </w:t>
                            </w:r>
                            <w:r>
                              <w:rPr>
                                <w:sz w:val="18"/>
                                <w:szCs w:val="18"/>
                              </w:rPr>
                              <w:t>Ημερομηνία</w:t>
                            </w:r>
                            <w:r w:rsidRPr="002F229A">
                              <w:rPr>
                                <w:sz w:val="18"/>
                                <w:szCs w:val="18"/>
                                <w:lang w:val="en-GB"/>
                              </w:rPr>
                              <w:t xml:space="preserve"> </w:t>
                            </w:r>
                            <w:r>
                              <w:rPr>
                                <w:sz w:val="18"/>
                                <w:szCs w:val="18"/>
                              </w:rPr>
                              <w:t>προσπέλασης</w:t>
                            </w:r>
                            <w:r w:rsidRPr="002F229A">
                              <w:rPr>
                                <w:sz w:val="18"/>
                                <w:szCs w:val="18"/>
                                <w:lang w:val="en-GB"/>
                              </w:rPr>
                              <w:t xml:space="preserve">: 15 </w:t>
                            </w:r>
                            <w:r>
                              <w:rPr>
                                <w:sz w:val="18"/>
                                <w:szCs w:val="18"/>
                              </w:rPr>
                              <w:t>Μαΐου</w:t>
                            </w:r>
                            <w:r w:rsidRPr="002F229A">
                              <w:rPr>
                                <w:sz w:val="18"/>
                                <w:szCs w:val="18"/>
                                <w:lang w:val="en-GB"/>
                              </w:rPr>
                              <w:t xml:space="preserve">, </w:t>
                            </w:r>
                            <w:r>
                              <w:rPr>
                                <w:sz w:val="18"/>
                                <w:szCs w:val="18"/>
                              </w:rPr>
                              <w:t>από</w:t>
                            </w:r>
                            <w:r w:rsidRPr="002F229A">
                              <w:rPr>
                                <w:sz w:val="18"/>
                                <w:szCs w:val="18"/>
                                <w:lang w:val="en-GB"/>
                              </w:rPr>
                              <w:t xml:space="preserve">: </w:t>
                            </w:r>
                            <w:hyperlink r:id="rId103" w:history="1">
                              <w:r w:rsidRPr="002F229A">
                                <w:rPr>
                                  <w:rStyle w:val="Hyperlink"/>
                                  <w:sz w:val="18"/>
                                  <w:szCs w:val="18"/>
                                  <w:lang w:val="en-GB"/>
                                </w:rPr>
                                <w:t>http://ageconsearch.umn.edu/bitstream/52515/2/ILAC_Brief05_Histories.pdf</w:t>
                              </w:r>
                            </w:hyperlink>
                          </w:p>
                          <w:p w:rsidR="00272EFF" w:rsidRPr="002F229A" w:rsidRDefault="00272EFF" w:rsidP="00BA450C">
                            <w:pPr>
                              <w:pStyle w:val="HStandard"/>
                              <w:jc w:val="left"/>
                              <w:rPr>
                                <w:sz w:val="18"/>
                                <w:szCs w:val="18"/>
                                <w:lang w:val="en-GB"/>
                              </w:rPr>
                            </w:pPr>
                            <w:r w:rsidRPr="002F229A">
                              <w:rPr>
                                <w:sz w:val="18"/>
                                <w:szCs w:val="18"/>
                                <w:lang w:val="en-GB"/>
                              </w:rPr>
                              <w:t xml:space="preserve">GAO (General Accounts Office) (1987) </w:t>
                            </w:r>
                            <w:hyperlink r:id="rId104" w:history="1">
                              <w:r w:rsidRPr="002F229A">
                                <w:rPr>
                                  <w:rStyle w:val="Hyperlink"/>
                                  <w:sz w:val="18"/>
                                  <w:szCs w:val="18"/>
                                  <w:lang w:val="en-GB"/>
                                </w:rPr>
                                <w:t>Case study evaluation.</w:t>
                              </w:r>
                            </w:hyperlink>
                            <w:hyperlink r:id="rId105" w:history="1">
                              <w:r w:rsidRPr="002F229A">
                                <w:rPr>
                                  <w:rStyle w:val="Hyperlink"/>
                                  <w:sz w:val="18"/>
                                  <w:szCs w:val="18"/>
                                  <w:lang w:val="en-GB"/>
                                </w:rPr>
                                <w:t xml:space="preserve"> Program Evaluation and Methodology</w:t>
                              </w:r>
                            </w:hyperlink>
                            <w:r w:rsidRPr="002F229A">
                              <w:rPr>
                                <w:sz w:val="18"/>
                                <w:szCs w:val="18"/>
                                <w:lang w:val="en-GB"/>
                              </w:rPr>
                              <w:t>. Division, Transfer Paper 9. Washington DC: GAO.</w:t>
                            </w:r>
                          </w:p>
                          <w:p w:rsidR="00272EFF" w:rsidRPr="002F229A" w:rsidRDefault="00272EFF" w:rsidP="00BA450C">
                            <w:pPr>
                              <w:pStyle w:val="HStandard"/>
                              <w:jc w:val="left"/>
                              <w:rPr>
                                <w:sz w:val="18"/>
                                <w:szCs w:val="18"/>
                                <w:lang w:val="en-GB"/>
                              </w:rPr>
                            </w:pPr>
                            <w:r w:rsidRPr="002F229A">
                              <w:rPr>
                                <w:sz w:val="18"/>
                                <w:szCs w:val="18"/>
                                <w:lang w:val="en-GB"/>
                              </w:rPr>
                              <w:t xml:space="preserve">Hilton, D.J., 1996. </w:t>
                            </w:r>
                            <w:hyperlink r:id="rId106" w:history="1">
                              <w:r w:rsidRPr="002F229A">
                                <w:rPr>
                                  <w:rStyle w:val="Hyperlink"/>
                                  <w:sz w:val="18"/>
                                  <w:szCs w:val="18"/>
                                  <w:lang w:val="en-GB"/>
                                </w:rPr>
                                <w:t>Mental models and causal explanation:</w:t>
                              </w:r>
                            </w:hyperlink>
                            <w:hyperlink r:id="rId107" w:history="1">
                              <w:r w:rsidRPr="002F229A">
                                <w:rPr>
                                  <w:rStyle w:val="Hyperlink"/>
                                  <w:sz w:val="18"/>
                                  <w:szCs w:val="18"/>
                                  <w:lang w:val="en-GB"/>
                                </w:rPr>
                                <w:t xml:space="preserve"> Judgments of probable cause and explanatory relevance</w:t>
                              </w:r>
                            </w:hyperlink>
                            <w:r w:rsidRPr="002F229A">
                              <w:rPr>
                                <w:sz w:val="18"/>
                                <w:szCs w:val="18"/>
                                <w:lang w:val="en-GB"/>
                              </w:rPr>
                              <w:t xml:space="preserve">. Thinking &amp; Reasoning, 2(4), </w:t>
                            </w:r>
                            <w:r>
                              <w:rPr>
                                <w:sz w:val="18"/>
                                <w:szCs w:val="18"/>
                              </w:rPr>
                              <w:t>σ</w:t>
                            </w:r>
                            <w:r w:rsidRPr="002F229A">
                              <w:rPr>
                                <w:sz w:val="18"/>
                                <w:szCs w:val="18"/>
                                <w:lang w:val="en-GB"/>
                              </w:rPr>
                              <w:t>.273-308.</w:t>
                            </w:r>
                          </w:p>
                          <w:p w:rsidR="00272EFF" w:rsidRPr="002F229A" w:rsidRDefault="00272EFF" w:rsidP="00BA450C">
                            <w:pPr>
                              <w:pStyle w:val="HStandard"/>
                              <w:jc w:val="left"/>
                              <w:rPr>
                                <w:sz w:val="18"/>
                                <w:szCs w:val="18"/>
                                <w:lang w:val="en-GB"/>
                              </w:rPr>
                            </w:pPr>
                            <w:r w:rsidRPr="002F229A">
                              <w:rPr>
                                <w:sz w:val="18"/>
                                <w:szCs w:val="18"/>
                                <w:lang w:val="en-GB"/>
                              </w:rPr>
                              <w:t xml:space="preserve">Mayne, J., 2012. </w:t>
                            </w:r>
                            <w:hyperlink r:id="rId108" w:history="1">
                              <w:r w:rsidRPr="002F229A">
                                <w:rPr>
                                  <w:rStyle w:val="Hyperlink"/>
                                  <w:sz w:val="18"/>
                                  <w:szCs w:val="18"/>
                                  <w:lang w:val="en-GB"/>
                                </w:rPr>
                                <w:t>Contribution analysis:</w:t>
                              </w:r>
                            </w:hyperlink>
                            <w:hyperlink r:id="rId109" w:history="1">
                              <w:r w:rsidRPr="002F229A">
                                <w:rPr>
                                  <w:rStyle w:val="Hyperlink"/>
                                  <w:sz w:val="18"/>
                                  <w:szCs w:val="18"/>
                                  <w:lang w:val="en-GB"/>
                                </w:rPr>
                                <w:t xml:space="preserve"> Coming of age? </w:t>
                              </w:r>
                            </w:hyperlink>
                            <w:r w:rsidRPr="002F229A">
                              <w:rPr>
                                <w:sz w:val="18"/>
                                <w:szCs w:val="18"/>
                                <w:lang w:val="en-GB"/>
                              </w:rPr>
                              <w:t>Evaluation 18.3 (2012): 270 -280.</w:t>
                            </w:r>
                          </w:p>
                          <w:p w:rsidR="00272EFF" w:rsidRPr="002F229A" w:rsidRDefault="00272EFF" w:rsidP="00BA450C">
                            <w:pPr>
                              <w:pStyle w:val="HStandard"/>
                              <w:jc w:val="left"/>
                              <w:rPr>
                                <w:sz w:val="18"/>
                                <w:szCs w:val="18"/>
                                <w:lang w:val="en-GB"/>
                              </w:rPr>
                            </w:pPr>
                            <w:r w:rsidRPr="002F229A">
                              <w:rPr>
                                <w:sz w:val="18"/>
                                <w:szCs w:val="18"/>
                                <w:lang w:val="en-GB"/>
                              </w:rPr>
                              <w:t xml:space="preserve">Pawson, R., Greenhalgh, T., Harvey, G. and Walshe, K., 2005. </w:t>
                            </w:r>
                            <w:hyperlink r:id="rId110" w:history="1">
                              <w:r w:rsidRPr="002F229A">
                                <w:rPr>
                                  <w:rStyle w:val="Hyperlink"/>
                                  <w:sz w:val="18"/>
                                  <w:szCs w:val="18"/>
                                  <w:lang w:val="en-GB"/>
                                </w:rPr>
                                <w:t>Realist review–a new method of systematic review designed for complex policy interventions.</w:t>
                              </w:r>
                            </w:hyperlink>
                            <w:r w:rsidRPr="002F229A">
                              <w:rPr>
                                <w:sz w:val="18"/>
                                <w:szCs w:val="18"/>
                                <w:lang w:val="en-GB"/>
                              </w:rPr>
                              <w:t xml:space="preserve"> Journal of health services research &amp; policy, 10 (suppl 1), </w:t>
                            </w:r>
                            <w:r>
                              <w:rPr>
                                <w:sz w:val="18"/>
                                <w:szCs w:val="18"/>
                              </w:rPr>
                              <w:t>σ</w:t>
                            </w:r>
                            <w:r w:rsidRPr="002F229A">
                              <w:rPr>
                                <w:sz w:val="18"/>
                                <w:szCs w:val="18"/>
                                <w:lang w:val="en-GB"/>
                              </w:rPr>
                              <w:t>.21-34.</w:t>
                            </w:r>
                          </w:p>
                          <w:p w:rsidR="00272EFF" w:rsidRPr="002F229A" w:rsidRDefault="00272EFF" w:rsidP="00BA450C">
                            <w:pPr>
                              <w:pStyle w:val="HStandard"/>
                              <w:jc w:val="left"/>
                              <w:rPr>
                                <w:sz w:val="18"/>
                                <w:szCs w:val="18"/>
                                <w:lang w:val="en-GB"/>
                              </w:rPr>
                            </w:pPr>
                            <w:r w:rsidRPr="002F229A">
                              <w:rPr>
                                <w:sz w:val="18"/>
                                <w:szCs w:val="18"/>
                                <w:lang w:val="en-GB"/>
                              </w:rPr>
                              <w:t>Wilson-Grau, R. (2015) </w:t>
                            </w:r>
                            <w:r w:rsidRPr="002F229A">
                              <w:rPr>
                                <w:i/>
                                <w:sz w:val="18"/>
                                <w:szCs w:val="18"/>
                                <w:lang w:val="en-GB"/>
                              </w:rPr>
                              <w:t>Outcome Harvesting</w:t>
                            </w:r>
                            <w:r w:rsidRPr="002F229A">
                              <w:rPr>
                                <w:sz w:val="18"/>
                                <w:szCs w:val="18"/>
                                <w:lang w:val="en-GB"/>
                              </w:rPr>
                              <w:t xml:space="preserve">. Better Evaluation. </w:t>
                            </w:r>
                            <w:r>
                              <w:rPr>
                                <w:sz w:val="18"/>
                                <w:szCs w:val="18"/>
                              </w:rPr>
                              <w:t>Ανάκτηση</w:t>
                            </w:r>
                            <w:r w:rsidRPr="002F229A">
                              <w:rPr>
                                <w:sz w:val="18"/>
                                <w:szCs w:val="18"/>
                                <w:lang w:val="en-GB"/>
                              </w:rPr>
                              <w:t xml:space="preserve"> </w:t>
                            </w:r>
                            <w:r>
                              <w:rPr>
                                <w:sz w:val="18"/>
                                <w:szCs w:val="18"/>
                              </w:rPr>
                              <w:t>από</w:t>
                            </w:r>
                            <w:r w:rsidRPr="002F229A">
                              <w:rPr>
                                <w:sz w:val="18"/>
                                <w:szCs w:val="18"/>
                                <w:lang w:val="en-GB"/>
                              </w:rPr>
                              <w:t> </w:t>
                            </w:r>
                            <w:hyperlink r:id="rId111" w:history="1">
                              <w:r w:rsidRPr="002F229A">
                                <w:rPr>
                                  <w:rStyle w:val="Hyperlink"/>
                                  <w:sz w:val="18"/>
                                  <w:szCs w:val="18"/>
                                  <w:lang w:val="en-GB"/>
                                </w:rPr>
                                <w:t>http://betterevaluation.org/plan/approach/outcome_harvesting</w:t>
                              </w:r>
                            </w:hyperlink>
                            <w:r w:rsidRPr="002F229A">
                              <w:rPr>
                                <w:sz w:val="18"/>
                                <w:szCs w:val="18"/>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4CA04" id="Rectangle: Diagonal Corners Rounded 582" o:spid="_x0000_s1059" style="position:absolute;left:0;text-align:left;margin-left:-4.5pt;margin-top:25.5pt;width:457.65pt;height:326.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864,414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" adj="-11796480,,5400" path="m289871,l5811864,r,l5811864,3853504v,160091,-129780,289871,-289871,289871l,4143375r,l,289871c,129780,129780,,289871,xe" filled="f" strokecolor="#59638e" strokeweight="2pt">
                <v:stroke joinstyle="miter"/>
                <v:formulas/>
                <v:path arrowok="t" o:connecttype="custom" o:connectlocs="289871,0;5811864,0;5811864,0;5811864,3853504;5521993,4143375;0,4143375;0,4143375;0,289871;289871,0" o:connectangles="0,0,0,0,0,0,0,0,0" textboxrect="0,0,5811864,4143375"/>
                <v:textbox>
                  <w:txbxContent>
                    <w:p w:rsidR="00272EFF" w:rsidRDefault="00272EFF" w:rsidP="00BA450C">
                      <w:pPr>
                        <w:pStyle w:val="HStandard"/>
                        <w:rPr>
                          <w:sz w:val="18"/>
                          <w:szCs w:val="18"/>
                        </w:rPr>
                      </w:pPr>
                      <w:r>
                        <w:rPr>
                          <w:noProof/>
                          <w:lang w:val="en-GB" w:eastAsia="en-GB"/>
                        </w:rPr>
                        <w:drawing>
                          <wp:inline distT="0" distB="0" distL="0" distR="0" wp14:anchorId="065EB8B8" wp14:editId="7AE11DDE">
                            <wp:extent cx="360465" cy="360000"/>
                            <wp:effectExtent l="0" t="0" r="1905" b="2540"/>
                            <wp:docPr id="760"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0">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272EFF" w:rsidRPr="002F229A" w:rsidRDefault="00272EFF" w:rsidP="00BA450C">
                      <w:pPr>
                        <w:pStyle w:val="HStandard"/>
                        <w:rPr>
                          <w:sz w:val="18"/>
                          <w:szCs w:val="18"/>
                          <w:lang w:val="en-GB"/>
                        </w:rPr>
                      </w:pPr>
                      <w:r w:rsidRPr="002F229A">
                        <w:rPr>
                          <w:sz w:val="18"/>
                          <w:szCs w:val="18"/>
                          <w:lang w:val="en-GB"/>
                        </w:rPr>
                        <w:t xml:space="preserve">Allen, I.E. and Seaman, C.A. (2007). </w:t>
                      </w:r>
                      <w:hyperlink r:id="rId112" w:history="1">
                        <w:r w:rsidRPr="002F229A">
                          <w:rPr>
                            <w:rStyle w:val="Hyperlink"/>
                            <w:sz w:val="18"/>
                            <w:szCs w:val="18"/>
                            <w:lang w:val="en-GB"/>
                          </w:rPr>
                          <w:t>Likert scales and data analyses</w:t>
                        </w:r>
                      </w:hyperlink>
                      <w:r w:rsidRPr="002F229A">
                        <w:rPr>
                          <w:sz w:val="18"/>
                          <w:szCs w:val="18"/>
                          <w:lang w:val="en-GB"/>
                        </w:rPr>
                        <w:t xml:space="preserve">. Quality progress, 40(7), </w:t>
                      </w:r>
                      <w:r>
                        <w:rPr>
                          <w:sz w:val="18"/>
                          <w:szCs w:val="18"/>
                        </w:rPr>
                        <w:t>σ</w:t>
                      </w:r>
                      <w:r w:rsidRPr="002F229A">
                        <w:rPr>
                          <w:sz w:val="18"/>
                          <w:szCs w:val="18"/>
                          <w:lang w:val="en-GB"/>
                        </w:rPr>
                        <w:t>.64.</w:t>
                      </w:r>
                    </w:p>
                    <w:p w:rsidR="00272EFF" w:rsidRPr="002F229A" w:rsidRDefault="00272EFF" w:rsidP="00BA450C">
                      <w:pPr>
                        <w:pStyle w:val="HStandard"/>
                        <w:jc w:val="left"/>
                        <w:rPr>
                          <w:sz w:val="18"/>
                          <w:szCs w:val="18"/>
                          <w:lang w:val="en-GB"/>
                        </w:rPr>
                      </w:pPr>
                      <w:r w:rsidRPr="002F229A">
                        <w:rPr>
                          <w:sz w:val="18"/>
                          <w:szCs w:val="18"/>
                          <w:lang w:val="en-GB"/>
                        </w:rPr>
                        <w:t>Collier, D., 2011. «</w:t>
                      </w:r>
                      <w:hyperlink r:id="rId113" w:history="1">
                        <w:r w:rsidRPr="002F229A">
                          <w:rPr>
                            <w:rStyle w:val="Hyperlink"/>
                            <w:sz w:val="18"/>
                            <w:szCs w:val="18"/>
                            <w:lang w:val="en-GB"/>
                          </w:rPr>
                          <w:t>Understanding process tracing.</w:t>
                        </w:r>
                      </w:hyperlink>
                      <w:r w:rsidRPr="002F229A">
                        <w:rPr>
                          <w:sz w:val="18"/>
                          <w:szCs w:val="18"/>
                          <w:lang w:val="en-GB"/>
                        </w:rPr>
                        <w:t>» PS: Political Science &amp; Politics 44.04: 823 -830.</w:t>
                      </w:r>
                    </w:p>
                    <w:p w:rsidR="00272EFF" w:rsidRPr="002F229A" w:rsidRDefault="00272EFF" w:rsidP="00BA450C">
                      <w:pPr>
                        <w:pStyle w:val="HStandard"/>
                        <w:jc w:val="left"/>
                        <w:rPr>
                          <w:sz w:val="18"/>
                          <w:szCs w:val="18"/>
                          <w:lang w:val="en-GB"/>
                        </w:rPr>
                      </w:pPr>
                      <w:r w:rsidRPr="002F229A">
                        <w:rPr>
                          <w:sz w:val="18"/>
                          <w:szCs w:val="18"/>
                          <w:lang w:val="en-GB"/>
                        </w:rPr>
                        <w:t xml:space="preserve">Douthwaite, B. and Ashby, J., 2005. Innovation histories: a method from learning from experience. Institutional Learning and Change Initiative. </w:t>
                      </w:r>
                      <w:r>
                        <w:rPr>
                          <w:sz w:val="18"/>
                          <w:szCs w:val="18"/>
                        </w:rPr>
                        <w:t>Ημερομηνία</w:t>
                      </w:r>
                      <w:r w:rsidRPr="002F229A">
                        <w:rPr>
                          <w:sz w:val="18"/>
                          <w:szCs w:val="18"/>
                          <w:lang w:val="en-GB"/>
                        </w:rPr>
                        <w:t xml:space="preserve"> </w:t>
                      </w:r>
                      <w:r>
                        <w:rPr>
                          <w:sz w:val="18"/>
                          <w:szCs w:val="18"/>
                        </w:rPr>
                        <w:t>προσπέλασης</w:t>
                      </w:r>
                      <w:r w:rsidRPr="002F229A">
                        <w:rPr>
                          <w:sz w:val="18"/>
                          <w:szCs w:val="18"/>
                          <w:lang w:val="en-GB"/>
                        </w:rPr>
                        <w:t xml:space="preserve">: 15 </w:t>
                      </w:r>
                      <w:r>
                        <w:rPr>
                          <w:sz w:val="18"/>
                          <w:szCs w:val="18"/>
                        </w:rPr>
                        <w:t>Μαΐου</w:t>
                      </w:r>
                      <w:r w:rsidRPr="002F229A">
                        <w:rPr>
                          <w:sz w:val="18"/>
                          <w:szCs w:val="18"/>
                          <w:lang w:val="en-GB"/>
                        </w:rPr>
                        <w:t xml:space="preserve">, </w:t>
                      </w:r>
                      <w:r>
                        <w:rPr>
                          <w:sz w:val="18"/>
                          <w:szCs w:val="18"/>
                        </w:rPr>
                        <w:t>από</w:t>
                      </w:r>
                      <w:r w:rsidRPr="002F229A">
                        <w:rPr>
                          <w:sz w:val="18"/>
                          <w:szCs w:val="18"/>
                          <w:lang w:val="en-GB"/>
                        </w:rPr>
                        <w:t xml:space="preserve">: </w:t>
                      </w:r>
                      <w:hyperlink r:id="rId114" w:history="1">
                        <w:r w:rsidRPr="002F229A">
                          <w:rPr>
                            <w:rStyle w:val="Hyperlink"/>
                            <w:sz w:val="18"/>
                            <w:szCs w:val="18"/>
                            <w:lang w:val="en-GB"/>
                          </w:rPr>
                          <w:t>http://ageconsearch.umn.edu/bitstream/52515/2/ILAC_Brief05_Histories.pdf</w:t>
                        </w:r>
                      </w:hyperlink>
                    </w:p>
                    <w:p w:rsidR="00272EFF" w:rsidRPr="002F229A" w:rsidRDefault="00272EFF" w:rsidP="00BA450C">
                      <w:pPr>
                        <w:pStyle w:val="HStandard"/>
                        <w:jc w:val="left"/>
                        <w:rPr>
                          <w:sz w:val="18"/>
                          <w:szCs w:val="18"/>
                          <w:lang w:val="en-GB"/>
                        </w:rPr>
                      </w:pPr>
                      <w:r w:rsidRPr="002F229A">
                        <w:rPr>
                          <w:sz w:val="18"/>
                          <w:szCs w:val="18"/>
                          <w:lang w:val="en-GB"/>
                        </w:rPr>
                        <w:t xml:space="preserve">GAO (General Accounts Office) (1987) </w:t>
                      </w:r>
                      <w:hyperlink r:id="rId115" w:history="1">
                        <w:r w:rsidRPr="002F229A">
                          <w:rPr>
                            <w:rStyle w:val="Hyperlink"/>
                            <w:sz w:val="18"/>
                            <w:szCs w:val="18"/>
                            <w:lang w:val="en-GB"/>
                          </w:rPr>
                          <w:t>Case study evaluation.</w:t>
                        </w:r>
                      </w:hyperlink>
                      <w:hyperlink r:id="rId116" w:history="1">
                        <w:r w:rsidRPr="002F229A">
                          <w:rPr>
                            <w:rStyle w:val="Hyperlink"/>
                            <w:sz w:val="18"/>
                            <w:szCs w:val="18"/>
                            <w:lang w:val="en-GB"/>
                          </w:rPr>
                          <w:t xml:space="preserve"> Program Evaluation and Methodology</w:t>
                        </w:r>
                      </w:hyperlink>
                      <w:r w:rsidRPr="002F229A">
                        <w:rPr>
                          <w:sz w:val="18"/>
                          <w:szCs w:val="18"/>
                          <w:lang w:val="en-GB"/>
                        </w:rPr>
                        <w:t>. Division, Transfer Paper 9. Washington DC: GAO.</w:t>
                      </w:r>
                    </w:p>
                    <w:p w:rsidR="00272EFF" w:rsidRPr="002F229A" w:rsidRDefault="00272EFF" w:rsidP="00BA450C">
                      <w:pPr>
                        <w:pStyle w:val="HStandard"/>
                        <w:jc w:val="left"/>
                        <w:rPr>
                          <w:sz w:val="18"/>
                          <w:szCs w:val="18"/>
                          <w:lang w:val="en-GB"/>
                        </w:rPr>
                      </w:pPr>
                      <w:r w:rsidRPr="002F229A">
                        <w:rPr>
                          <w:sz w:val="18"/>
                          <w:szCs w:val="18"/>
                          <w:lang w:val="en-GB"/>
                        </w:rPr>
                        <w:t xml:space="preserve">Hilton, D.J., 1996. </w:t>
                      </w:r>
                      <w:hyperlink r:id="rId117" w:history="1">
                        <w:r w:rsidRPr="002F229A">
                          <w:rPr>
                            <w:rStyle w:val="Hyperlink"/>
                            <w:sz w:val="18"/>
                            <w:szCs w:val="18"/>
                            <w:lang w:val="en-GB"/>
                          </w:rPr>
                          <w:t>Mental models and causal explanation:</w:t>
                        </w:r>
                      </w:hyperlink>
                      <w:hyperlink r:id="rId118" w:history="1">
                        <w:r w:rsidRPr="002F229A">
                          <w:rPr>
                            <w:rStyle w:val="Hyperlink"/>
                            <w:sz w:val="18"/>
                            <w:szCs w:val="18"/>
                            <w:lang w:val="en-GB"/>
                          </w:rPr>
                          <w:t xml:space="preserve"> Judgments of probable cause and explanatory relevance</w:t>
                        </w:r>
                      </w:hyperlink>
                      <w:r w:rsidRPr="002F229A">
                        <w:rPr>
                          <w:sz w:val="18"/>
                          <w:szCs w:val="18"/>
                          <w:lang w:val="en-GB"/>
                        </w:rPr>
                        <w:t xml:space="preserve">. Thinking &amp; Reasoning, 2(4), </w:t>
                      </w:r>
                      <w:r>
                        <w:rPr>
                          <w:sz w:val="18"/>
                          <w:szCs w:val="18"/>
                        </w:rPr>
                        <w:t>σ</w:t>
                      </w:r>
                      <w:r w:rsidRPr="002F229A">
                        <w:rPr>
                          <w:sz w:val="18"/>
                          <w:szCs w:val="18"/>
                          <w:lang w:val="en-GB"/>
                        </w:rPr>
                        <w:t>.273-308.</w:t>
                      </w:r>
                    </w:p>
                    <w:p w:rsidR="00272EFF" w:rsidRPr="002F229A" w:rsidRDefault="00272EFF" w:rsidP="00BA450C">
                      <w:pPr>
                        <w:pStyle w:val="HStandard"/>
                        <w:jc w:val="left"/>
                        <w:rPr>
                          <w:sz w:val="18"/>
                          <w:szCs w:val="18"/>
                          <w:lang w:val="en-GB"/>
                        </w:rPr>
                      </w:pPr>
                      <w:r w:rsidRPr="002F229A">
                        <w:rPr>
                          <w:sz w:val="18"/>
                          <w:szCs w:val="18"/>
                          <w:lang w:val="en-GB"/>
                        </w:rPr>
                        <w:t xml:space="preserve">Mayne, J., 2012. </w:t>
                      </w:r>
                      <w:hyperlink r:id="rId119" w:history="1">
                        <w:r w:rsidRPr="002F229A">
                          <w:rPr>
                            <w:rStyle w:val="Hyperlink"/>
                            <w:sz w:val="18"/>
                            <w:szCs w:val="18"/>
                            <w:lang w:val="en-GB"/>
                          </w:rPr>
                          <w:t>Contribution analysis:</w:t>
                        </w:r>
                      </w:hyperlink>
                      <w:hyperlink r:id="rId120" w:history="1">
                        <w:r w:rsidRPr="002F229A">
                          <w:rPr>
                            <w:rStyle w:val="Hyperlink"/>
                            <w:sz w:val="18"/>
                            <w:szCs w:val="18"/>
                            <w:lang w:val="en-GB"/>
                          </w:rPr>
                          <w:t xml:space="preserve"> Coming of age? </w:t>
                        </w:r>
                      </w:hyperlink>
                      <w:r w:rsidRPr="002F229A">
                        <w:rPr>
                          <w:sz w:val="18"/>
                          <w:szCs w:val="18"/>
                          <w:lang w:val="en-GB"/>
                        </w:rPr>
                        <w:t>Evaluation 18.3 (2012): 270 -280.</w:t>
                      </w:r>
                    </w:p>
                    <w:p w:rsidR="00272EFF" w:rsidRPr="002F229A" w:rsidRDefault="00272EFF" w:rsidP="00BA450C">
                      <w:pPr>
                        <w:pStyle w:val="HStandard"/>
                        <w:jc w:val="left"/>
                        <w:rPr>
                          <w:sz w:val="18"/>
                          <w:szCs w:val="18"/>
                          <w:lang w:val="en-GB"/>
                        </w:rPr>
                      </w:pPr>
                      <w:r w:rsidRPr="002F229A">
                        <w:rPr>
                          <w:sz w:val="18"/>
                          <w:szCs w:val="18"/>
                          <w:lang w:val="en-GB"/>
                        </w:rPr>
                        <w:t xml:space="preserve">Pawson, R., Greenhalgh, T., Harvey, G. and Walshe, K., 2005. </w:t>
                      </w:r>
                      <w:hyperlink r:id="rId121" w:history="1">
                        <w:r w:rsidRPr="002F229A">
                          <w:rPr>
                            <w:rStyle w:val="Hyperlink"/>
                            <w:sz w:val="18"/>
                            <w:szCs w:val="18"/>
                            <w:lang w:val="en-GB"/>
                          </w:rPr>
                          <w:t>Realist review–a new method of systematic review designed for complex policy interventions.</w:t>
                        </w:r>
                      </w:hyperlink>
                      <w:r w:rsidRPr="002F229A">
                        <w:rPr>
                          <w:sz w:val="18"/>
                          <w:szCs w:val="18"/>
                          <w:lang w:val="en-GB"/>
                        </w:rPr>
                        <w:t xml:space="preserve"> Journal of health services research &amp; policy, 10 (suppl 1), </w:t>
                      </w:r>
                      <w:r>
                        <w:rPr>
                          <w:sz w:val="18"/>
                          <w:szCs w:val="18"/>
                        </w:rPr>
                        <w:t>σ</w:t>
                      </w:r>
                      <w:r w:rsidRPr="002F229A">
                        <w:rPr>
                          <w:sz w:val="18"/>
                          <w:szCs w:val="18"/>
                          <w:lang w:val="en-GB"/>
                        </w:rPr>
                        <w:t>.21-34.</w:t>
                      </w:r>
                    </w:p>
                    <w:p w:rsidR="00272EFF" w:rsidRPr="002F229A" w:rsidRDefault="00272EFF" w:rsidP="00BA450C">
                      <w:pPr>
                        <w:pStyle w:val="HStandard"/>
                        <w:jc w:val="left"/>
                        <w:rPr>
                          <w:sz w:val="18"/>
                          <w:szCs w:val="18"/>
                          <w:lang w:val="en-GB"/>
                        </w:rPr>
                      </w:pPr>
                      <w:r w:rsidRPr="002F229A">
                        <w:rPr>
                          <w:sz w:val="18"/>
                          <w:szCs w:val="18"/>
                          <w:lang w:val="en-GB"/>
                        </w:rPr>
                        <w:t>Wilson-Grau, R. (2015) </w:t>
                      </w:r>
                      <w:r w:rsidRPr="002F229A">
                        <w:rPr>
                          <w:i/>
                          <w:sz w:val="18"/>
                          <w:szCs w:val="18"/>
                          <w:lang w:val="en-GB"/>
                        </w:rPr>
                        <w:t>Outcome Harvesting</w:t>
                      </w:r>
                      <w:r w:rsidRPr="002F229A">
                        <w:rPr>
                          <w:sz w:val="18"/>
                          <w:szCs w:val="18"/>
                          <w:lang w:val="en-GB"/>
                        </w:rPr>
                        <w:t xml:space="preserve">. Better Evaluation. </w:t>
                      </w:r>
                      <w:r>
                        <w:rPr>
                          <w:sz w:val="18"/>
                          <w:szCs w:val="18"/>
                        </w:rPr>
                        <w:t>Ανάκτηση</w:t>
                      </w:r>
                      <w:r w:rsidRPr="002F229A">
                        <w:rPr>
                          <w:sz w:val="18"/>
                          <w:szCs w:val="18"/>
                          <w:lang w:val="en-GB"/>
                        </w:rPr>
                        <w:t xml:space="preserve"> </w:t>
                      </w:r>
                      <w:r>
                        <w:rPr>
                          <w:sz w:val="18"/>
                          <w:szCs w:val="18"/>
                        </w:rPr>
                        <w:t>από</w:t>
                      </w:r>
                      <w:r w:rsidRPr="002F229A">
                        <w:rPr>
                          <w:sz w:val="18"/>
                          <w:szCs w:val="18"/>
                          <w:lang w:val="en-GB"/>
                        </w:rPr>
                        <w:t> </w:t>
                      </w:r>
                      <w:hyperlink r:id="rId122" w:history="1">
                        <w:r w:rsidRPr="002F229A">
                          <w:rPr>
                            <w:rStyle w:val="Hyperlink"/>
                            <w:sz w:val="18"/>
                            <w:szCs w:val="18"/>
                            <w:lang w:val="en-GB"/>
                          </w:rPr>
                          <w:t>http://betterevaluation.org/plan/approach/outcome_harvesting</w:t>
                        </w:r>
                      </w:hyperlink>
                      <w:r w:rsidRPr="002F229A">
                        <w:rPr>
                          <w:sz w:val="18"/>
                          <w:szCs w:val="18"/>
                          <w:lang w:val="en-GB"/>
                        </w:rPr>
                        <w:t>.</w:t>
                      </w:r>
                    </w:p>
                  </w:txbxContent>
                </v:textbox>
              </v:shape>
            </w:pict>
          </mc:Fallback>
        </mc:AlternateContent>
      </w:r>
      <w:r>
        <w:rPr>
          <w:b/>
          <w:color w:val="57825E"/>
          <w:szCs w:val="20"/>
        </w:rPr>
        <w:t>Περαιτέρω βιβλιογραφία</w:t>
      </w:r>
    </w:p>
    <w:p w:rsidR="00E05D08" w:rsidRDefault="00E05D08" w:rsidP="00E05D08">
      <w:pPr>
        <w:spacing w:after="120" w:line="280" w:lineRule="atLeast"/>
        <w:mirrorIndents/>
        <w:rPr>
          <w:rFonts w:eastAsia="Times New Roman" w:cs="Times New Roman"/>
          <w:szCs w:val="20"/>
          <w:lang w:eastAsia="de-DE"/>
        </w:rPr>
      </w:pPr>
    </w:p>
    <w:p w:rsidR="000E0FE4" w:rsidRDefault="000E0FE4" w:rsidP="0025413B">
      <w:pPr>
        <w:pStyle w:val="HHeading1"/>
        <w:tabs>
          <w:tab w:val="clear" w:pos="567"/>
        </w:tabs>
        <w:sectPr w:rsidR="000E0FE4" w:rsidSect="001F6F07">
          <w:type w:val="continuous"/>
          <w:pgSz w:w="11907" w:h="16840" w:code="9"/>
          <w:pgMar w:top="1440" w:right="1440" w:bottom="1134" w:left="1440" w:header="567" w:footer="1020" w:gutter="0"/>
          <w:cols w:space="708"/>
          <w:titlePg/>
          <w:docGrid w:linePitch="435"/>
        </w:sectPr>
      </w:pPr>
      <w:bookmarkStart w:id="134" w:name="_Toc493151905"/>
      <w:bookmarkStart w:id="135" w:name="_Toc501382136"/>
    </w:p>
    <w:p w:rsidR="00E05D08" w:rsidRPr="00F5230D" w:rsidRDefault="00E05D08" w:rsidP="0025413B">
      <w:pPr>
        <w:pStyle w:val="HHeading1"/>
        <w:tabs>
          <w:tab w:val="clear" w:pos="567"/>
        </w:tabs>
      </w:pPr>
      <w:bookmarkStart w:id="136" w:name="_Toc508964823"/>
      <w:r>
        <w:lastRenderedPageBreak/>
        <w:t>ΠΑΡΑΡΤΗΜΑΤΑ</w:t>
      </w:r>
      <w:bookmarkEnd w:id="134"/>
      <w:bookmarkEnd w:id="135"/>
      <w:bookmarkEnd w:id="136"/>
    </w:p>
    <w:p w:rsidR="00E05D08" w:rsidRPr="009414CC" w:rsidRDefault="00E05D08" w:rsidP="0025413B">
      <w:pPr>
        <w:pStyle w:val="HHeading2"/>
        <w:numPr>
          <w:ilvl w:val="1"/>
          <w:numId w:val="119"/>
        </w:numPr>
        <w:ind w:left="567" w:hanging="567"/>
      </w:pPr>
      <w:bookmarkStart w:id="137" w:name="_Toc476063939"/>
      <w:bookmarkStart w:id="138" w:name="_Toc476064206"/>
      <w:bookmarkStart w:id="139" w:name="_Toc476064501"/>
      <w:bookmarkStart w:id="140" w:name="_Toc476064561"/>
      <w:bookmarkStart w:id="141" w:name="_Toc493151906"/>
      <w:bookmarkStart w:id="142" w:name="_Toc501382137"/>
      <w:bookmarkStart w:id="143" w:name="_Toc508964824"/>
      <w:bookmarkEnd w:id="137"/>
      <w:bookmarkEnd w:id="138"/>
      <w:bookmarkEnd w:id="139"/>
      <w:bookmarkEnd w:id="140"/>
      <w:r>
        <w:t>Γλωσσάριο</w:t>
      </w:r>
      <w:bookmarkEnd w:id="141"/>
      <w:bookmarkEnd w:id="142"/>
      <w:bookmarkEnd w:id="143"/>
    </w:p>
    <w:p w:rsidR="0025413B" w:rsidRDefault="0025413B" w:rsidP="0025413B">
      <w:pPr>
        <w:rPr>
          <w:rFonts w:eastAsia="Arial" w:cs="Arial"/>
          <w:b/>
          <w:color w:val="57825E"/>
          <w:szCs w:val="20"/>
        </w:rPr>
      </w:pPr>
      <w:r>
        <w:rPr>
          <w:b/>
          <w:color w:val="57825E"/>
          <w:szCs w:val="20"/>
        </w:rPr>
        <w:t>Συνεργατικός σχηματισμός (cluster)</w:t>
      </w:r>
    </w:p>
    <w:p w:rsidR="0025413B" w:rsidRDefault="0025413B" w:rsidP="0025413B">
      <w:pPr>
        <w:rPr>
          <w:rFonts w:cs="Arial"/>
          <w:color w:val="404040" w:themeColor="background1" w:themeShade="40"/>
          <w:szCs w:val="20"/>
        </w:rPr>
      </w:pPr>
      <w:r>
        <w:rPr>
          <w:color w:val="404040" w:themeColor="background1" w:themeShade="40"/>
          <w:szCs w:val="20"/>
        </w:rPr>
        <w:t>Ομάδα ανεξάρτητων επιχειρήσεων — νεοφυείς, μικρές, μεσαίες και μεγάλες επιχειρήσεις, καθώς και συμβουλευτικοί φορείς και/ή ερευνητικοί οργανισμοί — που έχουν στόχο να τονώσουν την οικονομική/καινοτόμο δραστηριότητα, προωθώντας εντατικές αλληλεπιδράσεις, από κοινού χρήση εγκαταστάσεων και ανταλλαγή γνώσεων και τεχνογνωσίας και συμβάλλοντας αποτελεσματικά στη μεταφορά γνώσεων, τη δικτύωση και τη διάδοση πληροφοριών μεταξύ των επιχειρήσεων του σχηματισμού.</w:t>
      </w:r>
    </w:p>
    <w:p w:rsidR="0025413B" w:rsidRPr="00D5702B" w:rsidRDefault="0025413B" w:rsidP="0025413B">
      <w:pPr>
        <w:jc w:val="left"/>
        <w:rPr>
          <w:rFonts w:eastAsia="Times New Roman" w:cs="Arial"/>
          <w:i/>
          <w:color w:val="404040" w:themeColor="background1" w:themeShade="40"/>
          <w:sz w:val="16"/>
          <w:szCs w:val="16"/>
        </w:rPr>
      </w:pPr>
      <w:r>
        <w:rPr>
          <w:i/>
          <w:color w:val="404040" w:themeColor="background1" w:themeShade="40"/>
          <w:sz w:val="16"/>
          <w:szCs w:val="16"/>
          <w:u w:val="single"/>
        </w:rPr>
        <w:t>Παραπομπή</w:t>
      </w:r>
      <w:r>
        <w:rPr>
          <w:i/>
          <w:color w:val="404040" w:themeColor="background1" w:themeShade="40"/>
          <w:sz w:val="16"/>
          <w:szCs w:val="16"/>
        </w:rPr>
        <w:t xml:space="preserve">: Έγγραφο καθοδήγησης «“Co-operation” measure» (Μέτρο «Συνεργασία»), Νοέμβριος 2014: </w:t>
      </w:r>
      <w:hyperlink r:id="rId123" w:history="1">
        <w:r>
          <w:rPr>
            <w:rStyle w:val="Hyperlink"/>
            <w:i/>
            <w:szCs w:val="16"/>
          </w:rPr>
          <w:t>http://ec.europa.eu/eip/agriculture/sites/agri-eip/files/16_measure_fiche_art_35_co-operation.pdf</w:t>
        </w:r>
      </w:hyperlink>
    </w:p>
    <w:p w:rsidR="0025413B" w:rsidRPr="009125CD" w:rsidRDefault="0025413B" w:rsidP="0025413B">
      <w:pPr>
        <w:rPr>
          <w:rFonts w:eastAsia="Arial" w:cs="Arial"/>
          <w:b/>
          <w:color w:val="57825E"/>
          <w:szCs w:val="20"/>
        </w:rPr>
      </w:pPr>
      <w:r>
        <w:rPr>
          <w:b/>
          <w:color w:val="57825E"/>
          <w:szCs w:val="20"/>
        </w:rPr>
        <w:t>Ευνοϊκό αποτέλεσμα</w:t>
      </w:r>
    </w:p>
    <w:p w:rsidR="0025413B" w:rsidRDefault="0025413B" w:rsidP="0025413B">
      <w:pPr>
        <w:rPr>
          <w:rFonts w:cs="Arial"/>
          <w:color w:val="404040" w:themeColor="background1" w:themeShade="40"/>
          <w:szCs w:val="20"/>
        </w:rPr>
      </w:pPr>
      <w:r>
        <w:rPr>
          <w:color w:val="404040" w:themeColor="background1" w:themeShade="40"/>
          <w:szCs w:val="20"/>
        </w:rPr>
        <w:t>Αποτέλεσμα που συνδέεται με τις τρεις διαδρομές καινοτομίας, όπως: 1.) αναγνώριση και καλλιέργεια εν δυνάμει καινοτόμων ιδεών· 2.) ανάπτυξη ικανότητας για καινοτομία· και 3.) δημιουργία ευνοϊκού περιβάλλοντος για καινοτομία. Μπορεί να εκφράζεται ως αλλαγές στον ρυθμό και την ποιότητα των αναδυόμενων καινοτόμων ιδεών· αλλαγές στην ικανότητα για καινοτομία· και αλλαγές στο ευνοϊκό περιβάλλον.</w:t>
      </w:r>
    </w:p>
    <w:p w:rsidR="0025413B" w:rsidRPr="005E61D0" w:rsidRDefault="0025413B" w:rsidP="0025413B">
      <w:pPr>
        <w:rPr>
          <w:rFonts w:cs="Arial"/>
          <w:i/>
          <w:color w:val="404040" w:themeColor="background1" w:themeShade="40"/>
          <w:sz w:val="16"/>
          <w:szCs w:val="16"/>
        </w:rPr>
      </w:pPr>
      <w:r>
        <w:rPr>
          <w:i/>
          <w:color w:val="404040" w:themeColor="background1" w:themeShade="40"/>
          <w:sz w:val="16"/>
          <w:szCs w:val="16"/>
          <w:u w:val="single"/>
        </w:rPr>
        <w:t>Παραπομπή</w:t>
      </w:r>
      <w:r>
        <w:rPr>
          <w:i/>
          <w:color w:val="404040" w:themeColor="background1" w:themeShade="40"/>
          <w:sz w:val="16"/>
          <w:szCs w:val="16"/>
        </w:rPr>
        <w:t>: TWG-4.</w:t>
      </w:r>
    </w:p>
    <w:p w:rsidR="0025413B" w:rsidRDefault="0025413B" w:rsidP="0025413B">
      <w:pPr>
        <w:rPr>
          <w:rFonts w:eastAsia="Arial" w:cs="Arial"/>
          <w:b/>
          <w:color w:val="57825E"/>
          <w:szCs w:val="20"/>
        </w:rPr>
      </w:pPr>
      <w:r>
        <w:rPr>
          <w:b/>
          <w:color w:val="57825E"/>
          <w:szCs w:val="20"/>
        </w:rPr>
        <w:t>Ευρωπαϊκή σύμπραξη καινοτομίας</w:t>
      </w:r>
    </w:p>
    <w:p w:rsidR="0025413B" w:rsidRDefault="0025413B" w:rsidP="0025413B">
      <w:pPr>
        <w:rPr>
          <w:rFonts w:cs="Arial"/>
          <w:color w:val="404040" w:themeColor="background1" w:themeShade="40"/>
          <w:szCs w:val="20"/>
        </w:rPr>
      </w:pPr>
      <w:r>
        <w:rPr>
          <w:color w:val="404040" w:themeColor="background1" w:themeShade="40"/>
          <w:szCs w:val="20"/>
        </w:rPr>
        <w:t>Στο πλαίσιο της εμβληματικής πρωτοβουλίας «Ένωση καινοτομίας», αποτελεί μια προσέγγιση της έρευνας και καινοτομίας στην ΕΕ. Είναι επικεντρωμένη στις προκλήσεις, αφορά όλη την αλυσίδα της έρευνας και της καινοτομίας και εξορθολογίζει, απλοποιεί και βελτιώνει τον συντονισμό των υφιστάμενων μέσων και πρωτοβουλιών.</w:t>
      </w:r>
    </w:p>
    <w:p w:rsidR="0025413B" w:rsidRPr="00A05F6E" w:rsidRDefault="0025413B" w:rsidP="0025413B">
      <w:pPr>
        <w:rPr>
          <w:rFonts w:eastAsia="Times New Roman" w:cs="Arial"/>
          <w:color w:val="404040" w:themeColor="background1" w:themeShade="40"/>
          <w:szCs w:val="20"/>
        </w:rPr>
      </w:pPr>
      <w:r>
        <w:rPr>
          <w:i/>
          <w:color w:val="404040" w:themeColor="background1" w:themeShade="40"/>
          <w:sz w:val="16"/>
          <w:szCs w:val="16"/>
          <w:u w:val="single"/>
        </w:rPr>
        <w:t>Παραπομπή</w:t>
      </w:r>
      <w:r>
        <w:rPr>
          <w:i/>
          <w:color w:val="404040" w:themeColor="background1" w:themeShade="40"/>
          <w:sz w:val="16"/>
          <w:szCs w:val="16"/>
        </w:rPr>
        <w:t xml:space="preserve">: Ανακοίνωση της Επιτροπής προς το Ευρωπαϊκό Κοινοβούλιο, το Συμβούλιο, την Ευρωπαϊκή Οικονομική και Κοινωνική Επιτροπή και την Επιτροπή των Περιφερειών – Εμβληματική πρωτοβουλία στο πλαίσιο της στρατηγικής Ευρώπη 2020 «Ένωση καινοτομίας» (2010) </w:t>
      </w:r>
      <w:hyperlink r:id="rId124" w:history="1">
        <w:r>
          <w:rPr>
            <w:rStyle w:val="Hyperlink"/>
            <w:i/>
            <w:szCs w:val="16"/>
          </w:rPr>
          <w:t>http://eur-lex.europa.eu/legal-content/EL/TXT/PDF/?uri=CELEX:52010DC0546&amp;from=el</w:t>
        </w:r>
      </w:hyperlink>
    </w:p>
    <w:p w:rsidR="0025413B" w:rsidRDefault="0025413B" w:rsidP="000E0FE4">
      <w:pPr>
        <w:jc w:val="left"/>
        <w:rPr>
          <w:rFonts w:eastAsia="Arial" w:cs="Arial"/>
          <w:b/>
          <w:color w:val="57825E"/>
          <w:szCs w:val="20"/>
        </w:rPr>
      </w:pPr>
      <w:r>
        <w:rPr>
          <w:b/>
          <w:color w:val="57825E"/>
          <w:szCs w:val="20"/>
        </w:rPr>
        <w:t>Ευρωπαϊκή σύμπραξη καινοτομίας για την παραγωγικότητα και τη βιωσιμότητα της γεωργίας (ΕΣΚ-AGRI)</w:t>
      </w:r>
    </w:p>
    <w:p w:rsidR="0025413B" w:rsidRDefault="0025413B" w:rsidP="0025413B">
      <w:pPr>
        <w:rPr>
          <w:rFonts w:cs="Arial"/>
          <w:szCs w:val="20"/>
        </w:rPr>
      </w:pPr>
      <w:r>
        <w:t>Η ΕΣΚ-AGRI θεσπίστηκε από την Ευρωπαϊκή Επιτροπή το 2012 και αποτελεί την ευρωπαϊκή σύμπραξη καινοτομίας που επικεντρώνεται στους τομείς της γεωργίας και της δασοκομίας. Η ΕΣΚ-AGRI φέρνει σε επαφή φορείς καινοτομίας και δημιουργεί συνέργειες μεταξύ υφιστάμενων πολιτικών. Πρωταρχικός στόχος της είναι η προώθηση της ανταγωνιστικότητας και της βιωσιμότητας στους εν λόγω τομείς, συμβάλλοντας έτσι: στη διασφάλιση του σταθερού εφοδιασμού τροφίμων, ζωοτροφών και βιοϋλικών και στη βιώσιμη διαχείριση των βασικών φυσικών πόρων από τους οποίους εξαρτώνται η γεωργία και η δασοκομία λειτουργώντας σε συνθήκες αρμονίας με το περιβάλλον.</w:t>
      </w:r>
    </w:p>
    <w:p w:rsidR="0025413B" w:rsidRPr="00D5702B" w:rsidRDefault="0025413B" w:rsidP="0025413B">
      <w:pPr>
        <w:spacing w:after="120" w:line="280" w:lineRule="atLeast"/>
        <w:jc w:val="left"/>
        <w:rPr>
          <w:rFonts w:cs="Arial"/>
          <w:i/>
          <w:color w:val="404040" w:themeColor="background1" w:themeShade="40"/>
          <w:sz w:val="16"/>
          <w:szCs w:val="16"/>
        </w:rPr>
      </w:pPr>
      <w:r>
        <w:rPr>
          <w:i/>
          <w:color w:val="404040" w:themeColor="background1" w:themeShade="40"/>
          <w:sz w:val="16"/>
          <w:szCs w:val="16"/>
          <w:u w:val="single"/>
        </w:rPr>
        <w:t>Παραπομπή</w:t>
      </w:r>
      <w:r>
        <w:rPr>
          <w:i/>
          <w:color w:val="404040" w:themeColor="background1" w:themeShade="40"/>
          <w:sz w:val="16"/>
          <w:szCs w:val="16"/>
        </w:rPr>
        <w:t xml:space="preserve">: Evaluation study of the implementation of the European Innovation Partnership for Agricultural Productivity and Sustainability </w:t>
      </w:r>
      <w:r>
        <w:rPr>
          <w:i/>
          <w:sz w:val="16"/>
          <w:szCs w:val="16"/>
        </w:rPr>
        <w:t xml:space="preserve"> (Μελέτη αξιολόγησης της υλοποίησης της ευρωπαϊκής σύμπραξης καινοτομίας για την παραγωγικότητα και τη βιωσιμότητα της γεωργίας) </w:t>
      </w:r>
      <w:r>
        <w:rPr>
          <w:i/>
          <w:color w:val="F07E31"/>
          <w:sz w:val="16"/>
          <w:szCs w:val="16"/>
          <w:u w:val="single"/>
        </w:rPr>
        <w:t>https://ec.europa.eu/agriculture/external-studies/2016-eip_en</w:t>
      </w:r>
    </w:p>
    <w:p w:rsidR="0025413B" w:rsidRPr="00D5702B" w:rsidRDefault="0025413B" w:rsidP="0025413B">
      <w:pPr>
        <w:jc w:val="left"/>
        <w:rPr>
          <w:rFonts w:eastAsia="Times New Roman" w:cs="Arial"/>
          <w:i/>
          <w:szCs w:val="20"/>
        </w:rPr>
      </w:pPr>
      <w:r>
        <w:rPr>
          <w:i/>
          <w:color w:val="404040" w:themeColor="background1" w:themeShade="40"/>
          <w:sz w:val="16"/>
          <w:szCs w:val="16"/>
        </w:rPr>
        <w:t xml:space="preserve">Ανακοίνωση της Επιτροπής προς το Ευρωπαϊκό Κοινοβούλιο και το Συμβούλιο όσον αφορά την Ευρωπαϊκή Σύμπραξη Καινοτομίας για την «γεωργική παραγωγικότητα και βιωσιμότητα» (2012) </w:t>
      </w:r>
      <w:hyperlink r:id="rId125" w:history="1">
        <w:r>
          <w:rPr>
            <w:rStyle w:val="Hyperlink"/>
            <w:i/>
            <w:szCs w:val="16"/>
          </w:rPr>
          <w:t>http://eur-lex.europa.eu/legal-content/EL/TXT/PDF/?uri=CELEX:52012DC0079&amp;from=EL</w:t>
        </w:r>
      </w:hyperlink>
    </w:p>
    <w:p w:rsidR="0025413B" w:rsidRPr="009125CD" w:rsidRDefault="0025413B" w:rsidP="0025413B">
      <w:pPr>
        <w:rPr>
          <w:rFonts w:eastAsia="Arial" w:cs="Arial"/>
          <w:b/>
          <w:color w:val="57825E"/>
          <w:szCs w:val="20"/>
        </w:rPr>
      </w:pPr>
      <w:r>
        <w:rPr>
          <w:b/>
          <w:color w:val="57825E"/>
          <w:szCs w:val="20"/>
        </w:rPr>
        <w:t>Ικανότητα για καινοτομία</w:t>
      </w:r>
    </w:p>
    <w:p w:rsidR="0025413B" w:rsidRPr="005E61D0" w:rsidRDefault="0025413B" w:rsidP="0025413B">
      <w:pPr>
        <w:rPr>
          <w:rFonts w:cs="Arial"/>
          <w:szCs w:val="20"/>
        </w:rPr>
      </w:pPr>
      <w:r>
        <w:t>«Η διαρκής ικανότητα συνδυασμού και αξιοποίησης διαφόρων τύπων γνώσης».</w:t>
      </w:r>
    </w:p>
    <w:p w:rsidR="0025413B" w:rsidRPr="002F229A" w:rsidRDefault="0025413B" w:rsidP="0025413B">
      <w:pPr>
        <w:rPr>
          <w:rFonts w:cs="Arial"/>
          <w:i/>
          <w:color w:val="404040" w:themeColor="background1" w:themeShade="40"/>
          <w:sz w:val="16"/>
          <w:szCs w:val="16"/>
          <w:lang w:val="en-GB"/>
        </w:rPr>
      </w:pPr>
      <w:r>
        <w:rPr>
          <w:i/>
          <w:color w:val="404040" w:themeColor="background1" w:themeShade="40"/>
          <w:sz w:val="16"/>
          <w:szCs w:val="16"/>
          <w:u w:val="single"/>
        </w:rPr>
        <w:t>Παραπομπή</w:t>
      </w:r>
      <w:r>
        <w:rPr>
          <w:i/>
          <w:color w:val="404040" w:themeColor="background1" w:themeShade="40"/>
          <w:sz w:val="16"/>
          <w:szCs w:val="16"/>
        </w:rPr>
        <w:t xml:space="preserve">: Chuluunbaatar, D. and LeGrand, S., 2015. </w:t>
      </w:r>
      <w:r w:rsidRPr="002F229A">
        <w:rPr>
          <w:i/>
          <w:color w:val="404040" w:themeColor="background1" w:themeShade="40"/>
          <w:sz w:val="16"/>
          <w:szCs w:val="16"/>
          <w:lang w:val="en-GB"/>
        </w:rPr>
        <w:t xml:space="preserve">Enabling the capacity to innovate with a system-wide assessment process. Occasional Papers in Innovation in Family Farming. FAO, Rome. </w:t>
      </w:r>
      <w:r w:rsidRPr="002F229A">
        <w:rPr>
          <w:rStyle w:val="Hyperlink"/>
          <w:i/>
          <w:szCs w:val="16"/>
          <w:lang w:val="en-GB"/>
        </w:rPr>
        <w:t>http://www.fao.org/3/a-i5097e.pdf</w:t>
      </w:r>
    </w:p>
    <w:p w:rsidR="0025413B" w:rsidRPr="009125CD" w:rsidRDefault="0025413B" w:rsidP="0025413B">
      <w:pPr>
        <w:rPr>
          <w:rFonts w:eastAsia="Arial" w:cs="Arial"/>
          <w:b/>
          <w:color w:val="57825E"/>
          <w:szCs w:val="20"/>
        </w:rPr>
      </w:pPr>
      <w:r>
        <w:rPr>
          <w:b/>
          <w:color w:val="57825E"/>
          <w:szCs w:val="20"/>
        </w:rPr>
        <w:t xml:space="preserve">Καινοτόμο αποτέλεσμα </w:t>
      </w:r>
    </w:p>
    <w:p w:rsidR="0025413B" w:rsidRDefault="0025413B" w:rsidP="0025413B">
      <w:pPr>
        <w:rPr>
          <w:rFonts w:cs="Arial"/>
          <w:color w:val="404040" w:themeColor="background1" w:themeShade="40"/>
          <w:szCs w:val="20"/>
        </w:rPr>
      </w:pPr>
      <w:r>
        <w:rPr>
          <w:color w:val="404040" w:themeColor="background1" w:themeShade="40"/>
          <w:szCs w:val="20"/>
        </w:rPr>
        <w:t>Καινοτόμα αποτελέσματα προκύπτουν χάρη στα ευνοϊκά αποτελέσματα (π.χ. νέες πρακτικές, αύξηση εισοδήματος, υιοθέτηση πιο βιώσιμων γεωργικών πρακτικών).</w:t>
      </w:r>
    </w:p>
    <w:p w:rsidR="0025413B" w:rsidRPr="009125CD" w:rsidRDefault="0025413B" w:rsidP="0025413B">
      <w:pPr>
        <w:rPr>
          <w:rFonts w:cs="Arial"/>
          <w:color w:val="404040" w:themeColor="background1" w:themeShade="40"/>
          <w:szCs w:val="20"/>
        </w:rPr>
      </w:pPr>
      <w:r>
        <w:rPr>
          <w:i/>
          <w:color w:val="404040" w:themeColor="background1" w:themeShade="40"/>
          <w:sz w:val="16"/>
          <w:szCs w:val="16"/>
          <w:u w:val="single"/>
        </w:rPr>
        <w:t>Παραπομπή</w:t>
      </w:r>
      <w:r>
        <w:rPr>
          <w:i/>
          <w:color w:val="404040" w:themeColor="background1" w:themeShade="40"/>
          <w:sz w:val="16"/>
          <w:szCs w:val="16"/>
        </w:rPr>
        <w:t>: TWG-4, σελ. 11.</w:t>
      </w:r>
    </w:p>
    <w:p w:rsidR="0025413B" w:rsidRDefault="0025413B" w:rsidP="0025413B">
      <w:pPr>
        <w:rPr>
          <w:rFonts w:eastAsia="Arial" w:cs="Arial"/>
          <w:b/>
          <w:color w:val="57825E"/>
          <w:szCs w:val="20"/>
        </w:rPr>
      </w:pPr>
      <w:r>
        <w:rPr>
          <w:b/>
          <w:color w:val="57825E"/>
          <w:szCs w:val="20"/>
        </w:rPr>
        <w:t>Υπηρεσίες υποστήριξης της καινοτομίας</w:t>
      </w:r>
    </w:p>
    <w:p w:rsidR="0025413B" w:rsidRDefault="0025413B" w:rsidP="0025413B">
      <w:pPr>
        <w:rPr>
          <w:rFonts w:cs="Arial"/>
          <w:color w:val="404040" w:themeColor="background1" w:themeShade="40"/>
          <w:szCs w:val="20"/>
        </w:rPr>
      </w:pPr>
      <w:r>
        <w:rPr>
          <w:color w:val="404040" w:themeColor="background1" w:themeShade="40"/>
          <w:szCs w:val="20"/>
        </w:rPr>
        <w:t>Οι υπηρεσίες υποστήριξης της καινοτομίας δουλεύουν χρησιμοποιώντας μοντέλα προσαρμοσμένα στις τοπικές συνθήκες και θα μπορούσαν να διαδραματίσουν καίριο ρόλο στην αξιοποίηση των κατάλληλων ατόμων στα έργα, στη σύνδεση των αγροτών και των συμβούλων με τους ερευνητές, και στη συμβολή στην εξεύρεση χρηματοδότησης.</w:t>
      </w:r>
    </w:p>
    <w:p w:rsidR="0025413B" w:rsidRPr="009125CD" w:rsidRDefault="0025413B" w:rsidP="0025413B">
      <w:pPr>
        <w:rPr>
          <w:rFonts w:cs="Arial"/>
          <w:color w:val="404040" w:themeColor="background1" w:themeShade="40"/>
          <w:szCs w:val="20"/>
        </w:rPr>
      </w:pPr>
      <w:r>
        <w:rPr>
          <w:i/>
          <w:color w:val="404040" w:themeColor="background1" w:themeShade="40"/>
          <w:sz w:val="16"/>
          <w:szCs w:val="16"/>
          <w:u w:val="single"/>
        </w:rPr>
        <w:lastRenderedPageBreak/>
        <w:t>Παραπομπή</w:t>
      </w:r>
      <w:r>
        <w:rPr>
          <w:i/>
          <w:color w:val="404040" w:themeColor="background1" w:themeShade="40"/>
          <w:sz w:val="16"/>
          <w:szCs w:val="16"/>
        </w:rPr>
        <w:t xml:space="preserve">: Φυλλάδιο της ΕΣΚ-AGRI σχετικά με τις υπηρεσίες υποστήριξης της καινοτομίας: </w:t>
      </w:r>
      <w:hyperlink r:id="rId126" w:history="1">
        <w:r>
          <w:rPr>
            <w:rStyle w:val="Hyperlink"/>
            <w:i/>
            <w:szCs w:val="16"/>
          </w:rPr>
          <w:t>https://ec.europa.eu/eip/agriculture/en/content/innovation-support-services</w:t>
        </w:r>
      </w:hyperlink>
      <w:r>
        <w:rPr>
          <w:i/>
          <w:color w:val="404040" w:themeColor="background1" w:themeShade="40"/>
          <w:sz w:val="16"/>
          <w:szCs w:val="16"/>
        </w:rPr>
        <w:t>.</w:t>
      </w:r>
    </w:p>
    <w:p w:rsidR="0025413B" w:rsidRPr="009125CD" w:rsidRDefault="0025413B" w:rsidP="0025413B">
      <w:pPr>
        <w:rPr>
          <w:rFonts w:eastAsia="Arial" w:cs="Arial"/>
          <w:b/>
          <w:color w:val="57825E"/>
          <w:szCs w:val="20"/>
        </w:rPr>
      </w:pPr>
      <w:r>
        <w:rPr>
          <w:b/>
          <w:color w:val="57825E"/>
          <w:szCs w:val="20"/>
        </w:rPr>
        <w:t>Σύστημα καινοτομίας</w:t>
      </w:r>
    </w:p>
    <w:p w:rsidR="0025413B" w:rsidRDefault="0025413B" w:rsidP="0025413B">
      <w:pPr>
        <w:rPr>
          <w:rFonts w:cs="Arial"/>
          <w:color w:val="404040" w:themeColor="background1" w:themeShade="40"/>
          <w:szCs w:val="20"/>
        </w:rPr>
      </w:pPr>
      <w:r>
        <w:rPr>
          <w:color w:val="404040" w:themeColor="background1" w:themeShade="40"/>
          <w:szCs w:val="20"/>
        </w:rPr>
        <w:t>«Οι ομάδες οργανισμών και ατόμων που συμμετέχουν στη δημιουργία, τη διάδοση και την προσαρμογή, καθώς και στην αξιοποίηση γνώσεων που έχουν κοινωνικοοικονομική σημασία, και το θεσμικό πλαίσιο που διέπει τον τρόπο που πραγματοποιούνται οι εν λόγω αλληλεπιδράσεις και διαδικασίες».</w:t>
      </w:r>
    </w:p>
    <w:p w:rsidR="0025413B" w:rsidRDefault="0025413B" w:rsidP="0025413B">
      <w:pPr>
        <w:rPr>
          <w:rFonts w:cs="Arial"/>
          <w:color w:val="404040" w:themeColor="background1" w:themeShade="40"/>
          <w:szCs w:val="20"/>
        </w:rPr>
      </w:pPr>
      <w:r>
        <w:rPr>
          <w:i/>
          <w:color w:val="404040" w:themeColor="background1" w:themeShade="40"/>
          <w:sz w:val="16"/>
          <w:szCs w:val="16"/>
          <w:u w:val="single"/>
        </w:rPr>
        <w:t>Παραπομπή</w:t>
      </w:r>
      <w:r w:rsidRPr="002F229A">
        <w:rPr>
          <w:i/>
          <w:color w:val="404040" w:themeColor="background1" w:themeShade="40"/>
          <w:sz w:val="16"/>
          <w:szCs w:val="16"/>
          <w:lang w:val="en-GB"/>
        </w:rPr>
        <w:t xml:space="preserve">: Hall, A., S. Rasheed, N. Clark, and B. Yoganand. 2003. From measuring impact to learning institutional lessons: an innovation system’s perspective on improving the management of international agricultural research. </w:t>
      </w:r>
      <w:r>
        <w:rPr>
          <w:i/>
          <w:color w:val="404040" w:themeColor="background1" w:themeShade="40"/>
          <w:sz w:val="16"/>
          <w:szCs w:val="16"/>
        </w:rPr>
        <w:t>Agricultural Systems 78: 213 -241.</w:t>
      </w:r>
    </w:p>
    <w:p w:rsidR="0025413B" w:rsidRPr="009125CD" w:rsidRDefault="0025413B" w:rsidP="0025413B">
      <w:pPr>
        <w:rPr>
          <w:rFonts w:eastAsia="Arial" w:cs="Arial"/>
          <w:b/>
          <w:color w:val="57825E"/>
          <w:szCs w:val="20"/>
        </w:rPr>
      </w:pPr>
      <w:r>
        <w:rPr>
          <w:b/>
          <w:color w:val="57825E"/>
          <w:szCs w:val="20"/>
        </w:rPr>
        <w:t>Διαδρομή καινοτομίας</w:t>
      </w:r>
    </w:p>
    <w:p w:rsidR="0025413B" w:rsidRDefault="0025413B" w:rsidP="0025413B">
      <w:pPr>
        <w:rPr>
          <w:rFonts w:cs="Arial"/>
          <w:color w:val="404040" w:themeColor="background1" w:themeShade="40"/>
          <w:szCs w:val="20"/>
        </w:rPr>
      </w:pPr>
      <w:r>
        <w:rPr>
          <w:color w:val="404040" w:themeColor="background1" w:themeShade="40"/>
          <w:szCs w:val="20"/>
        </w:rPr>
        <w:t>Διαδικασία μέσω της οποίας οι δραστηριότητες του ΠΑΑ παράγουν εκροές, αποτελέσματα και επιπτώσεις που συμβάλλουν στην επίτευξη των στόχων του ΠΑΑ, και η οποία επηρεάζει και επηρεάζεται από το σύστημα καινοτομίας στο οποίο διεξάγεται.</w:t>
      </w:r>
    </w:p>
    <w:p w:rsidR="0025413B" w:rsidRPr="009125CD" w:rsidRDefault="0025413B" w:rsidP="0025413B">
      <w:pPr>
        <w:rPr>
          <w:rFonts w:eastAsia="Arial" w:cs="Arial"/>
          <w:color w:val="404040" w:themeColor="background1" w:themeShade="40"/>
          <w:szCs w:val="20"/>
        </w:rPr>
      </w:pPr>
      <w:r>
        <w:rPr>
          <w:i/>
          <w:color w:val="404040" w:themeColor="background1" w:themeShade="40"/>
          <w:sz w:val="16"/>
          <w:szCs w:val="16"/>
          <w:u w:val="single"/>
        </w:rPr>
        <w:t>Παραπομπή</w:t>
      </w:r>
      <w:r>
        <w:rPr>
          <w:i/>
          <w:color w:val="404040" w:themeColor="background1" w:themeShade="40"/>
          <w:sz w:val="16"/>
          <w:szCs w:val="16"/>
        </w:rPr>
        <w:t>: TWG-4, σελ. 5.</w:t>
      </w:r>
    </w:p>
    <w:p w:rsidR="0025413B" w:rsidRDefault="0025413B" w:rsidP="0025413B">
      <w:pPr>
        <w:rPr>
          <w:rFonts w:eastAsia="Arial" w:cs="Arial"/>
          <w:b/>
          <w:color w:val="57825E"/>
          <w:szCs w:val="20"/>
        </w:rPr>
      </w:pPr>
      <w:r>
        <w:rPr>
          <w:b/>
          <w:color w:val="57825E"/>
          <w:szCs w:val="20"/>
        </w:rPr>
        <w:t>Διαδραστική καινοτομία</w:t>
      </w:r>
    </w:p>
    <w:p w:rsidR="0025413B" w:rsidRDefault="0025413B" w:rsidP="0025413B">
      <w:pPr>
        <w:rPr>
          <w:rFonts w:cs="Arial"/>
          <w:color w:val="404040" w:themeColor="background1" w:themeShade="40"/>
          <w:szCs w:val="20"/>
        </w:rPr>
      </w:pPr>
      <w:r>
        <w:rPr>
          <w:color w:val="404040" w:themeColor="background1" w:themeShade="40"/>
          <w:szCs w:val="20"/>
        </w:rPr>
        <w:t>Στο πλαίσιο της διαδραστικής καινοτομίας (συστήματος), τα δομικά στοιχεία για τις καινοτομίες αναμένεται να προκύψουν από την επιστήμη, αλλά και από την πρακτική εφαρμογή και τους ενδιάμεσους φορείς, μεταξύ άλλων, γεωργούς, συμβουλευτικές υπηρεσίες, ΜΚΟ, ερευνητές κ.λπ., ως παράγοντες σε μια διαδικασία από τη βάση προς την κορυφή. Η διαδραστική καινοτομία περιλαμβάνει υπάρχουσες (ορισμένες φορές σιωπηρές) γνώσεις που δεν είναι πάντα αμιγώς επιστημονικές.</w:t>
      </w:r>
    </w:p>
    <w:p w:rsidR="0025413B" w:rsidRPr="00A05F6E" w:rsidRDefault="0025413B" w:rsidP="0025413B">
      <w:pPr>
        <w:jc w:val="left"/>
        <w:rPr>
          <w:rFonts w:eastAsia="Times New Roman" w:cs="Arial"/>
          <w:color w:val="404040" w:themeColor="background1" w:themeShade="40"/>
          <w:szCs w:val="20"/>
        </w:rPr>
      </w:pPr>
      <w:r>
        <w:rPr>
          <w:i/>
          <w:color w:val="404040" w:themeColor="background1" w:themeShade="40"/>
          <w:sz w:val="16"/>
          <w:szCs w:val="16"/>
          <w:u w:val="single"/>
        </w:rPr>
        <w:t>Παραπομπή</w:t>
      </w:r>
      <w:r>
        <w:rPr>
          <w:i/>
          <w:color w:val="404040" w:themeColor="background1" w:themeShade="40"/>
          <w:sz w:val="16"/>
          <w:szCs w:val="16"/>
        </w:rPr>
        <w:t xml:space="preserve">: Guidelines on programming for innovation and the implementation of the EIP for agricultural productivity and sustainability (Κατευθυντήριες γραμμές σχετικά με τον προγραμματισμό της καινοτομίας και την εφαρμογή της ΕΣΚ για την παραγωγικότητα και τη βιωσιμότητα της γεωργίας): </w:t>
      </w:r>
      <w:hyperlink r:id="rId127" w:history="1">
        <w:r>
          <w:rPr>
            <w:rStyle w:val="Hyperlink"/>
            <w:i/>
            <w:szCs w:val="16"/>
          </w:rPr>
          <w:t>http://ec.europa.eu/eip/agriculture/sites/agri-eip/files/eip-guidelines-july-2014_en.pdf</w:t>
        </w:r>
      </w:hyperlink>
      <w:r>
        <w:rPr>
          <w:i/>
          <w:color w:val="404040" w:themeColor="background1" w:themeShade="40"/>
          <w:sz w:val="16"/>
          <w:szCs w:val="16"/>
        </w:rPr>
        <w:t>.</w:t>
      </w:r>
    </w:p>
    <w:p w:rsidR="0025413B" w:rsidRDefault="0025413B" w:rsidP="0025413B">
      <w:pPr>
        <w:rPr>
          <w:rFonts w:eastAsia="Arial" w:cs="Arial"/>
          <w:b/>
          <w:color w:val="57825E"/>
          <w:szCs w:val="20"/>
        </w:rPr>
      </w:pPr>
      <w:r>
        <w:rPr>
          <w:b/>
          <w:color w:val="57825E"/>
          <w:szCs w:val="20"/>
        </w:rPr>
        <w:t>Επιχειρησιακές ομάδες</w:t>
      </w:r>
    </w:p>
    <w:p w:rsidR="0025413B" w:rsidRDefault="0025413B" w:rsidP="0025413B">
      <w:pPr>
        <w:rPr>
          <w:rFonts w:cs="Arial"/>
          <w:color w:val="404040" w:themeColor="background1" w:themeShade="40"/>
          <w:szCs w:val="20"/>
        </w:rPr>
      </w:pPr>
      <w:r>
        <w:rPr>
          <w:color w:val="404040" w:themeColor="background1" w:themeShade="40"/>
          <w:szCs w:val="20"/>
        </w:rPr>
        <w:t>Ομάδες που απαρτίζονται από αγρότες, ερευνητές, συμβούλους κ.λπ. οι οποίοι και εργάζονται μαζί σε ένα πρακτικό σχέδιο καινοτομίας με συγκεκριμένους στόχους.</w:t>
      </w:r>
    </w:p>
    <w:p w:rsidR="0025413B" w:rsidRPr="00A05F6E" w:rsidRDefault="0025413B" w:rsidP="0025413B">
      <w:pPr>
        <w:rPr>
          <w:rFonts w:eastAsia="Times New Roman" w:cs="Arial"/>
          <w:color w:val="404040" w:themeColor="background1" w:themeShade="40"/>
          <w:szCs w:val="20"/>
        </w:rPr>
      </w:pPr>
      <w:r>
        <w:rPr>
          <w:i/>
          <w:color w:val="404040" w:themeColor="background1" w:themeShade="40"/>
          <w:sz w:val="16"/>
          <w:szCs w:val="16"/>
          <w:u w:val="single"/>
        </w:rPr>
        <w:t>Παραπομπή</w:t>
      </w:r>
      <w:r>
        <w:rPr>
          <w:i/>
          <w:color w:val="404040" w:themeColor="background1" w:themeShade="40"/>
          <w:sz w:val="16"/>
          <w:szCs w:val="16"/>
        </w:rPr>
        <w:t xml:space="preserve">: Φυλλάδιο της ΕΣΚ-AGRI σχετικά με τις υπηρεσίες υποστήριξης της καινοτομίας: </w:t>
      </w:r>
      <w:hyperlink r:id="rId128" w:history="1">
        <w:r>
          <w:rPr>
            <w:rStyle w:val="Hyperlink"/>
            <w:i/>
            <w:szCs w:val="16"/>
          </w:rPr>
          <w:t>https://ec.europa.eu/eip/agriculture/en/content/innovation-support-services</w:t>
        </w:r>
      </w:hyperlink>
    </w:p>
    <w:p w:rsidR="0025413B" w:rsidRPr="009125CD" w:rsidRDefault="0025413B" w:rsidP="0025413B">
      <w:pPr>
        <w:rPr>
          <w:rFonts w:eastAsia="Arial" w:cs="Arial"/>
          <w:b/>
          <w:color w:val="57825E"/>
          <w:szCs w:val="20"/>
        </w:rPr>
      </w:pPr>
      <w:r>
        <w:rPr>
          <w:b/>
          <w:color w:val="57825E"/>
          <w:szCs w:val="20"/>
        </w:rPr>
        <w:t xml:space="preserve">Δυναμικό καινοτομίας του ΠΑΑ </w:t>
      </w:r>
    </w:p>
    <w:p w:rsidR="0025413B" w:rsidRDefault="0025413B" w:rsidP="0025413B">
      <w:pPr>
        <w:rPr>
          <w:rFonts w:cs="Arial"/>
          <w:color w:val="404040" w:themeColor="background1" w:themeShade="40"/>
          <w:szCs w:val="20"/>
        </w:rPr>
      </w:pPr>
      <w:r>
        <w:rPr>
          <w:color w:val="404040" w:themeColor="background1" w:themeShade="40"/>
          <w:szCs w:val="20"/>
        </w:rPr>
        <w:t xml:space="preserve">Το δυναμικό καινοτομίας του ΠΑΑ είναι ο βαθμός στον οποίο η συγκεκριμένη προσέγγιση του ΠΑΑ που σχεδιάστηκε όσον αφορά την καινοτομία μπορεί να προωθήσει την καινοτομία και να επιτύχει στόχους πολιτικής στις αγροτικές περιοχές εντός ενός συγκεκριμένου συστήματος ή πλαισίου καινοτομίας. </w:t>
      </w:r>
    </w:p>
    <w:p w:rsidR="0025413B" w:rsidRPr="00A05F6E" w:rsidRDefault="0025413B" w:rsidP="0025413B">
      <w:pPr>
        <w:rPr>
          <w:rFonts w:eastAsia="Arial" w:cs="Arial"/>
          <w:color w:val="404040" w:themeColor="background1" w:themeShade="40"/>
          <w:szCs w:val="20"/>
        </w:rPr>
      </w:pPr>
      <w:r>
        <w:rPr>
          <w:i/>
          <w:color w:val="404040" w:themeColor="background1" w:themeShade="40"/>
          <w:sz w:val="16"/>
          <w:szCs w:val="16"/>
          <w:u w:val="single"/>
        </w:rPr>
        <w:t>Παραπομπή</w:t>
      </w:r>
      <w:r>
        <w:rPr>
          <w:i/>
          <w:color w:val="404040" w:themeColor="background1" w:themeShade="40"/>
          <w:sz w:val="16"/>
          <w:szCs w:val="16"/>
        </w:rPr>
        <w:t>: TWG-4.</w:t>
      </w:r>
    </w:p>
    <w:p w:rsidR="0025413B" w:rsidRPr="009125CD" w:rsidRDefault="0025413B" w:rsidP="0025413B">
      <w:pPr>
        <w:rPr>
          <w:rFonts w:eastAsia="Arial" w:cs="Arial"/>
          <w:b/>
          <w:color w:val="57825E"/>
          <w:szCs w:val="20"/>
        </w:rPr>
      </w:pPr>
      <w:r>
        <w:rPr>
          <w:b/>
          <w:color w:val="57825E"/>
          <w:szCs w:val="20"/>
        </w:rPr>
        <w:t>Κοινωνική καινοτομία</w:t>
      </w:r>
    </w:p>
    <w:p w:rsidR="0025413B" w:rsidRDefault="0025413B" w:rsidP="0025413B">
      <w:pPr>
        <w:rPr>
          <w:rFonts w:cs="Arial"/>
          <w:color w:val="404040" w:themeColor="background1" w:themeShade="40"/>
          <w:szCs w:val="20"/>
        </w:rPr>
      </w:pPr>
      <w:r>
        <w:rPr>
          <w:color w:val="404040" w:themeColor="background1" w:themeShade="40"/>
          <w:szCs w:val="20"/>
        </w:rPr>
        <w:t>Η κοινωνική καινοτομία μπορεί να οριστεί ως η ανάπτυξη και υλοποίηση νέων ιδεών (προϊόντων, υπηρεσιών και μοντέλων) για την κάλυψη κοινωνικών αναγκών και τη δημιουργία νέων κοινωνικών σχέσεων ή συνεργασιών.</w:t>
      </w:r>
    </w:p>
    <w:p w:rsidR="0025413B" w:rsidRPr="00A05F6E" w:rsidRDefault="0025413B" w:rsidP="0025413B">
      <w:pPr>
        <w:rPr>
          <w:rFonts w:eastAsia="Arial" w:cs="Arial"/>
          <w:color w:val="404040" w:themeColor="background1" w:themeShade="40"/>
          <w:szCs w:val="20"/>
        </w:rPr>
      </w:pPr>
      <w:r>
        <w:rPr>
          <w:i/>
          <w:color w:val="404040" w:themeColor="background1" w:themeShade="40"/>
          <w:sz w:val="16"/>
          <w:szCs w:val="16"/>
          <w:u w:val="single"/>
        </w:rPr>
        <w:t>Παραπομπή</w:t>
      </w:r>
      <w:r>
        <w:rPr>
          <w:i/>
          <w:color w:val="404040" w:themeColor="background1" w:themeShade="40"/>
          <w:sz w:val="16"/>
          <w:szCs w:val="16"/>
        </w:rPr>
        <w:t>: ΓΔ REGIO, ΓΔ EMPL, ΓΔ AGRI κ.λπ. (2013), Guide to Social Innovation (Οδηγός για την κοινωνική καινοτομία).</w:t>
      </w:r>
    </w:p>
    <w:p w:rsidR="0025413B" w:rsidRPr="009125CD" w:rsidRDefault="0025413B" w:rsidP="0025413B">
      <w:pPr>
        <w:rPr>
          <w:rFonts w:eastAsia="Arial" w:cs="Arial"/>
          <w:b/>
          <w:color w:val="57825E"/>
          <w:szCs w:val="20"/>
        </w:rPr>
      </w:pPr>
      <w:r>
        <w:rPr>
          <w:b/>
          <w:color w:val="57825E"/>
          <w:szCs w:val="20"/>
        </w:rPr>
        <w:t>Θεματικές και αναλυτικές ανταλλαγές</w:t>
      </w:r>
    </w:p>
    <w:p w:rsidR="0025413B" w:rsidRDefault="0025413B" w:rsidP="0025413B">
      <w:pPr>
        <w:rPr>
          <w:rFonts w:cs="Arial"/>
          <w:color w:val="404040" w:themeColor="background1" w:themeShade="40"/>
          <w:szCs w:val="20"/>
        </w:rPr>
      </w:pPr>
      <w:r>
        <w:rPr>
          <w:color w:val="404040" w:themeColor="background1" w:themeShade="40"/>
          <w:szCs w:val="20"/>
        </w:rPr>
        <w:t>Οι ανταλλαγές μπορούν να προωθούνται από ΕΑΔ σε διάφορες μορφές. Η πιο συνήθης μορφή θεματικών ανταλλαγών που αναπτύσσονται από ΕΑΔ είναι μόνιμες ή ειδικές θεματικές ομάδες εργασίας (TWG). Οι θεματικές ομάδες εργασίας των ΕΑΔ φέρνουν σε επαφή διάφορους ενδιαφερόμενους φορείς προκειμένου να συζητήσουν, να αναλύσουν και να ανταλλάξουν πληροφορίες σχετικά με κοινά θέματα, ενώ συχνά οδηγούν σε συστάσεις που σχετίζονται με την υλοποίηση και τον προγραμματισμό του ΠΑΑ.</w:t>
      </w:r>
    </w:p>
    <w:p w:rsidR="0025413B" w:rsidRPr="00A05F6E" w:rsidRDefault="0025413B" w:rsidP="0025413B">
      <w:pPr>
        <w:jc w:val="left"/>
        <w:rPr>
          <w:rFonts w:eastAsia="Arial" w:cs="Arial"/>
          <w:color w:val="404040" w:themeColor="background1" w:themeShade="40"/>
          <w:szCs w:val="20"/>
        </w:rPr>
      </w:pPr>
      <w:r>
        <w:rPr>
          <w:i/>
          <w:color w:val="404040" w:themeColor="background1" w:themeShade="40"/>
          <w:sz w:val="16"/>
          <w:szCs w:val="16"/>
          <w:u w:val="single"/>
        </w:rPr>
        <w:t xml:space="preserve"> Παραπομπή</w:t>
      </w:r>
      <w:r>
        <w:rPr>
          <w:i/>
          <w:color w:val="404040" w:themeColor="background1" w:themeShade="40"/>
          <w:sz w:val="16"/>
          <w:szCs w:val="16"/>
        </w:rPr>
        <w:t xml:space="preserve">: NRN Guidebook (Οδηγός ΕΑΔ): </w:t>
      </w:r>
      <w:hyperlink r:id="rId129" w:history="1">
        <w:r>
          <w:rPr>
            <w:rStyle w:val="Hyperlink"/>
            <w:i/>
            <w:szCs w:val="16"/>
          </w:rPr>
          <w:t>http://enrd.ec.europa.eu/enrd-static/app_templates/enrd_assets/pdf/guidebook/nrn_handbook_webversion.pdf</w:t>
        </w:r>
      </w:hyperlink>
    </w:p>
    <w:p w:rsidR="0025413B" w:rsidRPr="00C6274D" w:rsidRDefault="0025413B" w:rsidP="0025413B">
      <w:pPr>
        <w:rPr>
          <w:rFonts w:cs="Arial"/>
          <w:color w:val="404040" w:themeColor="background1" w:themeShade="40"/>
          <w:szCs w:val="20"/>
        </w:rPr>
        <w:sectPr w:rsidR="0025413B" w:rsidRPr="00C6274D" w:rsidSect="001F6F07">
          <w:type w:val="continuous"/>
          <w:pgSz w:w="11907" w:h="16840" w:code="9"/>
          <w:pgMar w:top="1440" w:right="1440" w:bottom="1134" w:left="1440" w:header="567" w:footer="1020" w:gutter="0"/>
          <w:cols w:num="2" w:space="708"/>
          <w:titlePg/>
          <w:docGrid w:linePitch="435"/>
        </w:sectPr>
      </w:pPr>
    </w:p>
    <w:p w:rsidR="0025413B" w:rsidRPr="00BC0813" w:rsidRDefault="0025413B" w:rsidP="001319A0">
      <w:pPr>
        <w:pStyle w:val="HStandard"/>
      </w:pPr>
    </w:p>
    <w:p w:rsidR="00E05D08" w:rsidRPr="002F229A" w:rsidRDefault="00E05D08" w:rsidP="00E05D08">
      <w:pPr>
        <w:spacing w:before="60" w:after="140" w:line="220" w:lineRule="atLeast"/>
        <w:rPr>
          <w:rFonts w:eastAsia="Times New Roman" w:cs="Times New Roman"/>
          <w:sz w:val="18"/>
          <w:szCs w:val="24"/>
          <w:lang w:eastAsia="de-DE"/>
        </w:rPr>
        <w:sectPr w:rsidR="00E05D08" w:rsidRPr="002F229A" w:rsidSect="00400064">
          <w:endnotePr>
            <w:numFmt w:val="decimal"/>
          </w:endnotePr>
          <w:type w:val="continuous"/>
          <w:pgSz w:w="11907" w:h="16840" w:code="9"/>
          <w:pgMar w:top="1440" w:right="1440" w:bottom="1134" w:left="1440" w:header="567" w:footer="709" w:gutter="0"/>
          <w:cols w:space="708"/>
          <w:noEndnote/>
          <w:titlePg/>
          <w:docGrid w:linePitch="360"/>
        </w:sectPr>
      </w:pPr>
    </w:p>
    <w:p w:rsidR="00E05D08" w:rsidRPr="000A14B3" w:rsidRDefault="00E05D08" w:rsidP="0025413B">
      <w:pPr>
        <w:pStyle w:val="HHeading2"/>
        <w:numPr>
          <w:ilvl w:val="1"/>
          <w:numId w:val="119"/>
        </w:numPr>
        <w:ind w:left="567" w:hanging="567"/>
      </w:pPr>
      <w:bookmarkStart w:id="144" w:name="_Toc493151908"/>
      <w:bookmarkStart w:id="145" w:name="_Toc501382138"/>
      <w:bookmarkStart w:id="146" w:name="_Toc508964825"/>
      <w:r>
        <w:lastRenderedPageBreak/>
        <w:t>Προσδιορισμός του δυναμικού καινοτομίας του ΠΑΑ: βήμα προς βήμα</w:t>
      </w:r>
      <w:bookmarkEnd w:id="144"/>
      <w:bookmarkEnd w:id="145"/>
      <w:bookmarkEnd w:id="146"/>
    </w:p>
    <w:tbl>
      <w:tblPr>
        <w:tblStyle w:val="TableGrid3"/>
        <w:tblW w:w="1487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980"/>
        <w:gridCol w:w="3260"/>
        <w:gridCol w:w="2268"/>
        <w:gridCol w:w="2693"/>
        <w:gridCol w:w="2268"/>
        <w:gridCol w:w="2410"/>
      </w:tblGrid>
      <w:tr w:rsidR="00E05D08" w:rsidRPr="00E05D08" w:rsidTr="00E05D08">
        <w:trPr>
          <w:trHeight w:val="294"/>
        </w:trPr>
        <w:tc>
          <w:tcPr>
            <w:tcW w:w="1980" w:type="dxa"/>
            <w:shd w:val="clear" w:color="auto" w:fill="F07E31"/>
          </w:tcPr>
          <w:p w:rsidR="00E05D08" w:rsidRPr="00E05D08" w:rsidRDefault="00E05D08" w:rsidP="00E05D08">
            <w:pPr>
              <w:tabs>
                <w:tab w:val="right" w:pos="2885"/>
              </w:tabs>
              <w:spacing w:before="120" w:after="120" w:line="280" w:lineRule="atLeast"/>
              <w:jc w:val="center"/>
              <w:rPr>
                <w:rFonts w:cs="Arial"/>
                <w:b/>
                <w:color w:val="FFFFFF"/>
                <w:sz w:val="18"/>
                <w:szCs w:val="18"/>
              </w:rPr>
            </w:pPr>
            <w:r>
              <w:rPr>
                <w:b/>
                <w:color w:val="FFFFFF"/>
                <w:sz w:val="18"/>
                <w:szCs w:val="18"/>
              </w:rPr>
              <w:t>Βήματα</w:t>
            </w:r>
          </w:p>
        </w:tc>
        <w:tc>
          <w:tcPr>
            <w:tcW w:w="3260"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 xml:space="preserve">Βασικό ερώτημα προς απάντηση </w:t>
            </w:r>
          </w:p>
        </w:tc>
        <w:tc>
          <w:tcPr>
            <w:tcW w:w="2268"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Σχετικό σημείο του ΠΑΑ</w:t>
            </w:r>
          </w:p>
        </w:tc>
        <w:tc>
          <w:tcPr>
            <w:tcW w:w="2693"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Παραδείγματα</w:t>
            </w:r>
          </w:p>
        </w:tc>
        <w:tc>
          <w:tcPr>
            <w:tcW w:w="2268"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Κίνδυνοι που συνδέονται με το βήμα</w:t>
            </w:r>
          </w:p>
        </w:tc>
        <w:tc>
          <w:tcPr>
            <w:tcW w:w="2410"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Λύσεις</w:t>
            </w:r>
          </w:p>
        </w:tc>
      </w:tr>
      <w:tr w:rsidR="00E05D08" w:rsidRPr="00E05D08" w:rsidTr="00E05D08">
        <w:tc>
          <w:tcPr>
            <w:tcW w:w="1980" w:type="dxa"/>
          </w:tcPr>
          <w:p w:rsidR="00E05D08" w:rsidRPr="00F31494" w:rsidRDefault="00E05D08" w:rsidP="00F31494">
            <w:pPr>
              <w:jc w:val="left"/>
              <w:rPr>
                <w:rFonts w:cs="Arial"/>
                <w:color w:val="F07E31"/>
                <w:sz w:val="18"/>
                <w:szCs w:val="18"/>
              </w:rPr>
            </w:pPr>
            <w:r>
              <w:rPr>
                <w:color w:val="F07E31"/>
                <w:sz w:val="18"/>
                <w:szCs w:val="18"/>
              </w:rPr>
              <w:t xml:space="preserve">Βήμα 1: Προσδιορισμός δεσμών μεταξύ των αναγκών που σχετίζονται με την καινοτομία και του μέτρου/επιμέρους μέτρου </w:t>
            </w:r>
          </w:p>
        </w:tc>
        <w:tc>
          <w:tcPr>
            <w:tcW w:w="3260" w:type="dxa"/>
          </w:tcPr>
          <w:p w:rsidR="00E05D08" w:rsidRPr="00E05D08" w:rsidRDefault="00AA5817" w:rsidP="00F31494">
            <w:pPr>
              <w:spacing w:after="120"/>
              <w:jc w:val="left"/>
              <w:rPr>
                <w:rFonts w:cs="Arial"/>
                <w:sz w:val="16"/>
                <w:szCs w:val="16"/>
              </w:rPr>
            </w:pPr>
            <w:r>
              <w:rPr>
                <w:sz w:val="16"/>
                <w:szCs w:val="16"/>
              </w:rPr>
              <w:t>Ποιες είναι οι σχετικές με την καινοτομία ανάγκες που προσδιορίζονται στην εκτίμηση αναγκών σε σχέση με το μέτρο/επιμέρους μέτρο;</w:t>
            </w:r>
          </w:p>
          <w:p w:rsidR="00E05D08" w:rsidRPr="00E05D08" w:rsidRDefault="00E05D08" w:rsidP="00F31494">
            <w:pPr>
              <w:spacing w:after="120"/>
              <w:jc w:val="left"/>
              <w:rPr>
                <w:rFonts w:cs="Arial"/>
                <w:sz w:val="16"/>
                <w:szCs w:val="16"/>
              </w:rPr>
            </w:pPr>
            <w:r>
              <w:rPr>
                <w:sz w:val="16"/>
                <w:szCs w:val="16"/>
              </w:rPr>
              <w:t>Με ποιο τρόπο το μέτρο/επιμέρους μέτρο αντιμετωπίζει αυτές τις ανάγκες, λαμβάνοντας υπόψη τις τρεις διαδρομές;</w:t>
            </w:r>
          </w:p>
        </w:tc>
        <w:tc>
          <w:tcPr>
            <w:tcW w:w="2268" w:type="dxa"/>
          </w:tcPr>
          <w:p w:rsidR="00E05D08" w:rsidRPr="00E05D08" w:rsidRDefault="00E05D08" w:rsidP="00F31494">
            <w:pPr>
              <w:jc w:val="left"/>
              <w:rPr>
                <w:rFonts w:cs="Arial"/>
                <w:sz w:val="16"/>
                <w:szCs w:val="16"/>
              </w:rPr>
            </w:pPr>
            <w:r>
              <w:rPr>
                <w:sz w:val="16"/>
                <w:szCs w:val="16"/>
              </w:rPr>
              <w:t>Ενότητα 4 – Ανάλυση SWOT και ανάλυση αναγκών</w:t>
            </w:r>
          </w:p>
          <w:p w:rsidR="00E05D08" w:rsidRPr="00E05D08" w:rsidRDefault="00E05D08" w:rsidP="00F31494">
            <w:pPr>
              <w:jc w:val="left"/>
              <w:rPr>
                <w:rFonts w:cs="Arial"/>
                <w:sz w:val="16"/>
                <w:szCs w:val="16"/>
              </w:rPr>
            </w:pPr>
            <w:r>
              <w:rPr>
                <w:sz w:val="16"/>
                <w:szCs w:val="16"/>
              </w:rPr>
              <w:t>Ενότητα 5 – Περιγραφή της στρατηγικής</w:t>
            </w:r>
          </w:p>
          <w:p w:rsidR="00E05D08" w:rsidRPr="00E05D08" w:rsidRDefault="00E05D08" w:rsidP="00F31494">
            <w:pPr>
              <w:jc w:val="left"/>
              <w:rPr>
                <w:rFonts w:cs="Arial"/>
                <w:sz w:val="16"/>
                <w:szCs w:val="16"/>
              </w:rPr>
            </w:pPr>
            <w:r>
              <w:rPr>
                <w:sz w:val="16"/>
                <w:szCs w:val="16"/>
              </w:rPr>
              <w:t>Ενότητα 8 – Περιγραφή των μέτρων και των επιμέρους μέτρων</w:t>
            </w:r>
          </w:p>
        </w:tc>
        <w:tc>
          <w:tcPr>
            <w:tcW w:w="2693" w:type="dxa"/>
          </w:tcPr>
          <w:p w:rsidR="00E05D08" w:rsidRPr="00E05D08" w:rsidRDefault="00E05D08" w:rsidP="00F31494">
            <w:pPr>
              <w:jc w:val="left"/>
              <w:rPr>
                <w:rFonts w:cs="Arial"/>
                <w:sz w:val="16"/>
                <w:szCs w:val="16"/>
              </w:rPr>
            </w:pPr>
            <w:r>
              <w:rPr>
                <w:sz w:val="16"/>
                <w:szCs w:val="16"/>
              </w:rPr>
              <w:t>Ανάγκη βελτίωσης του συστήματος Ε+Α+Κ· Ανάγκη βελτίωσης των μηχανισμών μεταφοράς γνώσης· Ανάγκη προώθησης της κουλτούρας καινοτομίας στους σχετικούς φορείς του τομέα γεωργικών ειδών διατροφής.</w:t>
            </w:r>
          </w:p>
        </w:tc>
        <w:tc>
          <w:tcPr>
            <w:tcW w:w="2268" w:type="dxa"/>
          </w:tcPr>
          <w:p w:rsidR="00E05D08" w:rsidRPr="00E05D08" w:rsidRDefault="00AA5817" w:rsidP="00963A81">
            <w:pPr>
              <w:jc w:val="left"/>
              <w:rPr>
                <w:rFonts w:cs="Arial"/>
                <w:sz w:val="16"/>
                <w:szCs w:val="16"/>
              </w:rPr>
            </w:pPr>
            <w:r>
              <w:rPr>
                <w:sz w:val="16"/>
                <w:szCs w:val="16"/>
              </w:rPr>
              <w:t xml:space="preserve">Οι ανάγκες που σχετίζονται με την καινοτομία δεν διατυπώνονται με σαφήνεια στην ανάλυση SWOT και την εκτίμηση αναγκών. </w:t>
            </w:r>
          </w:p>
        </w:tc>
        <w:tc>
          <w:tcPr>
            <w:tcW w:w="2410" w:type="dxa"/>
          </w:tcPr>
          <w:p w:rsidR="00E05D08" w:rsidRPr="00E05D08" w:rsidRDefault="00E05D08" w:rsidP="00F31494">
            <w:pPr>
              <w:jc w:val="left"/>
              <w:rPr>
                <w:rFonts w:cs="Arial"/>
                <w:sz w:val="16"/>
                <w:szCs w:val="16"/>
              </w:rPr>
            </w:pPr>
            <w:r>
              <w:rPr>
                <w:sz w:val="16"/>
                <w:szCs w:val="16"/>
              </w:rPr>
              <w:t>Επανεξέταση της ανάλυσης SWOT και της εκτίμησης αναγκών υπό το πρίσμα των αναγκών που σχετίζονται με την καινοτομία.</w:t>
            </w:r>
          </w:p>
        </w:tc>
      </w:tr>
      <w:tr w:rsidR="00E05D08" w:rsidRPr="00E05D08" w:rsidTr="00E05D08">
        <w:tc>
          <w:tcPr>
            <w:tcW w:w="1980" w:type="dxa"/>
          </w:tcPr>
          <w:p w:rsidR="00E05D08" w:rsidRPr="00F31494" w:rsidRDefault="00AA5817" w:rsidP="00F31494">
            <w:pPr>
              <w:spacing w:after="120"/>
              <w:jc w:val="left"/>
              <w:rPr>
                <w:rFonts w:cs="Arial"/>
                <w:color w:val="F07E31"/>
                <w:sz w:val="18"/>
                <w:szCs w:val="18"/>
              </w:rPr>
            </w:pPr>
            <w:r>
              <w:rPr>
                <w:color w:val="F07E31"/>
                <w:sz w:val="18"/>
                <w:szCs w:val="18"/>
              </w:rPr>
              <w:t>Βήμα 2: Προσδιορισμός των σχετικών με την καινοτομία τμημάτων των στόχων του μέτρου/επιμέρους μέτρου</w:t>
            </w:r>
          </w:p>
        </w:tc>
        <w:tc>
          <w:tcPr>
            <w:tcW w:w="3260" w:type="dxa"/>
          </w:tcPr>
          <w:p w:rsidR="00E05D08" w:rsidRPr="00E05D08" w:rsidRDefault="00E05D08" w:rsidP="00F31494">
            <w:pPr>
              <w:spacing w:after="120"/>
              <w:jc w:val="left"/>
              <w:rPr>
                <w:rFonts w:cs="Arial"/>
                <w:sz w:val="16"/>
                <w:szCs w:val="16"/>
              </w:rPr>
            </w:pPr>
            <w:r>
              <w:rPr>
                <w:sz w:val="16"/>
                <w:szCs w:val="16"/>
              </w:rPr>
              <w:t>Σε ποιο βαθμό οι στόχοι του μέτρου/επιμέρους μέτρου αντιμετωπίζουν τις σχετικές με την καινοτομία ανάγκες;</w:t>
            </w:r>
          </w:p>
          <w:p w:rsidR="00E05D08" w:rsidRPr="00E05D08" w:rsidRDefault="00E05D08" w:rsidP="00F31494">
            <w:pPr>
              <w:spacing w:after="120"/>
              <w:jc w:val="left"/>
              <w:rPr>
                <w:rFonts w:cs="Arial"/>
                <w:sz w:val="16"/>
                <w:szCs w:val="16"/>
              </w:rPr>
            </w:pPr>
            <w:r>
              <w:rPr>
                <w:sz w:val="16"/>
                <w:szCs w:val="16"/>
              </w:rPr>
              <w:t>Με ποιο τρόπο διαμορφώνεται(-ονται) ο(οι) στόχος(-οι) σε σχέση με την καινοτομία;</w:t>
            </w:r>
          </w:p>
        </w:tc>
        <w:tc>
          <w:tcPr>
            <w:tcW w:w="2268" w:type="dxa"/>
          </w:tcPr>
          <w:p w:rsidR="00E05D08" w:rsidRPr="00E05D08" w:rsidRDefault="00E05D08" w:rsidP="00F31494">
            <w:pPr>
              <w:jc w:val="left"/>
              <w:rPr>
                <w:rFonts w:cs="Arial"/>
                <w:sz w:val="16"/>
                <w:szCs w:val="16"/>
              </w:rPr>
            </w:pPr>
            <w:r>
              <w:rPr>
                <w:sz w:val="16"/>
                <w:szCs w:val="16"/>
              </w:rPr>
              <w:t>Ενότητα 5 – Περιγραφή της στρατηγικής</w:t>
            </w:r>
          </w:p>
          <w:p w:rsidR="00E05D08" w:rsidRPr="00E05D08" w:rsidRDefault="00E05D08" w:rsidP="00F31494">
            <w:pPr>
              <w:jc w:val="left"/>
              <w:rPr>
                <w:rFonts w:cs="Arial"/>
                <w:sz w:val="16"/>
                <w:szCs w:val="16"/>
              </w:rPr>
            </w:pPr>
            <w:r>
              <w:rPr>
                <w:sz w:val="16"/>
                <w:szCs w:val="16"/>
              </w:rPr>
              <w:t>Ενότητα 8 – Περιγραφή των μέτρων και των επιμέρους μέτρων</w:t>
            </w:r>
          </w:p>
        </w:tc>
        <w:tc>
          <w:tcPr>
            <w:tcW w:w="2693" w:type="dxa"/>
          </w:tcPr>
          <w:p w:rsidR="00E05D08" w:rsidRPr="00E05D08" w:rsidRDefault="00E05D08" w:rsidP="00F31494">
            <w:pPr>
              <w:jc w:val="left"/>
              <w:rPr>
                <w:rFonts w:cs="Arial"/>
                <w:sz w:val="16"/>
                <w:szCs w:val="16"/>
              </w:rPr>
            </w:pPr>
            <w:r>
              <w:rPr>
                <w:sz w:val="16"/>
                <w:szCs w:val="16"/>
              </w:rPr>
              <w:t>Προώθηση νέων τεχνολογιών στα συστήματα άρδευσης· Εισαγωγή νέων γνώσεων στο πεδίο της προστασίας και επεξεργασίας των καλλιεργειών· Βελτίωση των οικονομικών αποτελεσμάτων των αγροτικών επιχειρήσεων μέσω της καινοτομίας.</w:t>
            </w:r>
          </w:p>
        </w:tc>
        <w:tc>
          <w:tcPr>
            <w:tcW w:w="2268" w:type="dxa"/>
          </w:tcPr>
          <w:p w:rsidR="00E05D08" w:rsidRPr="00E05D08" w:rsidRDefault="00AA5817" w:rsidP="00F31494">
            <w:pPr>
              <w:jc w:val="left"/>
              <w:rPr>
                <w:rFonts w:cs="Arial"/>
                <w:sz w:val="16"/>
                <w:szCs w:val="16"/>
              </w:rPr>
            </w:pPr>
            <w:r>
              <w:rPr>
                <w:sz w:val="16"/>
                <w:szCs w:val="16"/>
              </w:rPr>
              <w:t>Οι σχετικοί με την καινοτομία στόχοι δεν είναι εμφανείς στη γενική περιγραφή του μέτρου και των επιμέρους μέτρων.</w:t>
            </w:r>
          </w:p>
        </w:tc>
        <w:tc>
          <w:tcPr>
            <w:tcW w:w="2410" w:type="dxa"/>
          </w:tcPr>
          <w:p w:rsidR="00E05D08" w:rsidRPr="00E05D08" w:rsidRDefault="00E05D08" w:rsidP="00F31494">
            <w:pPr>
              <w:jc w:val="left"/>
              <w:rPr>
                <w:rFonts w:cs="Arial"/>
                <w:sz w:val="16"/>
                <w:szCs w:val="16"/>
              </w:rPr>
            </w:pPr>
            <w:r>
              <w:rPr>
                <w:sz w:val="16"/>
                <w:szCs w:val="16"/>
              </w:rPr>
              <w:t>Επανεξέταση όλων των επιμέρους μέτρων και των αντίστοιχων στόχων τους για τον εντοπισμό τυχόν στόχων που σχετίζονται με την καινοτομία.</w:t>
            </w:r>
          </w:p>
        </w:tc>
      </w:tr>
      <w:tr w:rsidR="00E05D08" w:rsidRPr="00E05D08" w:rsidTr="00E05D08">
        <w:tc>
          <w:tcPr>
            <w:tcW w:w="1980" w:type="dxa"/>
          </w:tcPr>
          <w:p w:rsidR="00E05D08" w:rsidRPr="00F31494" w:rsidRDefault="00AA5817" w:rsidP="00F31494">
            <w:pPr>
              <w:jc w:val="left"/>
              <w:rPr>
                <w:rFonts w:cs="Arial"/>
                <w:color w:val="F07E31"/>
                <w:sz w:val="18"/>
                <w:szCs w:val="18"/>
              </w:rPr>
            </w:pPr>
            <w:r>
              <w:rPr>
                <w:color w:val="F07E31"/>
                <w:sz w:val="18"/>
                <w:szCs w:val="18"/>
              </w:rPr>
              <w:t>Βήμα 3: Προσδιορισμός των σχετικών με την καινοτομία κριτηρίων επιλογής του μέτρου/επιμέρους μέτρου</w:t>
            </w:r>
          </w:p>
        </w:tc>
        <w:tc>
          <w:tcPr>
            <w:tcW w:w="3260" w:type="dxa"/>
          </w:tcPr>
          <w:p w:rsidR="00E05D08" w:rsidRPr="00E05D08" w:rsidRDefault="00E05D08" w:rsidP="00F31494">
            <w:pPr>
              <w:spacing w:after="120"/>
              <w:jc w:val="left"/>
              <w:rPr>
                <w:rFonts w:cs="Arial"/>
                <w:sz w:val="16"/>
                <w:szCs w:val="16"/>
              </w:rPr>
            </w:pPr>
            <w:r>
              <w:rPr>
                <w:sz w:val="16"/>
                <w:szCs w:val="16"/>
              </w:rPr>
              <w:t xml:space="preserve">Σε ποιο βαθμό τα κριτήρια επιλογής έργου του μέτρου/επιμέρους μέτρου προωθούν την καινοτομία λαμβάνοντας υπόψη τις τρεις διαδρομές; </w:t>
            </w:r>
          </w:p>
          <w:p w:rsidR="00E05D08" w:rsidRPr="00E05D08" w:rsidRDefault="00E05D08" w:rsidP="00F31494">
            <w:pPr>
              <w:spacing w:after="120"/>
              <w:jc w:val="left"/>
              <w:rPr>
                <w:rFonts w:cs="Arial"/>
                <w:sz w:val="16"/>
                <w:szCs w:val="16"/>
              </w:rPr>
            </w:pPr>
            <w:r>
              <w:rPr>
                <w:sz w:val="16"/>
                <w:szCs w:val="16"/>
              </w:rPr>
              <w:t>Ποια συγκεκριμένα κριτήρια επιλογής ευνοούν έργα που προωθούν την καινοτομία;</w:t>
            </w:r>
          </w:p>
        </w:tc>
        <w:tc>
          <w:tcPr>
            <w:tcW w:w="2268" w:type="dxa"/>
          </w:tcPr>
          <w:p w:rsidR="00E05D08" w:rsidRPr="00E05D08" w:rsidRDefault="00E05D08" w:rsidP="00F31494">
            <w:pPr>
              <w:jc w:val="left"/>
              <w:rPr>
                <w:rFonts w:cs="Arial"/>
                <w:sz w:val="16"/>
                <w:szCs w:val="16"/>
              </w:rPr>
            </w:pPr>
            <w:r>
              <w:rPr>
                <w:sz w:val="16"/>
                <w:szCs w:val="16"/>
              </w:rPr>
              <w:t>Ενότητα 8 – Περιγραφή των μέτρων και των επιμέρους μέτρων</w:t>
            </w:r>
          </w:p>
          <w:p w:rsidR="00E05D08" w:rsidRPr="00E05D08" w:rsidRDefault="00E05D08" w:rsidP="00F31494">
            <w:pPr>
              <w:jc w:val="left"/>
              <w:rPr>
                <w:rFonts w:cs="Arial"/>
                <w:sz w:val="16"/>
                <w:szCs w:val="16"/>
              </w:rPr>
            </w:pPr>
            <w:r>
              <w:rPr>
                <w:sz w:val="16"/>
                <w:szCs w:val="16"/>
              </w:rPr>
              <w:t>Κριτήρια επιλογής που αναπτύχθηκαν κατά την υλοποίηση (πηγή: ιστότοπος προγράμματος, διαχειριστική αρχή)</w:t>
            </w:r>
          </w:p>
        </w:tc>
        <w:tc>
          <w:tcPr>
            <w:tcW w:w="2693" w:type="dxa"/>
          </w:tcPr>
          <w:p w:rsidR="00E05D08" w:rsidRPr="00E05D08" w:rsidRDefault="00E05D08" w:rsidP="00F31494">
            <w:pPr>
              <w:jc w:val="left"/>
              <w:rPr>
                <w:rFonts w:cs="Arial"/>
                <w:sz w:val="16"/>
                <w:szCs w:val="16"/>
              </w:rPr>
            </w:pPr>
            <w:r>
              <w:rPr>
                <w:sz w:val="16"/>
                <w:szCs w:val="16"/>
              </w:rPr>
              <w:t>Θέση σε προτεραιότητα των φορέων που διαθέτουν εμπειρία στην καινοτομία· Θέση σε προτεραιότητα των δράσεων που συνδέουν την έρευνα με την πρακτική εφαρμογή· Έμφαση στη σύνθεση των συμπράξεων (σε πράξεις συνεργασίας).</w:t>
            </w:r>
          </w:p>
        </w:tc>
        <w:tc>
          <w:tcPr>
            <w:tcW w:w="2268" w:type="dxa"/>
          </w:tcPr>
          <w:p w:rsidR="00E05D08" w:rsidRPr="00E05D08" w:rsidRDefault="00E05D08" w:rsidP="00F31494">
            <w:pPr>
              <w:jc w:val="left"/>
              <w:rPr>
                <w:rFonts w:cs="Arial"/>
                <w:sz w:val="16"/>
                <w:szCs w:val="16"/>
              </w:rPr>
            </w:pPr>
            <w:r>
              <w:rPr>
                <w:sz w:val="16"/>
                <w:szCs w:val="16"/>
              </w:rPr>
              <w:t xml:space="preserve">Στην περιγραφή των μέτρων δεν προσδιορίζονται τα κριτήρια επιλογής του έργου που σχετίζονται με την καινοτομία ή υπάρχει μόνο γενική διατύπωση, π.χ. «τα επιλεχθέντα έργα είναι καινοτόμα». </w:t>
            </w:r>
          </w:p>
        </w:tc>
        <w:tc>
          <w:tcPr>
            <w:tcW w:w="2410" w:type="dxa"/>
          </w:tcPr>
          <w:p w:rsidR="00E05D08" w:rsidRPr="00E05D08" w:rsidRDefault="00E05D08" w:rsidP="00F31494">
            <w:pPr>
              <w:jc w:val="left"/>
              <w:rPr>
                <w:rFonts w:cs="Arial"/>
                <w:sz w:val="16"/>
                <w:szCs w:val="16"/>
              </w:rPr>
            </w:pPr>
            <w:r>
              <w:rPr>
                <w:sz w:val="16"/>
                <w:szCs w:val="16"/>
              </w:rPr>
              <w:t>Διατύπωση προτάσεων για λειτουργικά κριτήρια, στα οποία θα διευκρινίζεται υπό ποια προϋπόθεση το έργο επιλέχθηκε ως καινοτόμο.</w:t>
            </w:r>
          </w:p>
        </w:tc>
      </w:tr>
      <w:tr w:rsidR="00E05D08" w:rsidRPr="00E05D08" w:rsidTr="00E05D08">
        <w:tc>
          <w:tcPr>
            <w:tcW w:w="1980" w:type="dxa"/>
          </w:tcPr>
          <w:p w:rsidR="00E05D08" w:rsidRPr="00F31494" w:rsidRDefault="00E05D08" w:rsidP="00F31494">
            <w:pPr>
              <w:spacing w:after="120"/>
              <w:jc w:val="left"/>
              <w:rPr>
                <w:rFonts w:cs="Arial"/>
                <w:color w:val="F07E31"/>
                <w:sz w:val="18"/>
                <w:szCs w:val="18"/>
              </w:rPr>
            </w:pPr>
            <w:r>
              <w:rPr>
                <w:color w:val="F07E31"/>
                <w:sz w:val="18"/>
                <w:szCs w:val="18"/>
              </w:rPr>
              <w:t>Βήμα 4: Προσδιορισμός των ενδιαφερόμενων φορέων καινοτομίας στην περιγραφή του μέτρου/επιμέρους μέτρου</w:t>
            </w:r>
          </w:p>
        </w:tc>
        <w:tc>
          <w:tcPr>
            <w:tcW w:w="3260" w:type="dxa"/>
          </w:tcPr>
          <w:p w:rsidR="00E05D08" w:rsidRPr="00E05D08" w:rsidRDefault="00E05D08" w:rsidP="00F31494">
            <w:pPr>
              <w:spacing w:after="120"/>
              <w:jc w:val="left"/>
              <w:rPr>
                <w:rFonts w:cs="Arial"/>
                <w:sz w:val="16"/>
                <w:szCs w:val="16"/>
              </w:rPr>
            </w:pPr>
            <w:r>
              <w:rPr>
                <w:sz w:val="16"/>
                <w:szCs w:val="16"/>
              </w:rPr>
              <w:t>Ποιοι δικαιούχοι προβλέπεται να προωθήσουν την καινοτομία μέσω των τριών διαδρομών;</w:t>
            </w:r>
          </w:p>
          <w:p w:rsidR="00E05D08" w:rsidRPr="00E05D08" w:rsidRDefault="00E05D08" w:rsidP="00F31494">
            <w:pPr>
              <w:spacing w:after="120"/>
              <w:jc w:val="left"/>
              <w:rPr>
                <w:rFonts w:cs="Arial"/>
                <w:sz w:val="16"/>
                <w:szCs w:val="16"/>
              </w:rPr>
            </w:pPr>
            <w:r>
              <w:rPr>
                <w:sz w:val="16"/>
                <w:szCs w:val="16"/>
              </w:rPr>
              <w:t>Ποιοι άλλοι ενδιαφερόμενοι φορείς καινοτομίας συμμετέχουν στην υλοποίηση του μέτρου;</w:t>
            </w:r>
          </w:p>
        </w:tc>
        <w:tc>
          <w:tcPr>
            <w:tcW w:w="2268" w:type="dxa"/>
          </w:tcPr>
          <w:p w:rsidR="00E05D08" w:rsidRPr="00E05D08" w:rsidRDefault="00E05D08" w:rsidP="00F31494">
            <w:pPr>
              <w:jc w:val="left"/>
              <w:rPr>
                <w:rFonts w:cs="Arial"/>
                <w:sz w:val="16"/>
                <w:szCs w:val="16"/>
              </w:rPr>
            </w:pPr>
            <w:r>
              <w:rPr>
                <w:sz w:val="16"/>
                <w:szCs w:val="16"/>
              </w:rPr>
              <w:t>Ενότητα 8 – Περιγραφή των μέτρων και των επιμέρους μέτρων</w:t>
            </w:r>
          </w:p>
        </w:tc>
        <w:tc>
          <w:tcPr>
            <w:tcW w:w="2693" w:type="dxa"/>
          </w:tcPr>
          <w:p w:rsidR="00E05D08" w:rsidRPr="00E05D08" w:rsidRDefault="00E05D08" w:rsidP="00F31494">
            <w:pPr>
              <w:jc w:val="left"/>
              <w:rPr>
                <w:rFonts w:cs="Arial"/>
                <w:sz w:val="16"/>
                <w:szCs w:val="16"/>
              </w:rPr>
            </w:pPr>
            <w:r>
              <w:rPr>
                <w:sz w:val="16"/>
                <w:szCs w:val="16"/>
              </w:rPr>
              <w:t>Κέντρα Ε&amp;Α</w:t>
            </w:r>
          </w:p>
          <w:p w:rsidR="00E05D08" w:rsidRPr="00E05D08" w:rsidRDefault="00E05D08" w:rsidP="00F31494">
            <w:pPr>
              <w:jc w:val="left"/>
              <w:rPr>
                <w:rFonts w:cs="Arial"/>
                <w:sz w:val="16"/>
                <w:szCs w:val="16"/>
              </w:rPr>
            </w:pPr>
            <w:r>
              <w:rPr>
                <w:sz w:val="16"/>
                <w:szCs w:val="16"/>
              </w:rPr>
              <w:t>Ινστιτούτα τεχνολογίας</w:t>
            </w:r>
          </w:p>
          <w:p w:rsidR="00E05D08" w:rsidRPr="00E05D08" w:rsidRDefault="00E05D08" w:rsidP="00F31494">
            <w:pPr>
              <w:jc w:val="left"/>
              <w:rPr>
                <w:rFonts w:cs="Arial"/>
                <w:sz w:val="16"/>
                <w:szCs w:val="16"/>
              </w:rPr>
            </w:pPr>
            <w:r>
              <w:rPr>
                <w:sz w:val="16"/>
                <w:szCs w:val="16"/>
              </w:rPr>
              <w:t>Τμήματα καινοτομίας των δημόσιων θεσμών</w:t>
            </w:r>
          </w:p>
          <w:p w:rsidR="00E05D08" w:rsidRPr="002F229A" w:rsidRDefault="00E05D08" w:rsidP="00F31494">
            <w:pPr>
              <w:jc w:val="left"/>
              <w:rPr>
                <w:rFonts w:cs="Arial"/>
                <w:sz w:val="16"/>
                <w:szCs w:val="16"/>
              </w:rPr>
            </w:pPr>
          </w:p>
          <w:p w:rsidR="00E05D08" w:rsidRPr="002F229A" w:rsidRDefault="00E05D08" w:rsidP="00F31494">
            <w:pPr>
              <w:jc w:val="left"/>
              <w:rPr>
                <w:rFonts w:cs="Arial"/>
                <w:sz w:val="16"/>
                <w:szCs w:val="16"/>
              </w:rPr>
            </w:pPr>
          </w:p>
        </w:tc>
        <w:tc>
          <w:tcPr>
            <w:tcW w:w="2268" w:type="dxa"/>
          </w:tcPr>
          <w:p w:rsidR="00E05D08" w:rsidRPr="00E05D08" w:rsidRDefault="00AA5817" w:rsidP="00F31494">
            <w:pPr>
              <w:jc w:val="left"/>
              <w:rPr>
                <w:rFonts w:cs="Arial"/>
                <w:sz w:val="16"/>
                <w:szCs w:val="16"/>
              </w:rPr>
            </w:pPr>
            <w:r>
              <w:rPr>
                <w:sz w:val="16"/>
                <w:szCs w:val="16"/>
              </w:rPr>
              <w:t>Οι ενδιαφερόμενοι φορείς καινοτομίας μπορεί να μην προσδιορίζονται στον σχεδιασμό του μέτρου.</w:t>
            </w:r>
          </w:p>
        </w:tc>
        <w:tc>
          <w:tcPr>
            <w:tcW w:w="2410" w:type="dxa"/>
          </w:tcPr>
          <w:p w:rsidR="00E05D08" w:rsidRPr="00E05D08" w:rsidRDefault="00E05D08" w:rsidP="00F31494">
            <w:pPr>
              <w:jc w:val="left"/>
              <w:rPr>
                <w:rFonts w:cs="Arial"/>
                <w:sz w:val="16"/>
                <w:szCs w:val="16"/>
              </w:rPr>
            </w:pPr>
            <w:r>
              <w:rPr>
                <w:sz w:val="16"/>
                <w:szCs w:val="16"/>
              </w:rPr>
              <w:t xml:space="preserve">Ο αξιολογητής θα πρέπει να επανεξετάσει κατά πόσο οι ενδιαφερόμενοι φορείς καινοτομίας συμμετέχουν στην υλοποίηση του μέτρου και των επιμέρους μέτρων. </w:t>
            </w:r>
          </w:p>
        </w:tc>
      </w:tr>
      <w:tr w:rsidR="00E05D08" w:rsidRPr="00E05D08" w:rsidTr="00E05D08">
        <w:tc>
          <w:tcPr>
            <w:tcW w:w="1980" w:type="dxa"/>
          </w:tcPr>
          <w:p w:rsidR="00E05D08" w:rsidRPr="00F31494" w:rsidRDefault="00AA5817" w:rsidP="00F31494">
            <w:pPr>
              <w:spacing w:after="120"/>
              <w:jc w:val="left"/>
              <w:rPr>
                <w:rFonts w:cs="Arial"/>
                <w:color w:val="F07E31"/>
                <w:sz w:val="18"/>
                <w:szCs w:val="18"/>
              </w:rPr>
            </w:pPr>
            <w:r>
              <w:rPr>
                <w:color w:val="F07E31"/>
                <w:sz w:val="18"/>
                <w:szCs w:val="18"/>
              </w:rPr>
              <w:t xml:space="preserve">Βήμα 5: Προσδιορισμός των σχετικών με την καινοτομία δράσεων, δαπανών και προϋπολογισμού </w:t>
            </w:r>
            <w:r>
              <w:rPr>
                <w:color w:val="F07E31"/>
                <w:sz w:val="18"/>
                <w:szCs w:val="18"/>
              </w:rPr>
              <w:lastRenderedPageBreak/>
              <w:t>στην περιγραφή του μέτρου/επιμέρους μέτρου</w:t>
            </w:r>
          </w:p>
        </w:tc>
        <w:tc>
          <w:tcPr>
            <w:tcW w:w="3260" w:type="dxa"/>
          </w:tcPr>
          <w:p w:rsidR="00E05D08" w:rsidRPr="00E05D08" w:rsidRDefault="00E05D08" w:rsidP="00F31494">
            <w:pPr>
              <w:spacing w:after="120"/>
              <w:jc w:val="left"/>
              <w:rPr>
                <w:rFonts w:cs="Arial"/>
                <w:sz w:val="16"/>
                <w:szCs w:val="16"/>
              </w:rPr>
            </w:pPr>
            <w:r>
              <w:rPr>
                <w:sz w:val="16"/>
                <w:szCs w:val="16"/>
              </w:rPr>
              <w:lastRenderedPageBreak/>
              <w:t xml:space="preserve">Ποιες επιλέξιμες δράσεις και δαπάνες θα στηρίξουν την καινοτομία; </w:t>
            </w:r>
          </w:p>
          <w:p w:rsidR="00E05D08" w:rsidRPr="00E05D08" w:rsidRDefault="00E05D08" w:rsidP="00963A81">
            <w:pPr>
              <w:spacing w:after="120"/>
              <w:jc w:val="left"/>
              <w:rPr>
                <w:rFonts w:cs="Arial"/>
                <w:sz w:val="16"/>
                <w:szCs w:val="16"/>
              </w:rPr>
            </w:pPr>
            <w:r>
              <w:rPr>
                <w:sz w:val="16"/>
                <w:szCs w:val="16"/>
              </w:rPr>
              <w:t>Ποιος είναι ο προϋπολογισμός των δράσεων και δαπανών για τη στήριξη της καινοτομίας;</w:t>
            </w:r>
          </w:p>
        </w:tc>
        <w:tc>
          <w:tcPr>
            <w:tcW w:w="2268" w:type="dxa"/>
          </w:tcPr>
          <w:p w:rsidR="00E05D08" w:rsidRPr="00E05D08" w:rsidRDefault="00E05D08" w:rsidP="00F31494">
            <w:pPr>
              <w:jc w:val="left"/>
              <w:rPr>
                <w:rFonts w:cs="Arial"/>
                <w:sz w:val="16"/>
                <w:szCs w:val="16"/>
              </w:rPr>
            </w:pPr>
            <w:r>
              <w:rPr>
                <w:sz w:val="16"/>
                <w:szCs w:val="16"/>
              </w:rPr>
              <w:t>Ενότητα 8 – Περιγραφή των μέτρων και των επιμέρους μέτρων</w:t>
            </w:r>
          </w:p>
          <w:p w:rsidR="00E05D08" w:rsidRPr="00E05D08" w:rsidRDefault="00E05D08" w:rsidP="00F31494">
            <w:pPr>
              <w:jc w:val="left"/>
              <w:rPr>
                <w:rFonts w:cs="Arial"/>
                <w:sz w:val="16"/>
                <w:szCs w:val="16"/>
              </w:rPr>
            </w:pPr>
            <w:r>
              <w:rPr>
                <w:sz w:val="16"/>
                <w:szCs w:val="16"/>
              </w:rPr>
              <w:t xml:space="preserve">Συστήματα υλοποίησης που αναπτύχθηκαν κατά την εκτέλεση (πηγές: ιστότοπος προγράμματος, διαχειριστική </w:t>
            </w:r>
            <w:r>
              <w:rPr>
                <w:sz w:val="16"/>
                <w:szCs w:val="16"/>
              </w:rPr>
              <w:lastRenderedPageBreak/>
              <w:t>αρχή)</w:t>
            </w:r>
          </w:p>
          <w:p w:rsidR="00E05D08" w:rsidRPr="002F229A" w:rsidRDefault="00E05D08" w:rsidP="00F31494">
            <w:pPr>
              <w:jc w:val="left"/>
              <w:rPr>
                <w:rFonts w:cs="Arial"/>
                <w:sz w:val="16"/>
                <w:szCs w:val="16"/>
              </w:rPr>
            </w:pPr>
          </w:p>
          <w:p w:rsidR="00E05D08" w:rsidRPr="00E05D08" w:rsidRDefault="00E05D08" w:rsidP="00F31494">
            <w:pPr>
              <w:jc w:val="left"/>
              <w:rPr>
                <w:rFonts w:cs="Arial"/>
                <w:sz w:val="16"/>
                <w:szCs w:val="16"/>
              </w:rPr>
            </w:pPr>
            <w:r>
              <w:rPr>
                <w:sz w:val="16"/>
                <w:szCs w:val="16"/>
              </w:rPr>
              <w:t xml:space="preserve">Ενότητα 10 – Χρηματοδοτικό σχέδιο - προϋπολογισμός ανά μέτρο </w:t>
            </w:r>
          </w:p>
        </w:tc>
        <w:tc>
          <w:tcPr>
            <w:tcW w:w="2693" w:type="dxa"/>
          </w:tcPr>
          <w:p w:rsidR="00E05D08" w:rsidRPr="00E05D08" w:rsidRDefault="00E05D08" w:rsidP="00F31494">
            <w:pPr>
              <w:jc w:val="left"/>
              <w:rPr>
                <w:rFonts w:cs="Arial"/>
                <w:sz w:val="16"/>
                <w:szCs w:val="16"/>
              </w:rPr>
            </w:pPr>
            <w:r>
              <w:rPr>
                <w:sz w:val="16"/>
                <w:szCs w:val="16"/>
              </w:rPr>
              <w:lastRenderedPageBreak/>
              <w:t xml:space="preserve">Χρήση διαμεσολαβητών καινοτομίας για τη σύσταση επιχειρησιακών ομάδων· Σύσταση ομάδων καθοδήγησης για την παρακολούθηση της καινοτομίας· Διοικητικά ζητήματα στις παρεμβάσεις προώθησης της </w:t>
            </w:r>
            <w:r>
              <w:rPr>
                <w:sz w:val="16"/>
                <w:szCs w:val="16"/>
              </w:rPr>
              <w:lastRenderedPageBreak/>
              <w:t xml:space="preserve">καινοτομίας· Εκδηλώσεις για την αύξηση της ευαισθητοποίησης σχετικά με την καινοτομία. </w:t>
            </w:r>
          </w:p>
        </w:tc>
        <w:tc>
          <w:tcPr>
            <w:tcW w:w="2268" w:type="dxa"/>
          </w:tcPr>
          <w:p w:rsidR="00E05D08" w:rsidRPr="00E05D08" w:rsidRDefault="00E05D08" w:rsidP="00F31494">
            <w:pPr>
              <w:jc w:val="left"/>
              <w:rPr>
                <w:rFonts w:cs="Arial"/>
                <w:sz w:val="16"/>
                <w:szCs w:val="16"/>
              </w:rPr>
            </w:pPr>
            <w:r>
              <w:rPr>
                <w:sz w:val="16"/>
                <w:szCs w:val="16"/>
              </w:rPr>
              <w:lastRenderedPageBreak/>
              <w:t>Έλλειψη αποδεικτικών στοιχείων σχετικά με τα μέσα και τη στήριξη που σχετίζονται με την καινοτομία.</w:t>
            </w:r>
          </w:p>
        </w:tc>
        <w:tc>
          <w:tcPr>
            <w:tcW w:w="2410" w:type="dxa"/>
          </w:tcPr>
          <w:p w:rsidR="00E05D08" w:rsidRPr="00E05D08" w:rsidRDefault="00E05D08" w:rsidP="00F31494">
            <w:pPr>
              <w:jc w:val="left"/>
              <w:rPr>
                <w:rFonts w:cs="Arial"/>
                <w:sz w:val="16"/>
                <w:szCs w:val="16"/>
              </w:rPr>
            </w:pPr>
            <w:r>
              <w:rPr>
                <w:sz w:val="16"/>
                <w:szCs w:val="16"/>
              </w:rPr>
              <w:t>Ανάλυση πρόσθετων πληροφοριών σχετικά με την υλοποίηση του μέτρου και των επιμέρους μέτρων οι οποίες παρέχονται στις ΕΕΥ ή από τη διαχειριστική αρχή.</w:t>
            </w:r>
          </w:p>
        </w:tc>
      </w:tr>
    </w:tbl>
    <w:p w:rsidR="00863DB0" w:rsidRDefault="00863DB0" w:rsidP="00E05D08">
      <w:pPr>
        <w:spacing w:before="120" w:after="120" w:line="280" w:lineRule="atLeast"/>
        <w:mirrorIndents/>
        <w:rPr>
          <w:rFonts w:eastAsia="Times New Roman" w:cs="Times New Roman"/>
          <w:szCs w:val="20"/>
          <w:lang w:eastAsia="de-DE"/>
        </w:rPr>
        <w:sectPr w:rsidR="00863DB0" w:rsidSect="001F6F07">
          <w:endnotePr>
            <w:numFmt w:val="decimal"/>
          </w:endnotePr>
          <w:pgSz w:w="16840" w:h="11907" w:orient="landscape" w:code="9"/>
          <w:pgMar w:top="1440" w:right="1440" w:bottom="1440" w:left="1134" w:header="567" w:footer="1020" w:gutter="0"/>
          <w:cols w:space="708"/>
          <w:noEndnote/>
          <w:titlePg/>
          <w:docGrid w:linePitch="435"/>
        </w:sectPr>
      </w:pPr>
    </w:p>
    <w:p w:rsidR="00E05D08" w:rsidRPr="00E05D08" w:rsidRDefault="00E05D08" w:rsidP="00E05D08">
      <w:pPr>
        <w:spacing w:before="120" w:after="120" w:line="280" w:lineRule="atLeast"/>
        <w:mirrorIndents/>
        <w:rPr>
          <w:rFonts w:eastAsia="Times New Roman" w:cs="Times New Roman"/>
          <w:szCs w:val="20"/>
          <w:lang w:eastAsia="de-DE"/>
        </w:rPr>
        <w:sectPr w:rsidR="00E05D08" w:rsidRPr="00E05D08" w:rsidSect="00863DB0">
          <w:endnotePr>
            <w:numFmt w:val="decimal"/>
          </w:endnotePr>
          <w:pgSz w:w="11907" w:h="16840" w:code="9"/>
          <w:pgMar w:top="1440" w:right="1440" w:bottom="1134" w:left="1440" w:header="567" w:footer="1020" w:gutter="0"/>
          <w:cols w:space="708"/>
          <w:noEndnote/>
          <w:titlePg/>
          <w:docGrid w:linePitch="435"/>
        </w:sectPr>
      </w:pPr>
    </w:p>
    <w:p w:rsidR="003F6AF1" w:rsidRDefault="003F6AF1">
      <w:pPr>
        <w:jc w:val="left"/>
        <w:rPr>
          <w:rFonts w:eastAsia="Times New Roman" w:cs="Times New Roman"/>
          <w:szCs w:val="20"/>
          <w:lang w:eastAsia="de-DE"/>
        </w:rPr>
      </w:pPr>
    </w:p>
    <w:p w:rsidR="00E05D08" w:rsidRPr="00E05D08" w:rsidRDefault="00E05D08" w:rsidP="00690E70">
      <w:pPr>
        <w:spacing w:after="0" w:line="240" w:lineRule="auto"/>
        <w:jc w:val="left"/>
        <w:rPr>
          <w:rFonts w:eastAsia="Times New Roman" w:cs="Times New Roman"/>
          <w:szCs w:val="20"/>
        </w:rPr>
      </w:pPr>
    </w:p>
    <w:bookmarkEnd w:id="0"/>
    <w:p w:rsidR="00E16522" w:rsidRDefault="00E16522"/>
    <w:sectPr w:rsidR="00E16522" w:rsidSect="00055039">
      <w:headerReference w:type="default" r:id="rId130"/>
      <w:endnotePr>
        <w:numFmt w:val="decimal"/>
      </w:endnotePr>
      <w:pgSz w:w="11906" w:h="16838" w:code="9"/>
      <w:pgMar w:top="1440" w:right="1440" w:bottom="1134" w:left="1440" w:header="567" w:footer="1021"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4E84" w:rsidRDefault="00334E84" w:rsidP="00E05D08">
      <w:pPr>
        <w:spacing w:after="0" w:line="240" w:lineRule="auto"/>
      </w:pPr>
      <w:r>
        <w:separator/>
      </w:r>
    </w:p>
  </w:endnote>
  <w:endnote w:type="continuationSeparator" w:id="0">
    <w:p w:rsidR="00334E84" w:rsidRDefault="00334E84" w:rsidP="00E05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Helvetica LT Pro">
    <w:altName w:val="Segoe Script"/>
    <w:charset w:val="00"/>
    <w:family w:val="swiss"/>
    <w:pitch w:val="variable"/>
    <w:sig w:usb0="A00002AF" w:usb1="5000204A" w:usb2="00000000" w:usb3="00000000" w:csb0="00000097" w:csb1="00000000"/>
  </w:font>
  <w:font w:name="Calibri Light">
    <w:panose1 w:val="020F0302020204030204"/>
    <w:charset w:val="00"/>
    <w:family w:val="swiss"/>
    <w:pitch w:val="variable"/>
    <w:sig w:usb0="A00002EF" w:usb1="4000207B" w:usb2="00000000" w:usb3="00000000" w:csb0="000000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2EFF" w:rsidRDefault="00272EFF">
    <w:pPr>
      <w:pStyle w:val="Footer"/>
    </w:pPr>
    <w:r>
      <w:t xml:space="preserve">σελίδα </w:t>
    </w:r>
    <w:r w:rsidRPr="00E05D08">
      <w:rPr>
        <w:rStyle w:val="PageNumber"/>
      </w:rPr>
      <w:fldChar w:fldCharType="begin"/>
    </w:r>
    <w:r w:rsidRPr="00E05D08">
      <w:rPr>
        <w:rStyle w:val="PageNumber"/>
      </w:rPr>
      <w:instrText xml:space="preserve"> PAGE </w:instrText>
    </w:r>
    <w:r w:rsidRPr="00E05D08">
      <w:rPr>
        <w:rStyle w:val="PageNumber"/>
      </w:rPr>
      <w:fldChar w:fldCharType="separate"/>
    </w:r>
    <w:r w:rsidRPr="00E05D08">
      <w:rPr>
        <w:rStyle w:val="PageNumber"/>
      </w:rPr>
      <w:t>4</w:t>
    </w:r>
    <w:r w:rsidRPr="00E05D08">
      <w:rPr>
        <w:rStyle w:val="PageNumber"/>
      </w:rPr>
      <w:fldChar w:fldCharType="end"/>
    </w:r>
    <w:r>
      <w:rPr>
        <w:rStyle w:val="PageNumber"/>
      </w:rPr>
      <w:tab/>
    </w:r>
    <w:r>
      <w:rPr>
        <w:noProof/>
        <w:lang w:val="en-GB" w:eastAsia="en-GB"/>
      </w:rPr>
      <w:drawing>
        <wp:inline distT="0" distB="0" distL="0" distR="0" wp14:anchorId="079E03A8" wp14:editId="53FF048B">
          <wp:extent cx="971550" cy="247650"/>
          <wp:effectExtent l="19050" t="0" r="0" b="0"/>
          <wp:docPr id="33"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2EFF" w:rsidRPr="00611706" w:rsidRDefault="00272EFF" w:rsidP="00E16522">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5226613"/>
      <w:docPartObj>
        <w:docPartGallery w:val="Page Numbers (Bottom of Page)"/>
        <w:docPartUnique/>
      </w:docPartObj>
    </w:sdtPr>
    <w:sdtEndPr>
      <w:rPr>
        <w:noProof/>
        <w:sz w:val="18"/>
        <w:szCs w:val="18"/>
      </w:rPr>
    </w:sdtEndPr>
    <w:sdtContent>
      <w:p w:rsidR="00272EFF" w:rsidRPr="00611706" w:rsidRDefault="00272EFF">
        <w:pPr>
          <w:pStyle w:val="Footer"/>
          <w:rPr>
            <w:sz w:val="18"/>
            <w:szCs w:val="18"/>
          </w:rPr>
        </w:pPr>
      </w:p>
    </w:sdtContent>
  </w:sdt>
  <w:p w:rsidR="00272EFF" w:rsidRPr="006D33F1" w:rsidRDefault="00272EFF" w:rsidP="00E165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2EFF" w:rsidRPr="00431FF5" w:rsidRDefault="00272EFF" w:rsidP="00431FF5">
    <w:pPr>
      <w:pStyle w:val="Footer"/>
      <w:spacing w:before="240"/>
      <w:rPr>
        <w:rStyle w:val="PageNumber"/>
        <w:rFonts w:eastAsiaTheme="majorEastAsia"/>
        <w:noProof/>
        <w:color w:val="373737"/>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2EFF" w:rsidRPr="00150D5B" w:rsidRDefault="00272EFF" w:rsidP="00E165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222601"/>
      <w:docPartObj>
        <w:docPartGallery w:val="Page Numbers (Bottom of Page)"/>
        <w:docPartUnique/>
      </w:docPartObj>
    </w:sdtPr>
    <w:sdtEndPr>
      <w:rPr>
        <w:rStyle w:val="PageNumber"/>
        <w:rFonts w:eastAsiaTheme="majorEastAsia"/>
        <w:color w:val="808080"/>
        <w:sz w:val="18"/>
        <w:szCs w:val="18"/>
      </w:rPr>
    </w:sdtEndPr>
    <w:sdtContent>
      <w:p w:rsidR="00272EFF" w:rsidRDefault="00272EFF">
        <w:pPr>
          <w:pStyle w:val="Footer"/>
          <w:spacing w:before="240"/>
          <w:rPr>
            <w:rStyle w:val="PageNumber"/>
            <w:rFonts w:eastAsiaTheme="majorEastAsia"/>
            <w:noProof/>
            <w:color w:val="373737"/>
            <w:szCs w:val="18"/>
          </w:rPr>
        </w:pPr>
        <w:r w:rsidRPr="00431FF5">
          <w:rPr>
            <w:rStyle w:val="PageNumber"/>
            <w:rFonts w:eastAsiaTheme="majorEastAsia"/>
            <w:color w:val="373737"/>
            <w:szCs w:val="18"/>
          </w:rPr>
          <w:fldChar w:fldCharType="begin"/>
        </w:r>
        <w:r w:rsidRPr="00431FF5">
          <w:rPr>
            <w:rStyle w:val="PageNumber"/>
            <w:rFonts w:eastAsiaTheme="majorEastAsia"/>
            <w:color w:val="373737"/>
            <w:szCs w:val="18"/>
          </w:rPr>
          <w:instrText xml:space="preserve"> PAGE   \* MERGEFORMAT </w:instrText>
        </w:r>
        <w:r w:rsidRPr="00431FF5">
          <w:rPr>
            <w:rStyle w:val="PageNumber"/>
            <w:rFonts w:eastAsiaTheme="majorEastAsia"/>
            <w:color w:val="373737"/>
            <w:szCs w:val="18"/>
          </w:rPr>
          <w:fldChar w:fldCharType="separate"/>
        </w:r>
        <w:r w:rsidR="00985669">
          <w:rPr>
            <w:rStyle w:val="PageNumber"/>
            <w:rFonts w:eastAsiaTheme="majorEastAsia"/>
            <w:noProof/>
            <w:color w:val="373737"/>
            <w:szCs w:val="18"/>
          </w:rPr>
          <w:t>14</w:t>
        </w:r>
        <w:r w:rsidRPr="00431FF5">
          <w:rPr>
            <w:rStyle w:val="PageNumber"/>
            <w:rFonts w:eastAsiaTheme="majorEastAsia"/>
            <w:color w:val="373737"/>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2EFF" w:rsidRDefault="00272EFF">
    <w:pPr>
      <w:pStyle w:val="Footer"/>
    </w:pPr>
    <w:r>
      <w:t xml:space="preserve">σελίδα </w:t>
    </w: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rPr>
      <w:t>4</w:t>
    </w:r>
    <w:r>
      <w:rPr>
        <w:rStyle w:val="PageNumber"/>
        <w:rFonts w:eastAsiaTheme="majorEastAsia"/>
      </w:rPr>
      <w:fldChar w:fldCharType="end"/>
    </w:r>
    <w:r>
      <w:rPr>
        <w:rStyle w:val="PageNumber"/>
      </w:rPr>
      <w:tab/>
    </w:r>
    <w:r>
      <w:rPr>
        <w:noProof/>
        <w:lang w:val="en-GB" w:eastAsia="en-GB"/>
      </w:rPr>
      <w:drawing>
        <wp:inline distT="0" distB="0" distL="0" distR="0" wp14:anchorId="5A92DF90" wp14:editId="4F977067">
          <wp:extent cx="971550" cy="247650"/>
          <wp:effectExtent l="19050" t="0" r="0" b="0"/>
          <wp:docPr id="54"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2EFF" w:rsidRPr="00611706" w:rsidRDefault="00272EFF" w:rsidP="00485923">
    <w:pPr>
      <w:pStyle w:val="Footer"/>
      <w:spacing w:before="240"/>
      <w:rPr>
        <w:sz w:val="18"/>
        <w:szCs w:val="18"/>
      </w:rPr>
    </w:pPr>
    <w:r w:rsidRPr="00611706">
      <w:rPr>
        <w:rStyle w:val="PageNumber"/>
        <w:rFonts w:eastAsiaTheme="majorEastAsia"/>
        <w:color w:val="373737"/>
        <w:szCs w:val="18"/>
      </w:rPr>
      <w:fldChar w:fldCharType="begin"/>
    </w:r>
    <w:r w:rsidRPr="00611706">
      <w:rPr>
        <w:rStyle w:val="PageNumber"/>
        <w:rFonts w:eastAsiaTheme="majorEastAsia"/>
        <w:color w:val="373737"/>
        <w:szCs w:val="18"/>
      </w:rPr>
      <w:instrText xml:space="preserve"> PAGE </w:instrText>
    </w:r>
    <w:r w:rsidRPr="00611706">
      <w:rPr>
        <w:rStyle w:val="PageNumber"/>
        <w:rFonts w:eastAsiaTheme="majorEastAsia"/>
        <w:color w:val="373737"/>
        <w:szCs w:val="18"/>
      </w:rPr>
      <w:fldChar w:fldCharType="separate"/>
    </w:r>
    <w:r w:rsidR="00DC4235">
      <w:rPr>
        <w:rStyle w:val="PageNumber"/>
        <w:rFonts w:eastAsiaTheme="majorEastAsia"/>
        <w:noProof/>
        <w:color w:val="373737"/>
        <w:szCs w:val="18"/>
      </w:rPr>
      <w:t>42</w:t>
    </w:r>
    <w:r w:rsidRPr="00611706">
      <w:rPr>
        <w:rStyle w:val="PageNumber"/>
        <w:rFonts w:eastAsiaTheme="majorEastAsia"/>
        <w:color w:val="373737"/>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653537"/>
      <w:docPartObj>
        <w:docPartGallery w:val="Page Numbers (Bottom of Page)"/>
        <w:docPartUnique/>
      </w:docPartObj>
    </w:sdtPr>
    <w:sdtEndPr>
      <w:rPr>
        <w:noProof/>
        <w:sz w:val="18"/>
        <w:szCs w:val="18"/>
      </w:rPr>
    </w:sdtEndPr>
    <w:sdtContent>
      <w:p w:rsidR="00272EFF" w:rsidRDefault="00272EFF">
        <w:pPr>
          <w:pStyle w:val="Footer"/>
          <w:rPr>
            <w:sz w:val="18"/>
            <w:szCs w:val="18"/>
          </w:rPr>
        </w:pPr>
        <w:r w:rsidRPr="00611706">
          <w:rPr>
            <w:sz w:val="18"/>
            <w:szCs w:val="18"/>
          </w:rPr>
          <w:fldChar w:fldCharType="begin"/>
        </w:r>
        <w:r w:rsidRPr="00611706">
          <w:rPr>
            <w:sz w:val="18"/>
            <w:szCs w:val="18"/>
          </w:rPr>
          <w:instrText xml:space="preserve"> PAGE   \* MERGEFORMAT </w:instrText>
        </w:r>
        <w:r w:rsidRPr="00611706">
          <w:rPr>
            <w:sz w:val="18"/>
            <w:szCs w:val="18"/>
          </w:rPr>
          <w:fldChar w:fldCharType="separate"/>
        </w:r>
        <w:r w:rsidR="00DC4235">
          <w:rPr>
            <w:noProof/>
            <w:sz w:val="18"/>
            <w:szCs w:val="18"/>
          </w:rPr>
          <w:t>39</w:t>
        </w:r>
        <w:r w:rsidRPr="00611706">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4E84" w:rsidRPr="00CE2990" w:rsidRDefault="00334E84" w:rsidP="00E05D08">
      <w:pPr>
        <w:spacing w:after="0" w:line="240" w:lineRule="auto"/>
        <w:rPr>
          <w:color w:val="F07E31"/>
        </w:rPr>
      </w:pPr>
      <w:r>
        <w:rPr>
          <w:color w:val="F07E31"/>
        </w:rPr>
        <w:separator/>
      </w:r>
    </w:p>
  </w:footnote>
  <w:footnote w:type="continuationSeparator" w:id="0">
    <w:p w:rsidR="00334E84" w:rsidRDefault="00334E84" w:rsidP="00E05D08">
      <w:pPr>
        <w:spacing w:after="0" w:line="240" w:lineRule="auto"/>
      </w:pPr>
      <w:r>
        <w:continuationSeparator/>
      </w:r>
    </w:p>
  </w:footnote>
  <w:footnote w:id="1">
    <w:p w:rsidR="00272EFF" w:rsidRPr="00194986" w:rsidRDefault="00272EFF" w:rsidP="00E05D08">
      <w:pPr>
        <w:pStyle w:val="FootnoteText"/>
      </w:pPr>
      <w:r>
        <w:rPr>
          <w:rStyle w:val="FootnoteReference"/>
          <w:rFonts w:cs="Arial"/>
        </w:rPr>
        <w:footnoteRef/>
      </w:r>
      <w:r>
        <w:t xml:space="preserve">Οι άλλοι δύο οριζόντιοι στόχοι είναι το περιβάλλον και ο μετριασμός της κλιματικής αλλαγής και η προσαρμογή σε αυτή. </w:t>
      </w:r>
    </w:p>
  </w:footnote>
  <w:footnote w:id="2">
    <w:p w:rsidR="00272EFF" w:rsidRPr="00194986" w:rsidRDefault="00272EFF" w:rsidP="00E05D08">
      <w:pPr>
        <w:pStyle w:val="FootnoteText"/>
      </w:pPr>
      <w:r>
        <w:rPr>
          <w:rStyle w:val="FootnoteReference"/>
          <w:rFonts w:cs="Arial"/>
        </w:rPr>
        <w:footnoteRef/>
      </w:r>
      <w:r>
        <w:t xml:space="preserve"> </w:t>
      </w:r>
      <w:r>
        <w:t>Άρθρο 8 παράγραφος 1 στοιχείο γ) σημείο v) του κανονισμού (ΕΕ) αριθ. 1305/2013 και παράρτημα Ι μέρος 1 σημείο 5 στοιχείο γ) του κανονισμού (ΕΕ) αριθ. 808/2014.</w:t>
      </w:r>
    </w:p>
  </w:footnote>
  <w:footnote w:id="3">
    <w:p w:rsidR="00272EFF" w:rsidRPr="00B97B27" w:rsidRDefault="00272EFF" w:rsidP="00E05D08">
      <w:pPr>
        <w:pStyle w:val="FootnoteText"/>
      </w:pPr>
      <w:r>
        <w:rPr>
          <w:rStyle w:val="FootnoteReference"/>
          <w:rFonts w:cs="Arial"/>
        </w:rPr>
        <w:footnoteRef/>
      </w:r>
      <w:r>
        <w:t xml:space="preserve"> </w:t>
      </w:r>
      <w:r>
        <w:t>Άρθρο 68 του κανονισμού (ΕΕ) αριθ. 1305/2013.</w:t>
      </w:r>
    </w:p>
  </w:footnote>
  <w:footnote w:id="4">
    <w:p w:rsidR="00E402BA" w:rsidRPr="00E402BA" w:rsidRDefault="00E402BA">
      <w:pPr>
        <w:pStyle w:val="FootnoteText"/>
        <w:rPr>
          <w:lang w:val="en-GB"/>
        </w:rPr>
      </w:pPr>
      <w:r>
        <w:rPr>
          <w:rStyle w:val="FootnoteReference"/>
        </w:rPr>
        <w:footnoteRef/>
      </w:r>
      <w:r>
        <w:t xml:space="preserve"> </w:t>
      </w:r>
      <w:r>
        <w:t>Guidelines on programming for innovation and the implementation of the EIP for agricultural productivity and sustainability (Κατευθυντήριες γραμμές σχετικά με τον προγραμματισμό της καινοτομίας και την εφαρμογή της ΕΣΚ για την παραγωγικότητα και τη βιωσιμότητα της γεωργίας)</w:t>
      </w:r>
      <w:r>
        <w:cr/>
      </w:r>
      <w:hyperlink r:id="rId1" w:history="1">
        <w:r>
          <w:rPr>
            <w:rStyle w:val="Hyperlink"/>
          </w:rPr>
          <w:t>https://ec.europa.eu/eip/agriculture/sites/agri-eip/files/pb_guidelines_eip_implementation_2014_en.pdf</w:t>
        </w:r>
      </w:hyperlink>
    </w:p>
  </w:footnote>
  <w:footnote w:id="5">
    <w:p w:rsidR="001E50E6" w:rsidRPr="001E50E6" w:rsidRDefault="001E50E6">
      <w:pPr>
        <w:pStyle w:val="FootnoteText"/>
        <w:rPr>
          <w:lang w:val="en-GB"/>
        </w:rPr>
      </w:pPr>
      <w:r>
        <w:rPr>
          <w:rStyle w:val="FootnoteReference"/>
        </w:rPr>
        <w:footnoteRef/>
      </w:r>
      <w:r>
        <w:t xml:space="preserve"> </w:t>
      </w:r>
      <w:r w:rsidR="00315AE0">
        <w:t>Guidelines on programming for innovation and the implementation of the EIP for agricultural productivity and sustainability (Κατευθυντήριες γραμμές σχετικά με τον προγραμματισμό της καινοτομίας και την εφαρμογή της ΕΣΚ για την παραγωγικότητα και τη βιωσιμότητα της γεωργίας)</w:t>
      </w:r>
      <w:r w:rsidR="00315AE0">
        <w:cr/>
      </w:r>
      <w:hyperlink r:id="rId2" w:history="1">
        <w:r w:rsidR="00315AE0">
          <w:rPr>
            <w:rStyle w:val="Hyperlink"/>
          </w:rPr>
          <w:t>https://ec.europa.eu/eip/agriculture/sites/agri-eip/files/pb_guidelines_eip_implementation_2014_en.pdf</w:t>
        </w:r>
      </w:hyperlink>
    </w:p>
  </w:footnote>
  <w:footnote w:id="6">
    <w:p w:rsidR="00315AE0" w:rsidRPr="008F676D" w:rsidRDefault="00315AE0" w:rsidP="00315AE0">
      <w:pPr>
        <w:pStyle w:val="FootnoteText"/>
      </w:pPr>
      <w:r>
        <w:rPr>
          <w:rStyle w:val="FootnoteReference"/>
        </w:rPr>
        <w:footnoteRef/>
      </w:r>
      <w:r>
        <w:t xml:space="preserve"> </w:t>
      </w:r>
      <w:r>
        <w:t>Το πρόγραμμα «Ορίζων 2020» στηρίζει θερμά την έννοια της πολυπαραγοντικής προσέγγισης στον τομέα της έρευνας, γεγονός που επιτρέπει στους γεωργούς, τους συμβούλους και άλλους συμμετέχοντες σε συμπράξεις με ερευνητές να παράγουν από κοινού λύσεις ή να αναπτύσσουν καινοτόμες ευκαιρίες, με στόχο την επικέντρωση της έρευνας και των καινοτομιών στις ανάγκες της γεωργικής πρακτικής, βλ. H2020 WP 2018-2020, σ. 8-9 σχετικά με τις απαιτήσεις των έργων πολλών παραγόντων (</w:t>
      </w:r>
      <w:hyperlink r:id="rId3" w:history="1">
        <w:r>
          <w:rPr>
            <w:rStyle w:val="Hyperlink"/>
          </w:rPr>
          <w:t>http://ec.europa.eu/research/participants/data/ref/h2020/wp/2018-2020/main/h2020-wp1820-food_en.pdf</w:t>
        </w:r>
      </w:hyperlink>
      <w:r>
        <w:t xml:space="preserve"> ) και το φυλλάδιο της ΕΣΚ σχετικά με την πολυπαραγοντική προσέγγιση (</w:t>
      </w:r>
      <w:hyperlink r:id="rId4" w:history="1">
        <w:r>
          <w:rPr>
            <w:rStyle w:val="Hyperlink"/>
          </w:rPr>
          <w:t>https://ec.europa.eu/eip/agriculture/sites/agri-eip/files/eip-agri_brochure_multi-actor_projects_2017_en_web.pdf</w:t>
        </w:r>
      </w:hyperlink>
      <w:r>
        <w:t xml:space="preserve"> )</w:t>
      </w:r>
    </w:p>
  </w:footnote>
  <w:footnote w:id="7">
    <w:p w:rsidR="00272EFF" w:rsidRDefault="00272EFF" w:rsidP="00F74459">
      <w:pPr>
        <w:pStyle w:val="FootnoteText"/>
      </w:pPr>
      <w:r>
        <w:rPr>
          <w:rStyle w:val="FootnoteReference"/>
        </w:rPr>
        <w:footnoteRef/>
      </w:r>
      <w:r>
        <w:t xml:space="preserve"> </w:t>
      </w:r>
      <w:r>
        <w:t>Εκθέσεις της στρατηγικής ομάδας εργασίας της μόνιμης επιτροπής γεωργικής έρευνας (SCAR) σχετικά με γεωργικές γνώσεις και συστήματα καινοτομίας (AKIS):</w:t>
      </w:r>
    </w:p>
    <w:p w:rsidR="00272EFF" w:rsidRDefault="00272EFF" w:rsidP="00F74459">
      <w:pPr>
        <w:pStyle w:val="FootnoteText"/>
      </w:pPr>
      <w:r>
        <w:t>- Agricultural Knowledge and Innovation Systems Towards 2020 – an orientation paper on linking innovation and research (Γεωργικές γνώσεις και συστήματα καινοτομίας με ορίζοντα το 2020 – έγγραφο προσανατολισμού σχετικά με τη σύνδεση καινοτομίας και έρευνας)</w:t>
      </w:r>
    </w:p>
    <w:p w:rsidR="00272EFF" w:rsidRDefault="00272EFF" w:rsidP="00F74459">
      <w:pPr>
        <w:pStyle w:val="FootnoteText"/>
      </w:pPr>
      <w:hyperlink r:id="rId5" w:history="1">
        <w:r>
          <w:rPr>
            <w:rStyle w:val="Hyperlink"/>
          </w:rPr>
          <w:t xml:space="preserve">Http://www.gppq.fct.pt/h2020/_docs/brochuras/bioeco/agricultural-knowledge-innovation-systems-towards-2020_en.pdf </w:t>
        </w:r>
      </w:hyperlink>
      <w:r>
        <w:t>(σχετικά με την ανάπτυξη της πολυπαραγοντικής προσέγγισης)</w:t>
      </w:r>
    </w:p>
    <w:p w:rsidR="00272EFF" w:rsidRPr="009C39EE" w:rsidRDefault="00272EFF" w:rsidP="00F74459">
      <w:pPr>
        <w:pStyle w:val="FootnoteText"/>
      </w:pPr>
      <w:r>
        <w:t xml:space="preserve">- Agricultural Knowledge and Innovation Systems towards the Future - A Foresight paper (Γεωργικές γνώσεις και συστήματα καινοτομίας προσανατολισμένα στο μέλλον - έγγραφο πρόβλεψης), </w:t>
      </w:r>
      <w:hyperlink r:id="rId6" w:anchor="view=fit&amp;pagemode=none" w:history="1">
        <w:r>
          <w:rPr>
            <w:rStyle w:val="Hyperlink"/>
          </w:rPr>
          <w:t>https://ec.europa.eu/research/scar/pdf/akis-3_end_report.pdf#view=fit&amp;pagemode=none</w:t>
        </w:r>
      </w:hyperlink>
      <w:r>
        <w:rPr>
          <w:rStyle w:val="Hyperlink"/>
        </w:rPr>
        <w:t xml:space="preserve"> </w:t>
      </w:r>
    </w:p>
  </w:footnote>
  <w:footnote w:id="8">
    <w:p w:rsidR="00315AE0" w:rsidRPr="00B13D00" w:rsidRDefault="00315AE0" w:rsidP="00315AE0">
      <w:pPr>
        <w:pStyle w:val="FootnoteText"/>
      </w:pPr>
      <w:r>
        <w:rPr>
          <w:rStyle w:val="FootnoteReference"/>
          <w:color w:val="373737"/>
        </w:rPr>
        <w:footnoteRef/>
      </w:r>
      <w:r>
        <w:t xml:space="preserve"> </w:t>
      </w:r>
      <w:r>
        <w:t xml:space="preserve">Schot and Geels (2008) για περισσότερα σχετικά με τις κοινωνικοτεχνικές νησίδες. </w:t>
      </w:r>
    </w:p>
  </w:footnote>
  <w:footnote w:id="9">
    <w:p w:rsidR="00272EFF" w:rsidRPr="00F74459" w:rsidRDefault="00272EFF" w:rsidP="00F74459">
      <w:pPr>
        <w:pStyle w:val="FootnoteText"/>
      </w:pPr>
      <w:r>
        <w:rPr>
          <w:szCs w:val="16"/>
          <w:vertAlign w:val="superscript"/>
          <w:lang w:val="en-IE"/>
        </w:rPr>
        <w:footnoteRef/>
      </w:r>
      <w:r>
        <w:t xml:space="preserve"> </w:t>
      </w:r>
      <w:r>
        <w:t xml:space="preserve">ΕΔΑΑ (2013). Towards Successful Innovation Brokerage: Insights for the 2007-2013 Rural Development Programmes (Με ορίζοντα την επιτυχή διαμεσολάβηση καινοτομίας: απόψεις για τα προγράμματα αγροτικής ανάπτυξης της περιόδου 2007-2013) and Leeuwis C, Schut M, Waters-Bayer A, Mur R, Atta-Krah K and Douthwaite B. 2014. </w:t>
      </w:r>
      <w:r w:rsidRPr="002F229A">
        <w:rPr>
          <w:lang w:val="en-GB"/>
        </w:rPr>
        <w:t>Capacity to innovate from a system CGIAR research program perspective. Penang, Malaysia: CGIAR Research Program on Aquatic Agricultural Systems. (</w:t>
      </w:r>
      <w:r>
        <w:t>Ικανότητα</w:t>
      </w:r>
      <w:r w:rsidRPr="002F229A">
        <w:rPr>
          <w:lang w:val="en-GB"/>
        </w:rPr>
        <w:t xml:space="preserve"> </w:t>
      </w:r>
      <w:r>
        <w:t>καινοτομίας</w:t>
      </w:r>
      <w:r w:rsidRPr="002F229A">
        <w:rPr>
          <w:lang w:val="en-GB"/>
        </w:rPr>
        <w:t xml:space="preserve"> </w:t>
      </w:r>
      <w:r>
        <w:t>από</w:t>
      </w:r>
      <w:r w:rsidRPr="002F229A">
        <w:rPr>
          <w:lang w:val="en-GB"/>
        </w:rPr>
        <w:t xml:space="preserve"> </w:t>
      </w:r>
      <w:r>
        <w:t>την</w:t>
      </w:r>
      <w:r w:rsidRPr="002F229A">
        <w:rPr>
          <w:lang w:val="en-GB"/>
        </w:rPr>
        <w:t xml:space="preserve"> </w:t>
      </w:r>
      <w:r>
        <w:t>άποψη</w:t>
      </w:r>
      <w:r w:rsidRPr="002F229A">
        <w:rPr>
          <w:lang w:val="en-GB"/>
        </w:rPr>
        <w:t xml:space="preserve"> </w:t>
      </w:r>
      <w:r>
        <w:t>του</w:t>
      </w:r>
      <w:r w:rsidRPr="002F229A">
        <w:rPr>
          <w:lang w:val="en-GB"/>
        </w:rPr>
        <w:t xml:space="preserve"> </w:t>
      </w:r>
      <w:r>
        <w:t>ερευνητικού</w:t>
      </w:r>
      <w:r w:rsidRPr="002F229A">
        <w:rPr>
          <w:lang w:val="en-GB"/>
        </w:rPr>
        <w:t xml:space="preserve"> </w:t>
      </w:r>
      <w:r>
        <w:t>προγράμματος</w:t>
      </w:r>
      <w:r w:rsidRPr="002F229A">
        <w:rPr>
          <w:lang w:val="en-GB"/>
        </w:rPr>
        <w:t xml:space="preserve"> </w:t>
      </w:r>
      <w:r>
        <w:t>του</w:t>
      </w:r>
      <w:r w:rsidRPr="002F229A">
        <w:rPr>
          <w:lang w:val="en-GB"/>
        </w:rPr>
        <w:t xml:space="preserve"> </w:t>
      </w:r>
      <w:r>
        <w:t>συστήματος</w:t>
      </w:r>
      <w:r w:rsidRPr="002F229A">
        <w:rPr>
          <w:lang w:val="en-GB"/>
        </w:rPr>
        <w:t xml:space="preserve"> CGIAR. </w:t>
      </w:r>
      <w:r>
        <w:t>Penang, Malaysia: Ερευνητικό πρόγραμμα της CGIAR για τα υδατικά γεωργικά συστήματα). Σύνοψη προγράμματος: AAS-2014-29.</w:t>
      </w:r>
    </w:p>
  </w:footnote>
  <w:footnote w:id="10">
    <w:p w:rsidR="00272EFF" w:rsidRPr="00F74459" w:rsidRDefault="00272EFF" w:rsidP="00F74459">
      <w:pPr>
        <w:pStyle w:val="FootnoteText"/>
      </w:pPr>
      <w:r>
        <w:rPr>
          <w:szCs w:val="16"/>
          <w:vertAlign w:val="superscript"/>
          <w:lang w:val="en-IE"/>
        </w:rPr>
        <w:footnoteRef/>
      </w:r>
      <w:r>
        <w:t xml:space="preserve"> </w:t>
      </w:r>
      <w:r>
        <w:t>Το ΕΔΑΑ (2013) αναγνωρίζει τη διαμεσολάβηση καινοτομίας ως καταλυτική ικανότητα του συστήματος, ιδίως την παρουσία (και δραστηριοποίηση) των φορέων εκείνων που είναι προσηλωμένοι στην αλλαγή και είναι δημιουργικοί, προορατικοί, έχουν κίνητρα, είναι αμερόληπτοι, διαφανείς και ευαισθητοποιημένοι όσον αφορά το πλαίσιο καινοτομίας.</w:t>
      </w:r>
    </w:p>
  </w:footnote>
  <w:footnote w:id="11">
    <w:p w:rsidR="00272EFF" w:rsidRDefault="00272EFF" w:rsidP="00F74459">
      <w:pPr>
        <w:pStyle w:val="FootnoteText"/>
      </w:pPr>
      <w:r>
        <w:rPr>
          <w:szCs w:val="16"/>
          <w:vertAlign w:val="superscript"/>
          <w:lang w:val="en-IE"/>
        </w:rPr>
        <w:footnoteRef/>
      </w:r>
      <w:r>
        <w:t xml:space="preserve"> </w:t>
      </w:r>
      <w:r>
        <w:t>Douthwaite and Hoffecker (προσεχώς) και Nemes and Augustyn (2017).</w:t>
      </w:r>
    </w:p>
  </w:footnote>
  <w:footnote w:id="12">
    <w:p w:rsidR="00272EFF" w:rsidRPr="00B13D00" w:rsidRDefault="00272EFF" w:rsidP="00E05D08">
      <w:pPr>
        <w:pStyle w:val="FootnoteText"/>
      </w:pPr>
      <w:r>
        <w:rPr>
          <w:vertAlign w:val="superscript"/>
        </w:rPr>
        <w:footnoteRef/>
      </w:r>
      <w:r>
        <w:t xml:space="preserve"> </w:t>
      </w:r>
      <w:r>
        <w:t>ΕΔΑΑ (2013). Towards Successful Innovation Brokerage: Insights for the 2007-2013 Rural Development Programmes (Με ορίζοντα την επιτυχή διαμεσολάβηση καινοτομίας: απόψεις για τα προγράμματα αγροτικής ανάπτυξης της περιόδου 2007-2013).</w:t>
      </w:r>
    </w:p>
  </w:footnote>
  <w:footnote w:id="13">
    <w:p w:rsidR="00272EFF" w:rsidRPr="00690E70" w:rsidRDefault="00272EFF" w:rsidP="004508D0">
      <w:pPr>
        <w:pStyle w:val="FootnoteText"/>
        <w:rPr>
          <w:rStyle w:val="Hyperlink"/>
        </w:rPr>
      </w:pPr>
      <w:r>
        <w:rPr>
          <w:rStyle w:val="FootnoteReference"/>
        </w:rPr>
        <w:footnoteRef/>
      </w:r>
      <w:r w:rsidRPr="002F229A">
        <w:rPr>
          <w:lang w:val="en-GB"/>
        </w:rPr>
        <w:t xml:space="preserve"> </w:t>
      </w:r>
      <w:r>
        <w:t>ΕΣΚ</w:t>
      </w:r>
      <w:r w:rsidRPr="002F229A">
        <w:rPr>
          <w:lang w:val="en-GB"/>
        </w:rPr>
        <w:t xml:space="preserve"> AGRI (2016) Workshop on Cities and Food: Connecting Consumers and Producers. </w:t>
      </w:r>
      <w:r>
        <w:t xml:space="preserve">(Εργαστήριο «Πόλεις και τρόφιμα: σύνδεση καταναλωτών και παραγωγών»). Διαθέσιμο στην ηλεκτρονική διεύθυνση: </w:t>
      </w:r>
      <w:hyperlink r:id="rId7" w:history="1">
        <w:r>
          <w:rPr>
            <w:rStyle w:val="Hyperlink"/>
          </w:rPr>
          <w:t>https://ec.europa.eu/eip/agriculture/sites/agri-eip/files/eip-agri_factsheet_cities_and_food_en_web.pdf</w:t>
        </w:r>
      </w:hyperlink>
    </w:p>
  </w:footnote>
  <w:footnote w:id="14">
    <w:p w:rsidR="00F25867" w:rsidRPr="00CF2CF1" w:rsidRDefault="00F25867" w:rsidP="00F25867">
      <w:pPr>
        <w:pStyle w:val="FootnoteText"/>
        <w:rPr>
          <w:lang w:val="en-GB"/>
        </w:rPr>
      </w:pPr>
      <w:r>
        <w:rPr>
          <w:rStyle w:val="FootnoteReference"/>
        </w:rPr>
        <w:footnoteRef/>
      </w:r>
      <w:r>
        <w:t xml:space="preserve"> </w:t>
      </w:r>
      <w:r w:rsidRPr="002F229A">
        <w:rPr>
          <w:lang w:val="en-GB"/>
        </w:rPr>
        <w:t>Senge, P. M., &amp; Sterman, J. D. (1992). Systems thinking and organisational learning: Acting locally and thinking globally in the organisation of the future (</w:t>
      </w:r>
      <w:r>
        <w:t>Συστήματα</w:t>
      </w:r>
      <w:r w:rsidRPr="002F229A">
        <w:rPr>
          <w:lang w:val="en-GB"/>
        </w:rPr>
        <w:t xml:space="preserve"> </w:t>
      </w:r>
      <w:r>
        <w:t>σκέψης</w:t>
      </w:r>
      <w:r w:rsidRPr="002F229A">
        <w:rPr>
          <w:lang w:val="en-GB"/>
        </w:rPr>
        <w:t xml:space="preserve"> </w:t>
      </w:r>
      <w:r>
        <w:t>και</w:t>
      </w:r>
      <w:r w:rsidRPr="002F229A">
        <w:rPr>
          <w:lang w:val="en-GB"/>
        </w:rPr>
        <w:t xml:space="preserve"> </w:t>
      </w:r>
      <w:r>
        <w:t>οργανωσιακή</w:t>
      </w:r>
      <w:r w:rsidRPr="002F229A">
        <w:rPr>
          <w:lang w:val="en-GB"/>
        </w:rPr>
        <w:t xml:space="preserve"> </w:t>
      </w:r>
      <w:r>
        <w:t>μάθηση</w:t>
      </w:r>
      <w:r w:rsidRPr="002F229A">
        <w:rPr>
          <w:lang w:val="en-GB"/>
        </w:rPr>
        <w:t xml:space="preserve">: </w:t>
      </w:r>
      <w:r>
        <w:t>δράσε</w:t>
      </w:r>
      <w:r w:rsidRPr="002F229A">
        <w:rPr>
          <w:lang w:val="en-GB"/>
        </w:rPr>
        <w:t xml:space="preserve"> </w:t>
      </w:r>
      <w:r>
        <w:t>τοπικά</w:t>
      </w:r>
      <w:r w:rsidRPr="002F229A">
        <w:rPr>
          <w:lang w:val="en-GB"/>
        </w:rPr>
        <w:t xml:space="preserve">, </w:t>
      </w:r>
      <w:r>
        <w:t>σκέψου</w:t>
      </w:r>
      <w:r w:rsidRPr="002F229A">
        <w:rPr>
          <w:lang w:val="en-GB"/>
        </w:rPr>
        <w:t xml:space="preserve"> </w:t>
      </w:r>
      <w:r>
        <w:t>παγκόσμια</w:t>
      </w:r>
      <w:r w:rsidRPr="002F229A">
        <w:rPr>
          <w:lang w:val="en-GB"/>
        </w:rPr>
        <w:t xml:space="preserve"> </w:t>
      </w:r>
      <w:r>
        <w:t>για</w:t>
      </w:r>
      <w:r w:rsidRPr="002F229A">
        <w:rPr>
          <w:lang w:val="en-GB"/>
        </w:rPr>
        <w:t xml:space="preserve"> </w:t>
      </w:r>
      <w:r>
        <w:t>την</w:t>
      </w:r>
      <w:r w:rsidRPr="002F229A">
        <w:rPr>
          <w:lang w:val="en-GB"/>
        </w:rPr>
        <w:t xml:space="preserve"> </w:t>
      </w:r>
      <w:r>
        <w:t>οργάνωση</w:t>
      </w:r>
      <w:r w:rsidRPr="002F229A">
        <w:rPr>
          <w:lang w:val="en-GB"/>
        </w:rPr>
        <w:t xml:space="preserve"> </w:t>
      </w:r>
      <w:r>
        <w:t>του</w:t>
      </w:r>
      <w:r w:rsidRPr="002F229A">
        <w:rPr>
          <w:lang w:val="en-GB"/>
        </w:rPr>
        <w:t xml:space="preserve"> </w:t>
      </w:r>
      <w:r>
        <w:t>μέλλοντος</w:t>
      </w:r>
      <w:r w:rsidRPr="002F229A">
        <w:rPr>
          <w:lang w:val="en-GB"/>
        </w:rPr>
        <w:t>). European journal of operational research, 59(1), 137-150.</w:t>
      </w:r>
    </w:p>
  </w:footnote>
  <w:footnote w:id="15">
    <w:p w:rsidR="00272EFF" w:rsidRPr="00554BBB" w:rsidRDefault="00272EFF" w:rsidP="00E05D08">
      <w:pPr>
        <w:pStyle w:val="FootnoteText"/>
      </w:pPr>
      <w:r>
        <w:rPr>
          <w:rStyle w:val="FootnoteReference"/>
        </w:rPr>
        <w:footnoteRef/>
      </w:r>
      <w:r w:rsidRPr="002F229A">
        <w:rPr>
          <w:rFonts w:asciiTheme="minorHAnsi" w:hAnsiTheme="minorHAnsi"/>
          <w:color w:val="auto"/>
          <w:sz w:val="22"/>
          <w:szCs w:val="22"/>
          <w:lang w:val="en-GB"/>
        </w:rPr>
        <w:t xml:space="preserve"> </w:t>
      </w:r>
      <w:r w:rsidRPr="002F229A">
        <w:rPr>
          <w:lang w:val="en-GB"/>
        </w:rPr>
        <w:t xml:space="preserve">Pawson, R. (2013). </w:t>
      </w:r>
      <w:r w:rsidRPr="002F229A">
        <w:rPr>
          <w:i/>
          <w:iCs/>
          <w:lang w:val="en-GB"/>
        </w:rPr>
        <w:t>The science of evaluation: A realist manifesto</w:t>
      </w:r>
      <w:r w:rsidRPr="002F229A">
        <w:rPr>
          <w:lang w:val="en-GB"/>
        </w:rPr>
        <w:t xml:space="preserve"> (</w:t>
      </w:r>
      <w:r>
        <w:t>Η</w:t>
      </w:r>
      <w:r w:rsidRPr="002F229A">
        <w:rPr>
          <w:lang w:val="en-GB"/>
        </w:rPr>
        <w:t xml:space="preserve"> </w:t>
      </w:r>
      <w:r>
        <w:t>επιστήμη</w:t>
      </w:r>
      <w:r w:rsidRPr="002F229A">
        <w:rPr>
          <w:lang w:val="en-GB"/>
        </w:rPr>
        <w:t xml:space="preserve"> </w:t>
      </w:r>
      <w:r>
        <w:t>της</w:t>
      </w:r>
      <w:r w:rsidRPr="002F229A">
        <w:rPr>
          <w:lang w:val="en-GB"/>
        </w:rPr>
        <w:t xml:space="preserve"> </w:t>
      </w:r>
      <w:r>
        <w:t>αξιολόγησης</w:t>
      </w:r>
      <w:r w:rsidRPr="002F229A">
        <w:rPr>
          <w:lang w:val="en-GB"/>
        </w:rPr>
        <w:t xml:space="preserve">: </w:t>
      </w:r>
      <w:r>
        <w:t>ένα</w:t>
      </w:r>
      <w:r w:rsidRPr="002F229A">
        <w:rPr>
          <w:lang w:val="en-GB"/>
        </w:rPr>
        <w:t xml:space="preserve"> </w:t>
      </w:r>
      <w:r>
        <w:t>ρεαλιστικό</w:t>
      </w:r>
      <w:r w:rsidRPr="002F229A">
        <w:rPr>
          <w:lang w:val="en-GB"/>
        </w:rPr>
        <w:t xml:space="preserve"> </w:t>
      </w:r>
      <w:r>
        <w:t>μανιφέστο</w:t>
      </w:r>
      <w:r w:rsidRPr="002F229A">
        <w:rPr>
          <w:lang w:val="en-GB"/>
        </w:rPr>
        <w:t xml:space="preserve">). </w:t>
      </w:r>
      <w:r>
        <w:t>London, UK: Sage Publications</w:t>
      </w:r>
    </w:p>
  </w:footnote>
  <w:footnote w:id="16">
    <w:p w:rsidR="00272EFF" w:rsidRPr="00B13D00" w:rsidRDefault="00272EFF" w:rsidP="00E05D08">
      <w:pPr>
        <w:pStyle w:val="FootnoteText"/>
      </w:pPr>
      <w:r>
        <w:rPr>
          <w:rStyle w:val="FootnoteReference"/>
        </w:rPr>
        <w:footnoteRef/>
      </w:r>
      <w:r>
        <w:t xml:space="preserve"> </w:t>
      </w:r>
      <w:r>
        <w:t>Το πρόγραμμα «Ορίζων 2020» είναι το μεγαλύτερο πρόγραμμα της ΕΕ για την έρευνα και την καινοτομία, που αποσκοπεί στη σύνδεση της έρευνας και της καινοτομίας σε όλους τους τομείς, συμπεριλαμβανομένης της γεωργίας και της δασοκομίας, ως μέσο για την επίτευξη έξυπνης, βιώσιμης και χωρίς αποκλεισμούς ανάπτυξης και απασχόλησης. Πολλές άλλες πολιτικές της ΕΕ με αντικείμενο την καινοτομία και την ανάπτυξη δεξιοτήτων μπορούν επίσης να συμβάλουν στην έρευνα και την καινοτομία στον τομέα της γεωργίας (πολιτική συνοχής, COSME, ERASMUS, LIFE+).</w:t>
      </w:r>
    </w:p>
  </w:footnote>
  <w:footnote w:id="17">
    <w:p w:rsidR="00272EFF" w:rsidRPr="00B13D00" w:rsidRDefault="00272EFF" w:rsidP="00E05D08">
      <w:pPr>
        <w:pStyle w:val="FootnoteText"/>
      </w:pPr>
      <w:r>
        <w:rPr>
          <w:rStyle w:val="FootnoteReference"/>
          <w:rFonts w:cs="Helvetica"/>
          <w:szCs w:val="16"/>
        </w:rPr>
        <w:footnoteRef/>
      </w:r>
      <w:r>
        <w:t xml:space="preserve"> </w:t>
      </w:r>
      <w:r>
        <w:t>Στοχεύει στην αντιμετώπιση μεγάλων κοινωνιακών προκλήσεων, όπως η κλιματική αλλαγή και η αποδοτική χρήση των πόρων, και στην ενίσχυση των δεσμών στην αλυσίδα καινοτομίας (</w:t>
      </w:r>
      <w:hyperlink r:id="rId8" w:history="1">
        <w:r>
          <w:rPr>
            <w:rStyle w:val="Hyperlink"/>
          </w:rPr>
          <w:t>http://ec.europa.eu/europe2020/europe-2020-in-a-nutshell/flagship-initiatives/index_en.htm</w:t>
        </w:r>
      </w:hyperlink>
      <w:r>
        <w:t xml:space="preserve">) </w:t>
      </w:r>
    </w:p>
  </w:footnote>
  <w:footnote w:id="18">
    <w:p w:rsidR="00272EFF" w:rsidRPr="00275EE5" w:rsidRDefault="00272EFF" w:rsidP="00E05D08">
      <w:pPr>
        <w:pStyle w:val="FootnoteText"/>
      </w:pPr>
      <w:r>
        <w:rPr>
          <w:rStyle w:val="FootnoteReference"/>
        </w:rPr>
        <w:footnoteRef/>
      </w:r>
      <w:r>
        <w:t xml:space="preserve"> </w:t>
      </w:r>
      <w:hyperlink r:id="rId9" w:history="1">
        <w:r>
          <w:rPr>
            <w:rStyle w:val="Hyperlink"/>
          </w:rPr>
          <w:t>http://ec.europa.eu/europe2020/europe-2020-in-a-nutshell/targets/index_en.htm</w:t>
        </w:r>
      </w:hyperlink>
      <w:r>
        <w:t xml:space="preserve"> </w:t>
      </w:r>
    </w:p>
  </w:footnote>
  <w:footnote w:id="19">
    <w:p w:rsidR="00272EFF" w:rsidRPr="00B13D00" w:rsidRDefault="00272EFF" w:rsidP="00E05D08">
      <w:pPr>
        <w:pStyle w:val="FootnoteText"/>
      </w:pPr>
      <w:r>
        <w:rPr>
          <w:rStyle w:val="FootnoteReference"/>
        </w:rPr>
        <w:footnoteRef/>
      </w:r>
      <w:r>
        <w:t xml:space="preserve"> </w:t>
      </w:r>
      <w:r>
        <w:t>Άρθρο 5 του κανονισμού (ΕΕ) αριθ. 1305/2013.</w:t>
      </w:r>
    </w:p>
  </w:footnote>
  <w:footnote w:id="20">
    <w:p w:rsidR="00272EFF" w:rsidRPr="00171202" w:rsidRDefault="00272EFF" w:rsidP="00E05D08">
      <w:pPr>
        <w:pStyle w:val="FootnoteText"/>
      </w:pPr>
      <w:r>
        <w:rPr>
          <w:rStyle w:val="FootnoteReference"/>
        </w:rPr>
        <w:footnoteRef/>
      </w:r>
      <w:r>
        <w:t xml:space="preserve"> </w:t>
      </w:r>
      <w:r>
        <w:t>Άρθρο 8 παράγραφος 1 στοιχείο γ) σημείο v) του κανονισμού αριθ. 1305/2013.</w:t>
      </w:r>
    </w:p>
  </w:footnote>
  <w:footnote w:id="21">
    <w:p w:rsidR="00272EFF" w:rsidRPr="00171202" w:rsidRDefault="00272EFF" w:rsidP="00E05D08">
      <w:pPr>
        <w:pStyle w:val="FootnoteText"/>
      </w:pPr>
      <w:r>
        <w:rPr>
          <w:rStyle w:val="FootnoteReference"/>
          <w:i/>
        </w:rPr>
        <w:footnoteRef/>
      </w:r>
      <w:r>
        <w:t xml:space="preserve"> </w:t>
      </w:r>
      <w:r>
        <w:t>Άρθρο 8 παράγραφος 1 στοιχείο β) του κανονισμού αριθ. 1305/2013.</w:t>
      </w:r>
    </w:p>
  </w:footnote>
  <w:footnote w:id="22">
    <w:p w:rsidR="00272EFF" w:rsidRPr="00171202" w:rsidRDefault="00272EFF" w:rsidP="00E05D08">
      <w:pPr>
        <w:pStyle w:val="FootnoteText"/>
      </w:pPr>
      <w:r>
        <w:rPr>
          <w:rStyle w:val="FootnoteReference"/>
          <w:i/>
        </w:rPr>
        <w:footnoteRef/>
      </w:r>
      <w:r>
        <w:t xml:space="preserve"> </w:t>
      </w:r>
      <w:r>
        <w:t>Άρθρο 5 του κανονισμού αριθ. 1305/2013.</w:t>
      </w:r>
    </w:p>
  </w:footnote>
  <w:footnote w:id="23">
    <w:p w:rsidR="00272EFF" w:rsidRPr="00D461AB" w:rsidRDefault="00272EFF" w:rsidP="00D461AB">
      <w:pPr>
        <w:pStyle w:val="FootnoteText"/>
      </w:pPr>
      <w:r>
        <w:rPr>
          <w:rStyle w:val="FootnoteReference"/>
        </w:rPr>
        <w:footnoteRef/>
      </w:r>
      <w:r>
        <w:t xml:space="preserve"> </w:t>
      </w:r>
      <w:r>
        <w:t>Guidelines on programming for innovation and the implementation of the EIP for agricultural productivity and sustainability (Κατευθυντήριες γραμμές σχετικά με τον προγραμματισμό της καινοτομίας και την εφαρμογή της ΕΣΚ για την παραγωγικότητα και τη βιωσιμότητα της γεωργίας), τμήμα 8.2, σ. 13.</w:t>
      </w:r>
    </w:p>
  </w:footnote>
  <w:footnote w:id="24">
    <w:p w:rsidR="00272EFF" w:rsidRPr="00171202" w:rsidRDefault="00272EFF" w:rsidP="00E05D08">
      <w:pPr>
        <w:pStyle w:val="FootnoteText"/>
      </w:pPr>
      <w:r>
        <w:rPr>
          <w:rStyle w:val="FootnoteReference"/>
        </w:rPr>
        <w:footnoteRef/>
      </w:r>
      <w:r>
        <w:t xml:space="preserve"> </w:t>
      </w:r>
      <w:r>
        <w:t>Κανονισμός (ΕΕ) αριθ. 1303/2013, παράρτημα Ι μέρος 5 του κανονισμού (ΕΕ) αριθ. 808/2014 και κατευθυντήριες γραμμές σχετικά με τον προγραμματισμό της καινοτομίας και την εφαρμογή της ΕΣΚ για την παραγωγικότητα και τη βιωσιμότητα της γεωργίας (2014, σ. 10).</w:t>
      </w:r>
    </w:p>
  </w:footnote>
  <w:footnote w:id="25">
    <w:p w:rsidR="00272EFF" w:rsidRPr="00171202" w:rsidRDefault="00272EFF" w:rsidP="00E05D08">
      <w:pPr>
        <w:pStyle w:val="FootnoteText"/>
      </w:pPr>
      <w:r>
        <w:rPr>
          <w:rStyle w:val="FootnoteReference"/>
        </w:rPr>
        <w:footnoteRef/>
      </w:r>
      <w:r>
        <w:t xml:space="preserve"> </w:t>
      </w:r>
      <w:r>
        <w:t>Άρθρο 27 του κανονισμού (ΕΕ) αριθ. 1303/2013 και παράρτημα Ι μέρος 5 του κανονισμού (ΕΕ) αριθ. 808/2014.</w:t>
      </w:r>
    </w:p>
  </w:footnote>
  <w:footnote w:id="26">
    <w:p w:rsidR="00272EFF" w:rsidRPr="00171202" w:rsidRDefault="00272EFF" w:rsidP="00E05D08">
      <w:pPr>
        <w:pStyle w:val="FootnoteText"/>
      </w:pPr>
      <w:r>
        <w:rPr>
          <w:rStyle w:val="FootnoteReference"/>
        </w:rPr>
        <w:footnoteRef/>
      </w:r>
      <w:r>
        <w:t xml:space="preserve"> </w:t>
      </w:r>
      <w:r>
        <w:t>Άρθρα 32-34 του κανονισμού (ΕΕ) αριθ. 1303/2013 και παράρτημα Ι μέρος 5 του κανονισμού (ΕΕ) αριθ. 808/2014.</w:t>
      </w:r>
    </w:p>
  </w:footnote>
  <w:footnote w:id="27">
    <w:p w:rsidR="00272EFF" w:rsidRPr="00171202" w:rsidRDefault="00272EFF" w:rsidP="00E05D08">
      <w:pPr>
        <w:pStyle w:val="FootnoteText"/>
      </w:pPr>
      <w:r>
        <w:rPr>
          <w:rStyle w:val="FootnoteReference"/>
        </w:rPr>
        <w:footnoteRef/>
      </w:r>
      <w:r>
        <w:t xml:space="preserve"> </w:t>
      </w:r>
      <w:r>
        <w:t>Άρθρο 53 του κανονισμού (ΕΕ) αριθ. 1305/2013.</w:t>
      </w:r>
    </w:p>
  </w:footnote>
  <w:footnote w:id="28">
    <w:p w:rsidR="00272EFF" w:rsidRPr="00171202" w:rsidRDefault="00272EFF" w:rsidP="00E05D08">
      <w:pPr>
        <w:pStyle w:val="FootnoteText"/>
      </w:pPr>
      <w:r>
        <w:rPr>
          <w:rStyle w:val="FootnoteReference"/>
        </w:rPr>
        <w:footnoteRef/>
      </w:r>
      <w:r>
        <w:t xml:space="preserve"> </w:t>
      </w:r>
      <w:r>
        <w:t>Άρθρο 54 στοιχείο δ) του κανονισμού (ΕΕ) αριθ. 1305/2013.</w:t>
      </w:r>
    </w:p>
  </w:footnote>
  <w:footnote w:id="29">
    <w:p w:rsidR="00272EFF" w:rsidRPr="00171202" w:rsidRDefault="00272EFF" w:rsidP="00E05D08">
      <w:pPr>
        <w:pStyle w:val="FootnoteText"/>
      </w:pPr>
      <w:r>
        <w:rPr>
          <w:rStyle w:val="FootnoteReference"/>
        </w:rPr>
        <w:footnoteRef/>
      </w:r>
      <w:r>
        <w:t xml:space="preserve"> </w:t>
      </w:r>
      <w:r>
        <w:t>Guidelines on programming for innovation and the implementation of the EIP for agricultural productivity and sustainability (Κατευθυντήριες γραμμές σχετικά με τον προγραμματισμό της καινοτομίας και την εφαρμογή της ΕΣΚ για την παραγωγικότητα και τη βιωσιμότητα της γεωργίας) (2014, σ. 13).</w:t>
      </w:r>
    </w:p>
  </w:footnote>
  <w:footnote w:id="30">
    <w:p w:rsidR="00272EFF" w:rsidRPr="00171202" w:rsidRDefault="00272EFF" w:rsidP="00E05D08">
      <w:pPr>
        <w:pStyle w:val="FootnoteText"/>
      </w:pPr>
      <w:r>
        <w:rPr>
          <w:rStyle w:val="FootnoteReference"/>
        </w:rPr>
        <w:footnoteRef/>
      </w:r>
      <w:r>
        <w:t xml:space="preserve"> </w:t>
      </w:r>
      <w:r>
        <w:t>Άρθρο 54 παράγραφος 3 στοιχείο β) σημείο iv) του κανονισμού (ΕΕ) αριθ. 1305/2013.</w:t>
      </w:r>
    </w:p>
  </w:footnote>
  <w:footnote w:id="31">
    <w:p w:rsidR="00272EFF" w:rsidRPr="00171202" w:rsidRDefault="00272EFF" w:rsidP="00E05D08">
      <w:pPr>
        <w:pStyle w:val="FootnoteText"/>
      </w:pPr>
      <w:r>
        <w:rPr>
          <w:rStyle w:val="FootnoteReference"/>
        </w:rPr>
        <w:footnoteRef/>
      </w:r>
      <w:r>
        <w:t xml:space="preserve"> </w:t>
      </w:r>
      <w:r>
        <w:t>Παράρτημα Ι μέρος 1 σημείο 9.3 στοιχείο α) του κανονισμού (ΕΕ) αριθ. 808/2014.</w:t>
      </w:r>
    </w:p>
  </w:footnote>
  <w:footnote w:id="32">
    <w:p w:rsidR="00272EFF" w:rsidRPr="00171202" w:rsidRDefault="00272EFF" w:rsidP="00E05D08">
      <w:pPr>
        <w:pStyle w:val="FootnoteText"/>
      </w:pPr>
      <w:r>
        <w:rPr>
          <w:rStyle w:val="FootnoteReference"/>
        </w:rPr>
        <w:footnoteRef/>
      </w:r>
      <w:r>
        <w:t xml:space="preserve"> </w:t>
      </w:r>
      <w:r>
        <w:t>Παράρτημα VII σημείο 2 του κανονισμού (ΕΕ) αριθ. 808/2014.</w:t>
      </w:r>
    </w:p>
  </w:footnote>
  <w:footnote w:id="33">
    <w:p w:rsidR="00272EFF" w:rsidRPr="005F1B3E" w:rsidRDefault="00272EFF" w:rsidP="00E05D08">
      <w:pPr>
        <w:pStyle w:val="FootnoteText"/>
      </w:pPr>
      <w:r>
        <w:rPr>
          <w:rStyle w:val="FootnoteReference"/>
        </w:rPr>
        <w:footnoteRef/>
      </w:r>
      <w:r>
        <w:t xml:space="preserve"> </w:t>
      </w:r>
      <w:r>
        <w:t>Παράρτημα IV του κανονισμού (ΕΕ) αριθ. 808/2014.</w:t>
      </w:r>
    </w:p>
  </w:footnote>
  <w:footnote w:id="34">
    <w:p w:rsidR="00272EFF" w:rsidRPr="00E14E11" w:rsidRDefault="00272EFF" w:rsidP="00E05D08">
      <w:pPr>
        <w:pStyle w:val="FootnoteText"/>
      </w:pPr>
      <w:r>
        <w:rPr>
          <w:rStyle w:val="FootnoteReference"/>
        </w:rPr>
        <w:footnoteRef/>
      </w:r>
      <w:r>
        <w:t>Βλ. το σεμινάριο της ΕΣΚ σχετικά με τα συστήματα γνώσης και τη διαδραστική καινοτομία:</w:t>
      </w:r>
      <w:r>
        <w:rPr>
          <w:rStyle w:val="Hyperlink"/>
        </w:rPr>
        <w:t xml:space="preserve"> </w:t>
      </w:r>
      <w:hyperlink r:id="rId10" w:history="1">
        <w:r>
          <w:rPr>
            <w:rStyle w:val="Hyperlink"/>
          </w:rPr>
          <w:t>https://ec.europa.eu/eip/agriculture/sites/agri-eip/files/field_event_attachments/sem-knowledge-20151203-pres02-inge_van_oost.pdf</w:t>
        </w:r>
      </w:hyperlink>
    </w:p>
  </w:footnote>
  <w:footnote w:id="35">
    <w:p w:rsidR="00272EFF" w:rsidRPr="008F676D" w:rsidRDefault="00272EFF" w:rsidP="00E05D08">
      <w:pPr>
        <w:pStyle w:val="FootnoteText"/>
      </w:pPr>
      <w:r>
        <w:rPr>
          <w:rStyle w:val="FootnoteReference"/>
        </w:rPr>
        <w:footnoteRef/>
      </w:r>
      <w:r>
        <w:t xml:space="preserve"> </w:t>
      </w:r>
      <w:r>
        <w:t xml:space="preserve">Περαιτέρω καθοδήγηση παρέχεται στις κατευθυντήριες γραμμές: Assessment of RDP Results: How to prepare for reporting on evaluation in 2017 (Αξιολόγηση των αποτελεσμάτων του ΠΑΑ: Τρόπος προετοιμασίας για την υποβολή εκθέσεων σχετικά με την αξιολόγηση το 2017) </w:t>
      </w:r>
      <w:hyperlink r:id="rId11" w:history="1">
        <w:r>
          <w:rPr>
            <w:rStyle w:val="Hyperlink"/>
          </w:rPr>
          <w:t>https://enrd.ec.europa.eu/evaluation/publications/guidelines-assessment-rdp-results-how-prepare-reporting-evaluation-2017_en</w:t>
        </w:r>
      </w:hyperlink>
    </w:p>
  </w:footnote>
  <w:footnote w:id="36">
    <w:p w:rsidR="00272EFF" w:rsidRPr="00401F29" w:rsidRDefault="00272EFF" w:rsidP="00E05D08">
      <w:pPr>
        <w:pStyle w:val="FootnoteText"/>
      </w:pPr>
      <w:r>
        <w:rPr>
          <w:rStyle w:val="FootnoteReference"/>
        </w:rPr>
        <w:footnoteRef/>
      </w:r>
      <w:r>
        <w:t xml:space="preserve"> </w:t>
      </w:r>
      <w:r>
        <w:t>Άρθρο 66 του κανονισμού (ΕΕ) αριθ. 1305/2013 και άρθρο 15 και παράρτημα VII του κανονισμού (ΕΕ) αριθ. 808/2014.</w:t>
      </w:r>
    </w:p>
  </w:footnote>
  <w:footnote w:id="37">
    <w:p w:rsidR="00272EFF" w:rsidRPr="00576A73" w:rsidRDefault="00272EFF" w:rsidP="00804433">
      <w:pPr>
        <w:pStyle w:val="FootnoteText"/>
      </w:pPr>
      <w:r>
        <w:rPr>
          <w:rStyle w:val="FootnoteReference"/>
        </w:rPr>
        <w:footnoteRef/>
      </w:r>
      <w:r>
        <w:t xml:space="preserve"> </w:t>
      </w:r>
      <w:r>
        <w:t xml:space="preserve">Βλ. τις κατευθυντήριες γραμμές «Assessment of RDP results: How to prepare for reporting on evaluation in 2017» (Αξιολόγηση των αποτελεσμάτων του ΠΑΑ: Τρόπος προετοιμασίας για την υποβολή εκθέσεων σχετικά με την αξιολόγηση το 2017), Helpdesk αξιολόγησης, Σεπτέμβριος 2016 </w:t>
      </w:r>
      <w:hyperlink r:id="rId12" w:history="1">
        <w:r>
          <w:rPr>
            <w:rStyle w:val="Hyperlink"/>
          </w:rPr>
          <w:t>https://enrd.ec.europa.eu/evaluation/publications/guidelines-assessment-rdp-results-how-prepare-reporting-evaluation-2017_en</w:t>
        </w:r>
      </w:hyperlink>
    </w:p>
  </w:footnote>
  <w:footnote w:id="38">
    <w:p w:rsidR="00272EFF" w:rsidRPr="00626C0C" w:rsidRDefault="00272EFF" w:rsidP="00583AC8">
      <w:pPr>
        <w:pStyle w:val="FootnoteText"/>
      </w:pPr>
      <w:r>
        <w:rPr>
          <w:rStyle w:val="FootnoteReference"/>
        </w:rPr>
        <w:footnoteRef/>
      </w:r>
      <w:r>
        <w:t xml:space="preserve"> </w:t>
      </w:r>
      <w:r>
        <w:t xml:space="preserve">Σύνδεσμος στη σουηδική γραμματεία αξιολόγησης: </w:t>
      </w:r>
      <w:hyperlink r:id="rId13" w:history="1">
        <w:r>
          <w:rPr>
            <w:rStyle w:val="Hyperlink"/>
          </w:rPr>
          <w:t>https://www.jordbruksverket.se/utvardering</w:t>
        </w:r>
      </w:hyperlink>
    </w:p>
  </w:footnote>
  <w:footnote w:id="39">
    <w:p w:rsidR="00272EFF" w:rsidRPr="00171202" w:rsidRDefault="00272EFF" w:rsidP="00804433">
      <w:pPr>
        <w:pStyle w:val="FootnoteText"/>
      </w:pPr>
      <w:r>
        <w:rPr>
          <w:rStyle w:val="FootnoteReference"/>
        </w:rPr>
        <w:footnoteRef/>
      </w:r>
      <w:r>
        <w:t xml:space="preserve"> </w:t>
      </w:r>
      <w:r>
        <w:t>Παράρτημα VII σημείο 7 του κανονισμού (ΕΕ) αριθ. 808/2014.</w:t>
      </w:r>
    </w:p>
  </w:footnote>
  <w:footnote w:id="40">
    <w:p w:rsidR="00272EFF" w:rsidRPr="00171202" w:rsidRDefault="00272EFF" w:rsidP="00804433">
      <w:pPr>
        <w:pStyle w:val="FootnoteText"/>
      </w:pPr>
      <w:r>
        <w:rPr>
          <w:rStyle w:val="FootnoteReference"/>
        </w:rPr>
        <w:footnoteRef/>
      </w:r>
      <w:r>
        <w:t xml:space="preserve"> </w:t>
      </w:r>
      <w:r>
        <w:t>Παράρτημα IV σημεία 2, 3 και 4 του κανονισμού (ΕΕ) αριθ. 808/2014.</w:t>
      </w:r>
    </w:p>
  </w:footnote>
  <w:footnote w:id="41">
    <w:p w:rsidR="00272EFF" w:rsidRPr="00171202" w:rsidRDefault="00272EFF" w:rsidP="00E05D08">
      <w:pPr>
        <w:pStyle w:val="FootnoteText"/>
      </w:pPr>
      <w:r>
        <w:rPr>
          <w:rStyle w:val="FootnoteReference"/>
        </w:rPr>
        <w:footnoteRef/>
      </w:r>
      <w:r>
        <w:t xml:space="preserve"> </w:t>
      </w:r>
      <w:r>
        <w:t>Κριτήρια απόφασης όπως αναφέρονται στο έγγραφο εργασίας: «Common evaluation questions for Rural Development Programmes 2014-2020» (Κοινά ερωτήματα αξιολόγησης για τα προγράμματα αγροτικής ανάπτυξης της περιόδου 2014-2020),</w:t>
      </w:r>
      <w:r>
        <w:rPr>
          <w:rStyle w:val="Hyperlink"/>
        </w:rPr>
        <w:t xml:space="preserve"> </w:t>
      </w:r>
      <w:hyperlink r:id="rId14" w:history="1">
        <w:r>
          <w:rPr>
            <w:rStyle w:val="Hyperlink"/>
          </w:rPr>
          <w:t>https://enrd.ec.europa.eu/evaluation/publications/working-document-common-evaluation-questions-rural-development-programmes_en</w:t>
        </w:r>
      </w:hyperlink>
    </w:p>
  </w:footnote>
  <w:footnote w:id="42">
    <w:p w:rsidR="00272EFF" w:rsidRPr="00171202" w:rsidRDefault="00272EFF" w:rsidP="00E05D08">
      <w:pPr>
        <w:pStyle w:val="FootnoteText"/>
      </w:pPr>
      <w:r>
        <w:rPr>
          <w:rStyle w:val="FootnoteReference"/>
        </w:rPr>
        <w:footnoteRef/>
      </w:r>
      <w:r>
        <w:t xml:space="preserve"> </w:t>
      </w:r>
      <w:r>
        <w:t>Παράρτημα IV του κανονισμού (ΕΕ) αριθ. 808/2014.</w:t>
      </w:r>
    </w:p>
  </w:footnote>
  <w:footnote w:id="43">
    <w:p w:rsidR="00272EFF" w:rsidRPr="00091F73" w:rsidRDefault="00272EFF" w:rsidP="00E05D08">
      <w:pPr>
        <w:pStyle w:val="FootnoteText"/>
      </w:pPr>
      <w:r>
        <w:rPr>
          <w:rStyle w:val="FootnoteReference"/>
        </w:rPr>
        <w:footnoteRef/>
      </w:r>
      <w:r>
        <w:t xml:space="preserve"> </w:t>
      </w:r>
      <w:r>
        <w:t xml:space="preserve">Πρόσθετα κριτήρια απόφασης μπορούν να αναπτυχθούν στα κράτη μέλη, πέραν των κριτηρίων που προσδιορίζονται στο έγγραφο εργασίας: «Common evaluation questions for Rural Development Programmes 2014-2020» (Κοινά ερωτήματα αξιολόγησης για τα προγράμματα αγροτικής ανάπτυξης της περιόδου 2014-2020). </w:t>
      </w:r>
    </w:p>
  </w:footnote>
  <w:footnote w:id="44">
    <w:p w:rsidR="00272EFF" w:rsidRPr="00091F73" w:rsidRDefault="00272EFF" w:rsidP="00E05D08">
      <w:pPr>
        <w:pStyle w:val="FootnoteText"/>
      </w:pPr>
      <w:r>
        <w:rPr>
          <w:rStyle w:val="FootnoteReference"/>
        </w:rPr>
        <w:footnoteRef/>
      </w:r>
      <w:r>
        <w:t xml:space="preserve"> </w:t>
      </w:r>
      <w:r>
        <w:t xml:space="preserve">Οι πρόσθετοι δείκτες είναι αυτοί που αναπτύσσονται στα κράτη μέλη ως προσθήκη στους κοινούς δείκτες, εάν οι κοινοί δείκτες δεν επαρκούν προκειμένου να δοθούν απαντήσεις στα ερωτήματα αξιολόγησης που προσδιορίζονται στα κριτήρια απόφασης. Για περαιτέρω οδηγίες βλ. τις κατευθυντήριες γραμμές: «Assessment of RDP Results: How to prepare for reporting on evaluation in 2017» (Αξιολόγηση των αποτελεσμάτων του ΠΑΑ: Τρόπος προετοιμασίας για την υποβολή εκθέσεων σχετικά με την αξιολόγηση το 2017) </w:t>
      </w:r>
      <w:hyperlink r:id="rId15" w:history="1">
        <w:r>
          <w:rPr>
            <w:rStyle w:val="Hyperlink"/>
          </w:rPr>
          <w:t>https://enrd.ec.europa.eu/evaluation/publications/guidelines-assessment-rdp-results-how-prepare-reporting-evaluation-2017_en</w:t>
        </w:r>
      </w:hyperlink>
    </w:p>
    <w:p w:rsidR="00272EFF" w:rsidRPr="00091F73" w:rsidRDefault="00272EFF" w:rsidP="00F74459">
      <w:pPr>
        <w:pStyle w:val="FootnoteText"/>
        <w:rPr>
          <w:lang w:val="sk-SK"/>
        </w:rPr>
      </w:pPr>
    </w:p>
  </w:footnote>
  <w:footnote w:id="45">
    <w:p w:rsidR="00272EFF" w:rsidRPr="00576A73" w:rsidRDefault="00272EFF">
      <w:pPr>
        <w:pStyle w:val="FootnoteText"/>
        <w:rPr>
          <w:sz w:val="12"/>
          <w:szCs w:val="12"/>
        </w:rPr>
      </w:pPr>
      <w:r>
        <w:rPr>
          <w:rStyle w:val="FootnoteReference"/>
          <w:szCs w:val="16"/>
        </w:rPr>
        <w:footnoteRef/>
      </w:r>
      <w:r>
        <w:rPr>
          <w:sz w:val="12"/>
          <w:szCs w:val="12"/>
        </w:rPr>
        <w:t xml:space="preserve"> </w:t>
      </w:r>
      <w:r>
        <w:t>Άρθρο 15 παράγραφος 4 στοιχεία α) έως ζ).</w:t>
      </w:r>
    </w:p>
  </w:footnote>
  <w:footnote w:id="46">
    <w:p w:rsidR="00272EFF" w:rsidRPr="00401F29" w:rsidRDefault="00272EFF" w:rsidP="00E05D08">
      <w:pPr>
        <w:pStyle w:val="FootnoteText"/>
        <w:rPr>
          <w:rStyle w:val="Hyperlink"/>
        </w:rPr>
      </w:pPr>
      <w:r>
        <w:rPr>
          <w:rStyle w:val="FootnoteReference"/>
        </w:rPr>
        <w:footnoteRef/>
      </w:r>
      <w:r>
        <w:t xml:space="preserve"> </w:t>
      </w:r>
      <w:r>
        <w:t>Βλέπε:</w:t>
      </w:r>
      <w:r>
        <w:rPr>
          <w:rStyle w:val="Hyperlink"/>
        </w:rPr>
        <w:t xml:space="preserve"> </w:t>
      </w:r>
      <w:hyperlink r:id="rId16" w:history="1">
        <w:r>
          <w:rPr>
            <w:rStyle w:val="Hyperlink"/>
          </w:rPr>
          <w:t>http://ec.europa.eu/europe2020/targets/eu-targets/index_en.htm</w:t>
        </w:r>
      </w:hyperlink>
    </w:p>
  </w:footnote>
  <w:footnote w:id="47">
    <w:p w:rsidR="00272EFF" w:rsidRPr="00401F29" w:rsidRDefault="00272EFF" w:rsidP="00C3092C">
      <w:pPr>
        <w:pStyle w:val="FootnoteText"/>
      </w:pPr>
      <w:r>
        <w:rPr>
          <w:vertAlign w:val="superscript"/>
        </w:rPr>
        <w:footnoteRef/>
      </w:r>
      <w:r>
        <w:t xml:space="preserve"> </w:t>
      </w:r>
      <w:r>
        <w:t xml:space="preserve">WP: Common evaluation questions for RDPs 2014-2020 (Έγγραφο εργασίας: Κοινά ερωτήματα αξιολόγησης για τα προγράμματα αγροτικής ανάπτυξης της περιόδου 2014-2020), </w:t>
      </w:r>
      <w:hyperlink r:id="rId17" w:history="1">
        <w:r>
          <w:rPr>
            <w:rStyle w:val="Hyperlink"/>
          </w:rPr>
          <w:t>http://enrd.ec.europa.eu/evaluation/publications/working-document-common-evaluation-questions-rural-development-programmes_en</w:t>
        </w:r>
      </w:hyperlink>
    </w:p>
  </w:footnote>
  <w:footnote w:id="48">
    <w:p w:rsidR="00272EFF" w:rsidRPr="00401F29" w:rsidRDefault="00272EFF" w:rsidP="00E05D08">
      <w:pPr>
        <w:pStyle w:val="FootnoteText"/>
      </w:pPr>
      <w:r>
        <w:rPr>
          <w:rStyle w:val="FootnoteReference"/>
        </w:rPr>
        <w:footnoteRef/>
      </w:r>
      <w:r>
        <w:t xml:space="preserve"> </w:t>
      </w:r>
      <w:r>
        <w:t>Τα εν λόγω άρθρα περιλαμβάνονται στον κανονισμό (ΕΕ) αριθ. 1305/2013.</w:t>
      </w:r>
    </w:p>
  </w:footnote>
  <w:footnote w:id="49">
    <w:p w:rsidR="00272EFF" w:rsidRPr="00401F29" w:rsidRDefault="00272EFF" w:rsidP="00E05D08">
      <w:pPr>
        <w:pStyle w:val="FootnoteText"/>
      </w:pPr>
      <w:r>
        <w:rPr>
          <w:rStyle w:val="FootnoteReference"/>
        </w:rPr>
        <w:footnoteRef/>
      </w:r>
      <w:r>
        <w:t xml:space="preserve"> </w:t>
      </w:r>
      <w:r>
        <w:t>Άρθρο 15 παράγραφος 4 στοιχείο γ) του κανονισμού (ΕΕ) αριθ. 1305/2013.</w:t>
      </w:r>
    </w:p>
  </w:footnote>
  <w:footnote w:id="50">
    <w:p w:rsidR="00272EFF" w:rsidRPr="00401F29" w:rsidRDefault="00272EFF" w:rsidP="00E05D08">
      <w:pPr>
        <w:pStyle w:val="FootnoteText"/>
      </w:pPr>
      <w:r>
        <w:rPr>
          <w:rStyle w:val="FootnoteReference"/>
        </w:rPr>
        <w:footnoteRef/>
      </w:r>
      <w:r>
        <w:t xml:space="preserve"> </w:t>
      </w:r>
      <w:r>
        <w:t>Άρθρο 32 του κανονισμού (ΕΕ) αριθ. 1303/2013.</w:t>
      </w:r>
    </w:p>
  </w:footnote>
  <w:footnote w:id="51">
    <w:p w:rsidR="00272EFF" w:rsidRPr="00C3092C" w:rsidRDefault="00272EFF" w:rsidP="00C3092C">
      <w:pPr>
        <w:pStyle w:val="FootnoteText"/>
      </w:pPr>
      <w:r>
        <w:rPr>
          <w:rStyle w:val="FootnoteReference"/>
        </w:rPr>
        <w:footnoteRef/>
      </w:r>
      <w:r>
        <w:t xml:space="preserve"> </w:t>
      </w:r>
      <w:r>
        <w:t>Άρθρο 35 παράγραφος 2 στοιχείο β) του κανονισμού (ΕΕ) αριθ. 1305/2013.</w:t>
      </w:r>
    </w:p>
  </w:footnote>
  <w:footnote w:id="52">
    <w:p w:rsidR="00272EFF" w:rsidRPr="0026694F" w:rsidRDefault="00272EFF" w:rsidP="00E05D08">
      <w:pPr>
        <w:pStyle w:val="FootnoteText"/>
        <w:rPr>
          <w:color w:val="373737"/>
        </w:rPr>
      </w:pPr>
      <w:r>
        <w:rPr>
          <w:rStyle w:val="FootnoteReference"/>
        </w:rPr>
        <w:footnoteRef/>
      </w:r>
      <w:r>
        <w:t xml:space="preserve"> </w:t>
      </w:r>
      <w:r>
        <w:t>Άρθρο 35 του κανονισμού (ΕΕ) αριθ. 1305/2013. Το έγγραφο καθοδήγησης «Cooperation measure» (Μέτρο συνεργασίας, έκδοση Νοεμβρίου 2014) απαριθμεί όλα τα επιμέρους μέτρα του μέτρου συνεργασίας στο παράρτημα Ι.,</w:t>
      </w:r>
      <w:r>
        <w:rPr>
          <w:color w:val="373737"/>
        </w:rPr>
        <w:t xml:space="preserve"> </w:t>
      </w:r>
      <w:hyperlink r:id="rId18" w:history="1">
        <w:r>
          <w:rPr>
            <w:rStyle w:val="Hyperlink"/>
          </w:rPr>
          <w:t>https://ec.europa.eu/eip/agriculture/sites/agri-eip/files/16_measure_fiche_art_35_co-operation.pdf</w:t>
        </w:r>
      </w:hyperlink>
    </w:p>
  </w:footnote>
  <w:footnote w:id="53">
    <w:p w:rsidR="00272EFF" w:rsidRPr="00401F29" w:rsidRDefault="00272EFF" w:rsidP="00E05D08">
      <w:pPr>
        <w:pStyle w:val="FootnoteText"/>
      </w:pPr>
      <w:r>
        <w:rPr>
          <w:rStyle w:val="FootnoteReference"/>
        </w:rPr>
        <w:footnoteRef/>
      </w:r>
      <w:r>
        <w:t xml:space="preserve"> </w:t>
      </w:r>
      <w:r>
        <w:t>Άρθρο 35 παράγραφος 1 του κανονισμού (ΕΕ) αριθ. 1305/2013.</w:t>
      </w:r>
    </w:p>
  </w:footnote>
  <w:footnote w:id="54">
    <w:p w:rsidR="00272EFF" w:rsidRPr="00AB16BB" w:rsidRDefault="00272EFF">
      <w:pPr>
        <w:pStyle w:val="FootnoteText"/>
        <w:rPr>
          <w:sz w:val="12"/>
          <w:szCs w:val="12"/>
        </w:rPr>
      </w:pPr>
      <w:r>
        <w:rPr>
          <w:rStyle w:val="FootnoteReference"/>
          <w:szCs w:val="16"/>
        </w:rPr>
        <w:footnoteRef/>
      </w:r>
      <w:r>
        <w:t xml:space="preserve">Παρουσίαση παραδειγμάτων προγραμματισμού που συνδέονται με τις προτεραιότητες 4 και 5 του ΕΓΤΑΑ. Διατίθεται στην ηλεκτρονική διεύθυνση: </w:t>
      </w:r>
      <w:hyperlink r:id="rId19" w:history="1">
        <w:r>
          <w:rPr>
            <w:rStyle w:val="Hyperlink"/>
          </w:rPr>
          <w:t>http://enrd.ec.europa.eu/sites/enrd/files/w10_m16_finland_karlsson.pdf</w:t>
        </w:r>
      </w:hyperlink>
      <w:r>
        <w:rPr>
          <w:sz w:val="12"/>
          <w:szCs w:val="12"/>
        </w:rPr>
        <w:t xml:space="preserve"> </w:t>
      </w:r>
    </w:p>
  </w:footnote>
  <w:footnote w:id="55">
    <w:p w:rsidR="00272EFF" w:rsidRPr="00A45935" w:rsidRDefault="00272EFF">
      <w:pPr>
        <w:pStyle w:val="FootnoteText"/>
        <w:rPr>
          <w:szCs w:val="16"/>
        </w:rPr>
      </w:pPr>
      <w:r>
        <w:rPr>
          <w:rStyle w:val="FootnoteReference"/>
          <w:szCs w:val="16"/>
        </w:rPr>
        <w:footnoteRef/>
      </w:r>
      <w:r>
        <w:rPr>
          <w:rStyle w:val="Hyperlink"/>
        </w:rPr>
        <w:t xml:space="preserve"> </w:t>
      </w:r>
      <w:hyperlink r:id="rId20" w:history="1">
        <w:r>
          <w:rPr>
            <w:rStyle w:val="Hyperlink"/>
          </w:rPr>
          <w:t>https://ec.europa.eu/eip/agriculture/en/content/innovative-stable-reducing-ammonia-emissions</w:t>
        </w:r>
      </w:hyperlink>
    </w:p>
  </w:footnote>
  <w:footnote w:id="56">
    <w:p w:rsidR="00272EFF" w:rsidRDefault="00272EFF">
      <w:pPr>
        <w:pStyle w:val="FootnoteText"/>
      </w:pPr>
      <w:r>
        <w:rPr>
          <w:rStyle w:val="FootnoteReference"/>
          <w:szCs w:val="16"/>
        </w:rPr>
        <w:footnoteRef/>
      </w:r>
      <w:r>
        <w:t xml:space="preserve"> </w:t>
      </w:r>
      <w:r>
        <w:t xml:space="preserve">Παρουσίαση παραδειγμάτων προγραμματισμού που συνδέονται με τις προτεραιότητες 4 και 5 του ΕΓΤΑΑ. Διατίθεται στην ηλεκτρονική διεύθυνση: </w:t>
      </w:r>
      <w:hyperlink r:id="rId21" w:history="1">
        <w:r>
          <w:rPr>
            <w:rStyle w:val="Hyperlink"/>
          </w:rPr>
          <w:t>http://enrd.ec.europa.eu/sites/enrd/files/w10_m16.5_hesse_de_vonkutzleben.pdf</w:t>
        </w:r>
      </w:hyperlink>
    </w:p>
  </w:footnote>
  <w:footnote w:id="57">
    <w:p w:rsidR="00272EFF" w:rsidRPr="00401F29" w:rsidRDefault="00272EFF" w:rsidP="00E05D08">
      <w:pPr>
        <w:pStyle w:val="FootnoteText"/>
      </w:pPr>
      <w:r>
        <w:rPr>
          <w:rStyle w:val="FootnoteReference"/>
        </w:rPr>
        <w:footnoteRef/>
      </w:r>
      <w:r>
        <w:t xml:space="preserve"> </w:t>
      </w:r>
      <w:r>
        <w:t>Άρθρο 54 παράγραφος 2 του κανονισμού (ΕΕ) αριθ. 1305/2013.</w:t>
      </w:r>
    </w:p>
  </w:footnote>
  <w:footnote w:id="58">
    <w:p w:rsidR="00272EFF" w:rsidRPr="002D11C3" w:rsidRDefault="00272EFF" w:rsidP="00E05D08">
      <w:pPr>
        <w:pStyle w:val="FootnoteText"/>
      </w:pPr>
      <w:r>
        <w:rPr>
          <w:rStyle w:val="FootnoteReference"/>
        </w:rPr>
        <w:footnoteRef/>
      </w:r>
      <w:r>
        <w:t xml:space="preserve"> </w:t>
      </w:r>
      <w:r>
        <w:t xml:space="preserve">Οδηγίες για την απάντηση του ΚΕΑ αριθ. 21 παρέχονται επίσης στις κατευθυντήριες γραμμές «Assessment of RDP results: how to prepare for reporting on evaluation in 2017» (Αξιολόγηση των αποτελεσμάτων του ΠΑΑ: Τρόπος προετοιμασίας για την υποβολή εκθέσεων σχετικά με την αξιολόγηση το 2017), παράρτημα 11, στις οποίες λήφθηκαν υπόψη όλοι οι συναφείς με το ΕΑΔ στόχοι για την απάντηση του ΚΕΑ, </w:t>
      </w:r>
      <w:hyperlink r:id="rId22" w:history="1">
        <w:r>
          <w:rPr>
            <w:rStyle w:val="Hyperlink"/>
          </w:rPr>
          <w:t>https://enrd.ec.europa.eu/evaluation/publications/guidelines-assessment-rdp-results-how-prepare-reporting-evaluation-2017_en</w:t>
        </w:r>
      </w:hyperlink>
      <w:r>
        <w:t>.</w:t>
      </w:r>
    </w:p>
  </w:footnote>
  <w:footnote w:id="59">
    <w:p w:rsidR="00272EFF" w:rsidRPr="00401F29" w:rsidRDefault="00272EFF" w:rsidP="00E05D08">
      <w:pPr>
        <w:pStyle w:val="FootnoteText"/>
      </w:pPr>
      <w:r>
        <w:rPr>
          <w:rStyle w:val="FootnoteReference"/>
        </w:rPr>
        <w:footnoteRef/>
      </w:r>
      <w:r>
        <w:t xml:space="preserve"> </w:t>
      </w:r>
      <w:r>
        <w:t>Άρθρο 54 του κανονισμού (ΕΕ) αριθ. 1305/2013.</w:t>
      </w:r>
    </w:p>
  </w:footnote>
  <w:footnote w:id="60">
    <w:p w:rsidR="00272EFF" w:rsidRPr="00401F29" w:rsidRDefault="00272EFF" w:rsidP="00E05D08">
      <w:pPr>
        <w:pStyle w:val="FootnoteText"/>
      </w:pPr>
      <w:r>
        <w:rPr>
          <w:rStyle w:val="FootnoteReference"/>
        </w:rPr>
        <w:footnoteRef/>
      </w:r>
      <w:r>
        <w:t xml:space="preserve"> </w:t>
      </w:r>
      <w:r>
        <w:t>Άρθρο 54 παράγραφος 3 στοιχείο β) του κανονισμού (ΕΕ) αριθ. 1305/2013.</w:t>
      </w:r>
    </w:p>
  </w:footnote>
  <w:footnote w:id="61">
    <w:p w:rsidR="00272EFF" w:rsidRPr="00401F29" w:rsidRDefault="00272EFF" w:rsidP="00E05D08">
      <w:pPr>
        <w:pStyle w:val="FootnoteText"/>
      </w:pPr>
      <w:r>
        <w:rPr>
          <w:rStyle w:val="FootnoteReference"/>
        </w:rPr>
        <w:footnoteRef/>
      </w:r>
      <w:r>
        <w:t xml:space="preserve"> </w:t>
      </w:r>
      <w:r>
        <w:t>Άρθρο 8 παράγραφος 1 στοιχείο γ) σημείο v) του κανονισμού (ΕΕ) αριθ. 1305/2013 και παράρτημα Ι μέρος 1 σημείο 5 στοιχεία γ) και ε) του κανονισμού (ΕΕ) αριθ. 808/2014.</w:t>
      </w:r>
    </w:p>
  </w:footnote>
  <w:footnote w:id="62">
    <w:p w:rsidR="00272EFF" w:rsidRPr="00401F29" w:rsidRDefault="00272EFF" w:rsidP="00E05D08">
      <w:pPr>
        <w:pStyle w:val="FootnoteText"/>
      </w:pPr>
      <w:r>
        <w:rPr>
          <w:rStyle w:val="FootnoteReference"/>
        </w:rPr>
        <w:footnoteRef/>
      </w:r>
      <w:r>
        <w:t xml:space="preserve"> </w:t>
      </w:r>
      <w:r>
        <w:t>Άρθρο 54 του κανονισμού (ΕΕ) αριθ. 1305/2013.</w:t>
      </w:r>
    </w:p>
  </w:footnote>
  <w:footnote w:id="63">
    <w:p w:rsidR="00272EFF" w:rsidRPr="00401F29" w:rsidRDefault="00272EFF" w:rsidP="00E05D08">
      <w:pPr>
        <w:pStyle w:val="FootnoteText"/>
        <w:rPr>
          <w:rStyle w:val="Hyperlink"/>
        </w:rPr>
      </w:pPr>
      <w:r>
        <w:rPr>
          <w:rStyle w:val="FootnoteReference"/>
        </w:rPr>
        <w:footnoteRef/>
      </w:r>
      <w:r>
        <w:t xml:space="preserve"> </w:t>
      </w:r>
      <w:r>
        <w:t xml:space="preserve">Helpdesk αξιολόγησης, έγγραφο εργασίας: Common Evaluation questions for RDPs 2014-2020 (Κοινά ερωτήματα αξιολόγησης για τα προγράμματα αγροτικής ανάπτυξης της περιόδου 2014-2020), διαθέσιμο στην ηλεκτρονική διεύθυνση </w:t>
      </w:r>
      <w:hyperlink r:id="rId23" w:history="1">
        <w:r>
          <w:rPr>
            <w:rStyle w:val="Hyperlink"/>
          </w:rPr>
          <w:t>http://enrd.ec.europa.eu/evaluation/publications/working-document-common-evaluation-questions-rural-development-programmes_en</w:t>
        </w:r>
      </w:hyperlink>
    </w:p>
  </w:footnote>
  <w:footnote w:id="64">
    <w:p w:rsidR="00272EFF" w:rsidRPr="002F229A" w:rsidRDefault="00272EFF" w:rsidP="00E05D08">
      <w:pPr>
        <w:pStyle w:val="FootnoteText"/>
        <w:rPr>
          <w:lang w:val="de-DE"/>
        </w:rPr>
      </w:pPr>
      <w:r>
        <w:rPr>
          <w:rStyle w:val="FootnoteReference"/>
        </w:rPr>
        <w:footnoteRef/>
      </w:r>
      <w:r w:rsidRPr="002F229A">
        <w:rPr>
          <w:lang w:val="de-DE"/>
        </w:rPr>
        <w:t xml:space="preserve"> </w:t>
      </w:r>
      <w:r>
        <w:t>Ό</w:t>
      </w:r>
      <w:r w:rsidRPr="002F229A">
        <w:rPr>
          <w:lang w:val="de-DE"/>
        </w:rPr>
        <w:t>.</w:t>
      </w:r>
      <w:r>
        <w:t>π</w:t>
      </w:r>
      <w:r w:rsidRPr="002F229A">
        <w:rPr>
          <w:lang w:val="de-DE"/>
        </w:rPr>
        <w:t>.</w:t>
      </w:r>
    </w:p>
  </w:footnote>
  <w:footnote w:id="65">
    <w:p w:rsidR="00272EFF" w:rsidRPr="002F229A" w:rsidRDefault="00272EFF" w:rsidP="00E05D08">
      <w:pPr>
        <w:pStyle w:val="FootnoteText"/>
        <w:rPr>
          <w:lang w:val="de-DE"/>
        </w:rPr>
      </w:pPr>
      <w:r>
        <w:rPr>
          <w:rStyle w:val="FootnoteReference"/>
        </w:rPr>
        <w:footnoteRef/>
      </w:r>
      <w:r w:rsidRPr="002F229A">
        <w:rPr>
          <w:lang w:val="de-DE"/>
        </w:rPr>
        <w:t xml:space="preserve"> </w:t>
      </w:r>
      <w:r w:rsidRPr="002F229A">
        <w:rPr>
          <w:lang w:val="de-DE"/>
        </w:rPr>
        <w:t>Allen and Seaman (2007).</w:t>
      </w:r>
    </w:p>
  </w:footnote>
  <w:footnote w:id="66">
    <w:p w:rsidR="00272EFF" w:rsidRPr="00401F29" w:rsidRDefault="00272EFF" w:rsidP="00E05D08">
      <w:pPr>
        <w:pStyle w:val="FootnoteText"/>
      </w:pPr>
      <w:r>
        <w:rPr>
          <w:rStyle w:val="FootnoteReference"/>
        </w:rPr>
        <w:footnoteRef/>
      </w:r>
      <w:r>
        <w:t xml:space="preserve"> </w:t>
      </w:r>
      <w:r>
        <w:t xml:space="preserve">Helpdesk αξιολόγησης, Κατευθυντήριες γραμμές «Evaluation of NRNs 2014-2020» (Αξιολόγηση των ΕΑΔ της περιόδου 2014-2020), 2016, κεφάλαιο 3.1.3 και μέρος III. </w:t>
      </w:r>
      <w:r>
        <w:rPr>
          <w:rStyle w:val="Hyperlink"/>
        </w:rPr>
        <w:t>https://enrd.ec.europa.eu/evaluation/publications/guidelines-evaluation-national-rural-networks-</w:t>
      </w:r>
      <w:hyperlink r:id="rId24" w:history="1">
        <w:r>
          <w:rPr>
            <w:rStyle w:val="Hyperlink"/>
          </w:rPr>
          <w:t>2014</w:t>
        </w:r>
      </w:hyperlink>
      <w:r>
        <w:rPr>
          <w:rStyle w:val="Hyperlink"/>
        </w:rPr>
        <w:t>-</w:t>
      </w:r>
      <w:hyperlink r:id="rId25" w:history="1">
        <w:r>
          <w:rPr>
            <w:rStyle w:val="Hyperlink"/>
          </w:rPr>
          <w:t>2020</w:t>
        </w:r>
      </w:hyperlink>
      <w:r>
        <w:rPr>
          <w:rStyle w:val="Hyperlink"/>
        </w:rPr>
        <w:t>_en</w:t>
      </w:r>
    </w:p>
  </w:footnote>
  <w:footnote w:id="67">
    <w:p w:rsidR="00272EFF" w:rsidRPr="00401F29" w:rsidRDefault="00272EFF" w:rsidP="00E05D08">
      <w:pPr>
        <w:pStyle w:val="FootnoteText"/>
        <w:rPr>
          <w:rStyle w:val="Hyperlink"/>
        </w:rPr>
      </w:pPr>
      <w:r>
        <w:rPr>
          <w:rStyle w:val="FootnoteReference"/>
        </w:rPr>
        <w:footnoteRef/>
      </w:r>
      <w:r>
        <w:t xml:space="preserve"> </w:t>
      </w:r>
      <w:r>
        <w:t>Παράδειγμα του ιταλικού ΕΑΔ.</w:t>
      </w:r>
      <w:r>
        <w:rPr>
          <w:rFonts w:ascii="Helvetica" w:hAnsi="Helvetica"/>
          <w:szCs w:val="16"/>
        </w:rPr>
        <w:t xml:space="preserve"> </w:t>
      </w:r>
      <w:hyperlink r:id="rId26" w:history="1">
        <w:r>
          <w:rPr>
            <w:rStyle w:val="Hyperlink"/>
          </w:rPr>
          <w:t>http://www.reterurale.it/flex/cm/pages/ServeBLOB.php/L/IT/IDPagina/16281</w:t>
        </w:r>
      </w:hyperlink>
    </w:p>
    <w:p w:rsidR="00272EFF" w:rsidRPr="00F743D3" w:rsidRDefault="00272EFF" w:rsidP="00F74459">
      <w:pPr>
        <w:pStyle w:val="FootnoteText"/>
        <w:rPr>
          <w:lang w:val="sk-SK"/>
        </w:rPr>
      </w:pPr>
    </w:p>
  </w:footnote>
  <w:footnote w:id="68">
    <w:p w:rsidR="00272EFF" w:rsidRPr="00CE37B0" w:rsidRDefault="00272EFF" w:rsidP="00E05D08">
      <w:pPr>
        <w:pStyle w:val="FootnoteText"/>
      </w:pPr>
      <w:r>
        <w:rPr>
          <w:rStyle w:val="FootnoteReference"/>
        </w:rPr>
        <w:footnoteRef/>
      </w:r>
      <w:r>
        <w:t xml:space="preserve"> </w:t>
      </w:r>
      <w:r>
        <w:t xml:space="preserve">ΕΥΡΩΠΗ 2020 – Στρατηγική για έξυπνη, διατηρήσιμη και χωρίς αποκλεισμούς ανάπτυξη, </w:t>
      </w:r>
      <w:hyperlink r:id="rId27" w:history="1">
        <w:r>
          <w:rPr>
            <w:rStyle w:val="Hyperlink"/>
          </w:rPr>
          <w:t>http://eur-lex.europa.eu/legal-content/EL/ALL/?uri=CELEX:52010DC2020</w:t>
        </w:r>
      </w:hyperlink>
    </w:p>
  </w:footnote>
  <w:footnote w:id="69">
    <w:p w:rsidR="00272EFF" w:rsidRPr="0026694F" w:rsidRDefault="00272EFF" w:rsidP="00E05D08">
      <w:pPr>
        <w:pStyle w:val="FootnoteText"/>
        <w:rPr>
          <w:rFonts w:cs="Helvetica"/>
          <w:color w:val="373737"/>
          <w:szCs w:val="18"/>
        </w:rPr>
      </w:pPr>
      <w:r>
        <w:rPr>
          <w:rStyle w:val="FootnoteReference"/>
          <w:rFonts w:cs="Helvetica"/>
          <w:szCs w:val="18"/>
        </w:rPr>
        <w:footnoteRef/>
      </w:r>
      <w:r>
        <w:rPr>
          <w:color w:val="373737"/>
          <w:szCs w:val="18"/>
        </w:rPr>
        <w:t xml:space="preserve"> </w:t>
      </w:r>
      <w:hyperlink r:id="rId28" w:history="1">
        <w:r>
          <w:rPr>
            <w:rStyle w:val="Hyperlink"/>
          </w:rPr>
          <w:t>http://ec.europa.eu/europe2020/targets/eu-targets/index_en.htm</w:t>
        </w:r>
      </w:hyperlink>
    </w:p>
  </w:footnote>
  <w:footnote w:id="70">
    <w:p w:rsidR="00272EFF" w:rsidRPr="008F676D" w:rsidRDefault="00272EFF" w:rsidP="00E05D08">
      <w:pPr>
        <w:pStyle w:val="FootnoteText"/>
      </w:pPr>
      <w:r>
        <w:rPr>
          <w:rStyle w:val="FootnoteReference"/>
        </w:rPr>
        <w:footnoteRef/>
      </w:r>
      <w:r>
        <w:t xml:space="preserve"> </w:t>
      </w:r>
      <w:hyperlink r:id="rId29" w:history="1">
        <w:r>
          <w:rPr>
            <w:rStyle w:val="Hyperlink"/>
          </w:rPr>
          <w:t>http://ec.europa.eu/eurostat/statistics-explained/index.php/R_%26_D_expenditure</w:t>
        </w:r>
      </w:hyperlink>
    </w:p>
  </w:footnote>
  <w:footnote w:id="71">
    <w:p w:rsidR="00272EFF" w:rsidRPr="0026694F" w:rsidRDefault="00272EFF" w:rsidP="00E05D08">
      <w:pPr>
        <w:pStyle w:val="FootnoteText"/>
        <w:rPr>
          <w:rFonts w:cs="Helvetica"/>
          <w:color w:val="373737"/>
          <w:szCs w:val="18"/>
        </w:rPr>
      </w:pPr>
      <w:r>
        <w:rPr>
          <w:rStyle w:val="FootnoteReference"/>
          <w:rFonts w:cs="Helvetica"/>
          <w:szCs w:val="18"/>
        </w:rPr>
        <w:footnoteRef/>
      </w:r>
      <w:r>
        <w:rPr>
          <w:color w:val="373737"/>
          <w:szCs w:val="18"/>
        </w:rPr>
        <w:t xml:space="preserve"> </w:t>
      </w:r>
      <w:hyperlink r:id="rId30" w:history="1">
        <w:r>
          <w:rPr>
            <w:rStyle w:val="Hyperlink"/>
          </w:rPr>
          <w:t>http://www.oecd.org/publications/frascati-manual-2015-9789264239012-en.htm</w:t>
        </w:r>
      </w:hyperlink>
    </w:p>
  </w:footnote>
  <w:footnote w:id="72">
    <w:p w:rsidR="00272EFF" w:rsidRPr="00401F29" w:rsidRDefault="00272EFF" w:rsidP="00E05D08">
      <w:pPr>
        <w:pStyle w:val="FootnoteText"/>
      </w:pPr>
      <w:r>
        <w:rPr>
          <w:rStyle w:val="FootnoteReference"/>
          <w:rFonts w:cs="Helvetica"/>
          <w:szCs w:val="18"/>
        </w:rPr>
        <w:footnoteRef/>
      </w:r>
      <w:r>
        <w:rPr>
          <w:color w:val="373737"/>
          <w:szCs w:val="18"/>
        </w:rPr>
        <w:t xml:space="preserve"> </w:t>
      </w:r>
      <w:r>
        <w:t>Απόφαση αριθ. 1608/2003/ΕΚ του Ευρωπαϊκού Κοινοβουλίου και του Συμβουλίου, κανονισμός (ΕΚ) αριθ. 753/2004 και κανονισμός (ΕΕ) αριθ. 995/2012.</w:t>
      </w:r>
    </w:p>
  </w:footnote>
  <w:footnote w:id="73">
    <w:p w:rsidR="00272EFF" w:rsidRPr="008F676D" w:rsidRDefault="00272EFF" w:rsidP="00E05D08">
      <w:pPr>
        <w:pStyle w:val="FootnoteText"/>
      </w:pPr>
      <w:r>
        <w:rPr>
          <w:rStyle w:val="FootnoteReference"/>
        </w:rPr>
        <w:footnoteRef/>
      </w:r>
      <w:r>
        <w:t xml:space="preserve"> </w:t>
      </w:r>
      <w:hyperlink r:id="rId31" w:history="1">
        <w:r>
          <w:rPr>
            <w:rStyle w:val="Hyperlink"/>
          </w:rPr>
          <w:t>http://ec.europa.eu/eurostat/statistics-explained/index.php/Glossary:Gross_domestic_expenditure_on_R_%26_D_(GERD)</w:t>
        </w:r>
      </w:hyperlink>
    </w:p>
  </w:footnote>
  <w:footnote w:id="74">
    <w:p w:rsidR="00272EFF" w:rsidRPr="0026694F" w:rsidRDefault="00272EFF" w:rsidP="00E05D08">
      <w:pPr>
        <w:pStyle w:val="FootnoteText"/>
        <w:rPr>
          <w:rFonts w:ascii="Helvetica" w:hAnsi="Helvetica" w:cs="Helvetica"/>
          <w:szCs w:val="16"/>
        </w:rPr>
      </w:pPr>
      <w:r>
        <w:rPr>
          <w:rStyle w:val="FootnoteReference"/>
          <w:rFonts w:cs="Arial"/>
          <w:szCs w:val="16"/>
        </w:rPr>
        <w:footnoteRef/>
      </w:r>
      <w:r>
        <w:rPr>
          <w:rFonts w:ascii="Helvetica" w:hAnsi="Helvetica"/>
          <w:szCs w:val="16"/>
        </w:rPr>
        <w:t xml:space="preserve"> </w:t>
      </w:r>
      <w:bookmarkStart w:id="123" w:name="_Hlk500419553"/>
      <w:r>
        <w:rPr>
          <w:rFonts w:ascii="Helvetica" w:hAnsi="Helvetica"/>
          <w:szCs w:val="16"/>
        </w:rPr>
        <w:t xml:space="preserve">Στη Γερμανία, μελέτη σχετικά με τις εκ των προτέρων αξιολογήσεις, η οποία (μεταξύ άλλων) εξέτασε τη συνάφεια των ΠΑΑ όσον αφορά την επίτευξη των στόχων της ΕΕ για το 2020, κατέδειξε ότι η συνεισφορά του ΠΑΑ στον πρωταρχικό στόχο του 3 % εκτιμάται ως πολύ χαμηλή. Οι δαπάνες θα έχουν μόνο ήσσονος σημασίας συνεισφορά στις δαπάνες για Ε&amp;Α σε ορισμένα ομόσπονδα κρατίδια. </w:t>
      </w:r>
    </w:p>
    <w:bookmarkEnd w:id="123"/>
    <w:p w:rsidR="00272EFF" w:rsidRPr="00E05D08" w:rsidRDefault="00272EFF" w:rsidP="00F74459">
      <w:pPr>
        <w:pStyle w:val="FootnoteText"/>
        <w:rPr>
          <w:rFonts w:ascii="Calibri" w:hAnsi="Calibri"/>
          <w:lang w:val="sk-SK"/>
        </w:rPr>
      </w:pPr>
    </w:p>
  </w:footnote>
  <w:footnote w:id="75">
    <w:p w:rsidR="00272EFF" w:rsidRPr="0026694F" w:rsidRDefault="00272EFF" w:rsidP="00E05D08">
      <w:pPr>
        <w:pStyle w:val="FootnoteText"/>
        <w:rPr>
          <w:rFonts w:cs="Helvetica"/>
          <w:color w:val="373737"/>
        </w:rPr>
      </w:pPr>
      <w:r>
        <w:rPr>
          <w:rStyle w:val="FootnoteReference"/>
          <w:rFonts w:cs="Helvetica"/>
        </w:rPr>
        <w:footnoteRef/>
      </w:r>
      <w:r>
        <w:t xml:space="preserve"> </w:t>
      </w:r>
      <w:r>
        <w:t xml:space="preserve">Έγγραφο εργασίας «Common evaluation questions for RDPs 2014-2020» (Κοινά ερωτήματα αξιολόγησης για τα ΠΑΑ της περιόδου 2014-2020) </w:t>
      </w:r>
      <w:hyperlink r:id="rId32" w:history="1">
        <w:r>
          <w:rPr>
            <w:rStyle w:val="Hyperlink"/>
          </w:rPr>
          <w:t>http://enrd.ec.europa.eu/evaluation/publications/working-document-common-evaluation-questions-rural-development-programmes_en</w:t>
        </w:r>
      </w:hyperlink>
    </w:p>
  </w:footnote>
  <w:footnote w:id="76">
    <w:p w:rsidR="00272EFF" w:rsidRPr="00014A2E" w:rsidRDefault="00272EFF" w:rsidP="00E05D08">
      <w:pPr>
        <w:pStyle w:val="FootnoteText"/>
      </w:pPr>
      <w:r>
        <w:rPr>
          <w:rStyle w:val="FootnoteReference"/>
        </w:rPr>
        <w:footnoteRef/>
      </w:r>
      <w:r>
        <w:t xml:space="preserve"> </w:t>
      </w:r>
      <w:r>
        <w:t>Άρθρο 8 παράγραφος 1 στοιχείο γ) σημείο v) του κανονισμού (ΕΕ) αριθ. 1305/2013 και παράρτημα Ι μέρος 1 σημείο 5 στοιχεία γ) και ε) του κανονισμού (ΕΕ) αριθ. 808/2014.</w:t>
      </w:r>
    </w:p>
  </w:footnote>
  <w:footnote w:id="77">
    <w:p w:rsidR="00272EFF" w:rsidRPr="001D68A9" w:rsidRDefault="00272EFF" w:rsidP="00E05D08">
      <w:pPr>
        <w:pStyle w:val="FootnoteText"/>
      </w:pPr>
      <w:r>
        <w:rPr>
          <w:rStyle w:val="FootnoteReference"/>
        </w:rPr>
        <w:footnoteRef/>
      </w:r>
      <w:r>
        <w:t xml:space="preserve"> </w:t>
      </w:r>
      <w:hyperlink r:id="rId33" w:history="1">
        <w:r>
          <w:rPr>
            <w:rStyle w:val="Hyperlink"/>
          </w:rPr>
          <w:t>http://www.analytictech.com/networks/whatis.htm</w:t>
        </w:r>
      </w:hyperlink>
    </w:p>
  </w:footnote>
  <w:footnote w:id="78">
    <w:p w:rsidR="00272EFF" w:rsidRPr="00401F29" w:rsidRDefault="00272EFF" w:rsidP="00E05D08">
      <w:pPr>
        <w:pStyle w:val="FootnoteText"/>
      </w:pPr>
      <w:r>
        <w:rPr>
          <w:rStyle w:val="FootnoteReference"/>
        </w:rPr>
        <w:footnoteRef/>
      </w:r>
      <w:r>
        <w:t xml:space="preserve"> </w:t>
      </w:r>
      <w:r>
        <w:t>Wilson-Grau, 2015. </w:t>
      </w:r>
    </w:p>
  </w:footnote>
  <w:footnote w:id="79">
    <w:p w:rsidR="00272EFF" w:rsidRPr="00401F29" w:rsidRDefault="00272EFF" w:rsidP="00E05D08">
      <w:pPr>
        <w:pStyle w:val="FootnoteText"/>
      </w:pPr>
      <w:r>
        <w:rPr>
          <w:rStyle w:val="FootnoteReference"/>
        </w:rPr>
        <w:footnoteRef/>
      </w:r>
      <w:r>
        <w:t xml:space="preserve"> </w:t>
      </w:r>
      <w:r>
        <w:t>Η μελέτη περίπτωσης (case study) είναι μια μέθοδος άντλησης γνώσεων για μια περίπλοκη περίπτωση, βάσει πλήρους κατανόησης της περίπτωσης που επιτυγχάνεται με εκτενή περιγραφή και ανάλυση της εν λόγω περίπτωσης στο σύνολό της και στο πλαίσιο στο οποίο εντάσσεται (GAO, 1990, σ. 15).</w:t>
      </w:r>
    </w:p>
  </w:footnote>
  <w:footnote w:id="80">
    <w:p w:rsidR="00272EFF" w:rsidRPr="00401F29" w:rsidRDefault="00272EFF" w:rsidP="00E05D08">
      <w:pPr>
        <w:pStyle w:val="FootnoteText"/>
      </w:pPr>
      <w:r>
        <w:rPr>
          <w:rStyle w:val="FootnoteReference"/>
        </w:rPr>
        <w:footnoteRef/>
      </w:r>
      <w:r>
        <w:rPr>
          <w:rStyle w:val="FootnoteReference"/>
        </w:rPr>
        <w:t xml:space="preserve"> </w:t>
      </w:r>
      <w:r>
        <w:t>Η ιχνηλάτηση διαδικασιών (process tracing) είναι μια περιπτωσιολογική προσέγγιση της εξαγωγής αιτιωδών συμπερασμάτων η οποία επικεντρώνεται στη χρήση στοιχείων στο πλαίσιο μιας περίπτωσης [παρατηρήσεις αιτιώδους διαδικασίας (causal-process observations, CPO)] για τη λήψη απόφασης μεταξύ των πιθανών εναλλακτικών επεξηγήσεων (διαβάστε περισσότερα στον σύνδεσμο</w:t>
      </w:r>
      <w:r>
        <w:rPr>
          <w:color w:val="373737"/>
          <w:szCs w:val="16"/>
          <w:shd w:val="clear" w:color="auto" w:fill="FFFFFF"/>
        </w:rPr>
        <w:t xml:space="preserve"> </w:t>
      </w:r>
      <w:hyperlink r:id="rId34" w:history="1">
        <w:r>
          <w:rPr>
            <w:rStyle w:val="Hyperlink"/>
            <w:szCs w:val="16"/>
            <w:shd w:val="clear" w:color="auto" w:fill="FFFFFF"/>
          </w:rPr>
          <w:t xml:space="preserve"> http://www.betterevaluation.org/en/evaluation-options/processtracing</w:t>
        </w:r>
      </w:hyperlink>
      <w:r>
        <w:rPr>
          <w:color w:val="373737"/>
          <w:szCs w:val="16"/>
        </w:rPr>
        <w:t>·</w:t>
      </w:r>
      <w:r>
        <w:t xml:space="preserve"> βλ. επίσης Collier, 2011· βλ. βιβλιογραφία).</w:t>
      </w:r>
    </w:p>
  </w:footnote>
  <w:footnote w:id="81">
    <w:p w:rsidR="00272EFF" w:rsidRPr="00401F29" w:rsidRDefault="00272EFF" w:rsidP="00E05D08">
      <w:pPr>
        <w:pStyle w:val="FootnoteText"/>
      </w:pPr>
      <w:r>
        <w:rPr>
          <w:rStyle w:val="FootnoteReference"/>
        </w:rPr>
        <w:footnoteRef/>
      </w:r>
      <w:r>
        <w:t xml:space="preserve"> </w:t>
      </w:r>
      <w:r>
        <w:t xml:space="preserve">Η κατάρτιση ενός «ιστορικού καινοτομίας» είναι μια μέθοδος για την καταγραφή και τον στοχασμό σχετικά με μια διαδικασία καινοτομίας. Τα άτομα που συμμετέχουν σε μια καινοτομία συντάσσουν από κοινού μια λεπτομερή γραπτή αναφορά (που αναφέρεται ορισμένες φορές ως «ιστορικό μάθησης») με βάση τα γεγονότα και τα διαθέσιμα έγγραφα. Διαβάστε περισσότερα στον σύνδεσμο </w:t>
      </w:r>
      <w:hyperlink r:id="rId35" w:history="1">
        <w:r>
          <w:rPr>
            <w:rStyle w:val="Hyperlink"/>
          </w:rPr>
          <w:t>http://www.betterevaluation.org/en/resources/tools/innovation_history/innovation_timeline</w:t>
        </w:r>
      </w:hyperlink>
      <w:r>
        <w:t xml:space="preserve">· βλ. επίσης Douthwaite and Ashby, 2005· βλ. βιβλιογραφία. </w:t>
      </w:r>
    </w:p>
  </w:footnote>
  <w:footnote w:id="82">
    <w:p w:rsidR="00272EFF" w:rsidRPr="00A847F8" w:rsidRDefault="00272EFF" w:rsidP="00A847F8">
      <w:pPr>
        <w:pStyle w:val="FootnoteText"/>
      </w:pPr>
      <w:r>
        <w:rPr>
          <w:rStyle w:val="FootnoteReference"/>
        </w:rPr>
        <w:footnoteRef/>
      </w:r>
      <w:r>
        <w:t xml:space="preserve"> </w:t>
      </w:r>
      <w:r>
        <w:t>Mayne, 2012, βλ. βιβλιογραφία.</w:t>
      </w:r>
    </w:p>
  </w:footnote>
  <w:footnote w:id="83">
    <w:p w:rsidR="00272EFF" w:rsidRPr="00A847F8" w:rsidRDefault="00272EFF" w:rsidP="00A847F8">
      <w:pPr>
        <w:pStyle w:val="FootnoteText"/>
      </w:pPr>
      <w:r>
        <w:rPr>
          <w:rStyle w:val="FootnoteReference"/>
        </w:rPr>
        <w:footnoteRef/>
      </w:r>
      <w:r>
        <w:t xml:space="preserve"> </w:t>
      </w:r>
      <w:r>
        <w:t>Hilton, 1996, βλ. βιβλιογραφία.</w:t>
      </w:r>
    </w:p>
  </w:footnote>
  <w:footnote w:id="84">
    <w:p w:rsidR="00272EFF" w:rsidRDefault="00272EFF" w:rsidP="00A847F8">
      <w:pPr>
        <w:pStyle w:val="FootnoteText"/>
      </w:pPr>
      <w:r>
        <w:rPr>
          <w:rStyle w:val="FootnoteReference"/>
        </w:rPr>
        <w:footnoteRef/>
      </w:r>
      <w:r>
        <w:t xml:space="preserve"> </w:t>
      </w:r>
      <w:r>
        <w:t>Pawson et al., 2005, βλ. βιβλιογραφία.</w:t>
      </w:r>
    </w:p>
  </w:footnote>
  <w:footnote w:id="85">
    <w:p w:rsidR="00272EFF" w:rsidRPr="002F229A" w:rsidRDefault="00272EFF" w:rsidP="00BA450C">
      <w:pPr>
        <w:pStyle w:val="FootnoteText"/>
        <w:rPr>
          <w:lang w:val="de-DE"/>
        </w:rPr>
      </w:pPr>
      <w:r>
        <w:rPr>
          <w:rStyle w:val="FootnoteReference"/>
          <w:szCs w:val="16"/>
        </w:rPr>
        <w:footnoteRef/>
      </w:r>
      <w:r w:rsidRPr="002F229A">
        <w:rPr>
          <w:lang w:val="de-DE"/>
        </w:rPr>
        <w:t xml:space="preserve"> </w:t>
      </w:r>
      <w:r>
        <w:t>Βλ</w:t>
      </w:r>
      <w:r w:rsidRPr="002F229A">
        <w:rPr>
          <w:lang w:val="de-DE"/>
        </w:rPr>
        <w:t xml:space="preserve">. </w:t>
      </w:r>
      <w:hyperlink r:id="rId36" w:history="1">
        <w:r w:rsidRPr="002F229A">
          <w:rPr>
            <w:rStyle w:val="Hyperlink"/>
            <w:lang w:val="de-DE"/>
          </w:rPr>
          <w:t>http://www.socialresearchmethods.net/kb/scallik.php</w:t>
        </w:r>
      </w:hyperlink>
      <w:r w:rsidRPr="002F229A">
        <w:rPr>
          <w:color w:val="373737"/>
          <w:szCs w:val="16"/>
          <w:lang w:val="de-DE"/>
        </w:rPr>
        <w:t xml:space="preserve">, </w:t>
      </w:r>
      <w:r>
        <w:t>και</w:t>
      </w:r>
      <w:r w:rsidRPr="002F229A">
        <w:rPr>
          <w:lang w:val="de-DE"/>
        </w:rPr>
        <w:t xml:space="preserve"> Allen and Seaman (2007)</w:t>
      </w:r>
      <w:r w:rsidRPr="002F229A">
        <w:rPr>
          <w:color w:val="373737"/>
          <w:szCs w:val="16"/>
          <w:shd w:val="clear" w:color="auto" w:fill="FFFFFF"/>
          <w:lang w:val="de-D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2EFF" w:rsidRDefault="00272EFF" w:rsidP="00400064">
    <w:pPr>
      <w:pStyle w:val="Header"/>
      <w:tabs>
        <w:tab w:val="clear" w:pos="4513"/>
        <w:tab w:val="clear" w:pos="9026"/>
      </w:tabs>
      <w:jc w:val="right"/>
    </w:pPr>
    <w:r>
      <w:t>Κατευθυντήριες γραμμές: Αξιολόγηση της καινοτομίας στο πλαίσιο των προγραμμάτων αγροτικής ανάπτυξης</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2EFF" w:rsidRPr="00400064" w:rsidRDefault="00272EFF" w:rsidP="0025413B">
    <w:pPr>
      <w:jc w:val="right"/>
      <w:rPr>
        <w:color w:val="F07E31"/>
        <w:sz w:val="18"/>
        <w:szCs w:val="18"/>
      </w:rPr>
    </w:pPr>
    <w:r>
      <w:rPr>
        <w:color w:val="F07E31"/>
        <w:sz w:val="18"/>
        <w:szCs w:val="18"/>
      </w:rPr>
      <w:t>Κατευθυντήριες γραμμές: Αξιολόγηση της καινοτομίας στο πλαίσιο των προγραμμάτων αγροτικής ανάπτυξης</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2EFF" w:rsidRPr="00400064" w:rsidRDefault="00272EFF" w:rsidP="00400064">
    <w:pPr>
      <w:jc w:val="right"/>
      <w:rPr>
        <w:color w:val="F07E31"/>
        <w:sz w:val="18"/>
        <w:szCs w:val="18"/>
      </w:rPr>
    </w:pPr>
    <w:r>
      <w:rPr>
        <w:color w:val="F07E31"/>
        <w:sz w:val="18"/>
        <w:szCs w:val="18"/>
      </w:rPr>
      <w:t>Κατευθυντήριες γραμμές: Αξιολόγηση της καινοτομίας στο πλαίσιο των προγραμμάτων αγροτικής ανάπτυξης</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2EFF" w:rsidRDefault="00272EFF" w:rsidP="00E1652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2EFF" w:rsidRPr="00E4509B" w:rsidRDefault="00272EFF" w:rsidP="00D50EF0">
    <w:pPr>
      <w:pStyle w:val="Header"/>
      <w:tabs>
        <w:tab w:val="clear" w:pos="4513"/>
      </w:tabs>
    </w:pPr>
    <w:r>
      <w:tab/>
    </w:r>
    <w:bookmarkStart w:id="4" w:name="_Hlk503344243"/>
    <w:r>
      <w:t>Κατευθυντήριες γραμμές: Αξιολόγηση της καινοτομίας στο πλαίσιο των προγραμμάτων αγροτικής ανάπτυξης</w:t>
    </w:r>
    <w:bookmarkEnd w:id="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2EFF" w:rsidRPr="00400064" w:rsidRDefault="00272EFF" w:rsidP="00400064">
    <w:pPr>
      <w:jc w:val="right"/>
      <w:rPr>
        <w:color w:val="F07E31"/>
        <w:sz w:val="18"/>
        <w:szCs w:val="18"/>
      </w:rPr>
    </w:pPr>
    <w:r>
      <w:rPr>
        <w:color w:val="F07E31"/>
        <w:sz w:val="18"/>
        <w:szCs w:val="18"/>
      </w:rPr>
      <w:t>Κατευθυντήριες γραμμές: Αξιολόγηση της καινοτομίας στο πλαίσιο των προγραμμάτων αγροτικής ανάπτυξης</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2EFF" w:rsidRPr="00C947BA" w:rsidRDefault="00272EFF" w:rsidP="00C947BA">
    <w:pPr>
      <w:jc w:val="right"/>
      <w:rPr>
        <w:color w:val="F07E31"/>
        <w:sz w:val="18"/>
        <w:szCs w:val="18"/>
      </w:rPr>
    </w:pPr>
    <w:r>
      <w:rPr>
        <w:color w:val="F07E31"/>
        <w:sz w:val="18"/>
        <w:szCs w:val="18"/>
      </w:rPr>
      <w:t>Κατευθυντήριες γραμμές: Αξιολόγηση της καινοτομίας στο πλαίσιο των προγραμμάτων αγροτικής ανάπτυξης</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2EFF" w:rsidRDefault="00272EFF" w:rsidP="00E165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2EFF" w:rsidRPr="0052778E" w:rsidRDefault="00272EFF" w:rsidP="00E16522">
    <w:pPr>
      <w:pStyle w:val="Header"/>
      <w:rPr>
        <w:sz w:val="24"/>
      </w:rPr>
    </w:pPr>
    <w:r>
      <w:tab/>
    </w:r>
  </w:p>
  <w:p w:rsidR="00272EFF" w:rsidRPr="0047590C" w:rsidRDefault="00272EFF" w:rsidP="00E16522">
    <w:pPr>
      <w:pStyle w:val="Header"/>
      <w:rPr>
        <w:color w:val="6F6F6F"/>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2EFF" w:rsidRDefault="00272EF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2EFF" w:rsidRPr="00656719" w:rsidRDefault="00272EFF" w:rsidP="00E16522">
    <w:pPr>
      <w:pStyle w:val="Header"/>
    </w:pPr>
    <w:r>
      <w:tab/>
    </w:r>
    <w:r>
      <w:t>Έγγραφο αναφοράς: Αξιολόγηση της καινοτομίας στο πλαίσιο των προγραμμάτων αγροτικής ανάπτυξης</w:t>
    </w:r>
  </w:p>
  <w:p w:rsidR="00272EFF" w:rsidRPr="002F229A" w:rsidRDefault="00272EFF" w:rsidP="00E16522">
    <w:pPr>
      <w:pStyle w:val="Header"/>
      <w:rPr>
        <w:sz w:val="24"/>
      </w:rPr>
    </w:pPr>
  </w:p>
  <w:p w:rsidR="00272EFF" w:rsidRPr="0047590C" w:rsidRDefault="00272EFF" w:rsidP="00E16522">
    <w:pPr>
      <w:pStyle w:val="Header"/>
      <w:rPr>
        <w:color w:val="6F6F6F"/>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840"/>
        </w:tabs>
        <w:ind w:left="840" w:hanging="964"/>
      </w:pPr>
      <w:rPr>
        <w:rFonts w:hint="default"/>
      </w:rPr>
    </w:lvl>
    <w:lvl w:ilvl="1" w:tplc="04070019" w:tentative="1">
      <w:start w:val="1"/>
      <w:numFmt w:val="lowerLetter"/>
      <w:lvlText w:val="%2."/>
      <w:lvlJc w:val="left"/>
      <w:pPr>
        <w:ind w:left="1316" w:hanging="360"/>
      </w:pPr>
    </w:lvl>
    <w:lvl w:ilvl="2" w:tplc="0407001B" w:tentative="1">
      <w:start w:val="1"/>
      <w:numFmt w:val="lowerRoman"/>
      <w:lvlText w:val="%3."/>
      <w:lvlJc w:val="right"/>
      <w:pPr>
        <w:ind w:left="2036" w:hanging="180"/>
      </w:pPr>
    </w:lvl>
    <w:lvl w:ilvl="3" w:tplc="0407000F" w:tentative="1">
      <w:start w:val="1"/>
      <w:numFmt w:val="decimal"/>
      <w:lvlText w:val="%4."/>
      <w:lvlJc w:val="left"/>
      <w:pPr>
        <w:ind w:left="2756" w:hanging="360"/>
      </w:pPr>
    </w:lvl>
    <w:lvl w:ilvl="4" w:tplc="04070019" w:tentative="1">
      <w:start w:val="1"/>
      <w:numFmt w:val="lowerLetter"/>
      <w:lvlText w:val="%5."/>
      <w:lvlJc w:val="left"/>
      <w:pPr>
        <w:ind w:left="3476" w:hanging="360"/>
      </w:pPr>
    </w:lvl>
    <w:lvl w:ilvl="5" w:tplc="0407001B" w:tentative="1">
      <w:start w:val="1"/>
      <w:numFmt w:val="lowerRoman"/>
      <w:lvlText w:val="%6."/>
      <w:lvlJc w:val="right"/>
      <w:pPr>
        <w:ind w:left="4196" w:hanging="180"/>
      </w:pPr>
    </w:lvl>
    <w:lvl w:ilvl="6" w:tplc="0407000F" w:tentative="1">
      <w:start w:val="1"/>
      <w:numFmt w:val="decimal"/>
      <w:lvlText w:val="%7."/>
      <w:lvlJc w:val="left"/>
      <w:pPr>
        <w:ind w:left="4916" w:hanging="360"/>
      </w:pPr>
    </w:lvl>
    <w:lvl w:ilvl="7" w:tplc="04070019" w:tentative="1">
      <w:start w:val="1"/>
      <w:numFmt w:val="lowerLetter"/>
      <w:lvlText w:val="%8."/>
      <w:lvlJc w:val="left"/>
      <w:pPr>
        <w:ind w:left="5636" w:hanging="360"/>
      </w:pPr>
    </w:lvl>
    <w:lvl w:ilvl="8" w:tplc="0407001B" w:tentative="1">
      <w:start w:val="1"/>
      <w:numFmt w:val="lowerRoman"/>
      <w:lvlText w:val="%9."/>
      <w:lvlJc w:val="right"/>
      <w:pPr>
        <w:ind w:left="6356" w:hanging="180"/>
      </w:pPr>
    </w:lvl>
  </w:abstractNum>
  <w:abstractNum w:abstractNumId="1" w15:restartNumberingAfterBreak="0">
    <w:nsid w:val="02E366AC"/>
    <w:multiLevelType w:val="multilevel"/>
    <w:tmpl w:val="2068AE4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434EAD"/>
    <w:multiLevelType w:val="multilevel"/>
    <w:tmpl w:val="9998C6BA"/>
    <w:lvl w:ilvl="0">
      <w:start w:val="1"/>
      <w:numFmt w:val="decimal"/>
      <w:pStyle w:val="HHeading1"/>
      <w:lvlText w:val="%1."/>
      <w:lvlJc w:val="left"/>
      <w:pPr>
        <w:ind w:left="720" w:hanging="360"/>
      </w:pPr>
      <w:rPr>
        <w:rFonts w:ascii="Arial" w:hAnsi="Arial" w:hint="default"/>
        <w:color w:val="F07E31"/>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0B5324"/>
    <w:multiLevelType w:val="hybridMultilevel"/>
    <w:tmpl w:val="BDD4FD1A"/>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A066D"/>
    <w:multiLevelType w:val="hybridMultilevel"/>
    <w:tmpl w:val="67F0D85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35275F"/>
    <w:multiLevelType w:val="multilevel"/>
    <w:tmpl w:val="080C0025"/>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4722D3A"/>
    <w:multiLevelType w:val="multilevel"/>
    <w:tmpl w:val="A5CAE128"/>
    <w:lvl w:ilvl="0">
      <w:start w:val="1"/>
      <w:numFmt w:val="decimal"/>
      <w:lvlText w:val="%1"/>
      <w:lvlJc w:val="left"/>
      <w:pPr>
        <w:ind w:left="444" w:hanging="444"/>
      </w:pPr>
      <w:rPr>
        <w:rFonts w:hint="default"/>
        <w:color w:val="F07E31"/>
      </w:rPr>
    </w:lvl>
    <w:lvl w:ilvl="1">
      <w:start w:val="2"/>
      <w:numFmt w:val="decimal"/>
      <w:lvlText w:val="%1.%2"/>
      <w:lvlJc w:val="left"/>
      <w:pPr>
        <w:ind w:left="444" w:hanging="444"/>
      </w:pPr>
      <w:rPr>
        <w:rFonts w:hint="default"/>
        <w:color w:val="F07E31"/>
      </w:rPr>
    </w:lvl>
    <w:lvl w:ilvl="2">
      <w:start w:val="2"/>
      <w:numFmt w:val="decimal"/>
      <w:lvlText w:val="%1.%2.%3"/>
      <w:lvlJc w:val="left"/>
      <w:pPr>
        <w:ind w:left="720" w:hanging="720"/>
      </w:pPr>
      <w:rPr>
        <w:rFonts w:hint="default"/>
        <w:color w:val="F07E31"/>
      </w:rPr>
    </w:lvl>
    <w:lvl w:ilvl="3">
      <w:start w:val="1"/>
      <w:numFmt w:val="decimal"/>
      <w:lvlText w:val="%1.%2.%3.%4"/>
      <w:lvlJc w:val="left"/>
      <w:pPr>
        <w:ind w:left="720" w:hanging="720"/>
      </w:pPr>
      <w:rPr>
        <w:rFonts w:hint="default"/>
        <w:color w:val="F07E31"/>
      </w:rPr>
    </w:lvl>
    <w:lvl w:ilvl="4">
      <w:start w:val="1"/>
      <w:numFmt w:val="decimal"/>
      <w:lvlText w:val="%1.%2.%3.%4.%5"/>
      <w:lvlJc w:val="left"/>
      <w:pPr>
        <w:ind w:left="1080" w:hanging="1080"/>
      </w:pPr>
      <w:rPr>
        <w:rFonts w:hint="default"/>
        <w:color w:val="F07E31"/>
      </w:rPr>
    </w:lvl>
    <w:lvl w:ilvl="5">
      <w:start w:val="1"/>
      <w:numFmt w:val="decimal"/>
      <w:lvlText w:val="%1.%2.%3.%4.%5.%6"/>
      <w:lvlJc w:val="left"/>
      <w:pPr>
        <w:ind w:left="1080" w:hanging="1080"/>
      </w:pPr>
      <w:rPr>
        <w:rFonts w:hint="default"/>
        <w:color w:val="F07E31"/>
      </w:rPr>
    </w:lvl>
    <w:lvl w:ilvl="6">
      <w:start w:val="1"/>
      <w:numFmt w:val="decimal"/>
      <w:lvlText w:val="%1.%2.%3.%4.%5.%6.%7"/>
      <w:lvlJc w:val="left"/>
      <w:pPr>
        <w:ind w:left="1440" w:hanging="1440"/>
      </w:pPr>
      <w:rPr>
        <w:rFonts w:hint="default"/>
        <w:color w:val="F07E31"/>
      </w:rPr>
    </w:lvl>
    <w:lvl w:ilvl="7">
      <w:start w:val="1"/>
      <w:numFmt w:val="decimal"/>
      <w:lvlText w:val="%1.%2.%3.%4.%5.%6.%7.%8"/>
      <w:lvlJc w:val="left"/>
      <w:pPr>
        <w:ind w:left="1440" w:hanging="1440"/>
      </w:pPr>
      <w:rPr>
        <w:rFonts w:hint="default"/>
        <w:color w:val="F07E31"/>
      </w:rPr>
    </w:lvl>
    <w:lvl w:ilvl="8">
      <w:start w:val="1"/>
      <w:numFmt w:val="decimal"/>
      <w:lvlText w:val="%1.%2.%3.%4.%5.%6.%7.%8.%9"/>
      <w:lvlJc w:val="left"/>
      <w:pPr>
        <w:ind w:left="1800" w:hanging="1800"/>
      </w:pPr>
      <w:rPr>
        <w:rFonts w:hint="default"/>
        <w:color w:val="F07E31"/>
      </w:rPr>
    </w:lvl>
  </w:abstractNum>
  <w:abstractNum w:abstractNumId="7" w15:restartNumberingAfterBreak="0">
    <w:nsid w:val="06257611"/>
    <w:multiLevelType w:val="hybridMultilevel"/>
    <w:tmpl w:val="58EEF89A"/>
    <w:lvl w:ilvl="0" w:tplc="19F88068">
      <w:start w:val="1"/>
      <w:numFmt w:val="bullet"/>
      <w:lvlText w:val=""/>
      <w:lvlJc w:val="left"/>
      <w:pPr>
        <w:ind w:left="720" w:hanging="360"/>
      </w:pPr>
      <w:rPr>
        <w:rFonts w:ascii="Symbol" w:hAnsi="Symbol" w:hint="default"/>
        <w:b w:val="0"/>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EB648B"/>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9787D25"/>
    <w:multiLevelType w:val="hybridMultilevel"/>
    <w:tmpl w:val="7DB4D96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B544734"/>
    <w:multiLevelType w:val="hybridMultilevel"/>
    <w:tmpl w:val="B426A1C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754C06"/>
    <w:multiLevelType w:val="multilevel"/>
    <w:tmpl w:val="21E6DD94"/>
    <w:lvl w:ilvl="0">
      <w:start w:val="1"/>
      <w:numFmt w:val="decimal"/>
      <w:lvlText w:val="%1"/>
      <w:lvlJc w:val="left"/>
      <w:pPr>
        <w:ind w:left="432" w:hanging="432"/>
      </w:pPr>
      <w:rPr>
        <w:rFonts w:hint="default"/>
        <w:color w:val="F07E31"/>
        <w:sz w:val="24"/>
      </w:r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E422253"/>
    <w:multiLevelType w:val="hybridMultilevel"/>
    <w:tmpl w:val="26AE3D9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577D94"/>
    <w:multiLevelType w:val="multilevel"/>
    <w:tmpl w:val="B8C4BBDE"/>
    <w:lvl w:ilvl="0">
      <w:start w:val="1"/>
      <w:numFmt w:val="decimal"/>
      <w:lvlText w:val="%1."/>
      <w:lvlJc w:val="left"/>
      <w:pPr>
        <w:ind w:left="720" w:hanging="360"/>
      </w:pPr>
    </w:lvl>
    <w:lvl w:ilvl="1">
      <w:start w:val="1"/>
      <w:numFmt w:val="decimal"/>
      <w:isLgl/>
      <w:lvlText w:val="%1.%2"/>
      <w:lvlJc w:val="left"/>
      <w:pPr>
        <w:ind w:left="720" w:hanging="360"/>
      </w:pPr>
      <w:rPr>
        <w:rFonts w:ascii="Helvetica" w:hAnsi="Helvetica" w:cs="Times New Roman" w:hint="default"/>
      </w:rPr>
    </w:lvl>
    <w:lvl w:ilvl="2">
      <w:start w:val="1"/>
      <w:numFmt w:val="decimal"/>
      <w:isLgl/>
      <w:lvlText w:val="%1.%2.%3"/>
      <w:lvlJc w:val="left"/>
      <w:pPr>
        <w:ind w:left="1080" w:hanging="720"/>
      </w:pPr>
      <w:rPr>
        <w:rFonts w:ascii="Helvetica" w:hAnsi="Helvetica" w:cs="Times New Roman" w:hint="default"/>
      </w:rPr>
    </w:lvl>
    <w:lvl w:ilvl="3">
      <w:start w:val="1"/>
      <w:numFmt w:val="decimal"/>
      <w:isLgl/>
      <w:lvlText w:val="%1.%2.%3.%4"/>
      <w:lvlJc w:val="left"/>
      <w:pPr>
        <w:ind w:left="1080" w:hanging="720"/>
      </w:pPr>
      <w:rPr>
        <w:rFonts w:ascii="Helvetica" w:hAnsi="Helvetica" w:cs="Times New Roman" w:hint="default"/>
      </w:rPr>
    </w:lvl>
    <w:lvl w:ilvl="4">
      <w:start w:val="1"/>
      <w:numFmt w:val="decimal"/>
      <w:isLgl/>
      <w:lvlText w:val="%1.%2.%3.%4.%5"/>
      <w:lvlJc w:val="left"/>
      <w:pPr>
        <w:ind w:left="1440" w:hanging="1080"/>
      </w:pPr>
      <w:rPr>
        <w:rFonts w:ascii="Helvetica" w:hAnsi="Helvetica" w:cs="Times New Roman" w:hint="default"/>
      </w:rPr>
    </w:lvl>
    <w:lvl w:ilvl="5">
      <w:start w:val="1"/>
      <w:numFmt w:val="decimal"/>
      <w:isLgl/>
      <w:lvlText w:val="%1.%2.%3.%4.%5.%6"/>
      <w:lvlJc w:val="left"/>
      <w:pPr>
        <w:ind w:left="1440" w:hanging="1080"/>
      </w:pPr>
      <w:rPr>
        <w:rFonts w:ascii="Helvetica" w:hAnsi="Helvetica" w:cs="Times New Roman" w:hint="default"/>
      </w:rPr>
    </w:lvl>
    <w:lvl w:ilvl="6">
      <w:start w:val="1"/>
      <w:numFmt w:val="decimal"/>
      <w:isLgl/>
      <w:lvlText w:val="%1.%2.%3.%4.%5.%6.%7"/>
      <w:lvlJc w:val="left"/>
      <w:pPr>
        <w:ind w:left="1800" w:hanging="1440"/>
      </w:pPr>
      <w:rPr>
        <w:rFonts w:ascii="Helvetica" w:hAnsi="Helvetica" w:cs="Times New Roman" w:hint="default"/>
      </w:rPr>
    </w:lvl>
    <w:lvl w:ilvl="7">
      <w:start w:val="1"/>
      <w:numFmt w:val="decimal"/>
      <w:isLgl/>
      <w:lvlText w:val="%1.%2.%3.%4.%5.%6.%7.%8"/>
      <w:lvlJc w:val="left"/>
      <w:pPr>
        <w:ind w:left="1800" w:hanging="1440"/>
      </w:pPr>
      <w:rPr>
        <w:rFonts w:ascii="Helvetica" w:hAnsi="Helvetica" w:cs="Times New Roman" w:hint="default"/>
      </w:rPr>
    </w:lvl>
    <w:lvl w:ilvl="8">
      <w:start w:val="1"/>
      <w:numFmt w:val="decimal"/>
      <w:isLgl/>
      <w:lvlText w:val="%1.%2.%3.%4.%5.%6.%7.%8.%9"/>
      <w:lvlJc w:val="left"/>
      <w:pPr>
        <w:ind w:left="2160" w:hanging="1800"/>
      </w:pPr>
      <w:rPr>
        <w:rFonts w:ascii="Helvetica" w:hAnsi="Helvetica" w:cs="Times New Roman" w:hint="default"/>
      </w:rPr>
    </w:lvl>
  </w:abstractNum>
  <w:abstractNum w:abstractNumId="15" w15:restartNumberingAfterBreak="0">
    <w:nsid w:val="1133744B"/>
    <w:multiLevelType w:val="hybridMultilevel"/>
    <w:tmpl w:val="6438561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731114"/>
    <w:multiLevelType w:val="hybridMultilevel"/>
    <w:tmpl w:val="B4FCCAE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FF6F19"/>
    <w:multiLevelType w:val="multilevel"/>
    <w:tmpl w:val="F96673BE"/>
    <w:lvl w:ilvl="0">
      <w:start w:val="1"/>
      <w:numFmt w:val="decimal"/>
      <w:lvlText w:val="%1."/>
      <w:lvlJc w:val="left"/>
      <w:pPr>
        <w:ind w:left="720" w:hanging="360"/>
      </w:pPr>
      <w:rPr>
        <w:rFonts w:hint="default"/>
      </w:rPr>
    </w:lvl>
    <w:lvl w:ilvl="1">
      <w:start w:val="4"/>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144314C7"/>
    <w:multiLevelType w:val="hybridMultilevel"/>
    <w:tmpl w:val="B2E2356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967DD2"/>
    <w:multiLevelType w:val="hybridMultilevel"/>
    <w:tmpl w:val="1586027E"/>
    <w:lvl w:ilvl="0" w:tplc="E96ED2EA">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22" w15:restartNumberingAfterBreak="0">
    <w:nsid w:val="167A77B0"/>
    <w:multiLevelType w:val="hybridMultilevel"/>
    <w:tmpl w:val="0D8AA23A"/>
    <w:lvl w:ilvl="0" w:tplc="19F88068">
      <w:start w:val="1"/>
      <w:numFmt w:val="bullet"/>
      <w:lvlText w:val=""/>
      <w:lvlJc w:val="left"/>
      <w:pPr>
        <w:ind w:left="720" w:hanging="360"/>
      </w:pPr>
      <w:rPr>
        <w:rFonts w:ascii="Symbol" w:hAnsi="Symbol" w:hint="default"/>
        <w:b w:val="0"/>
        <w:color w:val="57825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84C4892"/>
    <w:multiLevelType w:val="hybridMultilevel"/>
    <w:tmpl w:val="BBF06EE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89956A0"/>
    <w:multiLevelType w:val="hybridMultilevel"/>
    <w:tmpl w:val="075CAC38"/>
    <w:lvl w:ilvl="0" w:tplc="19F88068">
      <w:start w:val="1"/>
      <w:numFmt w:val="bullet"/>
      <w:lvlText w:val=""/>
      <w:lvlJc w:val="left"/>
      <w:pPr>
        <w:ind w:left="720" w:hanging="360"/>
      </w:pPr>
      <w:rPr>
        <w:rFonts w:ascii="Symbol" w:hAnsi="Symbol" w:hint="default"/>
        <w:b w:val="0"/>
        <w:color w:val="57825E"/>
      </w:rPr>
    </w:lvl>
    <w:lvl w:ilvl="1" w:tplc="815C4ED2">
      <w:start w:val="1"/>
      <w:numFmt w:val="bullet"/>
      <w:lvlText w:val="o"/>
      <w:lvlJc w:val="left"/>
      <w:pPr>
        <w:ind w:left="1069" w:hanging="360"/>
      </w:pPr>
      <w:rPr>
        <w:rFonts w:ascii="Courier New" w:hAnsi="Courier New" w:cs="Courier New" w:hint="default"/>
        <w:color w:val="F07E31"/>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9A46A7C"/>
    <w:multiLevelType w:val="hybridMultilevel"/>
    <w:tmpl w:val="D2F8EEE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49295C"/>
    <w:multiLevelType w:val="hybridMultilevel"/>
    <w:tmpl w:val="586CBF1C"/>
    <w:lvl w:ilvl="0" w:tplc="1756B346">
      <w:start w:val="1"/>
      <w:numFmt w:val="lowerLetter"/>
      <w:lvlText w:val="%1)"/>
      <w:lvlJc w:val="left"/>
      <w:pPr>
        <w:ind w:left="720" w:hanging="360"/>
      </w:pPr>
      <w:rPr>
        <w:rFonts w:ascii="Arial" w:hAnsi="Arial" w:cs="Aria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1BC16E8F"/>
    <w:multiLevelType w:val="hybridMultilevel"/>
    <w:tmpl w:val="50BCC1DE"/>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1C122640"/>
    <w:multiLevelType w:val="hybridMultilevel"/>
    <w:tmpl w:val="D8061F8E"/>
    <w:lvl w:ilvl="0" w:tplc="D676FD1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FFC000"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1DFC7981"/>
    <w:multiLevelType w:val="multilevel"/>
    <w:tmpl w:val="6DB8B70A"/>
    <w:lvl w:ilvl="0">
      <w:start w:val="1"/>
      <w:numFmt w:val="decimal"/>
      <w:lvlText w:val="%1"/>
      <w:lvlJc w:val="left"/>
      <w:pPr>
        <w:ind w:left="432" w:hanging="432"/>
      </w:p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209659D1"/>
    <w:multiLevelType w:val="hybridMultilevel"/>
    <w:tmpl w:val="065A176A"/>
    <w:styleLink w:val="MaListe11"/>
    <w:lvl w:ilvl="0" w:tplc="3CF4E314">
      <w:numFmt w:val="bullet"/>
      <w:lvlText w:val="-"/>
      <w:lvlJc w:val="left"/>
      <w:pPr>
        <w:ind w:left="360" w:hanging="360"/>
      </w:pPr>
      <w:rPr>
        <w:rFonts w:ascii="Arial" w:eastAsia="Times New Roman" w:hAnsi="Arial" w:cs="Arial" w:hint="default"/>
        <w:color w:val="373737"/>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253E7F11"/>
    <w:multiLevelType w:val="hybridMultilevel"/>
    <w:tmpl w:val="B5588146"/>
    <w:lvl w:ilvl="0" w:tplc="32DC940A">
      <w:start w:val="1"/>
      <w:numFmt w:val="upp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3" w15:restartNumberingAfterBreak="0">
    <w:nsid w:val="25BB2DAE"/>
    <w:multiLevelType w:val="hybridMultilevel"/>
    <w:tmpl w:val="2E5E2F7C"/>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6624918"/>
    <w:multiLevelType w:val="hybridMultilevel"/>
    <w:tmpl w:val="28CC8C46"/>
    <w:lvl w:ilvl="0" w:tplc="D682C35C">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704C1E"/>
    <w:multiLevelType w:val="hybridMultilevel"/>
    <w:tmpl w:val="DD103524"/>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000000"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7465188"/>
    <w:multiLevelType w:val="hybridMultilevel"/>
    <w:tmpl w:val="FFAE6D38"/>
    <w:styleLink w:val="MaListe2"/>
    <w:lvl w:ilvl="0" w:tplc="EC10AAAC">
      <w:start w:val="1"/>
      <w:numFmt w:val="bullet"/>
      <w:lvlText w:val=""/>
      <w:lvlJc w:val="left"/>
      <w:pPr>
        <w:ind w:left="360" w:hanging="360"/>
      </w:pPr>
      <w:rPr>
        <w:rFonts w:ascii="Symbol" w:hAnsi="Symbol"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86A11E0"/>
    <w:multiLevelType w:val="hybridMultilevel"/>
    <w:tmpl w:val="A516C7C8"/>
    <w:lvl w:ilvl="0" w:tplc="19F88068">
      <w:start w:val="1"/>
      <w:numFmt w:val="bullet"/>
      <w:lvlText w:val=""/>
      <w:lvlJc w:val="left"/>
      <w:pPr>
        <w:ind w:left="928" w:hanging="360"/>
      </w:pPr>
      <w:rPr>
        <w:rFonts w:ascii="Symbol" w:hAnsi="Symbol" w:hint="default"/>
        <w:b w:val="0"/>
        <w:color w:val="57825E"/>
      </w:rPr>
    </w:lvl>
    <w:lvl w:ilvl="1" w:tplc="041B0003" w:tentative="1">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40" w15:restartNumberingAfterBreak="0">
    <w:nsid w:val="2894707C"/>
    <w:multiLevelType w:val="hybridMultilevel"/>
    <w:tmpl w:val="376ED63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B3D77C8"/>
    <w:multiLevelType w:val="hybridMultilevel"/>
    <w:tmpl w:val="5D5AC50E"/>
    <w:lvl w:ilvl="0" w:tplc="451CA430">
      <w:start w:val="1"/>
      <w:numFmt w:val="bullet"/>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2E1F1718"/>
    <w:multiLevelType w:val="multilevel"/>
    <w:tmpl w:val="9E6E523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2F837949"/>
    <w:multiLevelType w:val="hybridMultilevel"/>
    <w:tmpl w:val="7A5EC86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08C2F18"/>
    <w:multiLevelType w:val="hybridMultilevel"/>
    <w:tmpl w:val="5D4A425A"/>
    <w:lvl w:ilvl="0" w:tplc="FC4A4DC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10547BD"/>
    <w:multiLevelType w:val="hybridMultilevel"/>
    <w:tmpl w:val="5628C4EC"/>
    <w:styleLink w:val="MaListe1"/>
    <w:lvl w:ilvl="0" w:tplc="222EA85A">
      <w:start w:val="1"/>
      <w:numFmt w:val="decimal"/>
      <w:pStyle w:val="HHeadingfigures"/>
      <w:lvlText w:val="Figure %1."/>
      <w:lvlJc w:val="left"/>
      <w:pPr>
        <w:tabs>
          <w:tab w:val="num" w:pos="964"/>
        </w:tabs>
        <w:ind w:left="964" w:hanging="964"/>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31AA784A"/>
    <w:multiLevelType w:val="hybridMultilevel"/>
    <w:tmpl w:val="73A0446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1ED1ACE"/>
    <w:multiLevelType w:val="hybridMultilevel"/>
    <w:tmpl w:val="CD6645CA"/>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38D68EF"/>
    <w:multiLevelType w:val="hybridMultilevel"/>
    <w:tmpl w:val="D58C00F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39508B9"/>
    <w:multiLevelType w:val="hybridMultilevel"/>
    <w:tmpl w:val="93EC56A0"/>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3E063E2"/>
    <w:multiLevelType w:val="hybridMultilevel"/>
    <w:tmpl w:val="353CA438"/>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4864613"/>
    <w:multiLevelType w:val="hybridMultilevel"/>
    <w:tmpl w:val="2ABCF642"/>
    <w:lvl w:ilvl="0" w:tplc="D242DF38">
      <w:start w:val="1"/>
      <w:numFmt w:val="decimal"/>
      <w:pStyle w:val="Subtitle"/>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2" w15:restartNumberingAfterBreak="0">
    <w:nsid w:val="35820841"/>
    <w:multiLevelType w:val="hybridMultilevel"/>
    <w:tmpl w:val="E6C224AE"/>
    <w:lvl w:ilvl="0" w:tplc="6C72EFDA">
      <w:start w:val="1"/>
      <mc:AlternateContent>
        <mc:Choice Requires="w14">
          <w:numFmt w:val="custom" w:format="Α, Β, Γ, ..."/>
        </mc:Choice>
        <mc:Fallback>
          <w:numFmt w:val="decimal"/>
        </mc:Fallback>
      </mc:AlternateContent>
      <w:lvlText w:val="%1."/>
      <w:lvlJc w:val="left"/>
      <w:pPr>
        <w:ind w:left="720" w:hanging="360"/>
      </w:pPr>
      <w:rPr>
        <w:rFonts w:hint="default"/>
        <w:b/>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35B17A51"/>
    <w:multiLevelType w:val="hybridMultilevel"/>
    <w:tmpl w:val="B5260C7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B97E50"/>
    <w:multiLevelType w:val="hybridMultilevel"/>
    <w:tmpl w:val="B53AFBD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38F839AF"/>
    <w:multiLevelType w:val="hybridMultilevel"/>
    <w:tmpl w:val="93325672"/>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3B9D32B5"/>
    <w:multiLevelType w:val="hybridMultilevel"/>
    <w:tmpl w:val="55D2D8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1018AE8C">
      <w:start w:val="1"/>
      <w:numFmt w:val="bullet"/>
      <w:lvlText w:val="o"/>
      <w:lvlJc w:val="left"/>
      <w:pPr>
        <w:ind w:left="1211" w:hanging="360"/>
      </w:pPr>
      <w:rPr>
        <w:rFonts w:ascii="Courier New" w:hAnsi="Courier New" w:hint="default"/>
        <w:b w:val="0"/>
        <w:color w:val="6F6F6F"/>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BBC6932"/>
    <w:multiLevelType w:val="hybridMultilevel"/>
    <w:tmpl w:val="A32A14BE"/>
    <w:lvl w:ilvl="0" w:tplc="58228422">
      <w:start w:val="1"/>
      <w:numFmt w:val="bullet"/>
      <w:pStyle w:val="Hlistbullet"/>
      <w:lvlText w:val=""/>
      <w:lvlJc w:val="left"/>
      <w:pPr>
        <w:ind w:left="644"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E4069F6"/>
    <w:multiLevelType w:val="hybridMultilevel"/>
    <w:tmpl w:val="9A58CBF8"/>
    <w:lvl w:ilvl="0" w:tplc="080C000F">
      <w:start w:val="1"/>
      <w:numFmt w:val="decimal"/>
      <w:lvlText w:val="%1."/>
      <w:lvlJc w:val="left"/>
      <w:pPr>
        <w:tabs>
          <w:tab w:val="num" w:pos="644"/>
        </w:tabs>
        <w:ind w:left="567"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E8777F1"/>
    <w:multiLevelType w:val="hybridMultilevel"/>
    <w:tmpl w:val="7B8418E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FE60C9C"/>
    <w:multiLevelType w:val="hybridMultilevel"/>
    <w:tmpl w:val="C614772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0DB5C2A"/>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41133071"/>
    <w:multiLevelType w:val="hybridMultilevel"/>
    <w:tmpl w:val="8AA2E132"/>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42A74F4C"/>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43A72027"/>
    <w:multiLevelType w:val="hybridMultilevel"/>
    <w:tmpl w:val="362EE966"/>
    <w:lvl w:ilvl="0" w:tplc="AC0495B6">
      <w:start w:val="1"/>
      <w:numFmt w:val="decimal"/>
      <w:pStyle w:val="HHeadingtables"/>
      <w:lvlText w:val="Table %1."/>
      <w:lvlJc w:val="left"/>
      <w:pPr>
        <w:ind w:left="600" w:hanging="360"/>
      </w:pPr>
      <w:rPr>
        <w:rFonts w:ascii="Arial" w:hAnsi="Arial" w:cs="Times New Roman" w:hint="default"/>
        <w:b/>
        <w:bCs w:val="0"/>
        <w:i w:val="0"/>
        <w:iCs w:val="0"/>
        <w:caps w:val="0"/>
        <w:smallCaps w:val="0"/>
        <w:strike w:val="0"/>
        <w:dstrike w:val="0"/>
        <w:outline w:val="0"/>
        <w:shadow w:val="0"/>
        <w:emboss w:val="0"/>
        <w:imprint w:val="0"/>
        <w:noProof w:val="0"/>
        <w:vanish w:val="0"/>
        <w:color w:val="6F6F6F"/>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680" w:hanging="360"/>
      </w:pPr>
    </w:lvl>
    <w:lvl w:ilvl="2" w:tplc="0407001B" w:tentative="1">
      <w:start w:val="1"/>
      <w:numFmt w:val="lowerRoman"/>
      <w:lvlText w:val="%3."/>
      <w:lvlJc w:val="right"/>
      <w:pPr>
        <w:ind w:left="2400" w:hanging="180"/>
      </w:pPr>
    </w:lvl>
    <w:lvl w:ilvl="3" w:tplc="0407000F" w:tentative="1">
      <w:start w:val="1"/>
      <w:numFmt w:val="decimal"/>
      <w:lvlText w:val="%4."/>
      <w:lvlJc w:val="left"/>
      <w:pPr>
        <w:ind w:left="3120" w:hanging="360"/>
      </w:pPr>
    </w:lvl>
    <w:lvl w:ilvl="4" w:tplc="04070019" w:tentative="1">
      <w:start w:val="1"/>
      <w:numFmt w:val="lowerLetter"/>
      <w:lvlText w:val="%5."/>
      <w:lvlJc w:val="left"/>
      <w:pPr>
        <w:ind w:left="3840" w:hanging="360"/>
      </w:pPr>
    </w:lvl>
    <w:lvl w:ilvl="5" w:tplc="0407001B" w:tentative="1">
      <w:start w:val="1"/>
      <w:numFmt w:val="lowerRoman"/>
      <w:lvlText w:val="%6."/>
      <w:lvlJc w:val="right"/>
      <w:pPr>
        <w:ind w:left="4560" w:hanging="180"/>
      </w:pPr>
    </w:lvl>
    <w:lvl w:ilvl="6" w:tplc="0407000F" w:tentative="1">
      <w:start w:val="1"/>
      <w:numFmt w:val="decimal"/>
      <w:lvlText w:val="%7."/>
      <w:lvlJc w:val="left"/>
      <w:pPr>
        <w:ind w:left="5280" w:hanging="360"/>
      </w:pPr>
    </w:lvl>
    <w:lvl w:ilvl="7" w:tplc="04070019" w:tentative="1">
      <w:start w:val="1"/>
      <w:numFmt w:val="lowerLetter"/>
      <w:lvlText w:val="%8."/>
      <w:lvlJc w:val="left"/>
      <w:pPr>
        <w:ind w:left="6000" w:hanging="360"/>
      </w:pPr>
    </w:lvl>
    <w:lvl w:ilvl="8" w:tplc="0407001B" w:tentative="1">
      <w:start w:val="1"/>
      <w:numFmt w:val="lowerRoman"/>
      <w:lvlText w:val="%9."/>
      <w:lvlJc w:val="right"/>
      <w:pPr>
        <w:ind w:left="6720" w:hanging="180"/>
      </w:pPr>
    </w:lvl>
  </w:abstractNum>
  <w:abstractNum w:abstractNumId="65" w15:restartNumberingAfterBreak="0">
    <w:nsid w:val="440E0359"/>
    <w:multiLevelType w:val="hybridMultilevel"/>
    <w:tmpl w:val="5AD0635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46D44EA"/>
    <w:multiLevelType w:val="hybridMultilevel"/>
    <w:tmpl w:val="C306574C"/>
    <w:lvl w:ilvl="0" w:tplc="9ACAE082">
      <w:start w:val="1"/>
      <w:numFmt w:val="bullet"/>
      <w:lvlText w:val=""/>
      <w:lvlJc w:val="left"/>
      <w:pPr>
        <w:ind w:left="720" w:hanging="360"/>
      </w:pPr>
      <w:rPr>
        <w:rFonts w:ascii="Symbol" w:hAnsi="Symbol" w:hint="default"/>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45C7219B"/>
    <w:multiLevelType w:val="hybridMultilevel"/>
    <w:tmpl w:val="056C6044"/>
    <w:lvl w:ilvl="0" w:tplc="19F88068">
      <w:start w:val="1"/>
      <w:numFmt w:val="bullet"/>
      <w:lvlText w:val=""/>
      <w:lvlJc w:val="left"/>
      <w:pPr>
        <w:ind w:left="233" w:hanging="360"/>
      </w:pPr>
      <w:rPr>
        <w:rFonts w:ascii="Symbol" w:hAnsi="Symbol" w:hint="default"/>
        <w:b w:val="0"/>
        <w:color w:val="57825E"/>
      </w:rPr>
    </w:lvl>
    <w:lvl w:ilvl="1" w:tplc="0C0A0003">
      <w:start w:val="1"/>
      <w:numFmt w:val="bullet"/>
      <w:lvlText w:val="o"/>
      <w:lvlJc w:val="left"/>
      <w:pPr>
        <w:ind w:left="1029" w:hanging="360"/>
      </w:pPr>
      <w:rPr>
        <w:rFonts w:ascii="Courier New" w:hAnsi="Courier New" w:cs="Courier New" w:hint="default"/>
      </w:rPr>
    </w:lvl>
    <w:lvl w:ilvl="2" w:tplc="0C0A0005" w:tentative="1">
      <w:start w:val="1"/>
      <w:numFmt w:val="bullet"/>
      <w:lvlText w:val=""/>
      <w:lvlJc w:val="left"/>
      <w:pPr>
        <w:ind w:left="1749" w:hanging="360"/>
      </w:pPr>
      <w:rPr>
        <w:rFonts w:ascii="Wingdings" w:hAnsi="Wingdings" w:hint="default"/>
      </w:rPr>
    </w:lvl>
    <w:lvl w:ilvl="3" w:tplc="0C0A0001" w:tentative="1">
      <w:start w:val="1"/>
      <w:numFmt w:val="bullet"/>
      <w:lvlText w:val=""/>
      <w:lvlJc w:val="left"/>
      <w:pPr>
        <w:ind w:left="2469" w:hanging="360"/>
      </w:pPr>
      <w:rPr>
        <w:rFonts w:ascii="Symbol" w:hAnsi="Symbol" w:hint="default"/>
      </w:rPr>
    </w:lvl>
    <w:lvl w:ilvl="4" w:tplc="0C0A0003" w:tentative="1">
      <w:start w:val="1"/>
      <w:numFmt w:val="bullet"/>
      <w:lvlText w:val="o"/>
      <w:lvlJc w:val="left"/>
      <w:pPr>
        <w:ind w:left="3189" w:hanging="360"/>
      </w:pPr>
      <w:rPr>
        <w:rFonts w:ascii="Courier New" w:hAnsi="Courier New" w:cs="Courier New" w:hint="default"/>
      </w:rPr>
    </w:lvl>
    <w:lvl w:ilvl="5" w:tplc="0C0A0005" w:tentative="1">
      <w:start w:val="1"/>
      <w:numFmt w:val="bullet"/>
      <w:lvlText w:val=""/>
      <w:lvlJc w:val="left"/>
      <w:pPr>
        <w:ind w:left="3909" w:hanging="360"/>
      </w:pPr>
      <w:rPr>
        <w:rFonts w:ascii="Wingdings" w:hAnsi="Wingdings" w:hint="default"/>
      </w:rPr>
    </w:lvl>
    <w:lvl w:ilvl="6" w:tplc="0C0A0001" w:tentative="1">
      <w:start w:val="1"/>
      <w:numFmt w:val="bullet"/>
      <w:lvlText w:val=""/>
      <w:lvlJc w:val="left"/>
      <w:pPr>
        <w:ind w:left="4629" w:hanging="360"/>
      </w:pPr>
      <w:rPr>
        <w:rFonts w:ascii="Symbol" w:hAnsi="Symbol" w:hint="default"/>
      </w:rPr>
    </w:lvl>
    <w:lvl w:ilvl="7" w:tplc="0C0A0003" w:tentative="1">
      <w:start w:val="1"/>
      <w:numFmt w:val="bullet"/>
      <w:lvlText w:val="o"/>
      <w:lvlJc w:val="left"/>
      <w:pPr>
        <w:ind w:left="5349" w:hanging="360"/>
      </w:pPr>
      <w:rPr>
        <w:rFonts w:ascii="Courier New" w:hAnsi="Courier New" w:cs="Courier New" w:hint="default"/>
      </w:rPr>
    </w:lvl>
    <w:lvl w:ilvl="8" w:tplc="0C0A0005" w:tentative="1">
      <w:start w:val="1"/>
      <w:numFmt w:val="bullet"/>
      <w:lvlText w:val=""/>
      <w:lvlJc w:val="left"/>
      <w:pPr>
        <w:ind w:left="6069" w:hanging="360"/>
      </w:pPr>
      <w:rPr>
        <w:rFonts w:ascii="Wingdings" w:hAnsi="Wingdings" w:hint="default"/>
      </w:rPr>
    </w:lvl>
  </w:abstractNum>
  <w:abstractNum w:abstractNumId="68" w15:restartNumberingAfterBreak="0">
    <w:nsid w:val="47321CEC"/>
    <w:multiLevelType w:val="hybridMultilevel"/>
    <w:tmpl w:val="67A48DD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7486776"/>
    <w:multiLevelType w:val="hybridMultilevel"/>
    <w:tmpl w:val="E6D404F4"/>
    <w:styleLink w:val="1111111"/>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7F8294A"/>
    <w:multiLevelType w:val="hybridMultilevel"/>
    <w:tmpl w:val="C256F138"/>
    <w:lvl w:ilvl="0" w:tplc="080C000F">
      <w:start w:val="1"/>
      <w:numFmt w:val="decimal"/>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49224E69"/>
    <w:multiLevelType w:val="hybridMultilevel"/>
    <w:tmpl w:val="6998647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4A990DBB"/>
    <w:multiLevelType w:val="hybridMultilevel"/>
    <w:tmpl w:val="2BACE0C6"/>
    <w:lvl w:ilvl="0" w:tplc="8B1EA1A2">
      <w:start w:val="2"/>
      <w:numFmt w:val="decimal"/>
      <w:lvlText w:val="Figure %1"/>
      <w:lvlJc w:val="left"/>
      <w:pPr>
        <w:ind w:left="360"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73" w15:restartNumberingAfterBreak="0">
    <w:nsid w:val="4C06418D"/>
    <w:multiLevelType w:val="hybridMultilevel"/>
    <w:tmpl w:val="092C4B7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C663347"/>
    <w:multiLevelType w:val="hybridMultilevel"/>
    <w:tmpl w:val="35F8E64E"/>
    <w:lvl w:ilvl="0" w:tplc="9FF4DBA8">
      <w:start w:val="1"/>
      <w:numFmt w:val="bullet"/>
      <w:pStyle w:val="Hlistbullet2"/>
      <w:lvlText w:val="o"/>
      <w:lvlJc w:val="left"/>
      <w:pPr>
        <w:ind w:left="927" w:hanging="360"/>
      </w:pPr>
      <w:rPr>
        <w:rFonts w:ascii="Courier New" w:hAnsi="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E666CB3"/>
    <w:multiLevelType w:val="hybridMultilevel"/>
    <w:tmpl w:val="C88642F4"/>
    <w:lvl w:ilvl="0" w:tplc="04F8FAD0">
      <w:start w:val="1"/>
      <w:numFmt w:val="bullet"/>
      <w:lvlText w:val=""/>
      <w:lvlJc w:val="left"/>
      <w:pPr>
        <w:ind w:left="720" w:hanging="360"/>
      </w:pPr>
      <w:rPr>
        <w:rFonts w:ascii="Symbol" w:hAnsi="Symbol" w:hint="default"/>
        <w:color w:val="57825E"/>
      </w:rPr>
    </w:lvl>
    <w:lvl w:ilvl="1" w:tplc="1BBC3D0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3B45F1E"/>
    <w:multiLevelType w:val="hybridMultilevel"/>
    <w:tmpl w:val="7496236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3B9325D"/>
    <w:multiLevelType w:val="hybridMultilevel"/>
    <w:tmpl w:val="3F7CF02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49766DA"/>
    <w:multiLevelType w:val="hybridMultilevel"/>
    <w:tmpl w:val="2BD858C0"/>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15:restartNumberingAfterBreak="0">
    <w:nsid w:val="54A9135C"/>
    <w:multiLevelType w:val="hybridMultilevel"/>
    <w:tmpl w:val="FC12F41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4BD0BEC"/>
    <w:multiLevelType w:val="singleLevel"/>
    <w:tmpl w:val="72D6F376"/>
    <w:lvl w:ilvl="0">
      <w:numFmt w:val="decimal"/>
      <w:lvlText w:val=""/>
      <w:lvlJc w:val="left"/>
    </w:lvl>
  </w:abstractNum>
  <w:abstractNum w:abstractNumId="81" w15:restartNumberingAfterBreak="0">
    <w:nsid w:val="54E945CD"/>
    <w:multiLevelType w:val="hybridMultilevel"/>
    <w:tmpl w:val="1D92E8BE"/>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502047D"/>
    <w:multiLevelType w:val="hybridMultilevel"/>
    <w:tmpl w:val="AEC89BBC"/>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54873BA"/>
    <w:multiLevelType w:val="hybridMultilevel"/>
    <w:tmpl w:val="C9D69012"/>
    <w:lvl w:ilvl="0" w:tplc="D370F804">
      <w:start w:val="1"/>
      <w:numFmt w:val="bullet"/>
      <w:lvlText w:val=""/>
      <w:lvlJc w:val="left"/>
      <w:pPr>
        <w:ind w:left="786"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70E03BF"/>
    <w:multiLevelType w:val="hybridMultilevel"/>
    <w:tmpl w:val="D428C23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800382B"/>
    <w:multiLevelType w:val="hybridMultilevel"/>
    <w:tmpl w:val="10D8A58A"/>
    <w:lvl w:ilvl="0" w:tplc="9DFAE80C">
      <w:start w:val="1"/>
      <w:numFmt w:val="decimal"/>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86" w15:restartNumberingAfterBreak="0">
    <w:nsid w:val="58B972A6"/>
    <w:multiLevelType w:val="multilevel"/>
    <w:tmpl w:val="97A0497A"/>
    <w:lvl w:ilvl="0">
      <w:start w:val="1"/>
      <w:numFmt w:val="decimal"/>
      <w:lvlText w:val="%1"/>
      <w:lvlJc w:val="left"/>
      <w:pPr>
        <w:tabs>
          <w:tab w:val="num" w:pos="474"/>
        </w:tabs>
        <w:ind w:left="262" w:hanging="148"/>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7" w15:restartNumberingAfterBreak="0">
    <w:nsid w:val="596C4FB4"/>
    <w:multiLevelType w:val="hybridMultilevel"/>
    <w:tmpl w:val="0E006A16"/>
    <w:lvl w:ilvl="0" w:tplc="3DC41A04">
      <w:start w:val="1"/>
      <w:numFmt w:val="bullet"/>
      <w:lvlText w:val="o"/>
      <w:lvlJc w:val="left"/>
      <w:pPr>
        <w:ind w:left="1346" w:hanging="360"/>
      </w:pPr>
      <w:rPr>
        <w:rFonts w:ascii="Courier New" w:hAnsi="Courier New" w:hint="default"/>
        <w:color w:val="6F6F6F"/>
      </w:rPr>
    </w:lvl>
    <w:lvl w:ilvl="1" w:tplc="041B0003" w:tentative="1">
      <w:start w:val="1"/>
      <w:numFmt w:val="bullet"/>
      <w:lvlText w:val="o"/>
      <w:lvlJc w:val="left"/>
      <w:pPr>
        <w:ind w:left="2066" w:hanging="360"/>
      </w:pPr>
      <w:rPr>
        <w:rFonts w:ascii="Courier New" w:hAnsi="Courier New" w:cs="Courier New" w:hint="default"/>
      </w:rPr>
    </w:lvl>
    <w:lvl w:ilvl="2" w:tplc="041B0005" w:tentative="1">
      <w:start w:val="1"/>
      <w:numFmt w:val="bullet"/>
      <w:lvlText w:val=""/>
      <w:lvlJc w:val="left"/>
      <w:pPr>
        <w:ind w:left="2786" w:hanging="360"/>
      </w:pPr>
      <w:rPr>
        <w:rFonts w:ascii="Wingdings" w:hAnsi="Wingdings" w:hint="default"/>
      </w:rPr>
    </w:lvl>
    <w:lvl w:ilvl="3" w:tplc="041B0001" w:tentative="1">
      <w:start w:val="1"/>
      <w:numFmt w:val="bullet"/>
      <w:lvlText w:val=""/>
      <w:lvlJc w:val="left"/>
      <w:pPr>
        <w:ind w:left="3506" w:hanging="360"/>
      </w:pPr>
      <w:rPr>
        <w:rFonts w:ascii="Symbol" w:hAnsi="Symbol" w:hint="default"/>
      </w:rPr>
    </w:lvl>
    <w:lvl w:ilvl="4" w:tplc="041B0003" w:tentative="1">
      <w:start w:val="1"/>
      <w:numFmt w:val="bullet"/>
      <w:lvlText w:val="o"/>
      <w:lvlJc w:val="left"/>
      <w:pPr>
        <w:ind w:left="4226" w:hanging="360"/>
      </w:pPr>
      <w:rPr>
        <w:rFonts w:ascii="Courier New" w:hAnsi="Courier New" w:cs="Courier New" w:hint="default"/>
      </w:rPr>
    </w:lvl>
    <w:lvl w:ilvl="5" w:tplc="041B0005" w:tentative="1">
      <w:start w:val="1"/>
      <w:numFmt w:val="bullet"/>
      <w:lvlText w:val=""/>
      <w:lvlJc w:val="left"/>
      <w:pPr>
        <w:ind w:left="4946" w:hanging="360"/>
      </w:pPr>
      <w:rPr>
        <w:rFonts w:ascii="Wingdings" w:hAnsi="Wingdings" w:hint="default"/>
      </w:rPr>
    </w:lvl>
    <w:lvl w:ilvl="6" w:tplc="041B0001" w:tentative="1">
      <w:start w:val="1"/>
      <w:numFmt w:val="bullet"/>
      <w:lvlText w:val=""/>
      <w:lvlJc w:val="left"/>
      <w:pPr>
        <w:ind w:left="5666" w:hanging="360"/>
      </w:pPr>
      <w:rPr>
        <w:rFonts w:ascii="Symbol" w:hAnsi="Symbol" w:hint="default"/>
      </w:rPr>
    </w:lvl>
    <w:lvl w:ilvl="7" w:tplc="041B0003" w:tentative="1">
      <w:start w:val="1"/>
      <w:numFmt w:val="bullet"/>
      <w:lvlText w:val="o"/>
      <w:lvlJc w:val="left"/>
      <w:pPr>
        <w:ind w:left="6386" w:hanging="360"/>
      </w:pPr>
      <w:rPr>
        <w:rFonts w:ascii="Courier New" w:hAnsi="Courier New" w:cs="Courier New" w:hint="default"/>
      </w:rPr>
    </w:lvl>
    <w:lvl w:ilvl="8" w:tplc="041B0005" w:tentative="1">
      <w:start w:val="1"/>
      <w:numFmt w:val="bullet"/>
      <w:lvlText w:val=""/>
      <w:lvlJc w:val="left"/>
      <w:pPr>
        <w:ind w:left="7106" w:hanging="360"/>
      </w:pPr>
      <w:rPr>
        <w:rFonts w:ascii="Wingdings" w:hAnsi="Wingdings" w:hint="default"/>
      </w:rPr>
    </w:lvl>
  </w:abstractNum>
  <w:abstractNum w:abstractNumId="88" w15:restartNumberingAfterBreak="0">
    <w:nsid w:val="5B534780"/>
    <w:multiLevelType w:val="hybridMultilevel"/>
    <w:tmpl w:val="6B143708"/>
    <w:lvl w:ilvl="0" w:tplc="856277F8">
      <w:start w:val="1"/>
      <w:numFmt w:val="bullet"/>
      <w:lvlText w:val=""/>
      <w:lvlJc w:val="left"/>
      <w:pPr>
        <w:ind w:left="720" w:hanging="360"/>
      </w:pPr>
      <w:rPr>
        <w:rFonts w:ascii="Symbol" w:hAnsi="Symbol" w:hint="default"/>
        <w:color w:val="57825E"/>
        <w:sz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5B94771E"/>
    <w:multiLevelType w:val="hybridMultilevel"/>
    <w:tmpl w:val="F4A049B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BB74C2B"/>
    <w:multiLevelType w:val="hybridMultilevel"/>
    <w:tmpl w:val="972E6AD0"/>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D7E6AE3"/>
    <w:multiLevelType w:val="hybridMultilevel"/>
    <w:tmpl w:val="A1164C12"/>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F79730C"/>
    <w:multiLevelType w:val="hybridMultilevel"/>
    <w:tmpl w:val="F9D6390A"/>
    <w:lvl w:ilvl="0" w:tplc="0E4CE200">
      <w:start w:val="1"/>
      <w:numFmt w:val="decimal"/>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15:restartNumberingAfterBreak="0">
    <w:nsid w:val="60D46F84"/>
    <w:multiLevelType w:val="hybridMultilevel"/>
    <w:tmpl w:val="FA229D98"/>
    <w:lvl w:ilvl="0" w:tplc="19F88068">
      <w:start w:val="1"/>
      <w:numFmt w:val="bullet"/>
      <w:lvlText w:val=""/>
      <w:lvlJc w:val="left"/>
      <w:pPr>
        <w:ind w:left="720" w:hanging="360"/>
      </w:pPr>
      <w:rPr>
        <w:rFonts w:ascii="Symbol" w:hAnsi="Symbol" w:hint="default"/>
        <w:b w:val="0"/>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60E6226F"/>
    <w:multiLevelType w:val="hybridMultilevel"/>
    <w:tmpl w:val="12D03418"/>
    <w:lvl w:ilvl="0" w:tplc="D370F804">
      <w:start w:val="1"/>
      <w:numFmt w:val="bullet"/>
      <w:lvlText w:val=""/>
      <w:lvlJc w:val="left"/>
      <w:pPr>
        <w:ind w:left="720" w:hanging="360"/>
      </w:pPr>
      <w:rPr>
        <w:rFonts w:ascii="Symbol" w:hAnsi="Symbol" w:hint="default"/>
        <w:color w:val="57825E"/>
      </w:rPr>
    </w:lvl>
    <w:lvl w:ilvl="1" w:tplc="8E2A8284">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0E86B2F"/>
    <w:multiLevelType w:val="hybridMultilevel"/>
    <w:tmpl w:val="4DC62D2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0F5675E"/>
    <w:multiLevelType w:val="hybridMultilevel"/>
    <w:tmpl w:val="CE2AA926"/>
    <w:lvl w:ilvl="0" w:tplc="9620B144">
      <w:start w:val="1"/>
      <w:numFmt w:val="decimal"/>
      <w:lvlText w:val="Figure %1."/>
      <w:lvlJc w:val="left"/>
      <w:pPr>
        <w:ind w:left="720" w:hanging="720"/>
      </w:pPr>
      <w:rPr>
        <w:rFonts w:ascii="Arial" w:hAnsi="Arial" w:cs="Arial" w:hint="default"/>
        <w:sz w:val="18"/>
        <w:szCs w:val="1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7" w15:restartNumberingAfterBreak="0">
    <w:nsid w:val="614B4869"/>
    <w:multiLevelType w:val="hybridMultilevel"/>
    <w:tmpl w:val="94D06336"/>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5C0517A"/>
    <w:multiLevelType w:val="hybridMultilevel"/>
    <w:tmpl w:val="DFE01904"/>
    <w:lvl w:ilvl="0" w:tplc="856277F8">
      <w:start w:val="1"/>
      <w:numFmt w:val="bullet"/>
      <w:lvlText w:val=""/>
      <w:lvlJc w:val="left"/>
      <w:pPr>
        <w:ind w:left="720" w:hanging="360"/>
      </w:pPr>
      <w:rPr>
        <w:rFonts w:ascii="Symbol" w:hAnsi="Symbol" w:hint="default"/>
        <w:b w:val="0"/>
        <w:color w:val="57825E"/>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5E42A7E"/>
    <w:multiLevelType w:val="hybridMultilevel"/>
    <w:tmpl w:val="9E92BDA6"/>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5E71B08"/>
    <w:multiLevelType w:val="hybridMultilevel"/>
    <w:tmpl w:val="500EB49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85A06D6"/>
    <w:multiLevelType w:val="hybridMultilevel"/>
    <w:tmpl w:val="74C2C470"/>
    <w:lvl w:ilvl="0" w:tplc="8F4488EC">
      <w:start w:val="1"/>
      <w:numFmt w:val="decimal"/>
      <w:lvlText w:val="3.1.%1."/>
      <w:lvlJc w:val="left"/>
      <w:pPr>
        <w:ind w:left="-351" w:hanging="360"/>
      </w:pPr>
      <w:rPr>
        <w:rFonts w:hint="default"/>
      </w:rPr>
    </w:lvl>
    <w:lvl w:ilvl="1" w:tplc="040C0019" w:tentative="1">
      <w:start w:val="1"/>
      <w:numFmt w:val="lowerLetter"/>
      <w:lvlText w:val="%2."/>
      <w:lvlJc w:val="left"/>
      <w:pPr>
        <w:ind w:left="369" w:hanging="360"/>
      </w:pPr>
    </w:lvl>
    <w:lvl w:ilvl="2" w:tplc="040C001B" w:tentative="1">
      <w:start w:val="1"/>
      <w:numFmt w:val="lowerRoman"/>
      <w:lvlText w:val="%3."/>
      <w:lvlJc w:val="right"/>
      <w:pPr>
        <w:ind w:left="1089" w:hanging="180"/>
      </w:pPr>
    </w:lvl>
    <w:lvl w:ilvl="3" w:tplc="040C000F" w:tentative="1">
      <w:start w:val="1"/>
      <w:numFmt w:val="decimal"/>
      <w:lvlText w:val="%4."/>
      <w:lvlJc w:val="left"/>
      <w:pPr>
        <w:ind w:left="1809" w:hanging="360"/>
      </w:pPr>
    </w:lvl>
    <w:lvl w:ilvl="4" w:tplc="040C0019" w:tentative="1">
      <w:start w:val="1"/>
      <w:numFmt w:val="lowerLetter"/>
      <w:lvlText w:val="%5."/>
      <w:lvlJc w:val="left"/>
      <w:pPr>
        <w:ind w:left="2529" w:hanging="360"/>
      </w:pPr>
    </w:lvl>
    <w:lvl w:ilvl="5" w:tplc="040C001B" w:tentative="1">
      <w:start w:val="1"/>
      <w:numFmt w:val="lowerRoman"/>
      <w:lvlText w:val="%6."/>
      <w:lvlJc w:val="right"/>
      <w:pPr>
        <w:ind w:left="3249" w:hanging="180"/>
      </w:pPr>
    </w:lvl>
    <w:lvl w:ilvl="6" w:tplc="040C000F" w:tentative="1">
      <w:start w:val="1"/>
      <w:numFmt w:val="decimal"/>
      <w:lvlText w:val="%7."/>
      <w:lvlJc w:val="left"/>
      <w:pPr>
        <w:ind w:left="3969" w:hanging="360"/>
      </w:pPr>
    </w:lvl>
    <w:lvl w:ilvl="7" w:tplc="040C0019" w:tentative="1">
      <w:start w:val="1"/>
      <w:numFmt w:val="lowerLetter"/>
      <w:lvlText w:val="%8."/>
      <w:lvlJc w:val="left"/>
      <w:pPr>
        <w:ind w:left="4689" w:hanging="360"/>
      </w:pPr>
    </w:lvl>
    <w:lvl w:ilvl="8" w:tplc="040C001B" w:tentative="1">
      <w:start w:val="1"/>
      <w:numFmt w:val="lowerRoman"/>
      <w:lvlText w:val="%9."/>
      <w:lvlJc w:val="right"/>
      <w:pPr>
        <w:ind w:left="5409" w:hanging="180"/>
      </w:pPr>
    </w:lvl>
  </w:abstractNum>
  <w:abstractNum w:abstractNumId="102"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3" w15:restartNumberingAfterBreak="0">
    <w:nsid w:val="6A8414DE"/>
    <w:multiLevelType w:val="hybridMultilevel"/>
    <w:tmpl w:val="42EA82F8"/>
    <w:lvl w:ilvl="0" w:tplc="04F8FAD0">
      <w:start w:val="1"/>
      <w:numFmt w:val="bullet"/>
      <w:lvlText w:val=""/>
      <w:lvlJc w:val="left"/>
      <w:pPr>
        <w:ind w:left="720" w:hanging="360"/>
      </w:pPr>
      <w:rPr>
        <w:rFonts w:ascii="Symbol" w:hAnsi="Symbol" w:hint="default"/>
        <w:color w:val="57825E"/>
      </w:rPr>
    </w:lvl>
    <w:lvl w:ilvl="1" w:tplc="C6727AD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AF80D1A"/>
    <w:multiLevelType w:val="hybridMultilevel"/>
    <w:tmpl w:val="C3063384"/>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6B8649F6"/>
    <w:multiLevelType w:val="hybridMultilevel"/>
    <w:tmpl w:val="3DA2C9EA"/>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EB7292D"/>
    <w:multiLevelType w:val="hybridMultilevel"/>
    <w:tmpl w:val="40EAC38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70400FB1"/>
    <w:multiLevelType w:val="hybridMultilevel"/>
    <w:tmpl w:val="221E570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10476E0"/>
    <w:multiLevelType w:val="hybridMultilevel"/>
    <w:tmpl w:val="E078F38C"/>
    <w:lvl w:ilvl="0" w:tplc="056C506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15049D7"/>
    <w:multiLevelType w:val="hybridMultilevel"/>
    <w:tmpl w:val="E11C8244"/>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3E31B34"/>
    <w:multiLevelType w:val="hybridMultilevel"/>
    <w:tmpl w:val="BAEA5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19F88068">
      <w:start w:val="1"/>
      <w:numFmt w:val="bullet"/>
      <w:lvlText w:val=""/>
      <w:lvlJc w:val="left"/>
      <w:pPr>
        <w:ind w:left="644" w:hanging="360"/>
      </w:pPr>
      <w:rPr>
        <w:rFonts w:ascii="Symbol" w:hAnsi="Symbol" w:hint="default"/>
        <w:b w:val="0"/>
        <w:color w:val="57825E"/>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4DA29D5"/>
    <w:multiLevelType w:val="hybridMultilevel"/>
    <w:tmpl w:val="363622A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54F2AD8"/>
    <w:multiLevelType w:val="hybridMultilevel"/>
    <w:tmpl w:val="C14AB89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5B27B66"/>
    <w:multiLevelType w:val="hybridMultilevel"/>
    <w:tmpl w:val="A7FC041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73A35E5"/>
    <w:multiLevelType w:val="hybridMultilevel"/>
    <w:tmpl w:val="81725234"/>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95D33D3"/>
    <w:multiLevelType w:val="multilevel"/>
    <w:tmpl w:val="4C5A8196"/>
    <w:lvl w:ilvl="0">
      <w:start w:val="1"/>
      <w:numFmt w:val="decimal"/>
      <w:lvlText w:val="%1"/>
      <w:lvlJc w:val="left"/>
      <w:pPr>
        <w:tabs>
          <w:tab w:val="num" w:pos="474"/>
        </w:tabs>
        <w:ind w:left="262" w:hanging="148"/>
      </w:pPr>
      <w:rPr>
        <w:rFonts w:hint="default"/>
      </w:rPr>
    </w:lvl>
    <w:lvl w:ilvl="1">
      <w:start w:val="1"/>
      <w:numFmt w:val="decimal"/>
      <w:pStyle w:val="HHeading2"/>
      <w:lvlText w:val="%1.%2"/>
      <w:lvlJc w:val="left"/>
      <w:pPr>
        <w:tabs>
          <w:tab w:val="num" w:pos="567"/>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116" w15:restartNumberingAfterBreak="0">
    <w:nsid w:val="7B803FCC"/>
    <w:multiLevelType w:val="hybridMultilevel"/>
    <w:tmpl w:val="5156C62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C257008"/>
    <w:multiLevelType w:val="hybridMultilevel"/>
    <w:tmpl w:val="5B1A4896"/>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C3303CD"/>
    <w:multiLevelType w:val="hybridMultilevel"/>
    <w:tmpl w:val="DBC83430"/>
    <w:lvl w:ilvl="0" w:tplc="19F88068">
      <w:start w:val="1"/>
      <w:numFmt w:val="bullet"/>
      <w:lvlText w:val=""/>
      <w:lvlJc w:val="left"/>
      <w:pPr>
        <w:ind w:left="720" w:hanging="360"/>
      </w:pPr>
      <w:rPr>
        <w:rFonts w:ascii="Symbol" w:hAnsi="Symbol" w:hint="default"/>
        <w:b w:val="0"/>
        <w:color w:val="57825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E752836"/>
    <w:multiLevelType w:val="hybridMultilevel"/>
    <w:tmpl w:val="0FC8E3A2"/>
    <w:lvl w:ilvl="0" w:tplc="7A1AAC92">
      <w:start w:val="1"/>
      <w:numFmt w:val="bullet"/>
      <w:pStyle w:val="Htablebullet"/>
      <w:lvlText w:val=""/>
      <w:lvlJc w:val="left"/>
      <w:pPr>
        <w:ind w:left="360" w:hanging="360"/>
      </w:pPr>
      <w:rPr>
        <w:rFonts w:ascii="Symbol" w:hAnsi="Symbol" w:hint="default"/>
        <w:color w:val="57825E"/>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57"/>
  </w:num>
  <w:num w:numId="3">
    <w:abstractNumId w:val="70"/>
  </w:num>
  <w:num w:numId="4">
    <w:abstractNumId w:val="36"/>
  </w:num>
  <w:num w:numId="5">
    <w:abstractNumId w:val="119"/>
  </w:num>
  <w:num w:numId="6">
    <w:abstractNumId w:val="115"/>
  </w:num>
  <w:num w:numId="7">
    <w:abstractNumId w:val="64"/>
  </w:num>
  <w:num w:numId="8">
    <w:abstractNumId w:val="45"/>
    <w:lvlOverride w:ilvl="0">
      <w:lvl w:ilvl="0" w:tplc="222EA85A">
        <w:start w:val="1"/>
        <w:numFmt w:val="decimal"/>
        <w:pStyle w:val="HHeadingfigures"/>
        <w:lvlText w:val="Figure %1."/>
        <w:lvlJc w:val="left"/>
        <w:pPr>
          <w:ind w:left="964" w:hanging="360"/>
        </w:pPr>
        <w:rPr>
          <w:rFonts w:ascii="Arial" w:hAnsi="Arial" w:hint="default"/>
          <w:b/>
          <w:bCs w:val="0"/>
          <w:i w:val="0"/>
          <w:iCs w:val="0"/>
          <w:caps w:val="0"/>
          <w:strike w:val="0"/>
          <w:dstrike w:val="0"/>
          <w:outline w:val="0"/>
          <w:shadow w:val="0"/>
          <w:emboss w:val="0"/>
          <w:imprint w:val="0"/>
          <w:vanish w:val="0"/>
          <w:color w:val="373737"/>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tplc="04070019" w:tentative="1">
        <w:start w:val="1"/>
        <w:numFmt w:val="lowerLetter"/>
        <w:lvlText w:val="%2."/>
        <w:lvlJc w:val="left"/>
        <w:pPr>
          <w:ind w:left="1684" w:hanging="360"/>
        </w:pPr>
      </w:lvl>
    </w:lvlOverride>
    <w:lvlOverride w:ilvl="2">
      <w:lvl w:ilvl="2" w:tplc="0407001B" w:tentative="1">
        <w:start w:val="1"/>
        <w:numFmt w:val="lowerRoman"/>
        <w:lvlText w:val="%3."/>
        <w:lvlJc w:val="right"/>
        <w:pPr>
          <w:ind w:left="2404" w:hanging="180"/>
        </w:pPr>
      </w:lvl>
    </w:lvlOverride>
    <w:lvlOverride w:ilvl="3">
      <w:lvl w:ilvl="3" w:tplc="0407000F" w:tentative="1">
        <w:start w:val="1"/>
        <w:numFmt w:val="decimal"/>
        <w:lvlText w:val="%4."/>
        <w:lvlJc w:val="left"/>
        <w:pPr>
          <w:ind w:left="3124" w:hanging="360"/>
        </w:pPr>
      </w:lvl>
    </w:lvlOverride>
    <w:lvlOverride w:ilvl="4">
      <w:lvl w:ilvl="4" w:tplc="04070019" w:tentative="1">
        <w:start w:val="1"/>
        <w:numFmt w:val="lowerLetter"/>
        <w:lvlText w:val="%5."/>
        <w:lvlJc w:val="left"/>
        <w:pPr>
          <w:ind w:left="3844" w:hanging="360"/>
        </w:pPr>
      </w:lvl>
    </w:lvlOverride>
    <w:lvlOverride w:ilvl="5">
      <w:lvl w:ilvl="5" w:tplc="0407001B" w:tentative="1">
        <w:start w:val="1"/>
        <w:numFmt w:val="lowerRoman"/>
        <w:lvlText w:val="%6."/>
        <w:lvlJc w:val="right"/>
        <w:pPr>
          <w:ind w:left="4564" w:hanging="180"/>
        </w:pPr>
      </w:lvl>
    </w:lvlOverride>
    <w:lvlOverride w:ilvl="6">
      <w:lvl w:ilvl="6" w:tplc="0407000F" w:tentative="1">
        <w:start w:val="1"/>
        <w:numFmt w:val="decimal"/>
        <w:lvlText w:val="%7."/>
        <w:lvlJc w:val="left"/>
        <w:pPr>
          <w:ind w:left="5284" w:hanging="360"/>
        </w:pPr>
      </w:lvl>
    </w:lvlOverride>
    <w:lvlOverride w:ilvl="7">
      <w:lvl w:ilvl="7" w:tplc="04070019" w:tentative="1">
        <w:start w:val="1"/>
        <w:numFmt w:val="lowerLetter"/>
        <w:lvlText w:val="%8."/>
        <w:lvlJc w:val="left"/>
        <w:pPr>
          <w:ind w:left="6004" w:hanging="360"/>
        </w:pPr>
      </w:lvl>
    </w:lvlOverride>
    <w:lvlOverride w:ilvl="8">
      <w:lvl w:ilvl="8" w:tplc="0407001B" w:tentative="1">
        <w:start w:val="1"/>
        <w:numFmt w:val="lowerRoman"/>
        <w:lvlText w:val="%9."/>
        <w:lvlJc w:val="right"/>
        <w:pPr>
          <w:ind w:left="6724" w:hanging="180"/>
        </w:pPr>
      </w:lvl>
    </w:lvlOverride>
  </w:num>
  <w:num w:numId="9">
    <w:abstractNumId w:val="10"/>
  </w:num>
  <w:num w:numId="10">
    <w:abstractNumId w:val="0"/>
  </w:num>
  <w:num w:numId="11">
    <w:abstractNumId w:val="29"/>
  </w:num>
  <w:num w:numId="12">
    <w:abstractNumId w:val="74"/>
  </w:num>
  <w:num w:numId="13">
    <w:abstractNumId w:val="37"/>
  </w:num>
  <w:num w:numId="14">
    <w:abstractNumId w:val="41"/>
  </w:num>
  <w:num w:numId="15">
    <w:abstractNumId w:val="38"/>
  </w:num>
  <w:num w:numId="16">
    <w:abstractNumId w:val="67"/>
  </w:num>
  <w:num w:numId="17">
    <w:abstractNumId w:val="55"/>
  </w:num>
  <w:num w:numId="18">
    <w:abstractNumId w:val="98"/>
  </w:num>
  <w:num w:numId="19">
    <w:abstractNumId w:val="106"/>
  </w:num>
  <w:num w:numId="20">
    <w:abstractNumId w:val="22"/>
  </w:num>
  <w:num w:numId="21">
    <w:abstractNumId w:val="24"/>
  </w:num>
  <w:num w:numId="22">
    <w:abstractNumId w:val="97"/>
  </w:num>
  <w:num w:numId="23">
    <w:abstractNumId w:val="69"/>
  </w:num>
  <w:num w:numId="24">
    <w:abstractNumId w:val="39"/>
  </w:num>
  <w:num w:numId="25">
    <w:abstractNumId w:val="42"/>
  </w:num>
  <w:num w:numId="26">
    <w:abstractNumId w:val="62"/>
  </w:num>
  <w:num w:numId="27">
    <w:abstractNumId w:val="14"/>
  </w:num>
  <w:num w:numId="28">
    <w:abstractNumId w:val="50"/>
  </w:num>
  <w:num w:numId="29">
    <w:abstractNumId w:val="118"/>
  </w:num>
  <w:num w:numId="30">
    <w:abstractNumId w:val="18"/>
  </w:num>
  <w:num w:numId="31">
    <w:abstractNumId w:val="80"/>
  </w:num>
  <w:num w:numId="32">
    <w:abstractNumId w:val="72"/>
  </w:num>
  <w:num w:numId="33">
    <w:abstractNumId w:val="51"/>
  </w:num>
  <w:num w:numId="34">
    <w:abstractNumId w:val="43"/>
  </w:num>
  <w:num w:numId="35">
    <w:abstractNumId w:val="92"/>
  </w:num>
  <w:num w:numId="36">
    <w:abstractNumId w:val="26"/>
  </w:num>
  <w:num w:numId="37">
    <w:abstractNumId w:val="102"/>
  </w:num>
  <w:num w:numId="38">
    <w:abstractNumId w:val="96"/>
  </w:num>
  <w:num w:numId="39">
    <w:abstractNumId w:val="85"/>
  </w:num>
  <w:num w:numId="40">
    <w:abstractNumId w:val="93"/>
  </w:num>
  <w:num w:numId="41">
    <w:abstractNumId w:val="52"/>
  </w:num>
  <w:num w:numId="42">
    <w:abstractNumId w:val="101"/>
  </w:num>
  <w:num w:numId="43">
    <w:abstractNumId w:val="110"/>
  </w:num>
  <w:num w:numId="44">
    <w:abstractNumId w:val="56"/>
  </w:num>
  <w:num w:numId="45">
    <w:abstractNumId w:val="32"/>
  </w:num>
  <w:num w:numId="46">
    <w:abstractNumId w:val="71"/>
  </w:num>
  <w:num w:numId="47">
    <w:abstractNumId w:val="31"/>
  </w:num>
  <w:num w:numId="48">
    <w:abstractNumId w:val="87"/>
  </w:num>
  <w:num w:numId="49">
    <w:abstractNumId w:val="66"/>
  </w:num>
  <w:num w:numId="50">
    <w:abstractNumId w:val="109"/>
  </w:num>
  <w:num w:numId="51">
    <w:abstractNumId w:val="28"/>
  </w:num>
  <w:num w:numId="52">
    <w:abstractNumId w:val="17"/>
  </w:num>
  <w:num w:numId="53">
    <w:abstractNumId w:val="54"/>
  </w:num>
  <w:num w:numId="54">
    <w:abstractNumId w:val="104"/>
  </w:num>
  <w:num w:numId="55">
    <w:abstractNumId w:val="84"/>
  </w:num>
  <w:num w:numId="56">
    <w:abstractNumId w:val="47"/>
  </w:num>
  <w:num w:numId="57">
    <w:abstractNumId w:val="78"/>
  </w:num>
  <w:num w:numId="58">
    <w:abstractNumId w:val="27"/>
  </w:num>
  <w:num w:numId="59">
    <w:abstractNumId w:val="99"/>
  </w:num>
  <w:num w:numId="60">
    <w:abstractNumId w:val="23"/>
  </w:num>
  <w:num w:numId="61">
    <w:abstractNumId w:val="77"/>
  </w:num>
  <w:num w:numId="62">
    <w:abstractNumId w:val="79"/>
  </w:num>
  <w:num w:numId="63">
    <w:abstractNumId w:val="88"/>
  </w:num>
  <w:num w:numId="64">
    <w:abstractNumId w:val="46"/>
  </w:num>
  <w:num w:numId="65">
    <w:abstractNumId w:val="35"/>
  </w:num>
  <w:num w:numId="66">
    <w:abstractNumId w:val="117"/>
  </w:num>
  <w:num w:numId="67">
    <w:abstractNumId w:val="116"/>
  </w:num>
  <w:num w:numId="68">
    <w:abstractNumId w:val="107"/>
  </w:num>
  <w:num w:numId="69">
    <w:abstractNumId w:val="65"/>
  </w:num>
  <w:num w:numId="70">
    <w:abstractNumId w:val="112"/>
  </w:num>
  <w:num w:numId="71">
    <w:abstractNumId w:val="33"/>
  </w:num>
  <w:num w:numId="72">
    <w:abstractNumId w:val="94"/>
  </w:num>
  <w:num w:numId="73">
    <w:abstractNumId w:val="68"/>
  </w:num>
  <w:num w:numId="74">
    <w:abstractNumId w:val="25"/>
  </w:num>
  <w:num w:numId="75">
    <w:abstractNumId w:val="111"/>
  </w:num>
  <w:num w:numId="76">
    <w:abstractNumId w:val="60"/>
  </w:num>
  <w:num w:numId="77">
    <w:abstractNumId w:val="83"/>
  </w:num>
  <w:num w:numId="78">
    <w:abstractNumId w:val="89"/>
  </w:num>
  <w:num w:numId="79">
    <w:abstractNumId w:val="105"/>
  </w:num>
  <w:num w:numId="80">
    <w:abstractNumId w:val="76"/>
  </w:num>
  <w:num w:numId="81">
    <w:abstractNumId w:val="100"/>
  </w:num>
  <w:num w:numId="82">
    <w:abstractNumId w:val="40"/>
  </w:num>
  <w:num w:numId="83">
    <w:abstractNumId w:val="90"/>
  </w:num>
  <w:num w:numId="84">
    <w:abstractNumId w:val="4"/>
  </w:num>
  <w:num w:numId="85">
    <w:abstractNumId w:val="91"/>
  </w:num>
  <w:num w:numId="86">
    <w:abstractNumId w:val="48"/>
  </w:num>
  <w:num w:numId="87">
    <w:abstractNumId w:val="59"/>
  </w:num>
  <w:num w:numId="88">
    <w:abstractNumId w:val="103"/>
  </w:num>
  <w:num w:numId="89">
    <w:abstractNumId w:val="13"/>
  </w:num>
  <w:num w:numId="90">
    <w:abstractNumId w:val="114"/>
  </w:num>
  <w:num w:numId="91">
    <w:abstractNumId w:val="9"/>
  </w:num>
  <w:num w:numId="92">
    <w:abstractNumId w:val="49"/>
  </w:num>
  <w:num w:numId="93">
    <w:abstractNumId w:val="16"/>
  </w:num>
  <w:num w:numId="94">
    <w:abstractNumId w:val="82"/>
  </w:num>
  <w:num w:numId="95">
    <w:abstractNumId w:val="113"/>
  </w:num>
  <w:num w:numId="96">
    <w:abstractNumId w:val="11"/>
  </w:num>
  <w:num w:numId="97">
    <w:abstractNumId w:val="73"/>
  </w:num>
  <w:num w:numId="98">
    <w:abstractNumId w:val="81"/>
  </w:num>
  <w:num w:numId="99">
    <w:abstractNumId w:val="75"/>
  </w:num>
  <w:num w:numId="100">
    <w:abstractNumId w:val="15"/>
  </w:num>
  <w:num w:numId="101">
    <w:abstractNumId w:val="53"/>
  </w:num>
  <w:num w:numId="102">
    <w:abstractNumId w:val="19"/>
  </w:num>
  <w:num w:numId="103">
    <w:abstractNumId w:val="95"/>
  </w:num>
  <w:num w:numId="104">
    <w:abstractNumId w:val="108"/>
  </w:num>
  <w:num w:numId="105">
    <w:abstractNumId w:val="34"/>
  </w:num>
  <w:num w:numId="106">
    <w:abstractNumId w:val="44"/>
  </w:num>
  <w:num w:numId="107">
    <w:abstractNumId w:val="20"/>
  </w:num>
  <w:num w:numId="108">
    <w:abstractNumId w:val="3"/>
  </w:num>
  <w:num w:numId="109">
    <w:abstractNumId w:val="45"/>
  </w:num>
  <w:num w:numId="110">
    <w:abstractNumId w:val="7"/>
  </w:num>
  <w:num w:numId="111">
    <w:abstractNumId w:val="5"/>
  </w:num>
  <w:num w:numId="112">
    <w:abstractNumId w:val="6"/>
  </w:num>
  <w:num w:numId="113">
    <w:abstractNumId w:val="12"/>
  </w:num>
  <w:num w:numId="114">
    <w:abstractNumId w:val="1"/>
  </w:num>
  <w:num w:numId="115">
    <w:abstractNumId w:val="30"/>
  </w:num>
  <w:num w:numId="116">
    <w:abstractNumId w:val="61"/>
  </w:num>
  <w:num w:numId="117">
    <w:abstractNumId w:val="8"/>
  </w:num>
  <w:num w:numId="118">
    <w:abstractNumId w:val="63"/>
  </w:num>
  <w:num w:numId="119">
    <w:abstractNumId w:val="2"/>
  </w:num>
  <w:num w:numId="120">
    <w:abstractNumId w:val="86"/>
  </w:num>
  <w:num w:numId="12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8"/>
  </w:num>
  <w:num w:numId="124">
    <w:abstractNumId w:val="2"/>
    <w:lvlOverride w:ilvl="0">
      <w:startOverride w:val="2"/>
    </w:lvlOverride>
    <w:lvlOverride w:ilvl="1">
      <w:startOverride w:val="4"/>
    </w:lvlOverride>
    <w:lvlOverride w:ilvl="2">
      <w:startOverride w:val="4"/>
    </w:lvlOverride>
  </w:num>
  <w:num w:numId="125">
    <w:abstractNumId w:val="2"/>
    <w:lvlOverride w:ilvl="0">
      <w:startOverride w:val="2"/>
    </w:lvlOverride>
    <w:lvlOverride w:ilvl="1">
      <w:startOverride w:val="4"/>
    </w:lvlOverride>
    <w:lvlOverride w:ilvl="2">
      <w:startOverride w:val="5"/>
    </w:lvlOverride>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E05D08"/>
    <w:rsid w:val="000026C6"/>
    <w:rsid w:val="00015AA7"/>
    <w:rsid w:val="00021844"/>
    <w:rsid w:val="00021A55"/>
    <w:rsid w:val="00022CA7"/>
    <w:rsid w:val="00027AF3"/>
    <w:rsid w:val="000324A5"/>
    <w:rsid w:val="0003360C"/>
    <w:rsid w:val="00036912"/>
    <w:rsid w:val="00037CA6"/>
    <w:rsid w:val="000520DE"/>
    <w:rsid w:val="00053109"/>
    <w:rsid w:val="00055039"/>
    <w:rsid w:val="000828C6"/>
    <w:rsid w:val="000A1399"/>
    <w:rsid w:val="000A14B3"/>
    <w:rsid w:val="000A1DD3"/>
    <w:rsid w:val="000A250D"/>
    <w:rsid w:val="000A307F"/>
    <w:rsid w:val="000A43B7"/>
    <w:rsid w:val="000A718F"/>
    <w:rsid w:val="000B1654"/>
    <w:rsid w:val="000B6304"/>
    <w:rsid w:val="000C3632"/>
    <w:rsid w:val="000D7245"/>
    <w:rsid w:val="000E0645"/>
    <w:rsid w:val="000E0FE4"/>
    <w:rsid w:val="000E1023"/>
    <w:rsid w:val="000E1934"/>
    <w:rsid w:val="000E1D4B"/>
    <w:rsid w:val="000E3675"/>
    <w:rsid w:val="000E5544"/>
    <w:rsid w:val="000F0497"/>
    <w:rsid w:val="000F0841"/>
    <w:rsid w:val="000F23A8"/>
    <w:rsid w:val="000F5985"/>
    <w:rsid w:val="00107FDD"/>
    <w:rsid w:val="00110179"/>
    <w:rsid w:val="00111ADE"/>
    <w:rsid w:val="001120E4"/>
    <w:rsid w:val="001126AE"/>
    <w:rsid w:val="00116EF8"/>
    <w:rsid w:val="001244F9"/>
    <w:rsid w:val="00125266"/>
    <w:rsid w:val="00125A5B"/>
    <w:rsid w:val="001275FF"/>
    <w:rsid w:val="00130EA0"/>
    <w:rsid w:val="001319A0"/>
    <w:rsid w:val="001327F5"/>
    <w:rsid w:val="0013321C"/>
    <w:rsid w:val="0013661C"/>
    <w:rsid w:val="001427A5"/>
    <w:rsid w:val="00142A64"/>
    <w:rsid w:val="00151D94"/>
    <w:rsid w:val="001524F5"/>
    <w:rsid w:val="00155E3F"/>
    <w:rsid w:val="00161D7E"/>
    <w:rsid w:val="00164489"/>
    <w:rsid w:val="00165BF1"/>
    <w:rsid w:val="001744D0"/>
    <w:rsid w:val="00177C4F"/>
    <w:rsid w:val="00183E9B"/>
    <w:rsid w:val="001865CA"/>
    <w:rsid w:val="0018705F"/>
    <w:rsid w:val="001954EB"/>
    <w:rsid w:val="001A12C3"/>
    <w:rsid w:val="001A184E"/>
    <w:rsid w:val="001A2952"/>
    <w:rsid w:val="001A2A93"/>
    <w:rsid w:val="001A2DEC"/>
    <w:rsid w:val="001A2FEC"/>
    <w:rsid w:val="001A6C7C"/>
    <w:rsid w:val="001A7B15"/>
    <w:rsid w:val="001B58A1"/>
    <w:rsid w:val="001C039D"/>
    <w:rsid w:val="001C03A3"/>
    <w:rsid w:val="001C2BF5"/>
    <w:rsid w:val="001E1B68"/>
    <w:rsid w:val="001E4AE1"/>
    <w:rsid w:val="001E50E6"/>
    <w:rsid w:val="001F4C03"/>
    <w:rsid w:val="001F5141"/>
    <w:rsid w:val="001F6140"/>
    <w:rsid w:val="001F626E"/>
    <w:rsid w:val="001F6F07"/>
    <w:rsid w:val="001F7296"/>
    <w:rsid w:val="0020060A"/>
    <w:rsid w:val="0021105B"/>
    <w:rsid w:val="002126B4"/>
    <w:rsid w:val="002271D9"/>
    <w:rsid w:val="00230C31"/>
    <w:rsid w:val="00232CF1"/>
    <w:rsid w:val="00235D46"/>
    <w:rsid w:val="00237EDF"/>
    <w:rsid w:val="002403DE"/>
    <w:rsid w:val="00241663"/>
    <w:rsid w:val="0024432B"/>
    <w:rsid w:val="00253803"/>
    <w:rsid w:val="0025413B"/>
    <w:rsid w:val="00260B97"/>
    <w:rsid w:val="00260D1D"/>
    <w:rsid w:val="002638C6"/>
    <w:rsid w:val="00272EFF"/>
    <w:rsid w:val="002803D8"/>
    <w:rsid w:val="00282948"/>
    <w:rsid w:val="00283811"/>
    <w:rsid w:val="002964ED"/>
    <w:rsid w:val="002B4923"/>
    <w:rsid w:val="002B590B"/>
    <w:rsid w:val="002C2419"/>
    <w:rsid w:val="002C2C15"/>
    <w:rsid w:val="002C3A1C"/>
    <w:rsid w:val="002C4556"/>
    <w:rsid w:val="002D1C8F"/>
    <w:rsid w:val="002D399D"/>
    <w:rsid w:val="002E1723"/>
    <w:rsid w:val="002F0ABF"/>
    <w:rsid w:val="002F11D9"/>
    <w:rsid w:val="002F229A"/>
    <w:rsid w:val="002F520A"/>
    <w:rsid w:val="00300AA0"/>
    <w:rsid w:val="0030377F"/>
    <w:rsid w:val="00304961"/>
    <w:rsid w:val="00310F20"/>
    <w:rsid w:val="00310FA9"/>
    <w:rsid w:val="00311624"/>
    <w:rsid w:val="00315AE0"/>
    <w:rsid w:val="00320AA0"/>
    <w:rsid w:val="00320B7D"/>
    <w:rsid w:val="003224A2"/>
    <w:rsid w:val="003240AD"/>
    <w:rsid w:val="00324C42"/>
    <w:rsid w:val="00330136"/>
    <w:rsid w:val="00331223"/>
    <w:rsid w:val="00334E84"/>
    <w:rsid w:val="0034028A"/>
    <w:rsid w:val="003411D5"/>
    <w:rsid w:val="0034160A"/>
    <w:rsid w:val="00347A2C"/>
    <w:rsid w:val="00350B30"/>
    <w:rsid w:val="00364255"/>
    <w:rsid w:val="003726B6"/>
    <w:rsid w:val="003737FE"/>
    <w:rsid w:val="00373E01"/>
    <w:rsid w:val="00374290"/>
    <w:rsid w:val="003766ED"/>
    <w:rsid w:val="00380F04"/>
    <w:rsid w:val="00382BE4"/>
    <w:rsid w:val="00385368"/>
    <w:rsid w:val="00387226"/>
    <w:rsid w:val="003A1316"/>
    <w:rsid w:val="003A5A53"/>
    <w:rsid w:val="003A76D2"/>
    <w:rsid w:val="003B44A9"/>
    <w:rsid w:val="003B7EB7"/>
    <w:rsid w:val="003C170B"/>
    <w:rsid w:val="003C31E7"/>
    <w:rsid w:val="003C4741"/>
    <w:rsid w:val="003D242C"/>
    <w:rsid w:val="003D5EED"/>
    <w:rsid w:val="003E2CE0"/>
    <w:rsid w:val="003E55F2"/>
    <w:rsid w:val="003E626F"/>
    <w:rsid w:val="003F416E"/>
    <w:rsid w:val="003F6478"/>
    <w:rsid w:val="003F6AF1"/>
    <w:rsid w:val="00400064"/>
    <w:rsid w:val="00405B0B"/>
    <w:rsid w:val="00406C98"/>
    <w:rsid w:val="00412D26"/>
    <w:rsid w:val="0042403E"/>
    <w:rsid w:val="00426618"/>
    <w:rsid w:val="00431FF5"/>
    <w:rsid w:val="00447906"/>
    <w:rsid w:val="004508D0"/>
    <w:rsid w:val="00451BFA"/>
    <w:rsid w:val="00452B13"/>
    <w:rsid w:val="00471221"/>
    <w:rsid w:val="00472162"/>
    <w:rsid w:val="00485923"/>
    <w:rsid w:val="0048755C"/>
    <w:rsid w:val="00490F5A"/>
    <w:rsid w:val="00497AC7"/>
    <w:rsid w:val="004A2B05"/>
    <w:rsid w:val="004B5B60"/>
    <w:rsid w:val="004C17C9"/>
    <w:rsid w:val="004C2BB4"/>
    <w:rsid w:val="004C32F7"/>
    <w:rsid w:val="004C7474"/>
    <w:rsid w:val="004D038C"/>
    <w:rsid w:val="004D352C"/>
    <w:rsid w:val="004E272E"/>
    <w:rsid w:val="004E38AA"/>
    <w:rsid w:val="004E3DD3"/>
    <w:rsid w:val="004F2E97"/>
    <w:rsid w:val="004F414C"/>
    <w:rsid w:val="00500604"/>
    <w:rsid w:val="00500D52"/>
    <w:rsid w:val="00501827"/>
    <w:rsid w:val="0050721E"/>
    <w:rsid w:val="0051700B"/>
    <w:rsid w:val="00521CD4"/>
    <w:rsid w:val="00530DA6"/>
    <w:rsid w:val="00533971"/>
    <w:rsid w:val="00535A54"/>
    <w:rsid w:val="005411F9"/>
    <w:rsid w:val="00541A7D"/>
    <w:rsid w:val="00544F2D"/>
    <w:rsid w:val="00545C6C"/>
    <w:rsid w:val="00547012"/>
    <w:rsid w:val="005474FA"/>
    <w:rsid w:val="005520BA"/>
    <w:rsid w:val="00554723"/>
    <w:rsid w:val="00556FC4"/>
    <w:rsid w:val="00560E46"/>
    <w:rsid w:val="005626E0"/>
    <w:rsid w:val="005671F4"/>
    <w:rsid w:val="00570507"/>
    <w:rsid w:val="00576A73"/>
    <w:rsid w:val="00580A51"/>
    <w:rsid w:val="00582F60"/>
    <w:rsid w:val="00583AC8"/>
    <w:rsid w:val="00591CB3"/>
    <w:rsid w:val="0059228D"/>
    <w:rsid w:val="00592C93"/>
    <w:rsid w:val="0059311F"/>
    <w:rsid w:val="00595D16"/>
    <w:rsid w:val="00596A5B"/>
    <w:rsid w:val="00597107"/>
    <w:rsid w:val="005A0605"/>
    <w:rsid w:val="005A0DA2"/>
    <w:rsid w:val="005A5457"/>
    <w:rsid w:val="005B3685"/>
    <w:rsid w:val="005C0E65"/>
    <w:rsid w:val="005D0347"/>
    <w:rsid w:val="005E1D93"/>
    <w:rsid w:val="005F09BC"/>
    <w:rsid w:val="00600BE3"/>
    <w:rsid w:val="0060261A"/>
    <w:rsid w:val="00604B7A"/>
    <w:rsid w:val="00611036"/>
    <w:rsid w:val="00612D54"/>
    <w:rsid w:val="00615785"/>
    <w:rsid w:val="00615BDD"/>
    <w:rsid w:val="00617D7B"/>
    <w:rsid w:val="00623618"/>
    <w:rsid w:val="006239C7"/>
    <w:rsid w:val="00624393"/>
    <w:rsid w:val="00626C0C"/>
    <w:rsid w:val="006418CA"/>
    <w:rsid w:val="00642394"/>
    <w:rsid w:val="00643DF6"/>
    <w:rsid w:val="00644398"/>
    <w:rsid w:val="006450B6"/>
    <w:rsid w:val="0064682B"/>
    <w:rsid w:val="00647766"/>
    <w:rsid w:val="006501D4"/>
    <w:rsid w:val="00651910"/>
    <w:rsid w:val="00651F1C"/>
    <w:rsid w:val="00653188"/>
    <w:rsid w:val="00653B72"/>
    <w:rsid w:val="00654F10"/>
    <w:rsid w:val="0066160E"/>
    <w:rsid w:val="00665417"/>
    <w:rsid w:val="00673E3D"/>
    <w:rsid w:val="00674A4B"/>
    <w:rsid w:val="00676750"/>
    <w:rsid w:val="00676B41"/>
    <w:rsid w:val="006803A8"/>
    <w:rsid w:val="00682C8C"/>
    <w:rsid w:val="006871D2"/>
    <w:rsid w:val="00690E70"/>
    <w:rsid w:val="00695A11"/>
    <w:rsid w:val="00697455"/>
    <w:rsid w:val="006A092E"/>
    <w:rsid w:val="006A32EF"/>
    <w:rsid w:val="006A4AEC"/>
    <w:rsid w:val="006B72BF"/>
    <w:rsid w:val="006C085A"/>
    <w:rsid w:val="006C63CD"/>
    <w:rsid w:val="006D0B02"/>
    <w:rsid w:val="006D209F"/>
    <w:rsid w:val="006E0E48"/>
    <w:rsid w:val="006E2A31"/>
    <w:rsid w:val="006E592C"/>
    <w:rsid w:val="006E597D"/>
    <w:rsid w:val="006F0B79"/>
    <w:rsid w:val="006F1601"/>
    <w:rsid w:val="006F3FC1"/>
    <w:rsid w:val="006F63C5"/>
    <w:rsid w:val="00703AD9"/>
    <w:rsid w:val="00710753"/>
    <w:rsid w:val="0071141A"/>
    <w:rsid w:val="00712357"/>
    <w:rsid w:val="00717885"/>
    <w:rsid w:val="00725801"/>
    <w:rsid w:val="00734B11"/>
    <w:rsid w:val="007372CD"/>
    <w:rsid w:val="00742A89"/>
    <w:rsid w:val="007441E3"/>
    <w:rsid w:val="00757688"/>
    <w:rsid w:val="007603A8"/>
    <w:rsid w:val="00764D33"/>
    <w:rsid w:val="00767F5C"/>
    <w:rsid w:val="007707EC"/>
    <w:rsid w:val="0077225D"/>
    <w:rsid w:val="00775D21"/>
    <w:rsid w:val="0078182B"/>
    <w:rsid w:val="00782C87"/>
    <w:rsid w:val="0079071D"/>
    <w:rsid w:val="007A450E"/>
    <w:rsid w:val="007B0E8B"/>
    <w:rsid w:val="007B323F"/>
    <w:rsid w:val="007B4A6D"/>
    <w:rsid w:val="007B4D84"/>
    <w:rsid w:val="007C2C6A"/>
    <w:rsid w:val="007C69CD"/>
    <w:rsid w:val="007C7A64"/>
    <w:rsid w:val="007D2A0C"/>
    <w:rsid w:val="007D301C"/>
    <w:rsid w:val="007D62E6"/>
    <w:rsid w:val="007E16DD"/>
    <w:rsid w:val="007E63EF"/>
    <w:rsid w:val="007E7353"/>
    <w:rsid w:val="007F0B5B"/>
    <w:rsid w:val="007F4DD3"/>
    <w:rsid w:val="00803501"/>
    <w:rsid w:val="00804314"/>
    <w:rsid w:val="00804433"/>
    <w:rsid w:val="00805EDF"/>
    <w:rsid w:val="00807A63"/>
    <w:rsid w:val="0081188E"/>
    <w:rsid w:val="00812586"/>
    <w:rsid w:val="00814B95"/>
    <w:rsid w:val="008164E6"/>
    <w:rsid w:val="0081791E"/>
    <w:rsid w:val="00826484"/>
    <w:rsid w:val="008518F2"/>
    <w:rsid w:val="00857D5C"/>
    <w:rsid w:val="00863DB0"/>
    <w:rsid w:val="00864D7B"/>
    <w:rsid w:val="00866B4D"/>
    <w:rsid w:val="00876579"/>
    <w:rsid w:val="0088190F"/>
    <w:rsid w:val="008873D9"/>
    <w:rsid w:val="00890C92"/>
    <w:rsid w:val="00891109"/>
    <w:rsid w:val="00893616"/>
    <w:rsid w:val="00897804"/>
    <w:rsid w:val="008A0CFF"/>
    <w:rsid w:val="008A260B"/>
    <w:rsid w:val="008B008F"/>
    <w:rsid w:val="008B1A09"/>
    <w:rsid w:val="008C0B17"/>
    <w:rsid w:val="008C3EAC"/>
    <w:rsid w:val="008D05D4"/>
    <w:rsid w:val="008D178A"/>
    <w:rsid w:val="008D63A8"/>
    <w:rsid w:val="008E4AA6"/>
    <w:rsid w:val="008F1F04"/>
    <w:rsid w:val="0090245E"/>
    <w:rsid w:val="009044EE"/>
    <w:rsid w:val="009106EA"/>
    <w:rsid w:val="00912430"/>
    <w:rsid w:val="00916AB5"/>
    <w:rsid w:val="00916BE2"/>
    <w:rsid w:val="00920CB9"/>
    <w:rsid w:val="009414CC"/>
    <w:rsid w:val="00942585"/>
    <w:rsid w:val="00946806"/>
    <w:rsid w:val="00946DD8"/>
    <w:rsid w:val="00951524"/>
    <w:rsid w:val="0095292E"/>
    <w:rsid w:val="0095336D"/>
    <w:rsid w:val="009567F6"/>
    <w:rsid w:val="00963917"/>
    <w:rsid w:val="00963A81"/>
    <w:rsid w:val="009648DB"/>
    <w:rsid w:val="00965042"/>
    <w:rsid w:val="00966DF2"/>
    <w:rsid w:val="00967CFD"/>
    <w:rsid w:val="009722AA"/>
    <w:rsid w:val="00975062"/>
    <w:rsid w:val="009837FF"/>
    <w:rsid w:val="00985669"/>
    <w:rsid w:val="00987055"/>
    <w:rsid w:val="00990BF3"/>
    <w:rsid w:val="009968A7"/>
    <w:rsid w:val="00997571"/>
    <w:rsid w:val="009A02D3"/>
    <w:rsid w:val="009A27E2"/>
    <w:rsid w:val="009A2DAD"/>
    <w:rsid w:val="009A64EA"/>
    <w:rsid w:val="009B603C"/>
    <w:rsid w:val="009C2EC2"/>
    <w:rsid w:val="009C70F8"/>
    <w:rsid w:val="009C734C"/>
    <w:rsid w:val="009C743B"/>
    <w:rsid w:val="009D0C0A"/>
    <w:rsid w:val="009D3A3F"/>
    <w:rsid w:val="009D479A"/>
    <w:rsid w:val="009D56E6"/>
    <w:rsid w:val="009F145D"/>
    <w:rsid w:val="009F1589"/>
    <w:rsid w:val="009F5AB5"/>
    <w:rsid w:val="00A008D3"/>
    <w:rsid w:val="00A011BD"/>
    <w:rsid w:val="00A04209"/>
    <w:rsid w:val="00A04769"/>
    <w:rsid w:val="00A209BF"/>
    <w:rsid w:val="00A304B0"/>
    <w:rsid w:val="00A31D39"/>
    <w:rsid w:val="00A35C6D"/>
    <w:rsid w:val="00A43434"/>
    <w:rsid w:val="00A43EFD"/>
    <w:rsid w:val="00A45935"/>
    <w:rsid w:val="00A51882"/>
    <w:rsid w:val="00A51FE3"/>
    <w:rsid w:val="00A60495"/>
    <w:rsid w:val="00A610F6"/>
    <w:rsid w:val="00A66638"/>
    <w:rsid w:val="00A66F3C"/>
    <w:rsid w:val="00A6785E"/>
    <w:rsid w:val="00A71A31"/>
    <w:rsid w:val="00A77E99"/>
    <w:rsid w:val="00A807A5"/>
    <w:rsid w:val="00A823A8"/>
    <w:rsid w:val="00A847F8"/>
    <w:rsid w:val="00A90171"/>
    <w:rsid w:val="00A92E91"/>
    <w:rsid w:val="00A961A7"/>
    <w:rsid w:val="00AA5817"/>
    <w:rsid w:val="00AA7F79"/>
    <w:rsid w:val="00AB16BB"/>
    <w:rsid w:val="00AB45F8"/>
    <w:rsid w:val="00AB6603"/>
    <w:rsid w:val="00AB74DA"/>
    <w:rsid w:val="00AC1B3E"/>
    <w:rsid w:val="00AC664B"/>
    <w:rsid w:val="00AC75B9"/>
    <w:rsid w:val="00AC7DDF"/>
    <w:rsid w:val="00AD39B9"/>
    <w:rsid w:val="00AD3CD7"/>
    <w:rsid w:val="00AD41A6"/>
    <w:rsid w:val="00AD72DD"/>
    <w:rsid w:val="00AE3E85"/>
    <w:rsid w:val="00AE68CA"/>
    <w:rsid w:val="00AE704F"/>
    <w:rsid w:val="00B05B45"/>
    <w:rsid w:val="00B10B3C"/>
    <w:rsid w:val="00B24679"/>
    <w:rsid w:val="00B270D7"/>
    <w:rsid w:val="00B311E6"/>
    <w:rsid w:val="00B35581"/>
    <w:rsid w:val="00B36B77"/>
    <w:rsid w:val="00B37E2A"/>
    <w:rsid w:val="00B40DBF"/>
    <w:rsid w:val="00B41573"/>
    <w:rsid w:val="00B421B9"/>
    <w:rsid w:val="00B51B3B"/>
    <w:rsid w:val="00B5530E"/>
    <w:rsid w:val="00B63DE8"/>
    <w:rsid w:val="00B64C7D"/>
    <w:rsid w:val="00B737D4"/>
    <w:rsid w:val="00B76BA4"/>
    <w:rsid w:val="00B91D56"/>
    <w:rsid w:val="00BA248B"/>
    <w:rsid w:val="00BA2C5D"/>
    <w:rsid w:val="00BA450C"/>
    <w:rsid w:val="00BA4FCD"/>
    <w:rsid w:val="00BA5122"/>
    <w:rsid w:val="00BA6A33"/>
    <w:rsid w:val="00BB0A98"/>
    <w:rsid w:val="00BB551B"/>
    <w:rsid w:val="00BC211C"/>
    <w:rsid w:val="00BC2432"/>
    <w:rsid w:val="00BC406C"/>
    <w:rsid w:val="00BC471E"/>
    <w:rsid w:val="00BC5B1D"/>
    <w:rsid w:val="00BD475B"/>
    <w:rsid w:val="00BD7227"/>
    <w:rsid w:val="00BE0462"/>
    <w:rsid w:val="00BE1F31"/>
    <w:rsid w:val="00BE70EE"/>
    <w:rsid w:val="00BF424C"/>
    <w:rsid w:val="00C013AD"/>
    <w:rsid w:val="00C02FCB"/>
    <w:rsid w:val="00C046E8"/>
    <w:rsid w:val="00C16E3D"/>
    <w:rsid w:val="00C202EC"/>
    <w:rsid w:val="00C20C97"/>
    <w:rsid w:val="00C3092C"/>
    <w:rsid w:val="00C31DF0"/>
    <w:rsid w:val="00C3302E"/>
    <w:rsid w:val="00C3334D"/>
    <w:rsid w:val="00C35A25"/>
    <w:rsid w:val="00C37C7A"/>
    <w:rsid w:val="00C477ED"/>
    <w:rsid w:val="00C5127D"/>
    <w:rsid w:val="00C51F59"/>
    <w:rsid w:val="00C61277"/>
    <w:rsid w:val="00C621C4"/>
    <w:rsid w:val="00C6361D"/>
    <w:rsid w:val="00C64B64"/>
    <w:rsid w:val="00C67E9D"/>
    <w:rsid w:val="00C8095B"/>
    <w:rsid w:val="00C84B5B"/>
    <w:rsid w:val="00C947BA"/>
    <w:rsid w:val="00C9522B"/>
    <w:rsid w:val="00C95BD6"/>
    <w:rsid w:val="00CA12E6"/>
    <w:rsid w:val="00CA28E6"/>
    <w:rsid w:val="00CA3A48"/>
    <w:rsid w:val="00CA6EC8"/>
    <w:rsid w:val="00CB3AD0"/>
    <w:rsid w:val="00CB4818"/>
    <w:rsid w:val="00CB68D9"/>
    <w:rsid w:val="00CC53B5"/>
    <w:rsid w:val="00CD0DDD"/>
    <w:rsid w:val="00CD3BC8"/>
    <w:rsid w:val="00CE2990"/>
    <w:rsid w:val="00CF2CF1"/>
    <w:rsid w:val="00CF37F0"/>
    <w:rsid w:val="00CF4822"/>
    <w:rsid w:val="00CF6D0E"/>
    <w:rsid w:val="00D010F5"/>
    <w:rsid w:val="00D05E3A"/>
    <w:rsid w:val="00D076E7"/>
    <w:rsid w:val="00D10FA6"/>
    <w:rsid w:val="00D13817"/>
    <w:rsid w:val="00D201A2"/>
    <w:rsid w:val="00D32DA8"/>
    <w:rsid w:val="00D32E53"/>
    <w:rsid w:val="00D35751"/>
    <w:rsid w:val="00D4053E"/>
    <w:rsid w:val="00D461AB"/>
    <w:rsid w:val="00D50380"/>
    <w:rsid w:val="00D50EF0"/>
    <w:rsid w:val="00D55226"/>
    <w:rsid w:val="00D55978"/>
    <w:rsid w:val="00D57D0A"/>
    <w:rsid w:val="00D612DC"/>
    <w:rsid w:val="00D62992"/>
    <w:rsid w:val="00D62ED4"/>
    <w:rsid w:val="00D66182"/>
    <w:rsid w:val="00D66501"/>
    <w:rsid w:val="00D73319"/>
    <w:rsid w:val="00D7340E"/>
    <w:rsid w:val="00D77B96"/>
    <w:rsid w:val="00D815E7"/>
    <w:rsid w:val="00D85FF6"/>
    <w:rsid w:val="00D91213"/>
    <w:rsid w:val="00D91569"/>
    <w:rsid w:val="00D930A2"/>
    <w:rsid w:val="00D93360"/>
    <w:rsid w:val="00D96C8F"/>
    <w:rsid w:val="00DA22EB"/>
    <w:rsid w:val="00DB1887"/>
    <w:rsid w:val="00DC1C77"/>
    <w:rsid w:val="00DC20D6"/>
    <w:rsid w:val="00DC2840"/>
    <w:rsid w:val="00DC4235"/>
    <w:rsid w:val="00DC60EA"/>
    <w:rsid w:val="00DC6C4F"/>
    <w:rsid w:val="00DD247A"/>
    <w:rsid w:val="00DD473C"/>
    <w:rsid w:val="00DD4C4C"/>
    <w:rsid w:val="00DE256D"/>
    <w:rsid w:val="00DE2C82"/>
    <w:rsid w:val="00DF68E2"/>
    <w:rsid w:val="00E03826"/>
    <w:rsid w:val="00E05D08"/>
    <w:rsid w:val="00E16522"/>
    <w:rsid w:val="00E30E27"/>
    <w:rsid w:val="00E33F37"/>
    <w:rsid w:val="00E34FAC"/>
    <w:rsid w:val="00E36F81"/>
    <w:rsid w:val="00E402BA"/>
    <w:rsid w:val="00E44ABD"/>
    <w:rsid w:val="00E54013"/>
    <w:rsid w:val="00E54929"/>
    <w:rsid w:val="00E634DC"/>
    <w:rsid w:val="00E64309"/>
    <w:rsid w:val="00E71021"/>
    <w:rsid w:val="00E713B8"/>
    <w:rsid w:val="00E72529"/>
    <w:rsid w:val="00E8197A"/>
    <w:rsid w:val="00E849E7"/>
    <w:rsid w:val="00EA0618"/>
    <w:rsid w:val="00EA0974"/>
    <w:rsid w:val="00EA33B2"/>
    <w:rsid w:val="00EB5F7A"/>
    <w:rsid w:val="00EB77F2"/>
    <w:rsid w:val="00EB7915"/>
    <w:rsid w:val="00EC468B"/>
    <w:rsid w:val="00EC4AF4"/>
    <w:rsid w:val="00EC5172"/>
    <w:rsid w:val="00ED1295"/>
    <w:rsid w:val="00ED1649"/>
    <w:rsid w:val="00ED47C5"/>
    <w:rsid w:val="00EE3543"/>
    <w:rsid w:val="00EF0A96"/>
    <w:rsid w:val="00EF1B0F"/>
    <w:rsid w:val="00EF4540"/>
    <w:rsid w:val="00F01E0F"/>
    <w:rsid w:val="00F0545B"/>
    <w:rsid w:val="00F117CA"/>
    <w:rsid w:val="00F13B45"/>
    <w:rsid w:val="00F200A2"/>
    <w:rsid w:val="00F250EC"/>
    <w:rsid w:val="00F25867"/>
    <w:rsid w:val="00F31494"/>
    <w:rsid w:val="00F31AD6"/>
    <w:rsid w:val="00F32320"/>
    <w:rsid w:val="00F32874"/>
    <w:rsid w:val="00F37A59"/>
    <w:rsid w:val="00F4055A"/>
    <w:rsid w:val="00F5230D"/>
    <w:rsid w:val="00F60A36"/>
    <w:rsid w:val="00F64797"/>
    <w:rsid w:val="00F66623"/>
    <w:rsid w:val="00F6793F"/>
    <w:rsid w:val="00F73706"/>
    <w:rsid w:val="00F74459"/>
    <w:rsid w:val="00F74623"/>
    <w:rsid w:val="00F74C18"/>
    <w:rsid w:val="00F8743F"/>
    <w:rsid w:val="00F9406A"/>
    <w:rsid w:val="00F94F86"/>
    <w:rsid w:val="00FA12EA"/>
    <w:rsid w:val="00FA6691"/>
    <w:rsid w:val="00FB51EF"/>
    <w:rsid w:val="00FB5B14"/>
    <w:rsid w:val="00FC1408"/>
    <w:rsid w:val="00FC14FF"/>
    <w:rsid w:val="00FC7364"/>
    <w:rsid w:val="00FF02C1"/>
    <w:rsid w:val="00FF15CC"/>
    <w:rsid w:val="00FF4353"/>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9B2CA"/>
  <w15:docId w15:val="{0B0BD27B-008E-44D4-ABFF-B65068CA9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785E"/>
    <w:pPr>
      <w:jc w:val="both"/>
    </w:pPr>
    <w:rPr>
      <w:rFonts w:ascii="Arial" w:hAnsi="Arial"/>
      <w:color w:val="373737"/>
      <w:sz w:val="20"/>
    </w:rPr>
  </w:style>
  <w:style w:type="paragraph" w:styleId="Heading1">
    <w:name w:val="heading 1"/>
    <w:basedOn w:val="Normal"/>
    <w:next w:val="Normal"/>
    <w:link w:val="Heading1Char"/>
    <w:uiPriority w:val="9"/>
    <w:qFormat/>
    <w:rsid w:val="00E05D08"/>
    <w:pPr>
      <w:keepNext/>
      <w:framePr w:hSpace="142" w:vSpace="142" w:wrap="notBeside" w:vAnchor="page" w:hAnchor="margin" w:y="1532"/>
      <w:numPr>
        <w:numId w:val="1"/>
      </w:numPr>
      <w:pBdr>
        <w:left w:val="single" w:sz="48" w:space="8" w:color="33CCCC"/>
      </w:pBdr>
      <w:tabs>
        <w:tab w:val="clear" w:pos="474"/>
        <w:tab w:val="left" w:pos="227"/>
      </w:tabs>
      <w:suppressAutoHyphens/>
      <w:spacing w:before="60" w:after="20" w:line="240" w:lineRule="auto"/>
      <w:ind w:left="227" w:hanging="227"/>
      <w:outlineLvl w:val="0"/>
    </w:pPr>
    <w:rPr>
      <w:rFonts w:eastAsia="Times New Roman" w:cs="Arial"/>
      <w:b/>
      <w:bCs/>
      <w:kern w:val="32"/>
      <w:sz w:val="24"/>
      <w:szCs w:val="32"/>
      <w:lang w:eastAsia="de-DE"/>
    </w:rPr>
  </w:style>
  <w:style w:type="paragraph" w:styleId="Heading2">
    <w:name w:val="heading 2"/>
    <w:aliases w:val="Titre B,no vale,Heading 2 Char1,Heading 2 Char Char"/>
    <w:basedOn w:val="Normal"/>
    <w:next w:val="Normal"/>
    <w:link w:val="Heading2Char"/>
    <w:uiPriority w:val="9"/>
    <w:qFormat/>
    <w:rsid w:val="00E05D08"/>
    <w:pPr>
      <w:keepNext/>
      <w:numPr>
        <w:ilvl w:val="1"/>
        <w:numId w:val="1"/>
      </w:numPr>
      <w:tabs>
        <w:tab w:val="clear" w:pos="360"/>
        <w:tab w:val="left" w:pos="454"/>
      </w:tabs>
      <w:suppressAutoHyphens/>
      <w:spacing w:before="240" w:after="140" w:line="260" w:lineRule="exact"/>
      <w:ind w:left="454" w:hanging="454"/>
      <w:outlineLvl w:val="1"/>
    </w:pPr>
    <w:rPr>
      <w:rFonts w:eastAsia="Times New Roman" w:cs="Arial"/>
      <w:b/>
      <w:bCs/>
      <w:iCs/>
      <w:szCs w:val="28"/>
      <w:lang w:eastAsia="de-DE"/>
    </w:rPr>
  </w:style>
  <w:style w:type="paragraph" w:styleId="Heading3">
    <w:name w:val="heading 3"/>
    <w:aliases w:val="H3,no vale1,no vale1 Car"/>
    <w:basedOn w:val="Normal"/>
    <w:next w:val="Normal"/>
    <w:link w:val="Heading3Char"/>
    <w:qFormat/>
    <w:rsid w:val="00E05D08"/>
    <w:pPr>
      <w:keepNext/>
      <w:numPr>
        <w:ilvl w:val="2"/>
        <w:numId w:val="1"/>
      </w:numPr>
      <w:tabs>
        <w:tab w:val="clear" w:pos="720"/>
        <w:tab w:val="left" w:pos="567"/>
      </w:tabs>
      <w:suppressAutoHyphens/>
      <w:spacing w:before="240" w:after="140" w:line="240" w:lineRule="exact"/>
      <w:ind w:left="567" w:hanging="567"/>
      <w:outlineLvl w:val="2"/>
    </w:pPr>
    <w:rPr>
      <w:rFonts w:eastAsia="Times New Roman" w:cs="Arial"/>
      <w:b/>
      <w:bCs/>
      <w:color w:val="5F5F5F"/>
      <w:szCs w:val="26"/>
      <w:lang w:eastAsia="de-DE"/>
    </w:rPr>
  </w:style>
  <w:style w:type="paragraph" w:styleId="Heading4">
    <w:name w:val="heading 4"/>
    <w:aliases w:val="Heading 4 Char1,Título 4 Car,Heading 4 Char1 Car,no vale 2,no vale 2 Car"/>
    <w:basedOn w:val="Normal"/>
    <w:next w:val="Normal"/>
    <w:link w:val="Heading4Char"/>
    <w:uiPriority w:val="99"/>
    <w:qFormat/>
    <w:rsid w:val="00E05D08"/>
    <w:pPr>
      <w:keepNext/>
      <w:numPr>
        <w:ilvl w:val="3"/>
        <w:numId w:val="1"/>
      </w:numPr>
      <w:tabs>
        <w:tab w:val="clear" w:pos="1080"/>
        <w:tab w:val="left" w:pos="680"/>
      </w:tabs>
      <w:suppressAutoHyphens/>
      <w:spacing w:before="240" w:after="140" w:line="220" w:lineRule="atLeast"/>
      <w:ind w:left="680" w:hanging="680"/>
      <w:outlineLvl w:val="3"/>
    </w:pPr>
    <w:rPr>
      <w:rFonts w:eastAsia="Times New Roman" w:cs="Times New Roman"/>
      <w:b/>
      <w:bCs/>
      <w:color w:val="5F5F5F"/>
      <w:sz w:val="18"/>
      <w:szCs w:val="28"/>
      <w:lang w:eastAsia="de-DE"/>
    </w:rPr>
  </w:style>
  <w:style w:type="paragraph" w:styleId="Heading5">
    <w:name w:val="heading 5"/>
    <w:basedOn w:val="Normal"/>
    <w:next w:val="Normal"/>
    <w:link w:val="Heading5Char"/>
    <w:uiPriority w:val="99"/>
    <w:qFormat/>
    <w:rsid w:val="00E05D08"/>
    <w:pPr>
      <w:suppressAutoHyphens/>
      <w:spacing w:before="200" w:after="100" w:line="220" w:lineRule="atLeast"/>
      <w:outlineLvl w:val="4"/>
    </w:pPr>
    <w:rPr>
      <w:rFonts w:eastAsia="Times New Roman" w:cs="Times New Roman"/>
      <w:b/>
      <w:bCs/>
      <w:iCs/>
      <w:color w:val="5F5F5F"/>
      <w:sz w:val="18"/>
      <w:szCs w:val="26"/>
      <w:lang w:eastAsia="de-DE"/>
    </w:rPr>
  </w:style>
  <w:style w:type="paragraph" w:styleId="Heading6">
    <w:name w:val="heading 6"/>
    <w:basedOn w:val="Normal"/>
    <w:next w:val="Normal"/>
    <w:link w:val="Heading6Char"/>
    <w:uiPriority w:val="99"/>
    <w:qFormat/>
    <w:rsid w:val="00E05D08"/>
    <w:pPr>
      <w:suppressAutoHyphens/>
      <w:spacing w:before="140" w:after="140" w:line="200" w:lineRule="exact"/>
      <w:outlineLvl w:val="5"/>
    </w:pPr>
    <w:rPr>
      <w:rFonts w:eastAsia="Times New Roman" w:cs="Times New Roman"/>
      <w:b/>
      <w:bCs/>
      <w:color w:val="808080"/>
      <w:sz w:val="16"/>
      <w:lang w:eastAsia="de-DE"/>
    </w:rPr>
  </w:style>
  <w:style w:type="paragraph" w:styleId="Heading7">
    <w:name w:val="heading 7"/>
    <w:basedOn w:val="Normal"/>
    <w:next w:val="Normal"/>
    <w:link w:val="Heading7Char"/>
    <w:rsid w:val="00E05D08"/>
    <w:pPr>
      <w:suppressAutoHyphens/>
      <w:spacing w:before="140" w:after="140" w:line="200" w:lineRule="exact"/>
      <w:outlineLvl w:val="6"/>
    </w:pPr>
    <w:rPr>
      <w:rFonts w:eastAsia="Times New Roman" w:cs="Times New Roman"/>
      <w:b/>
      <w:color w:val="808080"/>
      <w:sz w:val="16"/>
      <w:szCs w:val="24"/>
      <w:lang w:eastAsia="de-DE"/>
    </w:rPr>
  </w:style>
  <w:style w:type="paragraph" w:styleId="Heading8">
    <w:name w:val="heading 8"/>
    <w:basedOn w:val="Normal"/>
    <w:next w:val="Normal"/>
    <w:link w:val="Heading8Char"/>
    <w:rsid w:val="00E05D08"/>
    <w:pPr>
      <w:suppressAutoHyphens/>
      <w:spacing w:before="140" w:after="140" w:line="200" w:lineRule="exact"/>
      <w:outlineLvl w:val="7"/>
    </w:pPr>
    <w:rPr>
      <w:rFonts w:eastAsia="Times New Roman" w:cs="Times New Roman"/>
      <w:b/>
      <w:iCs/>
      <w:color w:val="808080"/>
      <w:sz w:val="16"/>
      <w:szCs w:val="24"/>
      <w:lang w:eastAsia="de-DE"/>
    </w:rPr>
  </w:style>
  <w:style w:type="paragraph" w:styleId="Heading9">
    <w:name w:val="heading 9"/>
    <w:basedOn w:val="Heading1"/>
    <w:next w:val="Normal"/>
    <w:link w:val="Heading9Char"/>
    <w:rsid w:val="00E05D08"/>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D08"/>
    <w:rPr>
      <w:rFonts w:ascii="Arial" w:eastAsia="Times New Roman" w:hAnsi="Arial" w:cs="Arial"/>
      <w:b/>
      <w:bCs/>
      <w:kern w:val="32"/>
      <w:sz w:val="24"/>
      <w:szCs w:val="32"/>
      <w:lang w:eastAsia="de-DE"/>
    </w:rPr>
  </w:style>
  <w:style w:type="character" w:customStyle="1" w:styleId="Heading2Char">
    <w:name w:val="Heading 2 Char"/>
    <w:aliases w:val="Titre B Char,no vale Char,Heading 2 Char1 Char,Heading 2 Char Char Char"/>
    <w:basedOn w:val="DefaultParagraphFont"/>
    <w:link w:val="Heading2"/>
    <w:uiPriority w:val="9"/>
    <w:rsid w:val="00E05D08"/>
    <w:rPr>
      <w:rFonts w:ascii="Arial" w:eastAsia="Times New Roman" w:hAnsi="Arial" w:cs="Arial"/>
      <w:b/>
      <w:bCs/>
      <w:iCs/>
      <w:szCs w:val="28"/>
      <w:lang w:eastAsia="de-DE"/>
    </w:rPr>
  </w:style>
  <w:style w:type="character" w:customStyle="1" w:styleId="Heading3Char">
    <w:name w:val="Heading 3 Char"/>
    <w:aliases w:val="H3 Char,no vale1 Char,no vale1 Car Char"/>
    <w:basedOn w:val="DefaultParagraphFont"/>
    <w:link w:val="Heading3"/>
    <w:rsid w:val="00E05D08"/>
    <w:rPr>
      <w:rFonts w:ascii="Arial" w:eastAsia="Times New Roman" w:hAnsi="Arial" w:cs="Arial"/>
      <w:b/>
      <w:bCs/>
      <w:color w:val="5F5F5F"/>
      <w:sz w:val="20"/>
      <w:szCs w:val="26"/>
      <w:lang w:eastAsia="de-DE"/>
    </w:rPr>
  </w:style>
  <w:style w:type="paragraph" w:styleId="ListParagraph">
    <w:name w:val="List Paragraph"/>
    <w:basedOn w:val="Normal"/>
    <w:uiPriority w:val="34"/>
    <w:qFormat/>
    <w:rsid w:val="00B421B9"/>
    <w:pPr>
      <w:ind w:left="720"/>
      <w:contextualSpacing/>
    </w:pPr>
  </w:style>
  <w:style w:type="character" w:customStyle="1" w:styleId="Heading5Char">
    <w:name w:val="Heading 5 Char"/>
    <w:basedOn w:val="DefaultParagraphFont"/>
    <w:link w:val="Heading5"/>
    <w:uiPriority w:val="99"/>
    <w:rsid w:val="00E05D08"/>
    <w:rPr>
      <w:rFonts w:ascii="Arial" w:eastAsia="Times New Roman" w:hAnsi="Arial" w:cs="Times New Roman"/>
      <w:b/>
      <w:bCs/>
      <w:iCs/>
      <w:color w:val="5F5F5F"/>
      <w:sz w:val="18"/>
      <w:szCs w:val="26"/>
      <w:lang w:val="el-GR" w:eastAsia="de-DE"/>
    </w:rPr>
  </w:style>
  <w:style w:type="character" w:customStyle="1" w:styleId="Heading6Char">
    <w:name w:val="Heading 6 Char"/>
    <w:basedOn w:val="DefaultParagraphFont"/>
    <w:link w:val="Heading6"/>
    <w:uiPriority w:val="99"/>
    <w:rsid w:val="00E05D08"/>
    <w:rPr>
      <w:rFonts w:ascii="Arial" w:eastAsia="Times New Roman" w:hAnsi="Arial" w:cs="Times New Roman"/>
      <w:b/>
      <w:bCs/>
      <w:color w:val="808080"/>
      <w:sz w:val="16"/>
      <w:lang w:eastAsia="de-DE"/>
    </w:rPr>
  </w:style>
  <w:style w:type="character" w:customStyle="1" w:styleId="Heading7Char">
    <w:name w:val="Heading 7 Char"/>
    <w:basedOn w:val="DefaultParagraphFont"/>
    <w:link w:val="Heading7"/>
    <w:rsid w:val="00E05D08"/>
    <w:rPr>
      <w:rFonts w:ascii="Arial" w:eastAsia="Times New Roman" w:hAnsi="Arial" w:cs="Times New Roman"/>
      <w:b/>
      <w:color w:val="808080"/>
      <w:sz w:val="16"/>
      <w:szCs w:val="24"/>
      <w:lang w:eastAsia="de-DE"/>
    </w:rPr>
  </w:style>
  <w:style w:type="character" w:customStyle="1" w:styleId="Heading8Char">
    <w:name w:val="Heading 8 Char"/>
    <w:basedOn w:val="DefaultParagraphFont"/>
    <w:link w:val="Heading8"/>
    <w:rsid w:val="00E05D08"/>
    <w:rPr>
      <w:rFonts w:ascii="Arial" w:eastAsia="Times New Roman" w:hAnsi="Arial" w:cs="Times New Roman"/>
      <w:b/>
      <w:iCs/>
      <w:color w:val="808080"/>
      <w:sz w:val="16"/>
      <w:szCs w:val="24"/>
      <w:lang w:eastAsia="de-DE"/>
    </w:rPr>
  </w:style>
  <w:style w:type="character" w:customStyle="1" w:styleId="Heading9Char">
    <w:name w:val="Heading 9 Char"/>
    <w:basedOn w:val="DefaultParagraphFont"/>
    <w:link w:val="Heading9"/>
    <w:rsid w:val="00E05D08"/>
    <w:rPr>
      <w:rFonts w:ascii="Arial" w:eastAsia="Times New Roman" w:hAnsi="Arial" w:cs="Arial"/>
      <w:b/>
      <w:bCs/>
      <w:kern w:val="32"/>
      <w:sz w:val="24"/>
      <w:lang w:eastAsia="de-DE"/>
    </w:rPr>
  </w:style>
  <w:style w:type="numbering" w:customStyle="1" w:styleId="NoList1">
    <w:name w:val="No List1"/>
    <w:next w:val="NoList"/>
    <w:uiPriority w:val="99"/>
    <w:semiHidden/>
    <w:unhideWhenUsed/>
    <w:rsid w:val="00E05D08"/>
  </w:style>
  <w:style w:type="paragraph" w:styleId="TOC1">
    <w:name w:val="toc 1"/>
    <w:basedOn w:val="Normal"/>
    <w:next w:val="Normal"/>
    <w:autoRedefine/>
    <w:uiPriority w:val="39"/>
    <w:unhideWhenUsed/>
    <w:rsid w:val="009837FF"/>
    <w:pPr>
      <w:spacing w:after="100"/>
      <w:ind w:left="567" w:hanging="567"/>
    </w:pPr>
    <w:rPr>
      <w:b/>
      <w:caps/>
    </w:rPr>
  </w:style>
  <w:style w:type="paragraph" w:styleId="TOC2">
    <w:name w:val="toc 2"/>
    <w:basedOn w:val="Normal"/>
    <w:next w:val="Normal"/>
    <w:autoRedefine/>
    <w:uiPriority w:val="39"/>
    <w:unhideWhenUsed/>
    <w:rsid w:val="002F11D9"/>
    <w:pPr>
      <w:spacing w:after="100"/>
      <w:ind w:left="567" w:hanging="567"/>
    </w:pPr>
  </w:style>
  <w:style w:type="paragraph" w:styleId="Footer">
    <w:name w:val="footer"/>
    <w:link w:val="FooterChar"/>
    <w:uiPriority w:val="99"/>
    <w:rsid w:val="00E05D08"/>
    <w:pPr>
      <w:tabs>
        <w:tab w:val="right" w:pos="8618"/>
      </w:tabs>
      <w:spacing w:after="0" w:line="240" w:lineRule="auto"/>
      <w:ind w:left="-907" w:right="-907"/>
      <w:jc w:val="center"/>
    </w:pPr>
    <w:rPr>
      <w:rFonts w:ascii="Arial" w:eastAsia="Times New Roman" w:hAnsi="Arial" w:cs="Times New Roman"/>
      <w:color w:val="373737"/>
      <w:szCs w:val="20"/>
      <w:lang w:eastAsia="de-DE"/>
    </w:rPr>
  </w:style>
  <w:style w:type="character" w:customStyle="1" w:styleId="FooterChar">
    <w:name w:val="Footer Char"/>
    <w:basedOn w:val="DefaultParagraphFont"/>
    <w:link w:val="Footer"/>
    <w:uiPriority w:val="99"/>
    <w:rsid w:val="00E05D08"/>
    <w:rPr>
      <w:rFonts w:ascii="Arial" w:eastAsia="Times New Roman" w:hAnsi="Arial" w:cs="Times New Roman"/>
      <w:color w:val="373737"/>
      <w:szCs w:val="20"/>
      <w:lang w:eastAsia="de-DE"/>
    </w:rPr>
  </w:style>
  <w:style w:type="character" w:styleId="PageNumber">
    <w:name w:val="page number"/>
    <w:basedOn w:val="DefaultParagraphFont"/>
    <w:semiHidden/>
    <w:rsid w:val="00E05D08"/>
    <w:rPr>
      <w:rFonts w:ascii="Arial" w:hAnsi="Arial"/>
      <w:color w:val="808080"/>
      <w:sz w:val="18"/>
    </w:rPr>
  </w:style>
  <w:style w:type="paragraph" w:customStyle="1" w:styleId="HTitle2">
    <w:name w:val="H_Title2"/>
    <w:basedOn w:val="Normal"/>
    <w:qFormat/>
    <w:rsid w:val="00E05D08"/>
    <w:pPr>
      <w:autoSpaceDE w:val="0"/>
      <w:autoSpaceDN w:val="0"/>
      <w:adjustRightInd w:val="0"/>
      <w:spacing w:after="120" w:line="280" w:lineRule="atLeast"/>
    </w:pPr>
    <w:rPr>
      <w:rFonts w:eastAsia="Times New Roman" w:cs="Times New Roman"/>
      <w:smallCaps/>
      <w:sz w:val="44"/>
      <w:szCs w:val="52"/>
      <w:lang w:eastAsia="de-DE"/>
    </w:rPr>
  </w:style>
  <w:style w:type="paragraph" w:customStyle="1" w:styleId="Hlistbullet">
    <w:name w:val="H_list_bullet"/>
    <w:uiPriority w:val="99"/>
    <w:rsid w:val="00EA0974"/>
    <w:pPr>
      <w:numPr>
        <w:numId w:val="2"/>
      </w:numPr>
      <w:spacing w:after="120" w:line="280" w:lineRule="atLeast"/>
      <w:ind w:left="567" w:hanging="567"/>
      <w:jc w:val="both"/>
    </w:pPr>
    <w:rPr>
      <w:rFonts w:ascii="Arial" w:eastAsia="Times New Roman" w:hAnsi="Arial" w:cs="Times New Roman"/>
      <w:color w:val="373737"/>
      <w:sz w:val="20"/>
      <w:szCs w:val="20"/>
      <w:lang w:eastAsia="de-DE"/>
    </w:rPr>
  </w:style>
  <w:style w:type="paragraph" w:customStyle="1" w:styleId="Hlistbullet2">
    <w:name w:val="H_list_bullet2"/>
    <w:basedOn w:val="Hlistbullet"/>
    <w:next w:val="HStandard"/>
    <w:rsid w:val="00EA0974"/>
    <w:pPr>
      <w:numPr>
        <w:numId w:val="12"/>
      </w:numPr>
      <w:ind w:left="1134" w:hanging="567"/>
    </w:pPr>
  </w:style>
  <w:style w:type="paragraph" w:customStyle="1" w:styleId="Hlistabc">
    <w:name w:val="H_list_abc"/>
    <w:rsid w:val="00E05D08"/>
    <w:pPr>
      <w:spacing w:after="120" w:line="280" w:lineRule="atLeast"/>
      <w:mirrorIndents/>
      <w:jc w:val="both"/>
    </w:pPr>
    <w:rPr>
      <w:rFonts w:ascii="Arial" w:eastAsia="Times New Roman" w:hAnsi="Arial" w:cs="Times New Roman"/>
      <w:color w:val="373737"/>
      <w:sz w:val="20"/>
      <w:szCs w:val="20"/>
      <w:lang w:eastAsia="de-DE"/>
    </w:rPr>
  </w:style>
  <w:style w:type="paragraph" w:customStyle="1" w:styleId="Hlistabc2">
    <w:name w:val="H_list_abc_2"/>
    <w:basedOn w:val="Hlistabc"/>
    <w:next w:val="HStandard"/>
    <w:rsid w:val="00E05D08"/>
    <w:pPr>
      <w:spacing w:after="140"/>
    </w:pPr>
  </w:style>
  <w:style w:type="paragraph" w:customStyle="1" w:styleId="HTitle1">
    <w:name w:val="H_Title1"/>
    <w:basedOn w:val="Normal"/>
    <w:rsid w:val="00E05D08"/>
    <w:pPr>
      <w:autoSpaceDE w:val="0"/>
      <w:autoSpaceDN w:val="0"/>
      <w:adjustRightInd w:val="0"/>
      <w:spacing w:after="120" w:line="280" w:lineRule="atLeast"/>
    </w:pPr>
    <w:rPr>
      <w:rFonts w:eastAsia="Times New Roman" w:cs="Times New Roman"/>
      <w:bCs/>
      <w:smallCaps/>
      <w:color w:val="F07E31"/>
      <w:sz w:val="60"/>
      <w:szCs w:val="32"/>
      <w:lang w:eastAsia="de-DE"/>
    </w:rPr>
  </w:style>
  <w:style w:type="paragraph" w:customStyle="1" w:styleId="Autor">
    <w:name w:val="Autor"/>
    <w:basedOn w:val="Normal"/>
    <w:rsid w:val="00E05D08"/>
    <w:pPr>
      <w:spacing w:after="0" w:line="280" w:lineRule="exact"/>
    </w:pPr>
    <w:rPr>
      <w:rFonts w:eastAsia="Times New Roman" w:cs="Times New Roman"/>
      <w:szCs w:val="24"/>
      <w:lang w:eastAsia="de-DE"/>
    </w:rPr>
  </w:style>
  <w:style w:type="paragraph" w:customStyle="1" w:styleId="HTitle3">
    <w:name w:val="H_Title3"/>
    <w:basedOn w:val="Autor"/>
    <w:rsid w:val="00E05D08"/>
    <w:rPr>
      <w:smallCaps/>
      <w:sz w:val="28"/>
    </w:rPr>
  </w:style>
  <w:style w:type="paragraph" w:styleId="TOC3">
    <w:name w:val="toc 3"/>
    <w:basedOn w:val="Normal"/>
    <w:next w:val="Normal"/>
    <w:autoRedefine/>
    <w:uiPriority w:val="39"/>
    <w:unhideWhenUsed/>
    <w:rsid w:val="009837FF"/>
    <w:pPr>
      <w:spacing w:after="100"/>
      <w:ind w:left="567" w:hanging="567"/>
    </w:pPr>
  </w:style>
  <w:style w:type="paragraph" w:styleId="TOC4">
    <w:name w:val="toc 4"/>
    <w:basedOn w:val="Normal"/>
    <w:next w:val="Normal"/>
    <w:autoRedefine/>
    <w:uiPriority w:val="39"/>
    <w:unhideWhenUsed/>
    <w:rsid w:val="002F11D9"/>
    <w:pPr>
      <w:keepLines/>
      <w:spacing w:after="100"/>
    </w:pPr>
    <w:rPr>
      <w:noProof/>
    </w:rPr>
  </w:style>
  <w:style w:type="paragraph" w:customStyle="1" w:styleId="Fuzeilequerformat">
    <w:name w:val="Fußzeile_querformat"/>
    <w:basedOn w:val="Footer"/>
    <w:rsid w:val="00E05D08"/>
    <w:pPr>
      <w:tabs>
        <w:tab w:val="clear" w:pos="8618"/>
        <w:tab w:val="right" w:pos="12871"/>
      </w:tabs>
    </w:pPr>
  </w:style>
  <w:style w:type="paragraph" w:styleId="TableofFigures">
    <w:name w:val="table of figures"/>
    <w:next w:val="HStandard"/>
    <w:uiPriority w:val="99"/>
    <w:rsid w:val="00E05D08"/>
    <w:pPr>
      <w:tabs>
        <w:tab w:val="left" w:pos="851"/>
        <w:tab w:val="right" w:leader="dot" w:pos="7711"/>
      </w:tabs>
      <w:suppressAutoHyphens/>
      <w:spacing w:before="60" w:after="0" w:line="280" w:lineRule="exact"/>
      <w:ind w:left="851" w:right="284" w:hanging="851"/>
    </w:pPr>
    <w:rPr>
      <w:rFonts w:ascii="Arial" w:eastAsia="Times New Roman" w:hAnsi="Arial" w:cs="Times New Roman"/>
      <w:sz w:val="20"/>
      <w:szCs w:val="20"/>
      <w:lang w:eastAsia="de-DE"/>
    </w:rPr>
  </w:style>
  <w:style w:type="paragraph" w:customStyle="1" w:styleId="Hlistline3">
    <w:name w:val="H_list_line3"/>
    <w:rsid w:val="00E05D08"/>
    <w:pPr>
      <w:numPr>
        <w:numId w:val="4"/>
      </w:numPr>
      <w:spacing w:before="60" w:after="60" w:line="220" w:lineRule="atLeast"/>
      <w:ind w:left="851" w:hanging="284"/>
    </w:pPr>
    <w:rPr>
      <w:rFonts w:ascii="Arial" w:eastAsia="Times New Roman" w:hAnsi="Arial" w:cs="Times New Roman"/>
      <w:color w:val="373737"/>
      <w:sz w:val="20"/>
      <w:szCs w:val="20"/>
      <w:lang w:eastAsia="de-DE"/>
    </w:rPr>
  </w:style>
  <w:style w:type="paragraph" w:customStyle="1" w:styleId="Hlistline4">
    <w:name w:val="H_list_line4"/>
    <w:basedOn w:val="Hlistline3"/>
    <w:next w:val="HStandard"/>
    <w:rsid w:val="00E05D08"/>
    <w:pPr>
      <w:ind w:left="1135"/>
    </w:pPr>
  </w:style>
  <w:style w:type="paragraph" w:customStyle="1" w:styleId="HSource">
    <w:name w:val="H_Source"/>
    <w:next w:val="HStandard"/>
    <w:rsid w:val="00E05D08"/>
    <w:pPr>
      <w:suppressAutoHyphens/>
      <w:spacing w:before="60" w:after="140" w:line="240" w:lineRule="auto"/>
      <w:ind w:left="1134" w:right="1134"/>
      <w:mirrorIndents/>
      <w:jc w:val="center"/>
    </w:pPr>
    <w:rPr>
      <w:rFonts w:ascii="Arial" w:eastAsia="Times New Roman" w:hAnsi="Arial" w:cs="Times New Roman"/>
      <w:i/>
      <w:color w:val="373737"/>
      <w:sz w:val="16"/>
      <w:szCs w:val="20"/>
      <w:lang w:eastAsia="de-DE"/>
    </w:rPr>
  </w:style>
  <w:style w:type="paragraph" w:customStyle="1" w:styleId="Htableleft">
    <w:name w:val="H_table_left"/>
    <w:rsid w:val="00E05D08"/>
    <w:pPr>
      <w:suppressAutoHyphens/>
      <w:spacing w:before="40" w:after="40" w:line="240" w:lineRule="auto"/>
    </w:pPr>
    <w:rPr>
      <w:rFonts w:ascii="Arial" w:eastAsia="Times New Roman" w:hAnsi="Arial" w:cs="Times New Roman"/>
      <w:color w:val="373737"/>
      <w:sz w:val="18"/>
      <w:szCs w:val="20"/>
      <w:lang w:eastAsia="de-DE"/>
    </w:rPr>
  </w:style>
  <w:style w:type="paragraph" w:customStyle="1" w:styleId="Htablecentered">
    <w:name w:val="H_table_centered"/>
    <w:basedOn w:val="Htableleft"/>
    <w:rsid w:val="00E05D08"/>
    <w:pPr>
      <w:jc w:val="center"/>
    </w:pPr>
  </w:style>
  <w:style w:type="paragraph" w:customStyle="1" w:styleId="Htableleftbolt">
    <w:name w:val="H_table_left_bolt"/>
    <w:basedOn w:val="Htableleft"/>
    <w:rsid w:val="00E05D08"/>
    <w:rPr>
      <w:b/>
      <w:color w:val="FFFFFF"/>
    </w:rPr>
  </w:style>
  <w:style w:type="paragraph" w:customStyle="1" w:styleId="Htablecenteredbolt">
    <w:name w:val="H_table_centered_bolt"/>
    <w:basedOn w:val="Htablecentered"/>
    <w:rsid w:val="00E05D08"/>
    <w:rPr>
      <w:b/>
      <w:color w:val="FFFFFF"/>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F74459"/>
    <w:pPr>
      <w:spacing w:after="0" w:line="180" w:lineRule="exact"/>
    </w:pPr>
    <w:rPr>
      <w:rFonts w:ascii="Arial" w:eastAsia="Times New Roman" w:hAnsi="Arial" w:cs="Times New Roman"/>
      <w:color w:val="808080"/>
      <w:sz w:val="16"/>
      <w:szCs w:val="20"/>
      <w:lang w:eastAsia="de-DE"/>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F74459"/>
    <w:rPr>
      <w:rFonts w:ascii="Arial" w:eastAsia="Times New Roman" w:hAnsi="Arial" w:cs="Times New Roman"/>
      <w:color w:val="808080"/>
      <w:sz w:val="16"/>
      <w:szCs w:val="20"/>
      <w:lang w:eastAsia="de-DE"/>
    </w:rPr>
  </w:style>
  <w:style w:type="paragraph" w:customStyle="1" w:styleId="Htablebullet">
    <w:name w:val="H_table_bullet"/>
    <w:basedOn w:val="Htableleft"/>
    <w:rsid w:val="00E05D08"/>
    <w:pPr>
      <w:numPr>
        <w:numId w:val="5"/>
      </w:numPr>
    </w:pPr>
  </w:style>
  <w:style w:type="paragraph" w:customStyle="1" w:styleId="HContent">
    <w:name w:val="H_Content"/>
    <w:basedOn w:val="Heading1"/>
    <w:next w:val="HStandard"/>
    <w:rsid w:val="00E05D08"/>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582F60"/>
    <w:pPr>
      <w:keepNext/>
      <w:keepLines/>
      <w:pageBreakBefore/>
      <w:numPr>
        <w:numId w:val="119"/>
      </w:numPr>
      <w:tabs>
        <w:tab w:val="left" w:pos="567"/>
      </w:tabs>
      <w:spacing w:before="360" w:after="360" w:line="280" w:lineRule="atLeast"/>
      <w:ind w:left="567" w:hanging="567"/>
      <w:mirrorIndents/>
      <w:outlineLvl w:val="0"/>
    </w:pPr>
    <w:rPr>
      <w:rFonts w:ascii="Arial" w:eastAsia="Times New Roman" w:hAnsi="Arial" w:cs="Times New Roman"/>
      <w:b/>
      <w:caps/>
      <w:color w:val="F07E31"/>
      <w:sz w:val="20"/>
      <w:szCs w:val="20"/>
      <w:lang w:eastAsia="de-DE"/>
    </w:rPr>
  </w:style>
  <w:style w:type="paragraph" w:customStyle="1" w:styleId="HHeading2">
    <w:name w:val="H_Heading 2"/>
    <w:next w:val="HStandard"/>
    <w:rsid w:val="00E05D08"/>
    <w:pPr>
      <w:keepNext/>
      <w:keepLines/>
      <w:numPr>
        <w:ilvl w:val="1"/>
        <w:numId w:val="6"/>
      </w:numPr>
      <w:tabs>
        <w:tab w:val="left" w:pos="567"/>
      </w:tabs>
      <w:spacing w:before="240" w:after="140" w:line="260" w:lineRule="exact"/>
      <w:mirrorIndents/>
      <w:outlineLvl w:val="1"/>
    </w:pPr>
    <w:rPr>
      <w:rFonts w:ascii="Arial" w:eastAsia="Times New Roman" w:hAnsi="Arial" w:cs="Times New Roman"/>
      <w:b/>
      <w:color w:val="373737"/>
      <w:sz w:val="20"/>
      <w:szCs w:val="20"/>
      <w:lang w:eastAsia="de-DE"/>
    </w:rPr>
  </w:style>
  <w:style w:type="paragraph" w:customStyle="1" w:styleId="HHeading3">
    <w:name w:val="H_Heading 3"/>
    <w:next w:val="HStandard"/>
    <w:rsid w:val="009B603C"/>
    <w:pPr>
      <w:keepNext/>
      <w:keepLines/>
      <w:numPr>
        <w:ilvl w:val="2"/>
        <w:numId w:val="6"/>
      </w:numPr>
      <w:tabs>
        <w:tab w:val="left" w:pos="567"/>
      </w:tabs>
      <w:spacing w:before="240" w:after="140" w:line="240" w:lineRule="exact"/>
      <w:ind w:left="567" w:hanging="567"/>
      <w:mirrorIndents/>
      <w:outlineLvl w:val="2"/>
    </w:pPr>
    <w:rPr>
      <w:rFonts w:ascii="Arial" w:eastAsia="Times New Roman" w:hAnsi="Arial" w:cs="Times New Roman"/>
      <w:b/>
      <w:color w:val="F07E31"/>
      <w:sz w:val="20"/>
      <w:szCs w:val="20"/>
      <w:lang w:eastAsia="de-DE"/>
    </w:rPr>
  </w:style>
  <w:style w:type="paragraph" w:customStyle="1" w:styleId="HHeading4">
    <w:name w:val="H_Heading 4"/>
    <w:next w:val="HStandard"/>
    <w:rsid w:val="00E05D08"/>
    <w:pPr>
      <w:keepNext/>
      <w:keepLines/>
      <w:tabs>
        <w:tab w:val="left" w:pos="680"/>
      </w:tabs>
      <w:spacing w:before="240" w:after="240" w:line="280" w:lineRule="atLeast"/>
      <w:mirrorIndents/>
      <w:outlineLvl w:val="3"/>
    </w:pPr>
    <w:rPr>
      <w:rFonts w:ascii="Arial" w:eastAsia="Times New Roman" w:hAnsi="Arial" w:cs="Times New Roman"/>
      <w:b/>
      <w:color w:val="57825E"/>
      <w:sz w:val="20"/>
      <w:szCs w:val="20"/>
      <w:lang w:eastAsia="de-DE"/>
    </w:rPr>
  </w:style>
  <w:style w:type="character" w:styleId="Hyperlink">
    <w:name w:val="Hyperlink"/>
    <w:basedOn w:val="DefaultParagraphFont"/>
    <w:uiPriority w:val="99"/>
    <w:rsid w:val="00E05D08"/>
    <w:rPr>
      <w:rFonts w:ascii="Arial" w:hAnsi="Arial"/>
      <w:color w:val="F07E31"/>
      <w:sz w:val="16"/>
      <w:u w:val="single"/>
      <w:lang w:val="el-GR"/>
    </w:rPr>
  </w:style>
  <w:style w:type="paragraph" w:customStyle="1" w:styleId="HStandard">
    <w:name w:val="H_Standard"/>
    <w:rsid w:val="000E1D4B"/>
    <w:pPr>
      <w:spacing w:after="120" w:line="280" w:lineRule="atLeast"/>
      <w:jc w:val="both"/>
    </w:pPr>
    <w:rPr>
      <w:rFonts w:ascii="Arial" w:eastAsia="Times New Roman" w:hAnsi="Arial" w:cs="Times New Roman"/>
      <w:color w:val="373737"/>
      <w:sz w:val="20"/>
      <w:szCs w:val="20"/>
      <w:lang w:eastAsia="de-DE"/>
    </w:rPr>
  </w:style>
  <w:style w:type="paragraph" w:styleId="BalloonText">
    <w:name w:val="Balloon Text"/>
    <w:basedOn w:val="Normal"/>
    <w:link w:val="BalloonTextChar"/>
    <w:uiPriority w:val="99"/>
    <w:semiHidden/>
    <w:unhideWhenUsed/>
    <w:rsid w:val="00E05D08"/>
    <w:pPr>
      <w:spacing w:after="0" w:line="240" w:lineRule="auto"/>
    </w:pPr>
    <w:rPr>
      <w:rFonts w:ascii="Tahoma" w:eastAsia="Times New Roman" w:hAnsi="Tahoma" w:cs="Tahoma"/>
      <w:sz w:val="16"/>
      <w:szCs w:val="16"/>
      <w:lang w:eastAsia="de-DE"/>
    </w:rPr>
  </w:style>
  <w:style w:type="character" w:customStyle="1" w:styleId="BalloonTextChar">
    <w:name w:val="Balloon Text Char"/>
    <w:basedOn w:val="DefaultParagraphFont"/>
    <w:link w:val="BalloonText"/>
    <w:uiPriority w:val="99"/>
    <w:semiHidden/>
    <w:rsid w:val="00E05D08"/>
    <w:rPr>
      <w:rFonts w:ascii="Tahoma" w:eastAsia="Times New Roman" w:hAnsi="Tahoma" w:cs="Tahoma"/>
      <w:sz w:val="16"/>
      <w:szCs w:val="16"/>
      <w:lang w:eastAsia="de-DE"/>
    </w:rPr>
  </w:style>
  <w:style w:type="table" w:styleId="TableGrid">
    <w:name w:val="Table Grid"/>
    <w:basedOn w:val="TableNormal"/>
    <w:uiPriority w:val="39"/>
    <w:rsid w:val="00E05D08"/>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E05D08"/>
    <w:pPr>
      <w:numPr>
        <w:numId w:val="7"/>
      </w:numPr>
      <w:spacing w:before="200" w:after="140" w:line="240" w:lineRule="auto"/>
      <w:ind w:left="851" w:hanging="851"/>
    </w:pPr>
    <w:rPr>
      <w:rFonts w:ascii="Arial" w:eastAsia="Times New Roman" w:hAnsi="Arial" w:cs="Times New Roman"/>
      <w:b/>
      <w:color w:val="373737"/>
      <w:sz w:val="16"/>
      <w:szCs w:val="20"/>
      <w:lang w:eastAsia="de-DE"/>
    </w:rPr>
  </w:style>
  <w:style w:type="paragraph" w:customStyle="1" w:styleId="HHeadingfigures">
    <w:name w:val="H_Heading_figures"/>
    <w:basedOn w:val="HHeadingtables"/>
    <w:next w:val="HStandard"/>
    <w:qFormat/>
    <w:rsid w:val="00E05D08"/>
    <w:pPr>
      <w:numPr>
        <w:numId w:val="8"/>
      </w:numPr>
      <w:tabs>
        <w:tab w:val="num" w:pos="964"/>
      </w:tabs>
    </w:pPr>
  </w:style>
  <w:style w:type="paragraph" w:customStyle="1" w:styleId="HHeadingmaps">
    <w:name w:val="H_Heading_maps"/>
    <w:basedOn w:val="HHeadingtables"/>
    <w:next w:val="HStandard"/>
    <w:qFormat/>
    <w:rsid w:val="00E05D08"/>
    <w:pPr>
      <w:keepNext/>
      <w:keepLines/>
      <w:numPr>
        <w:numId w:val="9"/>
      </w:numPr>
      <w:outlineLvl w:val="5"/>
    </w:pPr>
  </w:style>
  <w:style w:type="paragraph" w:customStyle="1" w:styleId="HHeadingboxes">
    <w:name w:val="H_Heading_boxes"/>
    <w:basedOn w:val="HHeadingtables"/>
    <w:next w:val="HStandard"/>
    <w:qFormat/>
    <w:rsid w:val="00E05D08"/>
    <w:pPr>
      <w:numPr>
        <w:numId w:val="10"/>
      </w:numPr>
      <w:ind w:left="851" w:hanging="851"/>
    </w:pPr>
  </w:style>
  <w:style w:type="paragraph" w:customStyle="1" w:styleId="HBox">
    <w:name w:val="H_Box"/>
    <w:next w:val="HStandard"/>
    <w:qFormat/>
    <w:rsid w:val="00E05D08"/>
    <w:pPr>
      <w:framePr w:wrap="notBeside" w:vAnchor="text" w:hAnchor="text" w:y="1"/>
      <w:spacing w:after="120" w:line="260" w:lineRule="atLeast"/>
      <w:jc w:val="both"/>
    </w:pPr>
    <w:rPr>
      <w:rFonts w:ascii="Arial" w:eastAsia="Times New Roman" w:hAnsi="Arial" w:cs="Times New Roman"/>
      <w:color w:val="373737"/>
      <w:sz w:val="18"/>
      <w:szCs w:val="20"/>
      <w:lang w:eastAsia="de-DE"/>
    </w:rPr>
  </w:style>
  <w:style w:type="paragraph" w:customStyle="1" w:styleId="HBoxbullet">
    <w:name w:val="H_Box_bullet"/>
    <w:next w:val="HStandard"/>
    <w:qFormat/>
    <w:rsid w:val="00E05D08"/>
    <w:pPr>
      <w:numPr>
        <w:numId w:val="11"/>
      </w:numPr>
      <w:pBdr>
        <w:top w:val="single" w:sz="4" w:space="4" w:color="F07E31"/>
        <w:left w:val="single" w:sz="4" w:space="8" w:color="F07E31"/>
        <w:bottom w:val="single" w:sz="4" w:space="4" w:color="F07E31"/>
        <w:right w:val="single" w:sz="4" w:space="4" w:color="F07E31"/>
      </w:pBdr>
      <w:shd w:val="clear" w:color="auto" w:fill="FCE5D5"/>
      <w:spacing w:after="0" w:line="240" w:lineRule="auto"/>
      <w:ind w:left="363" w:hanging="284"/>
      <w:jc w:val="both"/>
    </w:pPr>
    <w:rPr>
      <w:rFonts w:ascii="Arial" w:eastAsia="Times New Roman" w:hAnsi="Arial" w:cs="Times New Roman"/>
      <w:color w:val="373737"/>
      <w:sz w:val="20"/>
      <w:szCs w:val="20"/>
      <w:lang w:eastAsia="de-DE"/>
    </w:rPr>
  </w:style>
  <w:style w:type="paragraph" w:customStyle="1" w:styleId="Hdisclaimer">
    <w:name w:val="H_disclaimer"/>
    <w:qFormat/>
    <w:rsid w:val="00E05D08"/>
    <w:pPr>
      <w:spacing w:after="120" w:line="280" w:lineRule="atLeast"/>
      <w:jc w:val="both"/>
    </w:pPr>
    <w:rPr>
      <w:rFonts w:ascii="Arial" w:eastAsia="Times New Roman" w:hAnsi="Arial" w:cs="Arial"/>
      <w:color w:val="373737"/>
      <w:sz w:val="18"/>
      <w:szCs w:val="18"/>
      <w:lang w:eastAsia="de-DE"/>
    </w:rPr>
  </w:style>
  <w:style w:type="character" w:styleId="SubtleReference">
    <w:name w:val="Subtle Reference"/>
    <w:uiPriority w:val="31"/>
    <w:qFormat/>
    <w:rsid w:val="00C37C7A"/>
    <w:rPr>
      <w:rFonts w:eastAsia="Times New Roman" w:cs="Times New Roman"/>
      <w:szCs w:val="20"/>
      <w:lang w:eastAsia="de-DE"/>
    </w:rPr>
  </w:style>
  <w:style w:type="table" w:customStyle="1" w:styleId="TableGrid1">
    <w:name w:val="Table Grid1"/>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CommentSubject">
    <w:name w:val="annotation subject"/>
    <w:basedOn w:val="Normal"/>
    <w:next w:val="Normal"/>
    <w:link w:val="CommentSubjectChar"/>
    <w:uiPriority w:val="99"/>
    <w:semiHidden/>
    <w:unhideWhenUsed/>
    <w:rsid w:val="00C37C7A"/>
    <w:pPr>
      <w:spacing w:before="60" w:after="140" w:line="240" w:lineRule="auto"/>
    </w:pPr>
    <w:rPr>
      <w:rFonts w:eastAsia="Times New Roman" w:cs="Times New Roman"/>
      <w:b/>
      <w:bCs/>
      <w:szCs w:val="20"/>
      <w:lang w:eastAsia="de-DE"/>
    </w:rPr>
  </w:style>
  <w:style w:type="character" w:customStyle="1" w:styleId="CommentSubjectChar">
    <w:name w:val="Comment Subject Char"/>
    <w:basedOn w:val="DefaultParagraphFont"/>
    <w:link w:val="CommentSubject"/>
    <w:uiPriority w:val="99"/>
    <w:semiHidden/>
    <w:rsid w:val="00C37C7A"/>
    <w:rPr>
      <w:rFonts w:ascii="Arial" w:eastAsia="Times New Roman" w:hAnsi="Arial" w:cs="Times New Roman"/>
      <w:b/>
      <w:bCs/>
      <w:sz w:val="20"/>
      <w:szCs w:val="20"/>
      <w:lang w:eastAsia="de-DE"/>
    </w:rPr>
  </w:style>
  <w:style w:type="paragraph" w:customStyle="1" w:styleId="Normal12PTcouleurgris">
    <w:name w:val="Normal + 12PT couleur gris"/>
    <w:basedOn w:val="Normal"/>
    <w:qFormat/>
    <w:rsid w:val="00E05D08"/>
    <w:pPr>
      <w:spacing w:after="0" w:line="280" w:lineRule="atLeast"/>
    </w:pPr>
    <w:rPr>
      <w:rFonts w:eastAsia="Times New Roman" w:cs="Arial"/>
      <w:szCs w:val="18"/>
      <w:lang w:eastAsia="de-DE"/>
    </w:rPr>
  </w:style>
  <w:style w:type="numbering" w:customStyle="1" w:styleId="MaListe">
    <w:name w:val="MaListe"/>
    <w:uiPriority w:val="99"/>
    <w:rsid w:val="00E05D08"/>
    <w:pPr>
      <w:numPr>
        <w:numId w:val="15"/>
      </w:numPr>
    </w:pPr>
  </w:style>
  <w:style w:type="character" w:styleId="HTMLCite">
    <w:name w:val="HTML Cite"/>
    <w:uiPriority w:val="99"/>
    <w:semiHidden/>
    <w:rsid w:val="00E05D08"/>
    <w:rPr>
      <w:i/>
    </w:rPr>
  </w:style>
  <w:style w:type="paragraph" w:styleId="Subtitle">
    <w:name w:val="Subtitle"/>
    <w:basedOn w:val="Normal"/>
    <w:link w:val="SubtitleChar"/>
    <w:uiPriority w:val="99"/>
    <w:qFormat/>
    <w:rsid w:val="00E05D08"/>
    <w:pPr>
      <w:numPr>
        <w:numId w:val="33"/>
      </w:numPr>
      <w:spacing w:before="60" w:after="60" w:line="240" w:lineRule="auto"/>
      <w:ind w:left="4897"/>
      <w:outlineLvl w:val="1"/>
    </w:pPr>
    <w:rPr>
      <w:rFonts w:ascii="Helvetica" w:eastAsia="Times New Roman" w:hAnsi="Helvetica" w:cs="Times New Roman"/>
      <w:b/>
      <w:snapToGrid w:val="0"/>
      <w:color w:val="9B3930"/>
      <w:sz w:val="16"/>
      <w:szCs w:val="16"/>
      <w:lang w:eastAsia="de-DE"/>
    </w:rPr>
  </w:style>
  <w:style w:type="character" w:customStyle="1" w:styleId="SubtitleChar">
    <w:name w:val="Subtitle Char"/>
    <w:basedOn w:val="DefaultParagraphFont"/>
    <w:link w:val="Subtitle"/>
    <w:uiPriority w:val="99"/>
    <w:rsid w:val="00E05D08"/>
    <w:rPr>
      <w:rFonts w:ascii="Helvetica" w:eastAsia="Times New Roman" w:hAnsi="Helvetica" w:cs="Times New Roman"/>
      <w:b/>
      <w:snapToGrid w:val="0"/>
      <w:color w:val="9B3930"/>
      <w:sz w:val="16"/>
      <w:szCs w:val="16"/>
      <w:lang w:eastAsia="de-DE"/>
    </w:rPr>
  </w:style>
  <w:style w:type="character" w:styleId="Emphasis">
    <w:name w:val="Emphasis"/>
    <w:uiPriority w:val="20"/>
    <w:qFormat/>
    <w:rsid w:val="00E05D08"/>
    <w:rPr>
      <w:i/>
    </w:rPr>
  </w:style>
  <w:style w:type="character" w:customStyle="1" w:styleId="Heading4Char">
    <w:name w:val="Heading 4 Char"/>
    <w:aliases w:val="Heading 4 Char1 Char,Título 4 Car Char,Heading 4 Char1 Car Char,no vale 2 Char,no vale 2 Car Char"/>
    <w:link w:val="Heading4"/>
    <w:uiPriority w:val="99"/>
    <w:locked/>
    <w:rsid w:val="00E05D08"/>
    <w:rPr>
      <w:rFonts w:ascii="Arial" w:eastAsia="Times New Roman" w:hAnsi="Arial" w:cs="Times New Roman"/>
      <w:b/>
      <w:bCs/>
      <w:color w:val="5F5F5F"/>
      <w:sz w:val="18"/>
      <w:szCs w:val="28"/>
      <w:lang w:eastAsia="de-DE"/>
    </w:rPr>
  </w:style>
  <w:style w:type="character" w:styleId="FollowedHyperlink">
    <w:name w:val="FollowedHyperlink"/>
    <w:uiPriority w:val="99"/>
    <w:semiHidden/>
    <w:rsid w:val="00E05D08"/>
    <w:rPr>
      <w:rFonts w:cs="Times New Roman"/>
      <w:color w:val="800080"/>
      <w:u w:val="single"/>
    </w:rPr>
  </w:style>
  <w:style w:type="paragraph" w:customStyle="1" w:styleId="Style">
    <w:name w:val="Style"/>
    <w:uiPriority w:val="99"/>
    <w:rsid w:val="00E05D08"/>
    <w:pPr>
      <w:spacing w:after="0" w:line="240" w:lineRule="auto"/>
    </w:pPr>
    <w:rPr>
      <w:rFonts w:ascii="Calibri" w:eastAsia="Times New Roman" w:hAnsi="Calibri" w:cs="Times New Roman"/>
      <w:sz w:val="24"/>
      <w:szCs w:val="24"/>
      <w:lang w:eastAsia="da-DK"/>
    </w:rPr>
  </w:style>
  <w:style w:type="table" w:customStyle="1" w:styleId="Tabellenraster11">
    <w:name w:val="Tabellenraster11"/>
    <w:uiPriority w:val="99"/>
    <w:rsid w:val="00E05D0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ote1">
    <w:name w:val="Quote1"/>
    <w:basedOn w:val="Normal"/>
    <w:next w:val="Normal"/>
    <w:link w:val="QuoteChar"/>
    <w:uiPriority w:val="99"/>
    <w:rsid w:val="00E05D08"/>
    <w:pPr>
      <w:spacing w:after="120" w:line="280" w:lineRule="atLeast"/>
    </w:pPr>
    <w:rPr>
      <w:rFonts w:ascii="Helvetica" w:eastAsia="Times New Roman" w:hAnsi="Helvetica" w:cs="Times New Roman"/>
      <w:i/>
      <w:iCs/>
      <w:snapToGrid w:val="0"/>
      <w:color w:val="000000"/>
      <w:lang w:eastAsia="de-DE"/>
    </w:rPr>
  </w:style>
  <w:style w:type="character" w:customStyle="1" w:styleId="QuoteChar">
    <w:name w:val="Quote Char"/>
    <w:link w:val="Quote1"/>
    <w:uiPriority w:val="99"/>
    <w:locked/>
    <w:rsid w:val="00E05D08"/>
    <w:rPr>
      <w:rFonts w:ascii="Helvetica" w:eastAsia="Times New Roman" w:hAnsi="Helvetica" w:cs="Times New Roman"/>
      <w:i/>
      <w:iCs/>
      <w:snapToGrid w:val="0"/>
      <w:color w:val="000000"/>
      <w:lang w:eastAsia="de-DE"/>
    </w:rPr>
  </w:style>
  <w:style w:type="numbering" w:styleId="111111">
    <w:name w:val="Outline List 2"/>
    <w:basedOn w:val="NoList"/>
    <w:uiPriority w:val="99"/>
    <w:rsid w:val="00E05D08"/>
    <w:pPr>
      <w:numPr>
        <w:numId w:val="30"/>
      </w:numPr>
    </w:pPr>
  </w:style>
  <w:style w:type="paragraph" w:customStyle="1" w:styleId="Revision1">
    <w:name w:val="Revision1"/>
    <w:hidden/>
    <w:uiPriority w:val="99"/>
    <w:semiHidden/>
    <w:rsid w:val="00E05D08"/>
    <w:pPr>
      <w:spacing w:after="0" w:line="240" w:lineRule="auto"/>
    </w:pPr>
    <w:rPr>
      <w:rFonts w:ascii="Arial" w:eastAsia="Times New Roman" w:hAnsi="Arial" w:cs="Times New Roman"/>
      <w:sz w:val="20"/>
      <w:lang w:eastAsia="de-DE"/>
    </w:rPr>
  </w:style>
  <w:style w:type="paragraph" w:customStyle="1" w:styleId="TOCHeading2">
    <w:name w:val="TOC Heading2"/>
    <w:basedOn w:val="Heading1"/>
    <w:next w:val="Normal"/>
    <w:uiPriority w:val="99"/>
    <w:semiHidden/>
    <w:unhideWhenUsed/>
    <w:qFormat/>
    <w:rsid w:val="00E05D08"/>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lang w:eastAsia="de-AT"/>
    </w:rPr>
  </w:style>
  <w:style w:type="paragraph" w:styleId="Revision">
    <w:name w:val="Revision"/>
    <w:hidden/>
    <w:uiPriority w:val="99"/>
    <w:semiHidden/>
    <w:rsid w:val="00E05D08"/>
    <w:pPr>
      <w:spacing w:after="0" w:line="240" w:lineRule="auto"/>
    </w:pPr>
    <w:rPr>
      <w:rFonts w:ascii="Arial" w:eastAsia="Times New Roman" w:hAnsi="Arial" w:cs="Times New Roman"/>
      <w:sz w:val="20"/>
      <w:lang w:eastAsia="de-DE"/>
    </w:rPr>
  </w:style>
  <w:style w:type="paragraph" w:customStyle="1" w:styleId="Red2Red">
    <w:name w:val="Red2Red"/>
    <w:basedOn w:val="Normal"/>
    <w:link w:val="Red2RedCar"/>
    <w:uiPriority w:val="99"/>
    <w:qFormat/>
    <w:rsid w:val="00E05D08"/>
    <w:pPr>
      <w:spacing w:before="60" w:after="60" w:line="288" w:lineRule="auto"/>
    </w:pPr>
    <w:rPr>
      <w:rFonts w:ascii="Helvetica" w:eastAsia="Times New Roman" w:hAnsi="Helvetica" w:cs="Times New Roman"/>
      <w:sz w:val="32"/>
      <w:szCs w:val="24"/>
      <w:lang w:eastAsia="es-ES"/>
    </w:rPr>
  </w:style>
  <w:style w:type="character" w:customStyle="1" w:styleId="Red2RedCar">
    <w:name w:val="Red2Red Car"/>
    <w:basedOn w:val="DefaultParagraphFont"/>
    <w:link w:val="Red2Red"/>
    <w:uiPriority w:val="99"/>
    <w:rsid w:val="00E05D08"/>
    <w:rPr>
      <w:rFonts w:ascii="Helvetica" w:eastAsia="Times New Roman" w:hAnsi="Helvetica" w:cs="Times New Roman"/>
      <w:sz w:val="32"/>
      <w:szCs w:val="24"/>
      <w:lang w:val="el-GR" w:eastAsia="es-ES"/>
    </w:rPr>
  </w:style>
  <w:style w:type="table" w:customStyle="1" w:styleId="MediumShading2-Accent31">
    <w:name w:val="Medium Shading 2 - Accent 31"/>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1">
    <w:name w:val="Medium Shading 1 - Accent 3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paragraph" w:customStyle="1" w:styleId="Normal22PT">
    <w:name w:val="Normal + 22PT"/>
    <w:aliases w:val="couleur Orange"/>
    <w:basedOn w:val="Normal"/>
    <w:qFormat/>
    <w:rsid w:val="00E05D08"/>
    <w:pPr>
      <w:spacing w:after="120" w:line="280" w:lineRule="atLeast"/>
    </w:pPr>
    <w:rPr>
      <w:rFonts w:ascii="Helvetica" w:eastAsia="Times New Roman" w:hAnsi="Helvetica" w:cs="Arial"/>
      <w:bCs/>
      <w:smallCaps/>
      <w:color w:val="DF6532"/>
      <w:sz w:val="44"/>
      <w:szCs w:val="44"/>
      <w:lang w:eastAsia="de-DE"/>
    </w:rPr>
  </w:style>
  <w:style w:type="paragraph" w:customStyle="1" w:styleId="H-Table">
    <w:name w:val="H-Table"/>
    <w:next w:val="Normal"/>
    <w:uiPriority w:val="99"/>
    <w:qFormat/>
    <w:rsid w:val="00E05D08"/>
    <w:pPr>
      <w:numPr>
        <w:numId w:val="37"/>
      </w:numPr>
      <w:spacing w:after="0" w:line="240" w:lineRule="auto"/>
      <w:ind w:left="510" w:hanging="510"/>
    </w:pPr>
    <w:rPr>
      <w:rFonts w:ascii="Helvetica" w:eastAsia="Times New Roman" w:hAnsi="Helvetica" w:cs="Times New Roman"/>
      <w:b/>
      <w:bCs/>
      <w:color w:val="6F6F6F"/>
      <w:sz w:val="16"/>
      <w:szCs w:val="20"/>
      <w:lang w:eastAsia="de-DE"/>
    </w:rPr>
  </w:style>
  <w:style w:type="table" w:customStyle="1" w:styleId="Grilledutableau1">
    <w:name w:val="Grille du tableau1"/>
    <w:basedOn w:val="TableNormal"/>
    <w:next w:val="TableGrid"/>
    <w:uiPriority w:val="59"/>
    <w:rsid w:val="00E0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
    <w:name w:val="Grille de tableau claire1"/>
    <w:basedOn w:val="TableNormal"/>
    <w:next w:val="TableNormal"/>
    <w:uiPriority w:val="40"/>
    <w:rsid w:val="00E05D0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LineNumber">
    <w:name w:val="line number"/>
    <w:basedOn w:val="DefaultParagraphFont"/>
    <w:semiHidden/>
    <w:unhideWhenUsed/>
    <w:rsid w:val="00E05D08"/>
  </w:style>
  <w:style w:type="character" w:customStyle="1" w:styleId="Erwhnung1">
    <w:name w:val="Erwähnung1"/>
    <w:basedOn w:val="DefaultParagraphFont"/>
    <w:uiPriority w:val="99"/>
    <w:semiHidden/>
    <w:unhideWhenUsed/>
    <w:rsid w:val="00E05D08"/>
    <w:rPr>
      <w:color w:val="2B579A"/>
      <w:shd w:val="clear" w:color="auto" w:fill="E6E6E6"/>
    </w:rPr>
  </w:style>
  <w:style w:type="character" w:customStyle="1" w:styleId="Erwhnung2">
    <w:name w:val="Erwähnung2"/>
    <w:basedOn w:val="DefaultParagraphFont"/>
    <w:uiPriority w:val="99"/>
    <w:semiHidden/>
    <w:unhideWhenUsed/>
    <w:rsid w:val="00E05D08"/>
    <w:rPr>
      <w:color w:val="2B579A"/>
      <w:shd w:val="clear" w:color="auto" w:fill="E6E6E6"/>
    </w:rPr>
  </w:style>
  <w:style w:type="table" w:customStyle="1" w:styleId="TableGrid2">
    <w:name w:val="Table Grid2"/>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MaListe1">
    <w:name w:val="MaListe1"/>
    <w:uiPriority w:val="99"/>
    <w:rsid w:val="00E05D08"/>
    <w:pPr>
      <w:numPr>
        <w:numId w:val="109"/>
      </w:numPr>
    </w:pPr>
  </w:style>
  <w:style w:type="table" w:customStyle="1" w:styleId="TableGrid3">
    <w:name w:val="Table Grid3"/>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Header">
    <w:name w:val="header"/>
    <w:basedOn w:val="Normal"/>
    <w:link w:val="HeaderChar"/>
    <w:uiPriority w:val="99"/>
    <w:unhideWhenUsed/>
    <w:rsid w:val="009837FF"/>
    <w:pPr>
      <w:tabs>
        <w:tab w:val="center" w:pos="4513"/>
        <w:tab w:val="right" w:pos="9026"/>
      </w:tabs>
      <w:spacing w:after="0" w:line="240" w:lineRule="auto"/>
    </w:pPr>
    <w:rPr>
      <w:color w:val="F07E31"/>
      <w:sz w:val="18"/>
    </w:rPr>
  </w:style>
  <w:style w:type="character" w:customStyle="1" w:styleId="HeaderChar">
    <w:name w:val="Header Char"/>
    <w:basedOn w:val="DefaultParagraphFont"/>
    <w:link w:val="Header"/>
    <w:uiPriority w:val="99"/>
    <w:rsid w:val="009837FF"/>
    <w:rPr>
      <w:rFonts w:ascii="Arial" w:hAnsi="Arial"/>
      <w:color w:val="F07E31"/>
      <w:sz w:val="1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unhideWhenUsed/>
    <w:rsid w:val="00E05D08"/>
    <w:rPr>
      <w:vertAlign w:val="superscript"/>
    </w:rPr>
  </w:style>
  <w:style w:type="table" w:styleId="MediumShading2-Accent3">
    <w:name w:val="Medium Shading 2 Accent 3"/>
    <w:basedOn w:val="TableNormal"/>
    <w:uiPriority w:val="64"/>
    <w:semiHidden/>
    <w:unhideWhenUsed/>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3">
    <w:name w:val="Medium Shading 1 Accent 3"/>
    <w:basedOn w:val="TableNormal"/>
    <w:uiPriority w:val="63"/>
    <w:semiHidden/>
    <w:unhideWhenUsed/>
    <w:rsid w:val="00E05D0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E05D08"/>
  </w:style>
  <w:style w:type="numbering" w:customStyle="1" w:styleId="MaListe2">
    <w:name w:val="MaListe2"/>
    <w:uiPriority w:val="99"/>
    <w:rsid w:val="00E05D08"/>
    <w:pPr>
      <w:numPr>
        <w:numId w:val="13"/>
      </w:numPr>
    </w:pPr>
  </w:style>
  <w:style w:type="numbering" w:customStyle="1" w:styleId="1111111">
    <w:name w:val="1 / 1.1 / 1.1.11"/>
    <w:basedOn w:val="NoList"/>
    <w:next w:val="111111"/>
    <w:uiPriority w:val="99"/>
    <w:rsid w:val="00E05D08"/>
    <w:pPr>
      <w:numPr>
        <w:numId w:val="23"/>
      </w:numPr>
    </w:pPr>
  </w:style>
  <w:style w:type="table" w:customStyle="1" w:styleId="MediumShading2-Accent32">
    <w:name w:val="Medium Shading 2 - Accent 32"/>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2">
    <w:name w:val="Medium Shading 1 - Accent 32"/>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MediumShading1-Accent311">
    <w:name w:val="Medium Shading 1 - Accent 31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Cuadrculadetablaclara11">
    <w:name w:val="Cuadrícula de tabla clara11"/>
    <w:basedOn w:val="TableNormal"/>
    <w:rsid w:val="00E05D08"/>
    <w:pPr>
      <w:spacing w:after="0" w:line="240" w:lineRule="auto"/>
    </w:pPr>
    <w:rPr>
      <w:rFonts w:ascii="Times New Roman" w:eastAsia="Times New Roman" w:hAnsi="Times New Roman" w:cs="Times New Roman"/>
      <w:sz w:val="20"/>
      <w:szCs w:val="20"/>
      <w:lang w:eastAsia="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MaListe11">
    <w:name w:val="MaListe11"/>
    <w:uiPriority w:val="99"/>
    <w:rsid w:val="00E05D08"/>
    <w:pPr>
      <w:numPr>
        <w:numId w:val="47"/>
      </w:numPr>
    </w:pPr>
  </w:style>
  <w:style w:type="character" w:customStyle="1" w:styleId="UnresolvedMention1">
    <w:name w:val="Unresolved Mention1"/>
    <w:basedOn w:val="DefaultParagraphFont"/>
    <w:uiPriority w:val="99"/>
    <w:semiHidden/>
    <w:unhideWhenUsed/>
    <w:rsid w:val="00E05D08"/>
    <w:rPr>
      <w:color w:val="808080"/>
      <w:shd w:val="clear" w:color="auto" w:fill="E6E6E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ascii="Arial" w:hAnsi="Arial"/>
      <w:color w:val="373737"/>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H-Standard">
    <w:name w:val="H-Standard"/>
    <w:basedOn w:val="Normal12PTcouleurgris"/>
    <w:qFormat/>
    <w:rsid w:val="00863DB0"/>
    <w:pPr>
      <w:spacing w:after="120"/>
    </w:pPr>
    <w:rPr>
      <w:rFonts w:eastAsia="Calibr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942330">
      <w:bodyDiv w:val="1"/>
      <w:marLeft w:val="0"/>
      <w:marRight w:val="0"/>
      <w:marTop w:val="0"/>
      <w:marBottom w:val="0"/>
      <w:divBdr>
        <w:top w:val="none" w:sz="0" w:space="0" w:color="auto"/>
        <w:left w:val="none" w:sz="0" w:space="0" w:color="auto"/>
        <w:bottom w:val="none" w:sz="0" w:space="0" w:color="auto"/>
        <w:right w:val="none" w:sz="0" w:space="0" w:color="auto"/>
      </w:divBdr>
    </w:div>
    <w:div w:id="638732370">
      <w:bodyDiv w:val="1"/>
      <w:marLeft w:val="0"/>
      <w:marRight w:val="0"/>
      <w:marTop w:val="0"/>
      <w:marBottom w:val="0"/>
      <w:divBdr>
        <w:top w:val="none" w:sz="0" w:space="0" w:color="auto"/>
        <w:left w:val="none" w:sz="0" w:space="0" w:color="auto"/>
        <w:bottom w:val="none" w:sz="0" w:space="0" w:color="auto"/>
        <w:right w:val="none" w:sz="0" w:space="0" w:color="auto"/>
      </w:divBdr>
    </w:div>
    <w:div w:id="656803589">
      <w:bodyDiv w:val="1"/>
      <w:marLeft w:val="0"/>
      <w:marRight w:val="0"/>
      <w:marTop w:val="0"/>
      <w:marBottom w:val="0"/>
      <w:divBdr>
        <w:top w:val="none" w:sz="0" w:space="0" w:color="auto"/>
        <w:left w:val="none" w:sz="0" w:space="0" w:color="auto"/>
        <w:bottom w:val="none" w:sz="0" w:space="0" w:color="auto"/>
        <w:right w:val="none" w:sz="0" w:space="0" w:color="auto"/>
      </w:divBdr>
      <w:divsChild>
        <w:div w:id="811171820">
          <w:marLeft w:val="0"/>
          <w:marRight w:val="0"/>
          <w:marTop w:val="0"/>
          <w:marBottom w:val="0"/>
          <w:divBdr>
            <w:top w:val="none" w:sz="0" w:space="0" w:color="auto"/>
            <w:left w:val="none" w:sz="0" w:space="0" w:color="auto"/>
            <w:bottom w:val="none" w:sz="0" w:space="0" w:color="auto"/>
            <w:right w:val="none" w:sz="0" w:space="0" w:color="auto"/>
          </w:divBdr>
        </w:div>
      </w:divsChild>
    </w:div>
    <w:div w:id="1139106666">
      <w:bodyDiv w:val="1"/>
      <w:marLeft w:val="0"/>
      <w:marRight w:val="0"/>
      <w:marTop w:val="0"/>
      <w:marBottom w:val="0"/>
      <w:divBdr>
        <w:top w:val="none" w:sz="0" w:space="0" w:color="auto"/>
        <w:left w:val="none" w:sz="0" w:space="0" w:color="auto"/>
        <w:bottom w:val="none" w:sz="0" w:space="0" w:color="auto"/>
        <w:right w:val="none" w:sz="0" w:space="0" w:color="auto"/>
      </w:divBdr>
    </w:div>
    <w:div w:id="1379625291">
      <w:bodyDiv w:val="1"/>
      <w:marLeft w:val="0"/>
      <w:marRight w:val="0"/>
      <w:marTop w:val="0"/>
      <w:marBottom w:val="0"/>
      <w:divBdr>
        <w:top w:val="none" w:sz="0" w:space="0" w:color="auto"/>
        <w:left w:val="none" w:sz="0" w:space="0" w:color="auto"/>
        <w:bottom w:val="none" w:sz="0" w:space="0" w:color="auto"/>
        <w:right w:val="none" w:sz="0" w:space="0" w:color="auto"/>
      </w:divBdr>
      <w:divsChild>
        <w:div w:id="1564415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hyperlink" Target="http://www.tandfonline.com/doi/abs/10.1080/135467896394447" TargetMode="External"/><Relationship Id="rId21" Type="http://schemas.openxmlformats.org/officeDocument/2006/relationships/footer" Target="footer5.xml"/><Relationship Id="rId42" Type="http://schemas.openxmlformats.org/officeDocument/2006/relationships/hyperlink" Target="https://enrd.ec.europa.eu/evaluation/publications/guidelines-assessment-rdp-results-how-prepare-reporting-evaluation-2017_en" TargetMode="External"/><Relationship Id="rId47" Type="http://schemas.openxmlformats.org/officeDocument/2006/relationships/hyperlink" Target="https://ec.europa.eu/eip/agriculture/sites/agri-eip/files/16_measure_fiche_art_35_co-operation.pdf" TargetMode="External"/><Relationship Id="rId63" Type="http://schemas.openxmlformats.org/officeDocument/2006/relationships/hyperlink" Target="https://enrd.ec.europa.eu/evaluation/publications/guidelines-assessment-rdp-results-how-prepare-reporting-evaluation-2017_en" TargetMode="External"/><Relationship Id="rId68" Type="http://schemas.openxmlformats.org/officeDocument/2006/relationships/hyperlink" Target="http://enrd.ec.europa.eu/enrd-static/evaluation/good-practices-workshops/national-rural-networks/en/national-rural-networks_en.html" TargetMode="External"/><Relationship Id="rId84" Type="http://schemas.openxmlformats.org/officeDocument/2006/relationships/hyperlink" Target="http://eur-lex.europa.eu/LexUriServ/LexUriServ.do?uri=COM:2010:2020:FIN:EL:PDF" TargetMode="External"/><Relationship Id="rId89" Type="http://schemas.openxmlformats.org/officeDocument/2006/relationships/hyperlink" Target="http://www.men-d.de/index.php?id=81&amp;tx_ttnews%5btt_news%5d=195&amp;tx_ttnews%5bbackPid%5d=85&amp;cHash=08539b2ad7" TargetMode="External"/><Relationship Id="rId112" Type="http://schemas.openxmlformats.org/officeDocument/2006/relationships/hyperlink" Target="http://asq.org/quality-progress/2007/07/statistics/likert-scales-and-data-analyses.html" TargetMode="External"/><Relationship Id="rId16" Type="http://schemas.openxmlformats.org/officeDocument/2006/relationships/header" Target="header3.xml"/><Relationship Id="rId107" Type="http://schemas.openxmlformats.org/officeDocument/2006/relationships/hyperlink" Target="http://www.tandfonline.com/doi/abs/10.1080/135467896394447" TargetMode="External"/><Relationship Id="rId11" Type="http://schemas.openxmlformats.org/officeDocument/2006/relationships/image" Target="media/image2.jpeg"/><Relationship Id="rId32" Type="http://schemas.openxmlformats.org/officeDocument/2006/relationships/hyperlink" Target="https://enrd.ec.europa.eu/sites/enrd/files/uploaded-files/wp_evaluation_questions_2015.pdf" TargetMode="External"/><Relationship Id="rId37" Type="http://schemas.openxmlformats.org/officeDocument/2006/relationships/footer" Target="footer9.xml"/><Relationship Id="rId53" Type="http://schemas.openxmlformats.org/officeDocument/2006/relationships/hyperlink" Target="https://ec.europa.eu/eip/agriculture/sites/agri-eip/files/16_measure_fiche_art_35_co-operation.pdf" TargetMode="External"/><Relationship Id="rId58" Type="http://schemas.openxmlformats.org/officeDocument/2006/relationships/hyperlink" Target="http://enrd.ec.europa.eu/news-events/events/enrd-workshop-measure-16-cooperation_en" TargetMode="External"/><Relationship Id="rId74" Type="http://schemas.openxmlformats.org/officeDocument/2006/relationships/hyperlink" Target="https://ec.europa.eu/eip/agriculture/en/publications/guidelines-programming-innovation-and" TargetMode="External"/><Relationship Id="rId79" Type="http://schemas.openxmlformats.org/officeDocument/2006/relationships/hyperlink" Target="http://ec.europa.eu/eurostat/statistics-explained/index.php/Smarter,_greener,_more_inclusive_-_indicators_to_support_the_Europe_2020_strategy" TargetMode="External"/><Relationship Id="rId102" Type="http://schemas.openxmlformats.org/officeDocument/2006/relationships/hyperlink" Target="https://www.cambridge.org/core/journals/ps-political-science-and-politics/article/understanding-process-tracing/183A057AD6A36783E678CB37440346D1" TargetMode="External"/><Relationship Id="rId123" Type="http://schemas.openxmlformats.org/officeDocument/2006/relationships/hyperlink" Target="http://ec.europa.eu/eip/agriculture/sites/agri-eip/files/16_measure_fiche_art_35_co-operation.pdf" TargetMode="External"/><Relationship Id="rId128" Type="http://schemas.openxmlformats.org/officeDocument/2006/relationships/hyperlink" Target="https://ec.europa.eu/eip/agriculture/en/content/innovation-support-services" TargetMode="External"/><Relationship Id="rId5" Type="http://schemas.openxmlformats.org/officeDocument/2006/relationships/webSettings" Target="webSettings.xml"/><Relationship Id="rId90" Type="http://schemas.openxmlformats.org/officeDocument/2006/relationships/image" Target="media/image17.emf"/><Relationship Id="rId95" Type="http://schemas.openxmlformats.org/officeDocument/2006/relationships/hyperlink" Target="http://www.hnvlink.eu/" TargetMode="Externa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footer" Target="footer7.xml"/><Relationship Id="rId43" Type="http://schemas.openxmlformats.org/officeDocument/2006/relationships/hyperlink" Target="https://ec.europa.eu/eip/agriculture/sites/agri-eip/files/16_measure_fiche_art_35_co-operation.pdf" TargetMode="External"/><Relationship Id="rId48" Type="http://schemas.openxmlformats.org/officeDocument/2006/relationships/hyperlink" Target="http://enrd.ec.europa.eu/news-events/events/enrd-workshop-measure-16-cooperation_en" TargetMode="External"/><Relationship Id="rId56" Type="http://schemas.openxmlformats.org/officeDocument/2006/relationships/hyperlink" Target="https://enrd.ec.europa.eu/evaluation/publications/guidelines-assessment-rdp-results-how-prepare-reporting-evaluation-2017_en" TargetMode="External"/><Relationship Id="rId64" Type="http://schemas.openxmlformats.org/officeDocument/2006/relationships/hyperlink" Target="https://enrd.ec.europa.eu/evaluation/publications/guidelines-assessment-rdp-results-how-prepare-reporting-evaluation-2017_en" TargetMode="External"/><Relationship Id="rId69" Type="http://schemas.openxmlformats.org/officeDocument/2006/relationships/hyperlink" Target="http://enrd.ec.europa.eu/enrd-static/evaluation/good-practices-workshops/national-rural-networks/en/national-rural-networks_en.html" TargetMode="External"/><Relationship Id="rId77" Type="http://schemas.openxmlformats.org/officeDocument/2006/relationships/hyperlink" Target="https://enrd.ec.europa.eu/sites/enrd/files/uploaded-files/wp_evaluation_questions_2015.pdf" TargetMode="External"/><Relationship Id="rId100" Type="http://schemas.openxmlformats.org/officeDocument/2006/relationships/header" Target="header10.xml"/><Relationship Id="rId105" Type="http://schemas.openxmlformats.org/officeDocument/2006/relationships/hyperlink" Target="https://www.gao.gov/products/GAO/PEMD-10.1.9" TargetMode="External"/><Relationship Id="rId113" Type="http://schemas.openxmlformats.org/officeDocument/2006/relationships/hyperlink" Target="https://www.cambridge.org/core/journals/ps-political-science-and-politics/article/understanding-process-tracing/183A057AD6A36783E678CB37440346D1" TargetMode="External"/><Relationship Id="rId118" Type="http://schemas.openxmlformats.org/officeDocument/2006/relationships/hyperlink" Target="http://www.tandfonline.com/doi/abs/10.1080/135467896394447" TargetMode="External"/><Relationship Id="rId126" Type="http://schemas.openxmlformats.org/officeDocument/2006/relationships/hyperlink" Target="https://ec.europa.eu/eip/agriculture/en/content/innovation-support-services" TargetMode="External"/><Relationship Id="rId8" Type="http://schemas.openxmlformats.org/officeDocument/2006/relationships/hyperlink" Target="https://enrd.ec.europa.eu/evaluation/publications/evaluation-innovation-rural-development-programmes-2014-2020_en" TargetMode="External"/><Relationship Id="rId51" Type="http://schemas.openxmlformats.org/officeDocument/2006/relationships/hyperlink" Target="https://enrd.ec.europa.eu/evaluation/publications/guidelines-assessment-rdp-results-how-prepare-reporting-evaluation-2017_en" TargetMode="External"/><Relationship Id="rId72" Type="http://schemas.openxmlformats.org/officeDocument/2006/relationships/hyperlink" Target="http://enrd.ec.europa.eu/enrd-static/app_templates/enrd_assets/pdf/guidebook/nrn_handbook_webversion.pdf" TargetMode="External"/><Relationship Id="rId80" Type="http://schemas.openxmlformats.org/officeDocument/2006/relationships/hyperlink" Target="http://ec.europa.eu/eurostat/statistics-explained/index.php/Smarter,_greener,_more_inclusive_-_indicators_to_support_the_Europe_2020_strategy" TargetMode="External"/><Relationship Id="rId85" Type="http://schemas.openxmlformats.org/officeDocument/2006/relationships/hyperlink" Target="http://ec.europa.eu/eurostat/statistics-explained/index.php/Smarter,_greener,_more_inclusive_-_indicators_to_support_the_Europe_2020_strategy" TargetMode="External"/><Relationship Id="rId93" Type="http://schemas.openxmlformats.org/officeDocument/2006/relationships/hyperlink" Target="https://enrd.ec.europa.eu/sites/enrd/files/uploaded-files/wp_evaluation_questions_2015.pdf" TargetMode="External"/><Relationship Id="rId98" Type="http://schemas.openxmlformats.org/officeDocument/2006/relationships/hyperlink" Target="http://www.hnvlink.eu/download/D1.3BAcomplete.pdf" TargetMode="External"/><Relationship Id="rId121" Type="http://schemas.openxmlformats.org/officeDocument/2006/relationships/hyperlink" Target="https://www.ncbi.nlm.nih.gov/pubmed/16053581"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enrd.ec.europa.eu/evaluation/publications/guidelines-assessment-rdp-results-how-prepare-reporting-evaluation-2017_en" TargetMode="External"/><Relationship Id="rId38" Type="http://schemas.openxmlformats.org/officeDocument/2006/relationships/image" Target="media/image13.emf"/><Relationship Id="rId46" Type="http://schemas.openxmlformats.org/officeDocument/2006/relationships/hyperlink" Target="https://enrd.ec.europa.eu/evaluation/publications/guidelines-assessment-rdp-results-how-prepare-reporting-evaluation-2017_en" TargetMode="External"/><Relationship Id="rId59" Type="http://schemas.openxmlformats.org/officeDocument/2006/relationships/image" Target="media/image16.emf"/><Relationship Id="rId67" Type="http://schemas.openxmlformats.org/officeDocument/2006/relationships/hyperlink" Target="https://ec.europa.eu/eip/agriculture/en/publications/guidelines-programming-innovation-and" TargetMode="External"/><Relationship Id="rId103" Type="http://schemas.openxmlformats.org/officeDocument/2006/relationships/hyperlink" Target="http://ageconsearch.umn.edu/bitstream/52515/2/ILAC_Brief05_Histories.pdf" TargetMode="External"/><Relationship Id="rId108" Type="http://schemas.openxmlformats.org/officeDocument/2006/relationships/hyperlink" Target="http://journals.sagepub.com/doi/abs/10.1177/1356389012451663" TargetMode="External"/><Relationship Id="rId116" Type="http://schemas.openxmlformats.org/officeDocument/2006/relationships/hyperlink" Target="https://www.gao.gov/products/GAO/PEMD-10.1.9" TargetMode="External"/><Relationship Id="rId124" Type="http://schemas.openxmlformats.org/officeDocument/2006/relationships/hyperlink" Target="http://eur-lex.europa.eu/legal-content/EL/TXT/PDF/?uri=CELEX:52010DC0546&amp;from=el" TargetMode="External"/><Relationship Id="rId129" Type="http://schemas.openxmlformats.org/officeDocument/2006/relationships/hyperlink" Target="http://enrd.ec.europa.eu/enrd-static/app_templates/enrd_assets/pdf/guidebook/nrn_handbook_webversion.pdf" TargetMode="External"/><Relationship Id="rId20" Type="http://schemas.openxmlformats.org/officeDocument/2006/relationships/header" Target="header5.xml"/><Relationship Id="rId41" Type="http://schemas.openxmlformats.org/officeDocument/2006/relationships/hyperlink" Target="https://enrd.ec.europa.eu/evaluation/publications/guidelines-assessment-rdp-results-how-prepare-reporting-evaluation-2017_en" TargetMode="External"/><Relationship Id="rId54" Type="http://schemas.openxmlformats.org/officeDocument/2006/relationships/hyperlink" Target="http://enrd.ec.europa.eu/news-events/events/enrd-workshop-measure-16-cooperation_en" TargetMode="External"/><Relationship Id="rId62" Type="http://schemas.openxmlformats.org/officeDocument/2006/relationships/header" Target="header7.xml"/><Relationship Id="rId70" Type="http://schemas.openxmlformats.org/officeDocument/2006/relationships/hyperlink" Target="https://enrd.ec.europa.eu/evaluation/publications/guidelines-assessment-rdp-results-how-prepare-reporting-evaluation-2017_en" TargetMode="External"/><Relationship Id="rId75" Type="http://schemas.openxmlformats.org/officeDocument/2006/relationships/hyperlink" Target="http://enrd.ec.europa.eu/enrd-static/evaluation/good-practices-workshops/national-rural-networks/en/national-rural-networks_en.html" TargetMode="External"/><Relationship Id="rId83" Type="http://schemas.openxmlformats.org/officeDocument/2006/relationships/hyperlink" Target="http://www.men-d.de/index.php?id=81&amp;tx_ttnews%5btt_news%5d=195&amp;tx_ttnews%5bbackPid%5d=85&amp;cHash=08539b2ad7" TargetMode="External"/><Relationship Id="rId88" Type="http://schemas.openxmlformats.org/officeDocument/2006/relationships/hyperlink" Target="http://www.men-d.de/index.php?id=81&amp;tx_ttnews%5btt_news%5d=150&amp;tx_ttnews%5bbackPid%5d=85&amp;cHash=41ecd4ea5c" TargetMode="External"/><Relationship Id="rId91" Type="http://schemas.openxmlformats.org/officeDocument/2006/relationships/header" Target="header8.xml"/><Relationship Id="rId96" Type="http://schemas.openxmlformats.org/officeDocument/2006/relationships/hyperlink" Target="http://www.hnvlink.eu/download/D1.3BAcomplete.pdf" TargetMode="External"/><Relationship Id="rId111" Type="http://schemas.openxmlformats.org/officeDocument/2006/relationships/hyperlink" Target="http://betterevaluation.org/plan/approach/outcome_harvesting"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9.emf"/><Relationship Id="rId36" Type="http://schemas.openxmlformats.org/officeDocument/2006/relationships/footer" Target="footer8.xml"/><Relationship Id="rId49" Type="http://schemas.openxmlformats.org/officeDocument/2006/relationships/image" Target="media/image15.emf"/><Relationship Id="rId57" Type="http://schemas.openxmlformats.org/officeDocument/2006/relationships/hyperlink" Target="https://ec.europa.eu/eip/agriculture/sites/agri-eip/files/16_measure_fiche_art_35_co-operation.pdf" TargetMode="External"/><Relationship Id="rId106" Type="http://schemas.openxmlformats.org/officeDocument/2006/relationships/hyperlink" Target="http://www.tandfonline.com/doi/abs/10.1080/135467896394447" TargetMode="External"/><Relationship Id="rId114" Type="http://schemas.openxmlformats.org/officeDocument/2006/relationships/hyperlink" Target="http://ageconsearch.umn.edu/bitstream/52515/2/ILAC_Brief05_Histories.pdf" TargetMode="External"/><Relationship Id="rId119" Type="http://schemas.openxmlformats.org/officeDocument/2006/relationships/hyperlink" Target="http://journals.sagepub.com/doi/abs/10.1177/1356389012451663" TargetMode="External"/><Relationship Id="rId127" Type="http://schemas.openxmlformats.org/officeDocument/2006/relationships/hyperlink" Target="http://ec.europa.eu/eip/agriculture/sites/agri-eip/files/eip-guidelines-july-2014_en.pdf" TargetMode="External"/><Relationship Id="rId10" Type="http://schemas.openxmlformats.org/officeDocument/2006/relationships/image" Target="media/image1.jpg"/><Relationship Id="rId31" Type="http://schemas.openxmlformats.org/officeDocument/2006/relationships/image" Target="media/image12.emf"/><Relationship Id="rId44" Type="http://schemas.openxmlformats.org/officeDocument/2006/relationships/hyperlink" Target="http://enrd.ec.europa.eu/news-events/events/enrd-workshop-measure-16-cooperation_en" TargetMode="External"/><Relationship Id="rId52" Type="http://schemas.openxmlformats.org/officeDocument/2006/relationships/hyperlink" Target="https://enrd.ec.europa.eu/evaluation/publications/guidelines-assessment-rdp-results-how-prepare-reporting-evaluation-2017_en" TargetMode="External"/><Relationship Id="rId60" Type="http://schemas.openxmlformats.org/officeDocument/2006/relationships/hyperlink" Target="https://enrd.ec.europa.eu/evaluation/publications/guidelines-evaluation-national-rural-networks-2014-2020_en" TargetMode="External"/><Relationship Id="rId65" Type="http://schemas.openxmlformats.org/officeDocument/2006/relationships/hyperlink" Target="http://enrd.ec.europa.eu/enrd-static/app_templates/enrd_assets/pdf/guidebook/nrn_handbook_webversion.pdf" TargetMode="External"/><Relationship Id="rId73" Type="http://schemas.openxmlformats.org/officeDocument/2006/relationships/hyperlink" Target="https://enrd.ec.europa.eu/sites/enrd/files/twg-02-nrn-july2016.pdf" TargetMode="External"/><Relationship Id="rId78" Type="http://schemas.openxmlformats.org/officeDocument/2006/relationships/hyperlink" Target="http://eur-lex.europa.eu/LexUriServ/LexUriServ.do?uri=COM:2010:2020:FIN:EL:PDF" TargetMode="External"/><Relationship Id="rId81" Type="http://schemas.openxmlformats.org/officeDocument/2006/relationships/hyperlink" Target="http://www.men-d.de/uploads/media/MEN-D_Jahresveranstaltung_2017.pdf" TargetMode="External"/><Relationship Id="rId86" Type="http://schemas.openxmlformats.org/officeDocument/2006/relationships/hyperlink" Target="http://ec.europa.eu/eurostat/statistics-explained/index.php/Smarter,_greener,_more_inclusive_-_indicators_to_support_the_Europe_2020_strategy" TargetMode="External"/><Relationship Id="rId94" Type="http://schemas.openxmlformats.org/officeDocument/2006/relationships/hyperlink" Target="https://enrd.ec.europa.eu/sites/enrd/files/uploaded-files/wp_evaluation_questions_2015.pdf" TargetMode="External"/><Relationship Id="rId99" Type="http://schemas.openxmlformats.org/officeDocument/2006/relationships/hyperlink" Target="https://enrd.ec.europa.eu/sites/enrd/files/uploaded-files/wp_evaluation_questions_2015.pdf" TargetMode="External"/><Relationship Id="rId101" Type="http://schemas.openxmlformats.org/officeDocument/2006/relationships/hyperlink" Target="http://asq.org/quality-progress/2007/07/statistics/likert-scales-and-data-analyses.html" TargetMode="External"/><Relationship Id="rId122" Type="http://schemas.openxmlformats.org/officeDocument/2006/relationships/hyperlink" Target="http://betterevaluation.org/plan/approach/outcome_harvesting" TargetMode="External"/><Relationship Id="rId130"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yperlink" Target="https://enrd.ec.europa.eu/evaluation/publications/evaluation-innovation-rural-development-programmes-2014-2020_en" TargetMode="Externa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enrd.ec.europa.eu/evaluation/publications/guidelines-assessment-rdp-results-how-prepare-reporting-evaluation-2017_en" TargetMode="External"/><Relationship Id="rId109" Type="http://schemas.openxmlformats.org/officeDocument/2006/relationships/hyperlink" Target="http://journals.sagepub.com/doi/abs/10.1177/1356389012451663" TargetMode="External"/><Relationship Id="rId34" Type="http://schemas.openxmlformats.org/officeDocument/2006/relationships/header" Target="header6.xml"/><Relationship Id="rId50" Type="http://schemas.openxmlformats.org/officeDocument/2006/relationships/hyperlink" Target="https://enrd.ec.europa.eu/evaluation/publications/guidelines-assessment-rdp-results-how-prepare-reporting-evaluation-2017_en" TargetMode="External"/><Relationship Id="rId55" Type="http://schemas.openxmlformats.org/officeDocument/2006/relationships/hyperlink" Target="https://enrd.ec.europa.eu/evaluation/publications/guidelines-assessment-rdp-results-how-prepare-reporting-evaluation-2017_en" TargetMode="External"/><Relationship Id="rId76" Type="http://schemas.openxmlformats.org/officeDocument/2006/relationships/hyperlink" Target="http://enrd.ec.europa.eu/enrd-static/evaluation/good-practices-workshops/national-rural-networks/en/national-rural-networks_en.html" TargetMode="External"/><Relationship Id="rId97" Type="http://schemas.openxmlformats.org/officeDocument/2006/relationships/hyperlink" Target="http://www.hnvlink.eu/" TargetMode="External"/><Relationship Id="rId104" Type="http://schemas.openxmlformats.org/officeDocument/2006/relationships/hyperlink" Target="https://www.gao.gov/products/GAO/PEMD-10.1.9" TargetMode="External"/><Relationship Id="rId120" Type="http://schemas.openxmlformats.org/officeDocument/2006/relationships/hyperlink" Target="http://journals.sagepub.com/doi/abs/10.1177/1356389012451663" TargetMode="External"/><Relationship Id="rId125" Type="http://schemas.openxmlformats.org/officeDocument/2006/relationships/hyperlink" Target="http://eur-lex.europa.eu/legal-content/EL/TXT/PDF/?uri=CELEX:52012DC0079&amp;from=EL" TargetMode="External"/><Relationship Id="rId7" Type="http://schemas.openxmlformats.org/officeDocument/2006/relationships/endnotes" Target="endnotes.xml"/><Relationship Id="rId71" Type="http://schemas.openxmlformats.org/officeDocument/2006/relationships/hyperlink" Target="https://enrd.ec.europa.eu/evaluation/publications/guidelines-assessment-rdp-results-how-prepare-reporting-evaluation-2017_en" TargetMode="External"/><Relationship Id="rId92" Type="http://schemas.openxmlformats.org/officeDocument/2006/relationships/header" Target="header9.xml"/><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image" Target="media/image5.emf"/><Relationship Id="rId40" Type="http://schemas.openxmlformats.org/officeDocument/2006/relationships/image" Target="media/image14.jpg"/><Relationship Id="rId45" Type="http://schemas.openxmlformats.org/officeDocument/2006/relationships/hyperlink" Target="https://enrd.ec.europa.eu/evaluation/publications/guidelines-assessment-rdp-results-how-prepare-reporting-evaluation-2017_en" TargetMode="External"/><Relationship Id="rId66" Type="http://schemas.openxmlformats.org/officeDocument/2006/relationships/hyperlink" Target="https://enrd.ec.europa.eu/sites/enrd/files/twg-02-nrn-july2016.pdf" TargetMode="External"/><Relationship Id="rId87" Type="http://schemas.openxmlformats.org/officeDocument/2006/relationships/hyperlink" Target="http://www.men-d.de/uploads/media/MEN-D_Jahresveranstaltung_2017.pdf" TargetMode="External"/><Relationship Id="rId110" Type="http://schemas.openxmlformats.org/officeDocument/2006/relationships/hyperlink" Target="https://www.ncbi.nlm.nih.gov/pubmed/16053581" TargetMode="External"/><Relationship Id="rId115" Type="http://schemas.openxmlformats.org/officeDocument/2006/relationships/hyperlink" Target="https://www.gao.gov/products/GAO/PEMD-10.1.9" TargetMode="External"/><Relationship Id="rId131" Type="http://schemas.openxmlformats.org/officeDocument/2006/relationships/fontTable" Target="fontTable.xml"/><Relationship Id="rId61" Type="http://schemas.openxmlformats.org/officeDocument/2006/relationships/hyperlink" Target="https://enrd.ec.europa.eu/evaluation/publications/guidelines-evaluation-national-rural-networks-2014-2020_en" TargetMode="External"/><Relationship Id="rId82" Type="http://schemas.openxmlformats.org/officeDocument/2006/relationships/hyperlink" Target="http://www.men-d.de/index.php?id=81&amp;tx_ttnews%5btt_news%5d=150&amp;tx_ttnews%5bbackPid%5d=85&amp;cHash=41ecd4ea5c"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pe2020/europe-2020-in-a-nutshell/flagship-initiatives/index_en.htm" TargetMode="External"/><Relationship Id="rId13" Type="http://schemas.openxmlformats.org/officeDocument/2006/relationships/hyperlink" Target="https://www.jordbruksverket.se/utvardering" TargetMode="External"/><Relationship Id="rId18" Type="http://schemas.openxmlformats.org/officeDocument/2006/relationships/hyperlink" Target="https://ec.europa.eu/eip/agriculture/sites/agri-eip/files/16_measure_fiche_art_35_co-operation.pdf" TargetMode="External"/><Relationship Id="rId26" Type="http://schemas.openxmlformats.org/officeDocument/2006/relationships/hyperlink" Target="http://www.reterurale.it/flex/cm/pages/ServeBLOB.php/L/IT/IDPagina/16281" TargetMode="External"/><Relationship Id="rId3" Type="http://schemas.openxmlformats.org/officeDocument/2006/relationships/hyperlink" Target="http://ec.europa.eu/research/participants/data/ref/h2020/wp/2018-2020/main/h2020-wp1820-food_en.pdf" TargetMode="External"/><Relationship Id="rId21" Type="http://schemas.openxmlformats.org/officeDocument/2006/relationships/hyperlink" Target="http://enrd.ec.europa.eu/sites/enrd/files/w10_m16.5_hesse_de_vonkutzleben.pdf" TargetMode="External"/><Relationship Id="rId34" Type="http://schemas.openxmlformats.org/officeDocument/2006/relationships/hyperlink" Target="http://www.betterevaluation.org/en/evaluation-options/processtracing" TargetMode="External"/><Relationship Id="rId7" Type="http://schemas.openxmlformats.org/officeDocument/2006/relationships/hyperlink" Target="https://ec.europa.eu/eip/agriculture/sites/agri-eip/files/eip-agri_factsheet_cities_and_food_en_web.pdf" TargetMode="External"/><Relationship Id="rId12" Type="http://schemas.openxmlformats.org/officeDocument/2006/relationships/hyperlink" Target="https://enrd.ec.europa.eu/evaluation/publications/guidelines-assessment-rdp-results-how-prepare-reporting-evaluation-2017_en" TargetMode="External"/><Relationship Id="rId17" Type="http://schemas.openxmlformats.org/officeDocument/2006/relationships/hyperlink" Target="http://enrd.ec.europa.eu/evaluation/publications/working-document-common-evaluation-questions-rural-development-programmes_en" TargetMode="External"/><Relationship Id="rId25" Type="http://schemas.openxmlformats.org/officeDocument/2006/relationships/hyperlink" Target="https://enrd.ec.europa.eu/evaluation/publications/guidelines-evaluation-national-rural-networks-2014-2020_en" TargetMode="External"/><Relationship Id="rId33" Type="http://schemas.openxmlformats.org/officeDocument/2006/relationships/hyperlink" Target="http://www.analytictech.com/networks/whatis.htm" TargetMode="External"/><Relationship Id="rId2" Type="http://schemas.openxmlformats.org/officeDocument/2006/relationships/hyperlink" Target="https://ec.europa.eu/eip/agriculture/sites/agri-eip/files/pb_guidelines_eip_implementation_2014_en.pdf" TargetMode="External"/><Relationship Id="rId16" Type="http://schemas.openxmlformats.org/officeDocument/2006/relationships/hyperlink" Target="http://ec.europa.eu/europe2020/targets/eu-targets/index_en.htm" TargetMode="External"/><Relationship Id="rId20" Type="http://schemas.openxmlformats.org/officeDocument/2006/relationships/hyperlink" Target="https://ec.europa.eu/eip/agriculture/en/content/innovative-stable-reducing-ammonia-emissions" TargetMode="External"/><Relationship Id="rId29" Type="http://schemas.openxmlformats.org/officeDocument/2006/relationships/hyperlink" Target="http://ec.europa.eu/eurostat/statistics-explained/index.php/R_&amp;_D_expenditure" TargetMode="External"/><Relationship Id="rId1" Type="http://schemas.openxmlformats.org/officeDocument/2006/relationships/hyperlink" Target="https://ec.europa.eu/eip/agriculture/sites/agri-eip/files/pb_guidelines_eip_implementation_2014_en.pdf" TargetMode="External"/><Relationship Id="rId6" Type="http://schemas.openxmlformats.org/officeDocument/2006/relationships/hyperlink" Target="https://ec.europa.eu/research/scar/pdf/akis-3_end_report.pdf" TargetMode="External"/><Relationship Id="rId11" Type="http://schemas.openxmlformats.org/officeDocument/2006/relationships/hyperlink" Target="https://enrd.ec.europa.eu/evaluation/publications/guidelines-assessment-rdp-results-how-prepare-reporting-evaluation-2017_en" TargetMode="External"/><Relationship Id="rId24" Type="http://schemas.openxmlformats.org/officeDocument/2006/relationships/hyperlink" Target="https://enrd.ec.europa.eu/evaluation/publications/guidelines-evaluation-national-rural-networks-2014-2020_en" TargetMode="External"/><Relationship Id="rId32" Type="http://schemas.openxmlformats.org/officeDocument/2006/relationships/hyperlink" Target="http://enrd.ec.europa.eu/evaluation/publications/working-document-common-evaluation-questions-rural-development-programmes_en" TargetMode="External"/><Relationship Id="rId5" Type="http://schemas.openxmlformats.org/officeDocument/2006/relationships/hyperlink" Target="http://www.gppq.fct.pt/h2020/_docs/brochuras/bioeco/agricultural-knowledge-innovation-systems-towards-2020_en.pdf" TargetMode="External"/><Relationship Id="rId15" Type="http://schemas.openxmlformats.org/officeDocument/2006/relationships/hyperlink" Target="https://enrd.ec.europa.eu/evaluation/publications/guidelines-assessment-rdp-results-how-prepare-reporting-evaluation-2017_en" TargetMode="External"/><Relationship Id="rId23" Type="http://schemas.openxmlformats.org/officeDocument/2006/relationships/hyperlink" Target="http://enrd.ec.europa.eu/evaluation/publications/working-document-common-evaluation-questions-rural-development-programmes_en" TargetMode="External"/><Relationship Id="rId28" Type="http://schemas.openxmlformats.org/officeDocument/2006/relationships/hyperlink" Target="http://ec.europa.eu/europe2020/targets/eu-targets/index_en.htm" TargetMode="External"/><Relationship Id="rId36" Type="http://schemas.openxmlformats.org/officeDocument/2006/relationships/hyperlink" Target="http://www.socialresearchmethods.net/kb/scallik.php" TargetMode="External"/><Relationship Id="rId10" Type="http://schemas.openxmlformats.org/officeDocument/2006/relationships/hyperlink" Target="https://ec.europa.eu/eip/agriculture/sites/agri-eip/files/field_event_attachments/sem-knowledge-20151203-pres02-inge_van_oost.pdf" TargetMode="External"/><Relationship Id="rId19" Type="http://schemas.openxmlformats.org/officeDocument/2006/relationships/hyperlink" Target="http://enrd.ec.europa.eu/sites/enrd/files/w10_m16_finland_karlsson.pdf" TargetMode="External"/><Relationship Id="rId31" Type="http://schemas.openxmlformats.org/officeDocument/2006/relationships/hyperlink" Target="http://ec.europa.eu/eurostat/statistics-explained/index.php/Glossary:Gross_domestic_expenditure_on_R_&amp;_D_(GERD)" TargetMode="External"/><Relationship Id="rId4" Type="http://schemas.openxmlformats.org/officeDocument/2006/relationships/hyperlink" Target="https://ec.europa.eu/eip/agriculture/sites/agri-eip/files/eip-agri_brochure_multi-actor_projects_2017_en_web.pdf" TargetMode="External"/><Relationship Id="rId9" Type="http://schemas.openxmlformats.org/officeDocument/2006/relationships/hyperlink" Target="http://ec.europa.eu/europe2020/europe-2020-in-a-nutshell/targets/index_en.htm" TargetMode="External"/><Relationship Id="rId14" Type="http://schemas.openxmlformats.org/officeDocument/2006/relationships/hyperlink" Target="https://enrd.ec.europa.eu/evaluation/publications/working-document-common-evaluation-questions-rural-development-programmes_en" TargetMode="External"/><Relationship Id="rId22" Type="http://schemas.openxmlformats.org/officeDocument/2006/relationships/hyperlink" Target="https://enrd.ec.europa.eu/evaluation/publications/guidelines-assessment-rdp-results-how-prepare-reporting-evaluation-2017_en" TargetMode="External"/><Relationship Id="rId27" Type="http://schemas.openxmlformats.org/officeDocument/2006/relationships/hyperlink" Target="http://eur-lex.europa.eu/legal-content/EL/ALL/?uri=CELEX:52010DC2020" TargetMode="External"/><Relationship Id="rId30" Type="http://schemas.openxmlformats.org/officeDocument/2006/relationships/hyperlink" Target="http://www.oecd.org/publications/frascati-manual-2015-9789264239012-en.htm" TargetMode="External"/><Relationship Id="rId35" Type="http://schemas.openxmlformats.org/officeDocument/2006/relationships/hyperlink" Target="http://www.betterevaluation.org/en/resources/tools/innovation_history/innovation_timeline"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F07E3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cap="flat" cmpd="sng" algn="ctr">
          <a:solidFill>
            <a:srgbClr val="BE4A35"/>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22CEC-61B6-4A9B-A077-AE1C9D8BB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100</Pages>
  <Words>23349</Words>
  <Characters>133092</Characters>
  <Application>Microsoft Office Word</Application>
  <DocSecurity>0</DocSecurity>
  <Lines>1109</Lines>
  <Paragraphs>312</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European Commission</Company>
  <LinksUpToDate>false</LinksUpToDate>
  <CharactersWithSpaces>156129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Myles Stiffler</dc:creator>
  <cp:lastModifiedBy>Myles Stiffler</cp:lastModifiedBy>
  <cp:revision>31</cp:revision>
  <cp:lastPrinted>2018-01-12T09:16:00Z</cp:lastPrinted>
  <dcterms:created xsi:type="dcterms:W3CDTF">2018-03-16T18:08:00Z</dcterms:created>
  <dcterms:modified xsi:type="dcterms:W3CDTF">2018-03-19T14:19:00Z</dcterms:modified>
</cp:coreProperties>
</file>